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A64C8">
      <w:pPr>
        <w:spacing w:before="201" w:line="223" w:lineRule="auto"/>
        <w:ind w:left="3889"/>
        <w:rPr>
          <w:rFonts w:ascii="宋体" w:hAnsi="宋体" w:eastAsia="宋体" w:cs="宋体"/>
          <w:color w:val="auto"/>
          <w:sz w:val="43"/>
          <w:szCs w:val="43"/>
          <w:highlight w:val="none"/>
        </w:rPr>
      </w:pPr>
      <w:bookmarkStart w:id="363" w:name="_GoBack"/>
      <w:r>
        <w:rPr>
          <w:rFonts w:ascii="宋体" w:hAnsi="宋体" w:eastAsia="宋体" w:cs="宋体"/>
          <w:b/>
          <w:bCs/>
          <w:color w:val="auto"/>
          <w:sz w:val="43"/>
          <w:szCs w:val="43"/>
          <w:highlight w:val="none"/>
        </w:rPr>
        <w:t>广东省</w:t>
      </w:r>
    </w:p>
    <w:p w14:paraId="4D1C9F6B">
      <w:pPr>
        <w:tabs>
          <w:tab w:val="left" w:pos="2351"/>
        </w:tabs>
        <w:spacing w:before="219" w:line="360" w:lineRule="auto"/>
        <w:ind w:left="118"/>
        <w:jc w:val="center"/>
        <w:rPr>
          <w:rFonts w:ascii="宋体" w:hAnsi="宋体" w:eastAsia="宋体" w:cs="宋体"/>
          <w:color w:val="auto"/>
          <w:sz w:val="43"/>
          <w:szCs w:val="43"/>
          <w:highlight w:val="none"/>
        </w:rPr>
      </w:pPr>
      <w:r>
        <w:rPr>
          <w:rFonts w:hint="eastAsia" w:ascii="宋体" w:hAnsi="宋体" w:eastAsia="宋体" w:cs="宋体"/>
          <w:b/>
          <w:bCs/>
          <w:color w:val="auto"/>
          <w:spacing w:val="-8"/>
          <w:sz w:val="43"/>
          <w:szCs w:val="43"/>
          <w:highlight w:val="none"/>
          <w:u w:val="single" w:color="auto"/>
        </w:rPr>
        <w:t>乳源瑶族自治县大东至岭溪公路新建工程</w:t>
      </w:r>
      <w:r>
        <w:rPr>
          <w:rFonts w:ascii="宋体" w:hAnsi="宋体" w:eastAsia="宋体" w:cs="宋体"/>
          <w:b/>
          <w:bCs/>
          <w:color w:val="auto"/>
          <w:spacing w:val="-8"/>
          <w:sz w:val="43"/>
          <w:szCs w:val="43"/>
          <w:highlight w:val="none"/>
          <w:u w:val="single" w:color="auto"/>
        </w:rPr>
        <w:t>（项目名称</w:t>
      </w:r>
      <w:r>
        <w:rPr>
          <w:rFonts w:ascii="宋体" w:hAnsi="宋体" w:eastAsia="宋体" w:cs="宋体"/>
          <w:b/>
          <w:bCs/>
          <w:color w:val="auto"/>
          <w:spacing w:val="-35"/>
          <w:sz w:val="43"/>
          <w:szCs w:val="43"/>
          <w:highlight w:val="none"/>
          <w:u w:val="single" w:color="auto"/>
        </w:rPr>
        <w:t>）</w:t>
      </w:r>
      <w:r>
        <w:rPr>
          <w:rFonts w:ascii="宋体" w:hAnsi="宋体" w:eastAsia="宋体" w:cs="宋体"/>
          <w:color w:val="auto"/>
          <w:spacing w:val="13"/>
          <w:sz w:val="43"/>
          <w:szCs w:val="43"/>
          <w:highlight w:val="none"/>
          <w:u w:val="single" w:color="auto"/>
        </w:rPr>
        <w:t xml:space="preserve"> </w:t>
      </w:r>
      <w:r>
        <w:rPr>
          <w:rFonts w:hint="eastAsia" w:ascii="宋体" w:hAnsi="宋体" w:eastAsia="宋体" w:cs="宋体"/>
          <w:color w:val="auto"/>
          <w:spacing w:val="13"/>
          <w:sz w:val="43"/>
          <w:szCs w:val="43"/>
          <w:highlight w:val="none"/>
          <w:u w:val="single" w:color="auto"/>
          <w:lang w:val="en-US" w:eastAsia="zh-CN"/>
        </w:rPr>
        <w:t>/</w:t>
      </w:r>
      <w:r>
        <w:rPr>
          <w:rFonts w:ascii="宋体" w:hAnsi="宋体" w:eastAsia="宋体" w:cs="宋体"/>
          <w:color w:val="auto"/>
          <w:spacing w:val="13"/>
          <w:sz w:val="43"/>
          <w:szCs w:val="43"/>
          <w:highlight w:val="none"/>
          <w:u w:val="single" w:color="auto"/>
        </w:rPr>
        <w:t xml:space="preserve"> </w:t>
      </w:r>
      <w:r>
        <w:rPr>
          <w:rFonts w:ascii="宋体" w:hAnsi="宋体" w:eastAsia="宋体" w:cs="宋体"/>
          <w:b/>
          <w:bCs/>
          <w:color w:val="auto"/>
          <w:spacing w:val="-35"/>
          <w:sz w:val="43"/>
          <w:szCs w:val="43"/>
          <w:highlight w:val="none"/>
          <w:u w:val="single" w:color="auto"/>
        </w:rPr>
        <w:t>（</w:t>
      </w:r>
      <w:r>
        <w:rPr>
          <w:rFonts w:ascii="宋体" w:hAnsi="宋体" w:eastAsia="宋体" w:cs="宋体"/>
          <w:b/>
          <w:bCs/>
          <w:color w:val="auto"/>
          <w:spacing w:val="-8"/>
          <w:sz w:val="43"/>
          <w:szCs w:val="43"/>
          <w:highlight w:val="none"/>
          <w:u w:val="single" w:color="auto"/>
        </w:rPr>
        <w:t>标类或标段）</w:t>
      </w:r>
      <w:r>
        <w:rPr>
          <w:rFonts w:ascii="宋体" w:hAnsi="宋体" w:eastAsia="宋体" w:cs="宋体"/>
          <w:b/>
          <w:bCs/>
          <w:color w:val="auto"/>
          <w:spacing w:val="-8"/>
          <w:sz w:val="43"/>
          <w:szCs w:val="43"/>
          <w:highlight w:val="none"/>
        </w:rPr>
        <w:t>施</w:t>
      </w:r>
      <w:r>
        <w:rPr>
          <w:rFonts w:ascii="宋体" w:hAnsi="宋体" w:eastAsia="宋体" w:cs="宋体"/>
          <w:b/>
          <w:bCs/>
          <w:color w:val="auto"/>
          <w:spacing w:val="2"/>
          <w:sz w:val="43"/>
          <w:szCs w:val="43"/>
          <w:highlight w:val="none"/>
        </w:rPr>
        <w:t>工监理招标</w:t>
      </w:r>
    </w:p>
    <w:p w14:paraId="26E3D2AF">
      <w:pPr>
        <w:spacing w:line="252" w:lineRule="auto"/>
        <w:rPr>
          <w:rFonts w:ascii="Arial"/>
          <w:color w:val="auto"/>
          <w:sz w:val="21"/>
          <w:highlight w:val="none"/>
        </w:rPr>
      </w:pPr>
    </w:p>
    <w:p w14:paraId="41C2AA6D">
      <w:pPr>
        <w:spacing w:line="252" w:lineRule="auto"/>
        <w:rPr>
          <w:rFonts w:ascii="Arial"/>
          <w:color w:val="auto"/>
          <w:sz w:val="21"/>
          <w:highlight w:val="none"/>
        </w:rPr>
      </w:pPr>
    </w:p>
    <w:p w14:paraId="48467112">
      <w:pPr>
        <w:spacing w:line="252" w:lineRule="auto"/>
        <w:rPr>
          <w:rFonts w:ascii="Arial"/>
          <w:color w:val="auto"/>
          <w:sz w:val="21"/>
          <w:highlight w:val="none"/>
        </w:rPr>
      </w:pPr>
    </w:p>
    <w:p w14:paraId="30C9673E">
      <w:pPr>
        <w:spacing w:line="253" w:lineRule="auto"/>
        <w:rPr>
          <w:rFonts w:ascii="Arial"/>
          <w:color w:val="auto"/>
          <w:sz w:val="21"/>
          <w:highlight w:val="none"/>
        </w:rPr>
      </w:pPr>
    </w:p>
    <w:p w14:paraId="3B41B8A3">
      <w:pPr>
        <w:spacing w:line="253" w:lineRule="auto"/>
        <w:rPr>
          <w:rFonts w:ascii="Arial"/>
          <w:color w:val="auto"/>
          <w:sz w:val="21"/>
          <w:highlight w:val="none"/>
        </w:rPr>
      </w:pPr>
    </w:p>
    <w:p w14:paraId="4489296B">
      <w:pPr>
        <w:spacing w:line="253" w:lineRule="auto"/>
        <w:rPr>
          <w:rFonts w:ascii="Arial"/>
          <w:color w:val="auto"/>
          <w:sz w:val="21"/>
          <w:highlight w:val="none"/>
        </w:rPr>
      </w:pPr>
    </w:p>
    <w:p w14:paraId="100CDD25">
      <w:pPr>
        <w:spacing w:line="253" w:lineRule="auto"/>
        <w:rPr>
          <w:rFonts w:ascii="Arial"/>
          <w:color w:val="auto"/>
          <w:sz w:val="21"/>
          <w:highlight w:val="none"/>
        </w:rPr>
      </w:pPr>
    </w:p>
    <w:p w14:paraId="3AFA3A91">
      <w:pPr>
        <w:spacing w:line="253" w:lineRule="auto"/>
        <w:rPr>
          <w:rFonts w:ascii="Arial"/>
          <w:color w:val="auto"/>
          <w:sz w:val="21"/>
          <w:highlight w:val="none"/>
        </w:rPr>
      </w:pPr>
    </w:p>
    <w:p w14:paraId="36190529">
      <w:pPr>
        <w:spacing w:line="253" w:lineRule="auto"/>
        <w:rPr>
          <w:rFonts w:ascii="Arial"/>
          <w:color w:val="auto"/>
          <w:sz w:val="21"/>
          <w:highlight w:val="none"/>
        </w:rPr>
      </w:pPr>
    </w:p>
    <w:p w14:paraId="52F1A215">
      <w:pPr>
        <w:spacing w:line="253" w:lineRule="auto"/>
        <w:rPr>
          <w:rFonts w:ascii="Arial"/>
          <w:color w:val="auto"/>
          <w:sz w:val="21"/>
          <w:highlight w:val="none"/>
        </w:rPr>
      </w:pPr>
    </w:p>
    <w:p w14:paraId="54B72FB7">
      <w:pPr>
        <w:spacing w:line="253" w:lineRule="auto"/>
        <w:rPr>
          <w:rFonts w:ascii="Arial"/>
          <w:color w:val="auto"/>
          <w:sz w:val="21"/>
          <w:highlight w:val="none"/>
        </w:rPr>
      </w:pPr>
    </w:p>
    <w:p w14:paraId="666D7326">
      <w:pPr>
        <w:spacing w:before="231" w:line="222" w:lineRule="auto"/>
        <w:ind w:left="2669"/>
        <w:rPr>
          <w:rFonts w:ascii="宋体" w:hAnsi="宋体" w:eastAsia="宋体" w:cs="宋体"/>
          <w:color w:val="auto"/>
          <w:sz w:val="71"/>
          <w:szCs w:val="71"/>
          <w:highlight w:val="none"/>
        </w:rPr>
      </w:pPr>
      <w:bookmarkStart w:id="0" w:name="bookmark3"/>
      <w:bookmarkEnd w:id="0"/>
      <w:r>
        <w:rPr>
          <w:rFonts w:ascii="宋体" w:hAnsi="宋体" w:eastAsia="宋体" w:cs="宋体"/>
          <w:color w:val="auto"/>
          <w:spacing w:val="-15"/>
          <w:sz w:val="71"/>
          <w:szCs w:val="71"/>
          <w:highlight w:val="none"/>
        </w:rPr>
        <w:t>招 标 文 件</w:t>
      </w:r>
    </w:p>
    <w:p w14:paraId="10777974">
      <w:pPr>
        <w:spacing w:line="248" w:lineRule="auto"/>
        <w:rPr>
          <w:rFonts w:ascii="Arial"/>
          <w:color w:val="auto"/>
          <w:sz w:val="21"/>
          <w:highlight w:val="none"/>
        </w:rPr>
      </w:pPr>
    </w:p>
    <w:p w14:paraId="048E93C4">
      <w:pPr>
        <w:spacing w:line="248" w:lineRule="auto"/>
        <w:rPr>
          <w:rFonts w:ascii="Arial"/>
          <w:color w:val="auto"/>
          <w:sz w:val="21"/>
          <w:highlight w:val="none"/>
        </w:rPr>
      </w:pPr>
    </w:p>
    <w:p w14:paraId="5E0F3105">
      <w:pPr>
        <w:spacing w:line="248" w:lineRule="auto"/>
        <w:rPr>
          <w:rFonts w:ascii="Arial"/>
          <w:color w:val="auto"/>
          <w:sz w:val="21"/>
          <w:highlight w:val="none"/>
        </w:rPr>
      </w:pPr>
    </w:p>
    <w:p w14:paraId="01DA717A">
      <w:pPr>
        <w:spacing w:line="248" w:lineRule="auto"/>
        <w:rPr>
          <w:rFonts w:ascii="Arial"/>
          <w:color w:val="auto"/>
          <w:sz w:val="21"/>
          <w:highlight w:val="none"/>
        </w:rPr>
      </w:pPr>
    </w:p>
    <w:p w14:paraId="57EAA883">
      <w:pPr>
        <w:spacing w:line="249" w:lineRule="auto"/>
        <w:rPr>
          <w:rFonts w:ascii="Arial"/>
          <w:color w:val="auto"/>
          <w:sz w:val="21"/>
          <w:highlight w:val="none"/>
        </w:rPr>
      </w:pPr>
    </w:p>
    <w:p w14:paraId="209708A4">
      <w:pPr>
        <w:spacing w:line="249" w:lineRule="auto"/>
        <w:rPr>
          <w:rFonts w:ascii="Arial"/>
          <w:color w:val="auto"/>
          <w:sz w:val="21"/>
          <w:highlight w:val="none"/>
        </w:rPr>
      </w:pPr>
    </w:p>
    <w:p w14:paraId="1DD468FE">
      <w:pPr>
        <w:spacing w:line="249" w:lineRule="auto"/>
        <w:rPr>
          <w:rFonts w:ascii="Arial"/>
          <w:color w:val="auto"/>
          <w:sz w:val="21"/>
          <w:highlight w:val="none"/>
        </w:rPr>
      </w:pPr>
    </w:p>
    <w:p w14:paraId="6B4C653F">
      <w:pPr>
        <w:spacing w:line="249" w:lineRule="auto"/>
        <w:rPr>
          <w:rFonts w:ascii="Arial"/>
          <w:color w:val="auto"/>
          <w:sz w:val="21"/>
          <w:highlight w:val="none"/>
        </w:rPr>
      </w:pPr>
    </w:p>
    <w:p w14:paraId="13B346B8">
      <w:pPr>
        <w:spacing w:line="249" w:lineRule="auto"/>
        <w:rPr>
          <w:rFonts w:ascii="Arial"/>
          <w:color w:val="auto"/>
          <w:sz w:val="21"/>
          <w:highlight w:val="none"/>
        </w:rPr>
      </w:pPr>
    </w:p>
    <w:p w14:paraId="6185803A">
      <w:pPr>
        <w:spacing w:line="249" w:lineRule="auto"/>
        <w:rPr>
          <w:rFonts w:ascii="Arial"/>
          <w:color w:val="auto"/>
          <w:sz w:val="21"/>
          <w:highlight w:val="none"/>
        </w:rPr>
      </w:pPr>
    </w:p>
    <w:p w14:paraId="2D515D54">
      <w:pPr>
        <w:spacing w:line="249" w:lineRule="auto"/>
        <w:rPr>
          <w:rFonts w:ascii="Arial"/>
          <w:color w:val="auto"/>
          <w:sz w:val="21"/>
          <w:highlight w:val="none"/>
        </w:rPr>
      </w:pPr>
    </w:p>
    <w:p w14:paraId="4003D778">
      <w:pPr>
        <w:spacing w:line="249" w:lineRule="auto"/>
        <w:rPr>
          <w:rFonts w:ascii="Arial"/>
          <w:color w:val="auto"/>
          <w:sz w:val="21"/>
          <w:highlight w:val="none"/>
        </w:rPr>
      </w:pPr>
    </w:p>
    <w:p w14:paraId="705DFFCC">
      <w:pPr>
        <w:spacing w:line="249" w:lineRule="auto"/>
        <w:rPr>
          <w:rFonts w:ascii="Arial"/>
          <w:color w:val="auto"/>
          <w:sz w:val="21"/>
          <w:highlight w:val="none"/>
        </w:rPr>
      </w:pPr>
    </w:p>
    <w:p w14:paraId="157381FA">
      <w:pPr>
        <w:spacing w:line="249" w:lineRule="auto"/>
        <w:rPr>
          <w:rFonts w:ascii="Arial"/>
          <w:color w:val="auto"/>
          <w:sz w:val="21"/>
          <w:highlight w:val="none"/>
        </w:rPr>
      </w:pPr>
    </w:p>
    <w:p w14:paraId="13271CAE">
      <w:pPr>
        <w:spacing w:before="101" w:line="371" w:lineRule="auto"/>
        <w:ind w:left="432"/>
        <w:rPr>
          <w:rFonts w:ascii="宋体" w:hAnsi="宋体" w:eastAsia="宋体" w:cs="宋体"/>
          <w:color w:val="auto"/>
          <w:sz w:val="16"/>
          <w:szCs w:val="16"/>
          <w:highlight w:val="none"/>
        </w:rPr>
      </w:pPr>
      <w:r>
        <w:rPr>
          <w:rFonts w:ascii="宋体" w:hAnsi="宋体" w:eastAsia="宋体" w:cs="宋体"/>
          <w:color w:val="auto"/>
          <w:spacing w:val="14"/>
          <w:sz w:val="31"/>
          <w:szCs w:val="31"/>
          <w:highlight w:val="none"/>
        </w:rPr>
        <w:t>招 标 人</w:t>
      </w:r>
      <w:r>
        <w:rPr>
          <w:rFonts w:ascii="宋体" w:hAnsi="宋体" w:eastAsia="宋体" w:cs="宋体"/>
          <w:color w:val="auto"/>
          <w:spacing w:val="-32"/>
          <w:sz w:val="31"/>
          <w:szCs w:val="31"/>
          <w:highlight w:val="none"/>
        </w:rPr>
        <w:t>：</w:t>
      </w:r>
      <w:r>
        <w:rPr>
          <w:rFonts w:ascii="宋体" w:hAnsi="宋体" w:eastAsia="宋体" w:cs="宋体"/>
          <w:color w:val="auto"/>
          <w:spacing w:val="5"/>
          <w:sz w:val="31"/>
          <w:szCs w:val="31"/>
          <w:highlight w:val="none"/>
          <w:u w:val="single" w:color="auto"/>
        </w:rPr>
        <w:t xml:space="preserve"> </w:t>
      </w:r>
      <w:r>
        <w:rPr>
          <w:rFonts w:ascii="宋体" w:hAnsi="宋体" w:eastAsia="宋体" w:cs="宋体"/>
          <w:color w:val="auto"/>
          <w:spacing w:val="5"/>
          <w:sz w:val="31"/>
          <w:szCs w:val="31"/>
          <w:highlight w:val="none"/>
          <w:u w:val="single" w:color="auto"/>
          <w:lang w:val="en-US" w:eastAsia="zh-CN"/>
        </w:rPr>
        <w:t>乳源瑶族自治县地方公路事务中心</w:t>
      </w:r>
      <w:r>
        <w:rPr>
          <w:rFonts w:ascii="宋体" w:hAnsi="宋体" w:eastAsia="宋体" w:cs="宋体"/>
          <w:color w:val="auto"/>
          <w:spacing w:val="-32"/>
          <w:sz w:val="31"/>
          <w:szCs w:val="31"/>
          <w:highlight w:val="none"/>
          <w:u w:val="single" w:color="auto"/>
        </w:rPr>
        <w:t>（</w:t>
      </w:r>
      <w:r>
        <w:rPr>
          <w:rFonts w:ascii="宋体" w:hAnsi="宋体" w:eastAsia="宋体" w:cs="宋体"/>
          <w:color w:val="auto"/>
          <w:spacing w:val="14"/>
          <w:sz w:val="31"/>
          <w:szCs w:val="31"/>
          <w:highlight w:val="none"/>
          <w:u w:val="single" w:color="auto"/>
        </w:rPr>
        <w:t>盖单位章）</w:t>
      </w:r>
    </w:p>
    <w:p w14:paraId="1EEB1597">
      <w:pPr>
        <w:spacing w:before="1" w:line="370" w:lineRule="auto"/>
        <w:ind w:left="435"/>
        <w:rPr>
          <w:rFonts w:ascii="宋体" w:hAnsi="宋体" w:eastAsia="宋体" w:cs="宋体"/>
          <w:color w:val="auto"/>
          <w:sz w:val="16"/>
          <w:szCs w:val="16"/>
          <w:highlight w:val="none"/>
        </w:rPr>
      </w:pPr>
      <w:r>
        <w:rPr>
          <w:rFonts w:ascii="宋体" w:hAnsi="宋体" w:eastAsia="宋体" w:cs="宋体"/>
          <w:color w:val="auto"/>
          <w:spacing w:val="12"/>
          <w:sz w:val="31"/>
          <w:szCs w:val="31"/>
          <w:highlight w:val="none"/>
          <w:u w:val="none" w:color="auto"/>
        </w:rPr>
        <w:t>建设单位</w:t>
      </w:r>
      <w:r>
        <w:rPr>
          <w:rFonts w:ascii="宋体" w:hAnsi="宋体" w:eastAsia="宋体" w:cs="宋体"/>
          <w:color w:val="auto"/>
          <w:spacing w:val="-22"/>
          <w:sz w:val="31"/>
          <w:szCs w:val="31"/>
          <w:highlight w:val="none"/>
          <w:u w:val="none" w:color="auto"/>
        </w:rPr>
        <w:t>：</w:t>
      </w:r>
      <w:r>
        <w:rPr>
          <w:rFonts w:ascii="宋体" w:hAnsi="宋体" w:eastAsia="宋体" w:cs="宋体"/>
          <w:color w:val="auto"/>
          <w:spacing w:val="5"/>
          <w:sz w:val="31"/>
          <w:szCs w:val="31"/>
          <w:highlight w:val="none"/>
          <w:u w:val="single" w:color="auto"/>
        </w:rPr>
        <w:t xml:space="preserve"> </w:t>
      </w:r>
      <w:r>
        <w:rPr>
          <w:rFonts w:ascii="宋体" w:hAnsi="宋体" w:eastAsia="宋体" w:cs="宋体"/>
          <w:color w:val="auto"/>
          <w:spacing w:val="5"/>
          <w:sz w:val="31"/>
          <w:szCs w:val="31"/>
          <w:highlight w:val="none"/>
          <w:u w:val="single" w:color="auto"/>
          <w:lang w:val="en-US" w:eastAsia="zh-CN"/>
        </w:rPr>
        <w:t>乳源瑶族自治县地方公路事务中心</w:t>
      </w:r>
      <w:r>
        <w:rPr>
          <w:rFonts w:ascii="宋体" w:hAnsi="宋体" w:eastAsia="宋体" w:cs="宋体"/>
          <w:color w:val="auto"/>
          <w:spacing w:val="-22"/>
          <w:sz w:val="31"/>
          <w:szCs w:val="31"/>
          <w:highlight w:val="none"/>
          <w:u w:val="single" w:color="auto"/>
        </w:rPr>
        <w:t>（</w:t>
      </w:r>
      <w:r>
        <w:rPr>
          <w:rFonts w:ascii="宋体" w:hAnsi="宋体" w:eastAsia="宋体" w:cs="宋体"/>
          <w:color w:val="auto"/>
          <w:spacing w:val="12"/>
          <w:sz w:val="31"/>
          <w:szCs w:val="31"/>
          <w:highlight w:val="none"/>
          <w:u w:val="single" w:color="auto"/>
        </w:rPr>
        <w:t>盖单位章）</w:t>
      </w:r>
    </w:p>
    <w:p w14:paraId="47E1729C">
      <w:pPr>
        <w:spacing w:before="1" w:line="400" w:lineRule="auto"/>
        <w:ind w:left="432"/>
        <w:rPr>
          <w:rFonts w:ascii="宋体" w:hAnsi="宋体" w:eastAsia="宋体" w:cs="宋体"/>
          <w:color w:val="auto"/>
          <w:sz w:val="16"/>
          <w:szCs w:val="16"/>
          <w:highlight w:val="none"/>
        </w:rPr>
      </w:pPr>
      <w:r>
        <w:rPr>
          <w:rFonts w:ascii="宋体" w:hAnsi="宋体" w:eastAsia="宋体" w:cs="宋体"/>
          <w:color w:val="auto"/>
          <w:spacing w:val="12"/>
          <w:sz w:val="31"/>
          <w:szCs w:val="31"/>
          <w:highlight w:val="none"/>
        </w:rPr>
        <w:t>招标代理</w:t>
      </w:r>
      <w:r>
        <w:rPr>
          <w:rFonts w:ascii="宋体" w:hAnsi="宋体" w:eastAsia="宋体" w:cs="宋体"/>
          <w:color w:val="auto"/>
          <w:spacing w:val="-15"/>
          <w:sz w:val="31"/>
          <w:szCs w:val="31"/>
          <w:highlight w:val="none"/>
        </w:rPr>
        <w:t>：</w:t>
      </w:r>
      <w:r>
        <w:rPr>
          <w:rFonts w:ascii="宋体" w:hAnsi="宋体" w:eastAsia="宋体" w:cs="宋体"/>
          <w:color w:val="auto"/>
          <w:spacing w:val="5"/>
          <w:sz w:val="31"/>
          <w:szCs w:val="31"/>
          <w:highlight w:val="none"/>
          <w:u w:val="single" w:color="auto"/>
        </w:rPr>
        <w:t xml:space="preserve"> </w:t>
      </w:r>
      <w:r>
        <w:rPr>
          <w:rFonts w:ascii="宋体" w:hAnsi="宋体" w:eastAsia="宋体" w:cs="宋体"/>
          <w:color w:val="auto"/>
          <w:spacing w:val="5"/>
          <w:sz w:val="31"/>
          <w:szCs w:val="31"/>
          <w:highlight w:val="none"/>
          <w:u w:val="single" w:color="auto"/>
          <w:lang w:val="en-US" w:eastAsia="zh-CN"/>
        </w:rPr>
        <w:t>韶关市中晟项目管理有限公司</w:t>
      </w:r>
      <w:r>
        <w:rPr>
          <w:rFonts w:ascii="宋体" w:hAnsi="宋体" w:eastAsia="宋体" w:cs="宋体"/>
          <w:color w:val="auto"/>
          <w:spacing w:val="-15"/>
          <w:sz w:val="31"/>
          <w:szCs w:val="31"/>
          <w:highlight w:val="none"/>
          <w:u w:val="single" w:color="auto"/>
        </w:rPr>
        <w:t>（</w:t>
      </w:r>
      <w:r>
        <w:rPr>
          <w:rFonts w:ascii="宋体" w:hAnsi="宋体" w:eastAsia="宋体" w:cs="宋体"/>
          <w:color w:val="auto"/>
          <w:spacing w:val="12"/>
          <w:sz w:val="31"/>
          <w:szCs w:val="31"/>
          <w:highlight w:val="none"/>
          <w:u w:val="single" w:color="auto"/>
        </w:rPr>
        <w:t>盖单位章）</w:t>
      </w:r>
    </w:p>
    <w:p w14:paraId="0DD3D8E5">
      <w:pPr>
        <w:spacing w:before="1" w:line="400" w:lineRule="auto"/>
        <w:ind w:left="432"/>
        <w:jc w:val="center"/>
        <w:rPr>
          <w:rFonts w:ascii="宋体" w:hAnsi="宋体" w:eastAsia="宋体" w:cs="宋体"/>
          <w:color w:val="auto"/>
          <w:spacing w:val="5"/>
          <w:sz w:val="31"/>
          <w:szCs w:val="31"/>
          <w:highlight w:val="none"/>
          <w:u w:val="single" w:color="auto"/>
          <w:lang w:val="en-US" w:eastAsia="zh-CN"/>
        </w:rPr>
      </w:pPr>
      <w:r>
        <w:rPr>
          <w:rFonts w:hint="eastAsia" w:ascii="宋体" w:hAnsi="宋体" w:eastAsia="宋体" w:cs="宋体"/>
          <w:color w:val="auto"/>
          <w:spacing w:val="5"/>
          <w:sz w:val="31"/>
          <w:szCs w:val="31"/>
          <w:highlight w:val="none"/>
          <w:u w:val="none" w:color="auto"/>
          <w:lang w:val="en-US" w:eastAsia="zh-CN"/>
        </w:rPr>
        <w:t>2026</w:t>
      </w:r>
      <w:r>
        <w:rPr>
          <w:rFonts w:ascii="宋体" w:hAnsi="宋体" w:eastAsia="宋体" w:cs="宋体"/>
          <w:color w:val="auto"/>
          <w:spacing w:val="5"/>
          <w:sz w:val="31"/>
          <w:szCs w:val="31"/>
          <w:highlight w:val="none"/>
          <w:u w:val="none" w:color="auto"/>
          <w:lang w:val="en-US" w:eastAsia="zh-CN"/>
        </w:rPr>
        <w:t>年</w:t>
      </w:r>
      <w:r>
        <w:rPr>
          <w:rFonts w:hint="eastAsia" w:ascii="宋体" w:hAnsi="宋体" w:eastAsia="宋体" w:cs="宋体"/>
          <w:color w:val="auto"/>
          <w:spacing w:val="5"/>
          <w:sz w:val="31"/>
          <w:szCs w:val="31"/>
          <w:highlight w:val="none"/>
          <w:u w:val="none" w:color="auto"/>
          <w:lang w:val="en-US" w:eastAsia="zh-CN"/>
        </w:rPr>
        <w:t>3</w:t>
      </w:r>
      <w:r>
        <w:rPr>
          <w:rFonts w:ascii="宋体" w:hAnsi="宋体" w:eastAsia="宋体" w:cs="宋体"/>
          <w:color w:val="auto"/>
          <w:spacing w:val="5"/>
          <w:sz w:val="31"/>
          <w:szCs w:val="31"/>
          <w:highlight w:val="none"/>
          <w:u w:val="none" w:color="auto"/>
          <w:lang w:val="en-US" w:eastAsia="zh-CN"/>
        </w:rPr>
        <w:t>月</w:t>
      </w:r>
    </w:p>
    <w:p w14:paraId="66210AD2">
      <w:pPr>
        <w:spacing w:line="285" w:lineRule="auto"/>
        <w:rPr>
          <w:rFonts w:ascii="Arial"/>
          <w:color w:val="auto"/>
          <w:sz w:val="21"/>
          <w:highlight w:val="none"/>
        </w:rPr>
      </w:pPr>
    </w:p>
    <w:p w14:paraId="08716992">
      <w:pPr>
        <w:spacing w:line="220" w:lineRule="auto"/>
        <w:rPr>
          <w:rFonts w:ascii="宋体" w:hAnsi="宋体" w:eastAsia="宋体" w:cs="宋体"/>
          <w:color w:val="auto"/>
          <w:sz w:val="18"/>
          <w:szCs w:val="18"/>
          <w:highlight w:val="none"/>
        </w:rPr>
        <w:sectPr>
          <w:footerReference r:id="rId5" w:type="default"/>
          <w:pgSz w:w="11906" w:h="16839"/>
          <w:pgMar w:top="1431" w:right="1490" w:bottom="400" w:left="1417" w:header="0" w:footer="0" w:gutter="0"/>
          <w:cols w:space="720" w:num="1"/>
        </w:sectPr>
      </w:pPr>
    </w:p>
    <w:p w14:paraId="1B91BD0C">
      <w:pPr>
        <w:rPr>
          <w:rFonts w:ascii="宋体" w:hAnsi="宋体" w:eastAsia="宋体" w:cs="宋体"/>
          <w:b/>
          <w:bCs/>
          <w:color w:val="auto"/>
          <w:spacing w:val="-36"/>
          <w:sz w:val="31"/>
          <w:szCs w:val="31"/>
          <w:highlight w:val="none"/>
        </w:rPr>
      </w:pPr>
      <w:bookmarkStart w:id="1" w:name="_Toc13110"/>
      <w:bookmarkStart w:id="2" w:name="_Toc10156"/>
      <w:bookmarkStart w:id="3" w:name="_Toc5743"/>
      <w:r>
        <w:rPr>
          <w:rFonts w:ascii="宋体" w:hAnsi="宋体" w:eastAsia="宋体" w:cs="宋体"/>
          <w:b/>
          <w:bCs/>
          <w:color w:val="auto"/>
          <w:spacing w:val="-36"/>
          <w:sz w:val="31"/>
          <w:szCs w:val="31"/>
          <w:highlight w:val="none"/>
        </w:rPr>
        <w:br w:type="page"/>
      </w:r>
    </w:p>
    <w:p w14:paraId="61308067">
      <w:pPr>
        <w:spacing w:before="220" w:line="227" w:lineRule="auto"/>
        <w:ind w:left="3743"/>
        <w:outlineLvl w:val="0"/>
        <w:rPr>
          <w:rFonts w:ascii="宋体" w:hAnsi="宋体" w:eastAsia="宋体" w:cs="宋体"/>
          <w:color w:val="auto"/>
          <w:sz w:val="31"/>
          <w:szCs w:val="31"/>
          <w:highlight w:val="none"/>
        </w:rPr>
      </w:pPr>
      <w:bookmarkStart w:id="4" w:name="_Toc251"/>
      <w:bookmarkStart w:id="5" w:name="_Toc8336"/>
      <w:bookmarkStart w:id="6" w:name="_Toc14069"/>
      <w:r>
        <w:rPr>
          <w:rFonts w:ascii="宋体" w:hAnsi="宋体" w:eastAsia="宋体" w:cs="宋体"/>
          <w:b/>
          <w:bCs/>
          <w:color w:val="auto"/>
          <w:spacing w:val="-36"/>
          <w:sz w:val="31"/>
          <w:szCs w:val="31"/>
          <w:highlight w:val="none"/>
        </w:rPr>
        <w:t>目</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36"/>
          <w:sz w:val="31"/>
          <w:szCs w:val="31"/>
          <w:highlight w:val="none"/>
        </w:rPr>
        <w:t>录</w:t>
      </w:r>
      <w:bookmarkEnd w:id="1"/>
      <w:bookmarkEnd w:id="2"/>
      <w:bookmarkEnd w:id="3"/>
      <w:bookmarkEnd w:id="4"/>
      <w:bookmarkEnd w:id="5"/>
      <w:bookmarkEnd w:id="6"/>
    </w:p>
    <w:sdt>
      <w:sdtPr>
        <w:rPr>
          <w:rFonts w:ascii="宋体" w:hAnsi="宋体" w:eastAsia="宋体" w:cs="Arial"/>
          <w:snapToGrid w:val="0"/>
          <w:color w:val="auto"/>
          <w:kern w:val="0"/>
          <w:sz w:val="21"/>
          <w:szCs w:val="21"/>
          <w:highlight w:val="none"/>
          <w:lang w:val="en-US" w:eastAsia="en-US" w:bidi="ar-SA"/>
        </w:rPr>
        <w:id w:val="147476872"/>
        <w15:color w:val="DBDBDB"/>
        <w:docPartObj>
          <w:docPartGallery w:val="Table of Contents"/>
          <w:docPartUnique/>
        </w:docPartObj>
      </w:sdtPr>
      <w:sdtEndPr>
        <w:rPr>
          <w:rFonts w:ascii="宋体" w:hAnsi="宋体" w:eastAsia="宋体" w:cs="宋体"/>
          <w:snapToGrid w:val="0"/>
          <w:color w:val="auto"/>
          <w:kern w:val="0"/>
          <w:sz w:val="21"/>
          <w:szCs w:val="24"/>
          <w:highlight w:val="none"/>
          <w:lang w:val="en-US" w:eastAsia="en-US" w:bidi="ar-SA"/>
        </w:rPr>
      </w:sdtEndPr>
      <w:sdtContent>
        <w:p w14:paraId="7D62F339">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color w:val="auto"/>
              <w:highlight w:val="none"/>
            </w:rPr>
          </w:pPr>
        </w:p>
        <w:p w14:paraId="3F9F2678">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1"/>
              <w:szCs w:val="24"/>
              <w:highlight w:val="none"/>
              <w:lang w:val="en-US" w:eastAsia="en-US" w:bidi="ar-SA"/>
            </w:rPr>
            <w:fldChar w:fldCharType="begin"/>
          </w:r>
          <w:r>
            <w:rPr>
              <w:rFonts w:ascii="宋体" w:hAnsi="宋体" w:eastAsia="宋体" w:cs="宋体"/>
              <w:snapToGrid w:val="0"/>
              <w:color w:val="auto"/>
              <w:kern w:val="0"/>
              <w:sz w:val="21"/>
              <w:szCs w:val="24"/>
              <w:highlight w:val="none"/>
              <w:lang w:val="en-US" w:eastAsia="en-US" w:bidi="ar-SA"/>
            </w:rPr>
            <w:instrText xml:space="preserve">TOC \o "1-2" \h \u </w:instrText>
          </w:r>
          <w:r>
            <w:rPr>
              <w:rFonts w:ascii="宋体" w:hAnsi="宋体" w:eastAsia="宋体" w:cs="宋体"/>
              <w:snapToGrid w:val="0"/>
              <w:color w:val="auto"/>
              <w:kern w:val="0"/>
              <w:sz w:val="21"/>
              <w:szCs w:val="24"/>
              <w:highlight w:val="none"/>
              <w:lang w:val="en-US" w:eastAsia="en-US" w:bidi="ar-SA"/>
            </w:rPr>
            <w:fldChar w:fldCharType="separate"/>
          </w: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_Toc23520 </w:instrText>
          </w:r>
          <w:r>
            <w:rPr>
              <w:rFonts w:ascii="宋体" w:hAnsi="宋体" w:eastAsia="宋体" w:cs="宋体"/>
              <w:snapToGrid w:val="0"/>
              <w:color w:val="auto"/>
              <w:kern w:val="0"/>
              <w:sz w:val="24"/>
              <w:szCs w:val="24"/>
              <w:highlight w:val="none"/>
              <w:lang w:val="en-US" w:eastAsia="en-US" w:bidi="ar-SA"/>
            </w:rPr>
            <w:fldChar w:fldCharType="separate"/>
          </w:r>
          <w:r>
            <w:rPr>
              <w:color w:val="auto"/>
              <w:sz w:val="24"/>
              <w:szCs w:val="24"/>
              <w:highlight w:val="none"/>
            </w:rPr>
            <w:t>第一卷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_Toc23520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0DD47AC2">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_Toc11942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5"/>
              <w:sz w:val="24"/>
              <w:szCs w:val="24"/>
              <w:highlight w:val="none"/>
            </w:rPr>
            <w:t>第一章</w:t>
          </w:r>
          <w:r>
            <w:rPr>
              <w:rFonts w:ascii="宋体" w:hAnsi="宋体" w:eastAsia="宋体" w:cs="宋体"/>
              <w:color w:val="auto"/>
              <w:spacing w:val="-5"/>
              <w:sz w:val="24"/>
              <w:szCs w:val="24"/>
              <w:highlight w:val="none"/>
            </w:rPr>
            <w:t xml:space="preserve">  </w:t>
          </w:r>
          <w:r>
            <w:rPr>
              <w:rFonts w:ascii="宋体" w:hAnsi="宋体" w:eastAsia="宋体" w:cs="宋体"/>
              <w:bCs/>
              <w:color w:val="auto"/>
              <w:spacing w:val="-5"/>
              <w:sz w:val="24"/>
              <w:szCs w:val="24"/>
              <w:highlight w:val="none"/>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_Toc11942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177DF164">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_Toc20121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5"/>
              <w:sz w:val="24"/>
              <w:szCs w:val="24"/>
              <w:highlight w:val="none"/>
            </w:rPr>
            <w:t>第二章</w:t>
          </w:r>
          <w:r>
            <w:rPr>
              <w:rFonts w:ascii="宋体" w:hAnsi="宋体" w:eastAsia="宋体" w:cs="宋体"/>
              <w:color w:val="auto"/>
              <w:spacing w:val="-5"/>
              <w:sz w:val="24"/>
              <w:szCs w:val="24"/>
              <w:highlight w:val="none"/>
            </w:rPr>
            <w:t xml:space="preserve">  </w:t>
          </w:r>
          <w:r>
            <w:rPr>
              <w:rFonts w:ascii="宋体" w:hAnsi="宋体" w:eastAsia="宋体" w:cs="宋体"/>
              <w:bCs/>
              <w:color w:val="auto"/>
              <w:spacing w:val="-5"/>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_Toc20121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5B519B43">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_Toc8356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3"/>
              <w:sz w:val="24"/>
              <w:szCs w:val="24"/>
              <w:highlight w:val="none"/>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_Toc8356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439C39D7">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_Toc32569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15"/>
              <w:sz w:val="24"/>
              <w:szCs w:val="24"/>
              <w:highlight w:val="none"/>
            </w:rPr>
            <w:t>1.</w:t>
          </w:r>
          <w:r>
            <w:rPr>
              <w:rFonts w:ascii="宋体" w:hAnsi="宋体" w:eastAsia="宋体" w:cs="宋体"/>
              <w:color w:val="auto"/>
              <w:spacing w:val="19"/>
              <w:sz w:val="24"/>
              <w:szCs w:val="24"/>
              <w:highlight w:val="none"/>
            </w:rPr>
            <w:t xml:space="preserve"> </w:t>
          </w:r>
          <w:r>
            <w:rPr>
              <w:rFonts w:ascii="宋体" w:hAnsi="宋体" w:eastAsia="宋体" w:cs="宋体"/>
              <w:bCs/>
              <w:color w:val="auto"/>
              <w:spacing w:val="-15"/>
              <w:sz w:val="24"/>
              <w:szCs w:val="24"/>
              <w:highlight w:val="none"/>
            </w:rPr>
            <w:t>总则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_Toc32569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72FEA41E">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_Toc13499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7"/>
              <w:sz w:val="24"/>
              <w:szCs w:val="24"/>
              <w:highlight w:val="none"/>
            </w:rPr>
            <w:t>2.</w:t>
          </w:r>
          <w:r>
            <w:rPr>
              <w:rFonts w:ascii="宋体" w:hAnsi="宋体" w:eastAsia="宋体" w:cs="宋体"/>
              <w:color w:val="auto"/>
              <w:spacing w:val="14"/>
              <w:sz w:val="24"/>
              <w:szCs w:val="24"/>
              <w:highlight w:val="none"/>
            </w:rPr>
            <w:t xml:space="preserve"> </w:t>
          </w:r>
          <w:r>
            <w:rPr>
              <w:rFonts w:ascii="宋体" w:hAnsi="宋体" w:eastAsia="宋体" w:cs="宋体"/>
              <w:bCs/>
              <w:color w:val="auto"/>
              <w:spacing w:val="-7"/>
              <w:sz w:val="24"/>
              <w:szCs w:val="24"/>
              <w:highlight w:val="none"/>
            </w:rPr>
            <w:t>招标文件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_Toc13499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35CD1622">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_Toc13062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8"/>
              <w:sz w:val="24"/>
              <w:szCs w:val="24"/>
              <w:highlight w:val="none"/>
            </w:rPr>
            <w:t>3.</w:t>
          </w:r>
          <w:r>
            <w:rPr>
              <w:rFonts w:ascii="宋体" w:hAnsi="宋体" w:eastAsia="宋体" w:cs="宋体"/>
              <w:color w:val="auto"/>
              <w:spacing w:val="18"/>
              <w:sz w:val="24"/>
              <w:szCs w:val="24"/>
              <w:highlight w:val="none"/>
            </w:rPr>
            <w:t xml:space="preserve"> </w:t>
          </w:r>
          <w:r>
            <w:rPr>
              <w:rFonts w:ascii="宋体" w:hAnsi="宋体" w:eastAsia="宋体" w:cs="宋体"/>
              <w:bCs/>
              <w:color w:val="auto"/>
              <w:spacing w:val="-8"/>
              <w:sz w:val="24"/>
              <w:szCs w:val="24"/>
              <w:highlight w:val="none"/>
            </w:rPr>
            <w:t>投标文件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_Toc13062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2451075E">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_Toc1801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9"/>
              <w:sz w:val="24"/>
              <w:szCs w:val="24"/>
              <w:highlight w:val="none"/>
            </w:rPr>
            <w:t>4.</w:t>
          </w:r>
          <w:r>
            <w:rPr>
              <w:rFonts w:ascii="宋体" w:hAnsi="宋体" w:eastAsia="宋体" w:cs="宋体"/>
              <w:color w:val="auto"/>
              <w:spacing w:val="17"/>
              <w:sz w:val="24"/>
              <w:szCs w:val="24"/>
              <w:highlight w:val="none"/>
            </w:rPr>
            <w:t xml:space="preserve"> </w:t>
          </w:r>
          <w:r>
            <w:rPr>
              <w:rFonts w:ascii="宋体" w:hAnsi="宋体" w:eastAsia="宋体" w:cs="宋体"/>
              <w:bCs/>
              <w:color w:val="auto"/>
              <w:spacing w:val="-9"/>
              <w:sz w:val="24"/>
              <w:szCs w:val="24"/>
              <w:highlight w:val="none"/>
            </w:rPr>
            <w:t>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_Toc1801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28FC9676">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_Toc30480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10"/>
              <w:sz w:val="24"/>
              <w:szCs w:val="24"/>
              <w:highlight w:val="none"/>
            </w:rPr>
            <w:t>5.</w:t>
          </w:r>
          <w:r>
            <w:rPr>
              <w:rFonts w:ascii="宋体" w:hAnsi="宋体" w:eastAsia="宋体" w:cs="宋体"/>
              <w:color w:val="auto"/>
              <w:spacing w:val="14"/>
              <w:sz w:val="24"/>
              <w:szCs w:val="24"/>
              <w:highlight w:val="none"/>
            </w:rPr>
            <w:t xml:space="preserve"> </w:t>
          </w:r>
          <w:r>
            <w:rPr>
              <w:rFonts w:ascii="宋体" w:hAnsi="宋体" w:eastAsia="宋体" w:cs="宋体"/>
              <w:bCs/>
              <w:color w:val="auto"/>
              <w:spacing w:val="-10"/>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_Toc30480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150B90E3">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_Toc28342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8"/>
              <w:sz w:val="24"/>
              <w:szCs w:val="24"/>
              <w:highlight w:val="none"/>
            </w:rPr>
            <w:t>6.</w:t>
          </w:r>
          <w:r>
            <w:rPr>
              <w:rFonts w:ascii="宋体" w:hAnsi="宋体" w:eastAsia="宋体" w:cs="宋体"/>
              <w:color w:val="auto"/>
              <w:spacing w:val="10"/>
              <w:sz w:val="24"/>
              <w:szCs w:val="24"/>
              <w:highlight w:val="none"/>
            </w:rPr>
            <w:t xml:space="preserve"> </w:t>
          </w:r>
          <w:r>
            <w:rPr>
              <w:rFonts w:ascii="宋体" w:hAnsi="宋体" w:eastAsia="宋体" w:cs="宋体"/>
              <w:bCs/>
              <w:color w:val="auto"/>
              <w:spacing w:val="-8"/>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_Toc28342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1347C8B5">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_Toc8494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7"/>
              <w:sz w:val="24"/>
              <w:szCs w:val="24"/>
              <w:highlight w:val="none"/>
            </w:rPr>
            <w:t>7.</w:t>
          </w:r>
          <w:r>
            <w:rPr>
              <w:rFonts w:ascii="宋体" w:hAnsi="宋体" w:eastAsia="宋体" w:cs="宋体"/>
              <w:color w:val="auto"/>
              <w:spacing w:val="12"/>
              <w:sz w:val="24"/>
              <w:szCs w:val="24"/>
              <w:highlight w:val="none"/>
            </w:rPr>
            <w:t xml:space="preserve"> </w:t>
          </w:r>
          <w:r>
            <w:rPr>
              <w:rFonts w:ascii="宋体" w:hAnsi="宋体" w:eastAsia="宋体" w:cs="宋体"/>
              <w:bCs/>
              <w:color w:val="auto"/>
              <w:spacing w:val="-7"/>
              <w:sz w:val="24"/>
              <w:szCs w:val="24"/>
              <w:highlight w:val="none"/>
            </w:rPr>
            <w:t>合同授予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_Toc8494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1051636A">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_Toc16522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7"/>
              <w:sz w:val="24"/>
              <w:szCs w:val="24"/>
              <w:highlight w:val="none"/>
            </w:rPr>
            <w:t>8.</w:t>
          </w:r>
          <w:r>
            <w:rPr>
              <w:rFonts w:ascii="宋体" w:hAnsi="宋体" w:eastAsia="宋体" w:cs="宋体"/>
              <w:color w:val="auto"/>
              <w:spacing w:val="21"/>
              <w:sz w:val="24"/>
              <w:szCs w:val="24"/>
              <w:highlight w:val="none"/>
            </w:rPr>
            <w:t xml:space="preserve"> </w:t>
          </w:r>
          <w:r>
            <w:rPr>
              <w:rFonts w:ascii="宋体" w:hAnsi="宋体" w:eastAsia="宋体" w:cs="宋体"/>
              <w:bCs/>
              <w:color w:val="auto"/>
              <w:spacing w:val="-7"/>
              <w:sz w:val="24"/>
              <w:szCs w:val="24"/>
              <w:highlight w:val="none"/>
            </w:rPr>
            <w:t>纪律和监督</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_Toc16522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7085F944">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_Toc1443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3"/>
              <w:sz w:val="24"/>
              <w:szCs w:val="24"/>
              <w:highlight w:val="none"/>
            </w:rPr>
            <w:t>9.</w:t>
          </w:r>
          <w:r>
            <w:rPr>
              <w:rFonts w:ascii="宋体" w:hAnsi="宋体" w:eastAsia="宋体" w:cs="宋体"/>
              <w:color w:val="auto"/>
              <w:spacing w:val="-3"/>
              <w:sz w:val="24"/>
              <w:szCs w:val="24"/>
              <w:highlight w:val="none"/>
            </w:rPr>
            <w:t xml:space="preserve"> </w:t>
          </w:r>
          <w:r>
            <w:rPr>
              <w:rFonts w:ascii="宋体" w:hAnsi="宋体" w:eastAsia="宋体" w:cs="宋体"/>
              <w:bCs/>
              <w:color w:val="auto"/>
              <w:spacing w:val="-3"/>
              <w:sz w:val="24"/>
              <w:szCs w:val="24"/>
              <w:highlight w:val="none"/>
            </w:rPr>
            <w:t>是否采用电子招标投标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_Toc1443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7EEC7B1A">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_Toc26843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7"/>
              <w:sz w:val="24"/>
              <w:szCs w:val="24"/>
              <w:highlight w:val="none"/>
            </w:rPr>
            <w:t>10.</w:t>
          </w:r>
          <w:r>
            <w:rPr>
              <w:rFonts w:ascii="宋体" w:hAnsi="宋体" w:eastAsia="宋体" w:cs="宋体"/>
              <w:color w:val="auto"/>
              <w:spacing w:val="29"/>
              <w:sz w:val="24"/>
              <w:szCs w:val="24"/>
              <w:highlight w:val="none"/>
            </w:rPr>
            <w:t xml:space="preserve"> </w:t>
          </w:r>
          <w:r>
            <w:rPr>
              <w:rFonts w:ascii="宋体" w:hAnsi="宋体" w:eastAsia="宋体" w:cs="宋体"/>
              <w:bCs/>
              <w:color w:val="auto"/>
              <w:spacing w:val="-7"/>
              <w:sz w:val="24"/>
              <w:szCs w:val="24"/>
              <w:highlight w:val="none"/>
            </w:rPr>
            <w:t>需要补充的其他内容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_Toc26843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24B99054">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_Toc9757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5"/>
              <w:sz w:val="24"/>
              <w:szCs w:val="24"/>
              <w:highlight w:val="none"/>
            </w:rPr>
            <w:t>第三章</w:t>
          </w:r>
          <w:r>
            <w:rPr>
              <w:rFonts w:ascii="宋体" w:hAnsi="宋体" w:eastAsia="宋体" w:cs="宋体"/>
              <w:color w:val="auto"/>
              <w:spacing w:val="-5"/>
              <w:sz w:val="24"/>
              <w:szCs w:val="24"/>
              <w:highlight w:val="none"/>
            </w:rPr>
            <w:t xml:space="preserve">  </w:t>
          </w:r>
          <w:r>
            <w:rPr>
              <w:rFonts w:ascii="宋体" w:hAnsi="宋体" w:eastAsia="宋体" w:cs="宋体"/>
              <w:bCs/>
              <w:color w:val="auto"/>
              <w:spacing w:val="-5"/>
              <w:sz w:val="24"/>
              <w:szCs w:val="24"/>
              <w:highlight w:val="none"/>
            </w:rPr>
            <w:t>评标办法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_Toc9757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78849755">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_Toc10252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6"/>
              <w:sz w:val="24"/>
              <w:szCs w:val="24"/>
              <w:highlight w:val="none"/>
            </w:rPr>
            <w:t>第三章</w:t>
          </w:r>
          <w:r>
            <w:rPr>
              <w:rFonts w:ascii="宋体" w:hAnsi="宋体" w:eastAsia="宋体" w:cs="宋体"/>
              <w:color w:val="auto"/>
              <w:spacing w:val="6"/>
              <w:sz w:val="24"/>
              <w:szCs w:val="24"/>
              <w:highlight w:val="none"/>
            </w:rPr>
            <w:t xml:space="preserve">  </w:t>
          </w:r>
          <w:r>
            <w:rPr>
              <w:rFonts w:ascii="宋体" w:hAnsi="宋体" w:eastAsia="宋体" w:cs="宋体"/>
              <w:bCs/>
              <w:color w:val="auto"/>
              <w:spacing w:val="6"/>
              <w:sz w:val="24"/>
              <w:szCs w:val="24"/>
              <w:highlight w:val="none"/>
            </w:rPr>
            <w:t>评标办法（综合评估法）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_Toc10252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5844CAA2">
          <w:pPr>
            <w:pStyle w:val="10"/>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_Toc27087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3"/>
              <w:sz w:val="24"/>
              <w:szCs w:val="24"/>
              <w:highlight w:val="none"/>
            </w:rPr>
            <w:t>评标办法前附表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_Toc27087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397746BB">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_Toc12230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7"/>
              <w:sz w:val="24"/>
              <w:szCs w:val="24"/>
              <w:highlight w:val="none"/>
            </w:rPr>
            <w:t>1.</w:t>
          </w:r>
          <w:r>
            <w:rPr>
              <w:rFonts w:ascii="宋体" w:hAnsi="宋体" w:eastAsia="宋体" w:cs="宋体"/>
              <w:color w:val="auto"/>
              <w:spacing w:val="-7"/>
              <w:sz w:val="24"/>
              <w:szCs w:val="24"/>
              <w:highlight w:val="none"/>
            </w:rPr>
            <w:t xml:space="preserve"> </w:t>
          </w:r>
          <w:r>
            <w:rPr>
              <w:rFonts w:ascii="宋体" w:hAnsi="宋体" w:eastAsia="宋体" w:cs="宋体"/>
              <w:bCs/>
              <w:color w:val="auto"/>
              <w:spacing w:val="-7"/>
              <w:sz w:val="24"/>
              <w:szCs w:val="24"/>
              <w:highlight w:val="none"/>
            </w:rPr>
            <w:t>评标方法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_Toc12230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1F47BC45">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_Toc17122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4"/>
              <w:sz w:val="24"/>
              <w:szCs w:val="24"/>
              <w:highlight w:val="none"/>
            </w:rPr>
            <w:t>2.</w:t>
          </w:r>
          <w:r>
            <w:rPr>
              <w:rFonts w:ascii="宋体" w:hAnsi="宋体" w:eastAsia="宋体" w:cs="宋体"/>
              <w:color w:val="auto"/>
              <w:spacing w:val="-4"/>
              <w:sz w:val="24"/>
              <w:szCs w:val="24"/>
              <w:highlight w:val="none"/>
            </w:rPr>
            <w:t xml:space="preserve"> </w:t>
          </w:r>
          <w:r>
            <w:rPr>
              <w:rFonts w:ascii="宋体" w:hAnsi="宋体" w:eastAsia="宋体" w:cs="宋体"/>
              <w:bCs/>
              <w:color w:val="auto"/>
              <w:spacing w:val="-4"/>
              <w:sz w:val="24"/>
              <w:szCs w:val="24"/>
              <w:highlight w:val="none"/>
            </w:rPr>
            <w:t>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_Toc17122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5C0A9198">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_Toc24558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5"/>
              <w:sz w:val="24"/>
              <w:szCs w:val="24"/>
              <w:highlight w:val="none"/>
            </w:rPr>
            <w:t>3.</w:t>
          </w:r>
          <w:r>
            <w:rPr>
              <w:rFonts w:ascii="宋体" w:hAnsi="宋体" w:eastAsia="宋体" w:cs="宋体"/>
              <w:color w:val="auto"/>
              <w:spacing w:val="-5"/>
              <w:sz w:val="24"/>
              <w:szCs w:val="24"/>
              <w:highlight w:val="none"/>
            </w:rPr>
            <w:t xml:space="preserve"> </w:t>
          </w:r>
          <w:r>
            <w:rPr>
              <w:rFonts w:ascii="宋体" w:hAnsi="宋体" w:eastAsia="宋体" w:cs="宋体"/>
              <w:bCs/>
              <w:color w:val="auto"/>
              <w:spacing w:val="-5"/>
              <w:sz w:val="24"/>
              <w:szCs w:val="24"/>
              <w:highlight w:val="none"/>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_Toc24558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18C6A350">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_Toc1001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5"/>
              <w:sz w:val="24"/>
              <w:szCs w:val="24"/>
              <w:highlight w:val="none"/>
            </w:rPr>
            <w:t>第四章</w:t>
          </w:r>
          <w:r>
            <w:rPr>
              <w:rFonts w:ascii="宋体" w:hAnsi="宋体" w:eastAsia="宋体" w:cs="宋体"/>
              <w:color w:val="auto"/>
              <w:spacing w:val="-5"/>
              <w:sz w:val="24"/>
              <w:szCs w:val="24"/>
              <w:highlight w:val="none"/>
            </w:rPr>
            <w:t xml:space="preserve">  </w:t>
          </w:r>
          <w:r>
            <w:rPr>
              <w:rFonts w:ascii="宋体" w:hAnsi="宋体" w:eastAsia="宋体" w:cs="宋体"/>
              <w:bCs/>
              <w:color w:val="auto"/>
              <w:spacing w:val="-5"/>
              <w:sz w:val="24"/>
              <w:szCs w:val="24"/>
              <w:highlight w:val="none"/>
            </w:rPr>
            <w:t>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_Toc1001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64B5593C">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_Toc19292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6"/>
              <w:sz w:val="24"/>
              <w:szCs w:val="24"/>
              <w:highlight w:val="none"/>
            </w:rPr>
            <w:t>第一节</w:t>
          </w:r>
          <w:r>
            <w:rPr>
              <w:rFonts w:ascii="宋体" w:hAnsi="宋体" w:eastAsia="宋体" w:cs="宋体"/>
              <w:color w:val="auto"/>
              <w:spacing w:val="6"/>
              <w:sz w:val="24"/>
              <w:szCs w:val="24"/>
              <w:highlight w:val="none"/>
            </w:rPr>
            <w:t xml:space="preserve"> </w:t>
          </w:r>
          <w:r>
            <w:rPr>
              <w:rFonts w:ascii="宋体" w:hAnsi="宋体" w:eastAsia="宋体" w:cs="宋体"/>
              <w:bCs/>
              <w:color w:val="auto"/>
              <w:spacing w:val="6"/>
              <w:sz w:val="24"/>
              <w:szCs w:val="24"/>
              <w:highlight w:val="none"/>
            </w:rPr>
            <w:t>通用合同条款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_Toc19292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60A0E775">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_Toc28672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6"/>
              <w:sz w:val="24"/>
              <w:szCs w:val="24"/>
              <w:highlight w:val="none"/>
            </w:rPr>
            <w:t>第二节</w:t>
          </w:r>
          <w:r>
            <w:rPr>
              <w:rFonts w:ascii="宋体" w:hAnsi="宋体" w:eastAsia="宋体" w:cs="宋体"/>
              <w:color w:val="auto"/>
              <w:spacing w:val="6"/>
              <w:sz w:val="24"/>
              <w:szCs w:val="24"/>
              <w:highlight w:val="none"/>
            </w:rPr>
            <w:t xml:space="preserve">  </w:t>
          </w:r>
          <w:r>
            <w:rPr>
              <w:rFonts w:ascii="宋体" w:hAnsi="宋体" w:eastAsia="宋体" w:cs="宋体"/>
              <w:bCs/>
              <w:color w:val="auto"/>
              <w:spacing w:val="6"/>
              <w:sz w:val="24"/>
              <w:szCs w:val="24"/>
              <w:highlight w:val="none"/>
            </w:rPr>
            <w:t>专用合同条款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_Toc28672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39BE06CD">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_Toc20838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6"/>
              <w:sz w:val="24"/>
              <w:szCs w:val="24"/>
              <w:highlight w:val="none"/>
            </w:rPr>
            <w:t>第三节  合同附件格式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_Toc20838 \h </w:instrText>
          </w:r>
          <w:r>
            <w:rPr>
              <w:color w:val="auto"/>
              <w:sz w:val="24"/>
              <w:szCs w:val="24"/>
              <w:highlight w:val="none"/>
            </w:rPr>
            <w:fldChar w:fldCharType="separate"/>
          </w:r>
          <w:r>
            <w:rPr>
              <w:color w:val="auto"/>
              <w:sz w:val="24"/>
              <w:szCs w:val="24"/>
              <w:highlight w:val="none"/>
            </w:rPr>
            <w:t>106</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0DC8E066">
          <w:pPr>
            <w:pStyle w:val="10"/>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_Toc8050 </w:instrText>
          </w:r>
          <w:r>
            <w:rPr>
              <w:rFonts w:ascii="宋体" w:hAnsi="宋体" w:eastAsia="宋体" w:cs="宋体"/>
              <w:snapToGrid w:val="0"/>
              <w:color w:val="auto"/>
              <w:kern w:val="0"/>
              <w:sz w:val="24"/>
              <w:szCs w:val="24"/>
              <w:highlight w:val="none"/>
              <w:lang w:val="en-US" w:eastAsia="en-US" w:bidi="ar-SA"/>
            </w:rPr>
            <w:fldChar w:fldCharType="separate"/>
          </w:r>
          <w:r>
            <w:rPr>
              <w:color w:val="auto"/>
              <w:sz w:val="24"/>
              <w:szCs w:val="24"/>
              <w:highlight w:val="none"/>
            </w:rPr>
            <w:t>第二卷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_Toc8050 \h </w:instrText>
          </w:r>
          <w:r>
            <w:rPr>
              <w:color w:val="auto"/>
              <w:sz w:val="24"/>
              <w:szCs w:val="24"/>
              <w:highlight w:val="none"/>
            </w:rPr>
            <w:fldChar w:fldCharType="separate"/>
          </w:r>
          <w:r>
            <w:rPr>
              <w:color w:val="auto"/>
              <w:sz w:val="24"/>
              <w:szCs w:val="24"/>
              <w:highlight w:val="none"/>
            </w:rPr>
            <w:t>114</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46D0D5B8">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_Toc88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5"/>
              <w:sz w:val="24"/>
              <w:szCs w:val="24"/>
              <w:highlight w:val="none"/>
            </w:rPr>
            <w:t>第五章</w:t>
          </w:r>
          <w:r>
            <w:rPr>
              <w:rFonts w:ascii="宋体" w:hAnsi="宋体" w:eastAsia="宋体" w:cs="宋体"/>
              <w:color w:val="auto"/>
              <w:spacing w:val="-5"/>
              <w:sz w:val="24"/>
              <w:szCs w:val="24"/>
              <w:highlight w:val="none"/>
            </w:rPr>
            <w:t xml:space="preserve">  </w:t>
          </w:r>
          <w:r>
            <w:rPr>
              <w:rFonts w:ascii="宋体" w:hAnsi="宋体" w:eastAsia="宋体" w:cs="宋体"/>
              <w:bCs/>
              <w:color w:val="auto"/>
              <w:spacing w:val="-5"/>
              <w:sz w:val="24"/>
              <w:szCs w:val="24"/>
              <w:highlight w:val="none"/>
            </w:rPr>
            <w:t>委托人要求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_Toc88 \h </w:instrText>
          </w:r>
          <w:r>
            <w:rPr>
              <w:color w:val="auto"/>
              <w:sz w:val="24"/>
              <w:szCs w:val="24"/>
              <w:highlight w:val="none"/>
            </w:rPr>
            <w:fldChar w:fldCharType="separate"/>
          </w:r>
          <w:r>
            <w:rPr>
              <w:color w:val="auto"/>
              <w:sz w:val="24"/>
              <w:szCs w:val="24"/>
              <w:highlight w:val="none"/>
            </w:rPr>
            <w:t>115</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39D62B3A">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_Toc14666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16"/>
              <w:sz w:val="24"/>
              <w:szCs w:val="24"/>
              <w:highlight w:val="none"/>
            </w:rPr>
            <w:t>第六章</w:t>
          </w:r>
          <w:r>
            <w:rPr>
              <w:rFonts w:ascii="宋体" w:hAnsi="宋体" w:eastAsia="宋体" w:cs="宋体"/>
              <w:color w:val="auto"/>
              <w:spacing w:val="39"/>
              <w:sz w:val="24"/>
              <w:szCs w:val="24"/>
              <w:highlight w:val="none"/>
            </w:rPr>
            <w:t xml:space="preserve">  </w:t>
          </w:r>
          <w:r>
            <w:rPr>
              <w:rFonts w:ascii="宋体" w:hAnsi="宋体" w:eastAsia="宋体" w:cs="宋体"/>
              <w:bCs/>
              <w:color w:val="auto"/>
              <w:spacing w:val="-16"/>
              <w:sz w:val="24"/>
              <w:szCs w:val="24"/>
              <w:highlight w:val="none"/>
            </w:rPr>
            <w:t>图纸和资料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_Toc14666 \h </w:instrText>
          </w:r>
          <w:r>
            <w:rPr>
              <w:color w:val="auto"/>
              <w:sz w:val="24"/>
              <w:szCs w:val="24"/>
              <w:highlight w:val="none"/>
            </w:rPr>
            <w:fldChar w:fldCharType="separate"/>
          </w:r>
          <w:r>
            <w:rPr>
              <w:color w:val="auto"/>
              <w:sz w:val="24"/>
              <w:szCs w:val="24"/>
              <w:highlight w:val="none"/>
            </w:rPr>
            <w:t>119</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7EFF888C">
          <w:pPr>
            <w:pStyle w:val="10"/>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sz w:val="24"/>
              <w:szCs w:val="24"/>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_Toc21219 </w:instrText>
          </w:r>
          <w:r>
            <w:rPr>
              <w:rFonts w:ascii="宋体" w:hAnsi="宋体" w:eastAsia="宋体" w:cs="宋体"/>
              <w:snapToGrid w:val="0"/>
              <w:color w:val="auto"/>
              <w:kern w:val="0"/>
              <w:sz w:val="24"/>
              <w:szCs w:val="24"/>
              <w:highlight w:val="none"/>
              <w:lang w:val="en-US" w:eastAsia="en-US" w:bidi="ar-SA"/>
            </w:rPr>
            <w:fldChar w:fldCharType="separate"/>
          </w:r>
          <w:r>
            <w:rPr>
              <w:color w:val="auto"/>
              <w:sz w:val="24"/>
              <w:szCs w:val="24"/>
              <w:highlight w:val="none"/>
            </w:rPr>
            <w:t>第三卷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_Toc21219 \h </w:instrText>
          </w:r>
          <w:r>
            <w:rPr>
              <w:color w:val="auto"/>
              <w:sz w:val="24"/>
              <w:szCs w:val="24"/>
              <w:highlight w:val="none"/>
            </w:rPr>
            <w:fldChar w:fldCharType="separate"/>
          </w:r>
          <w:r>
            <w:rPr>
              <w:color w:val="auto"/>
              <w:sz w:val="24"/>
              <w:szCs w:val="24"/>
              <w:highlight w:val="none"/>
            </w:rPr>
            <w:t>120</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3EA575F7">
          <w:pPr>
            <w:pStyle w:val="9"/>
            <w:keepNext w:val="0"/>
            <w:keepLines w:val="0"/>
            <w:pageBreakBefore w:val="0"/>
            <w:widowControl/>
            <w:tabs>
              <w:tab w:val="right" w:leader="dot" w:pos="8797"/>
            </w:tabs>
            <w:kinsoku w:val="0"/>
            <w:wordWrap/>
            <w:overflowPunct/>
            <w:topLinePunct w:val="0"/>
            <w:autoSpaceDE w:val="0"/>
            <w:autoSpaceDN w:val="0"/>
            <w:bidi w:val="0"/>
            <w:adjustRightInd w:val="0"/>
            <w:snapToGrid w:val="0"/>
            <w:spacing w:line="360" w:lineRule="auto"/>
            <w:textAlignment w:val="baseline"/>
            <w:rPr>
              <w:color w:val="auto"/>
              <w:highlight w:val="none"/>
            </w:rPr>
          </w:pPr>
          <w:r>
            <w:rPr>
              <w:rFonts w:ascii="宋体" w:hAnsi="宋体" w:eastAsia="宋体" w:cs="宋体"/>
              <w:snapToGrid w:val="0"/>
              <w:color w:val="auto"/>
              <w:kern w:val="0"/>
              <w:sz w:val="24"/>
              <w:szCs w:val="24"/>
              <w:highlight w:val="none"/>
              <w:lang w:val="en-US" w:eastAsia="en-US" w:bidi="ar-SA"/>
            </w:rPr>
            <w:fldChar w:fldCharType="begin"/>
          </w:r>
          <w:r>
            <w:rPr>
              <w:rFonts w:ascii="宋体" w:hAnsi="宋体" w:eastAsia="宋体" w:cs="宋体"/>
              <w:snapToGrid w:val="0"/>
              <w:color w:val="auto"/>
              <w:kern w:val="0"/>
              <w:sz w:val="24"/>
              <w:szCs w:val="24"/>
              <w:highlight w:val="none"/>
              <w:lang w:val="en-US" w:eastAsia="en-US" w:bidi="ar-SA"/>
            </w:rPr>
            <w:instrText xml:space="preserve"> HYPERLINK \l _Toc7356 </w:instrText>
          </w:r>
          <w:r>
            <w:rPr>
              <w:rFonts w:ascii="宋体" w:hAnsi="宋体" w:eastAsia="宋体" w:cs="宋体"/>
              <w:snapToGrid w:val="0"/>
              <w:color w:val="auto"/>
              <w:kern w:val="0"/>
              <w:sz w:val="24"/>
              <w:szCs w:val="24"/>
              <w:highlight w:val="none"/>
              <w:lang w:val="en-US" w:eastAsia="en-US" w:bidi="ar-SA"/>
            </w:rPr>
            <w:fldChar w:fldCharType="separate"/>
          </w:r>
          <w:r>
            <w:rPr>
              <w:rFonts w:ascii="宋体" w:hAnsi="宋体" w:eastAsia="宋体" w:cs="宋体"/>
              <w:bCs/>
              <w:color w:val="auto"/>
              <w:spacing w:val="-5"/>
              <w:sz w:val="24"/>
              <w:szCs w:val="24"/>
              <w:highlight w:val="none"/>
            </w:rPr>
            <w:t>第七章</w:t>
          </w:r>
          <w:r>
            <w:rPr>
              <w:rFonts w:ascii="宋体" w:hAnsi="宋体" w:eastAsia="宋体" w:cs="宋体"/>
              <w:color w:val="auto"/>
              <w:spacing w:val="-5"/>
              <w:sz w:val="24"/>
              <w:szCs w:val="24"/>
              <w:highlight w:val="none"/>
            </w:rPr>
            <w:t xml:space="preserve">  </w:t>
          </w:r>
          <w:r>
            <w:rPr>
              <w:rFonts w:ascii="宋体" w:hAnsi="宋体" w:eastAsia="宋体" w:cs="宋体"/>
              <w:bCs/>
              <w:color w:val="auto"/>
              <w:spacing w:val="-5"/>
              <w:sz w:val="24"/>
              <w:szCs w:val="2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_Toc7356 \h </w:instrText>
          </w:r>
          <w:r>
            <w:rPr>
              <w:color w:val="auto"/>
              <w:sz w:val="24"/>
              <w:szCs w:val="24"/>
              <w:highlight w:val="none"/>
            </w:rPr>
            <w:fldChar w:fldCharType="separate"/>
          </w:r>
          <w:r>
            <w:rPr>
              <w:color w:val="auto"/>
              <w:sz w:val="24"/>
              <w:szCs w:val="24"/>
              <w:highlight w:val="none"/>
            </w:rPr>
            <w:t>121</w:t>
          </w:r>
          <w:r>
            <w:rPr>
              <w:color w:val="auto"/>
              <w:sz w:val="24"/>
              <w:szCs w:val="24"/>
              <w:highlight w:val="none"/>
            </w:rPr>
            <w:fldChar w:fldCharType="end"/>
          </w:r>
          <w:r>
            <w:rPr>
              <w:rFonts w:ascii="宋体" w:hAnsi="宋体" w:eastAsia="宋体" w:cs="宋体"/>
              <w:snapToGrid w:val="0"/>
              <w:color w:val="auto"/>
              <w:kern w:val="0"/>
              <w:sz w:val="24"/>
              <w:szCs w:val="24"/>
              <w:highlight w:val="none"/>
              <w:lang w:val="en-US" w:eastAsia="en-US" w:bidi="ar-SA"/>
            </w:rPr>
            <w:fldChar w:fldCharType="end"/>
          </w:r>
        </w:p>
        <w:p w14:paraId="59C2D43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napToGrid w:val="0"/>
              <w:color w:val="auto"/>
              <w:kern w:val="0"/>
              <w:sz w:val="21"/>
              <w:szCs w:val="24"/>
              <w:highlight w:val="none"/>
              <w:lang w:val="en-US" w:eastAsia="en-US" w:bidi="ar-SA"/>
            </w:rPr>
          </w:pPr>
          <w:r>
            <w:rPr>
              <w:rFonts w:ascii="宋体" w:hAnsi="宋体" w:eastAsia="宋体" w:cs="宋体"/>
              <w:snapToGrid w:val="0"/>
              <w:color w:val="auto"/>
              <w:kern w:val="0"/>
              <w:szCs w:val="24"/>
              <w:highlight w:val="none"/>
              <w:lang w:val="en-US" w:eastAsia="en-US" w:bidi="ar-SA"/>
            </w:rPr>
            <w:fldChar w:fldCharType="end"/>
          </w:r>
        </w:p>
      </w:sdtContent>
    </w:sdt>
    <w:p w14:paraId="1AE48337">
      <w:pPr>
        <w:spacing w:line="219" w:lineRule="auto"/>
        <w:rPr>
          <w:rFonts w:ascii="宋体" w:hAnsi="宋体" w:eastAsia="宋体" w:cs="宋体"/>
          <w:snapToGrid w:val="0"/>
          <w:color w:val="auto"/>
          <w:kern w:val="0"/>
          <w:sz w:val="21"/>
          <w:szCs w:val="24"/>
          <w:highlight w:val="none"/>
          <w:lang w:val="en-US" w:eastAsia="en-US" w:bidi="ar-SA"/>
        </w:rPr>
        <w:sectPr>
          <w:pgSz w:w="11906" w:h="16839"/>
          <w:pgMar w:top="1431" w:right="1550" w:bottom="400" w:left="1559" w:header="0" w:footer="0" w:gutter="0"/>
          <w:cols w:space="720" w:num="1"/>
        </w:sectPr>
      </w:pPr>
    </w:p>
    <w:p w14:paraId="306ED9EB">
      <w:pPr>
        <w:rPr>
          <w:rFonts w:ascii="Arial"/>
          <w:color w:val="auto"/>
          <w:sz w:val="21"/>
          <w:highlight w:val="none"/>
        </w:rPr>
      </w:pPr>
    </w:p>
    <w:p w14:paraId="103C12DA">
      <w:pPr>
        <w:rPr>
          <w:rFonts w:ascii="Arial"/>
          <w:color w:val="auto"/>
          <w:sz w:val="21"/>
          <w:highlight w:val="none"/>
        </w:rPr>
      </w:pPr>
    </w:p>
    <w:p w14:paraId="57AF8A05">
      <w:pPr>
        <w:rPr>
          <w:rFonts w:ascii="Arial"/>
          <w:color w:val="auto"/>
          <w:sz w:val="21"/>
          <w:highlight w:val="none"/>
        </w:rPr>
      </w:pPr>
    </w:p>
    <w:p w14:paraId="2B204B54">
      <w:pPr>
        <w:rPr>
          <w:rFonts w:ascii="Arial"/>
          <w:color w:val="auto"/>
          <w:sz w:val="21"/>
          <w:highlight w:val="none"/>
        </w:rPr>
      </w:pPr>
    </w:p>
    <w:p w14:paraId="6817116A">
      <w:pPr>
        <w:rPr>
          <w:rFonts w:ascii="Arial"/>
          <w:color w:val="auto"/>
          <w:sz w:val="21"/>
          <w:highlight w:val="none"/>
        </w:rPr>
      </w:pPr>
    </w:p>
    <w:p w14:paraId="06254705">
      <w:pPr>
        <w:rPr>
          <w:rFonts w:ascii="Arial"/>
          <w:color w:val="auto"/>
          <w:sz w:val="21"/>
          <w:highlight w:val="none"/>
        </w:rPr>
      </w:pPr>
    </w:p>
    <w:p w14:paraId="561471EF">
      <w:pPr>
        <w:rPr>
          <w:rFonts w:ascii="Arial"/>
          <w:color w:val="auto"/>
          <w:sz w:val="21"/>
          <w:highlight w:val="none"/>
        </w:rPr>
      </w:pPr>
    </w:p>
    <w:p w14:paraId="32FA7A87">
      <w:pPr>
        <w:rPr>
          <w:rFonts w:ascii="Arial"/>
          <w:color w:val="auto"/>
          <w:sz w:val="21"/>
          <w:highlight w:val="none"/>
        </w:rPr>
      </w:pPr>
    </w:p>
    <w:p w14:paraId="5A1FD133">
      <w:pPr>
        <w:rPr>
          <w:rFonts w:ascii="Arial"/>
          <w:color w:val="auto"/>
          <w:sz w:val="21"/>
          <w:highlight w:val="none"/>
        </w:rPr>
      </w:pPr>
    </w:p>
    <w:p w14:paraId="1B224F90">
      <w:pPr>
        <w:rPr>
          <w:rFonts w:ascii="Arial"/>
          <w:color w:val="auto"/>
          <w:sz w:val="21"/>
          <w:highlight w:val="none"/>
        </w:rPr>
      </w:pPr>
    </w:p>
    <w:p w14:paraId="0C53C397">
      <w:pPr>
        <w:rPr>
          <w:rFonts w:ascii="Arial"/>
          <w:color w:val="auto"/>
          <w:sz w:val="21"/>
          <w:highlight w:val="none"/>
        </w:rPr>
      </w:pPr>
    </w:p>
    <w:p w14:paraId="7911E778">
      <w:pPr>
        <w:rPr>
          <w:rFonts w:ascii="Arial"/>
          <w:color w:val="auto"/>
          <w:sz w:val="21"/>
          <w:highlight w:val="none"/>
        </w:rPr>
      </w:pPr>
    </w:p>
    <w:p w14:paraId="19DD588E">
      <w:pPr>
        <w:spacing w:line="241" w:lineRule="auto"/>
        <w:rPr>
          <w:rFonts w:ascii="Arial"/>
          <w:color w:val="auto"/>
          <w:sz w:val="21"/>
          <w:highlight w:val="none"/>
        </w:rPr>
      </w:pPr>
    </w:p>
    <w:p w14:paraId="64F24347">
      <w:pPr>
        <w:spacing w:line="241" w:lineRule="auto"/>
        <w:rPr>
          <w:rFonts w:ascii="Arial"/>
          <w:color w:val="auto"/>
          <w:sz w:val="21"/>
          <w:highlight w:val="none"/>
        </w:rPr>
      </w:pPr>
    </w:p>
    <w:p w14:paraId="498ADC73">
      <w:pPr>
        <w:pStyle w:val="5"/>
        <w:spacing w:before="231" w:line="224" w:lineRule="auto"/>
        <w:ind w:left="3114"/>
        <w:outlineLvl w:val="1"/>
        <w:rPr>
          <w:color w:val="auto"/>
          <w:sz w:val="71"/>
          <w:szCs w:val="71"/>
          <w:highlight w:val="none"/>
        </w:rPr>
      </w:pPr>
      <w:bookmarkStart w:id="7" w:name="_Toc23520"/>
      <w:r>
        <w:rPr>
          <w:color w:val="auto"/>
          <w:sz w:val="71"/>
          <w:szCs w:val="71"/>
          <w:highlight w:val="none"/>
        </w:rPr>
        <w:t>第一卷</w:t>
      </w:r>
      <w:bookmarkEnd w:id="7"/>
    </w:p>
    <w:p w14:paraId="35A49B9E">
      <w:pPr>
        <w:spacing w:line="224" w:lineRule="auto"/>
        <w:rPr>
          <w:color w:val="auto"/>
          <w:sz w:val="71"/>
          <w:szCs w:val="71"/>
          <w:highlight w:val="none"/>
        </w:rPr>
        <w:sectPr>
          <w:footerReference r:id="rId6" w:type="default"/>
          <w:pgSz w:w="11906" w:h="16839"/>
          <w:pgMar w:top="1431" w:right="1785" w:bottom="1297" w:left="1785" w:header="0" w:footer="1065" w:gutter="0"/>
          <w:pgNumType w:fmt="decimal" w:start="1"/>
          <w:cols w:space="720" w:num="1"/>
        </w:sectPr>
      </w:pPr>
    </w:p>
    <w:p w14:paraId="73D822A5">
      <w:pPr>
        <w:spacing w:line="241" w:lineRule="auto"/>
        <w:rPr>
          <w:rFonts w:ascii="Arial"/>
          <w:color w:val="auto"/>
          <w:sz w:val="21"/>
          <w:highlight w:val="none"/>
        </w:rPr>
      </w:pPr>
    </w:p>
    <w:p w14:paraId="6AEA5331">
      <w:pPr>
        <w:spacing w:line="241" w:lineRule="auto"/>
        <w:rPr>
          <w:rFonts w:ascii="Arial"/>
          <w:color w:val="auto"/>
          <w:sz w:val="21"/>
          <w:highlight w:val="none"/>
        </w:rPr>
      </w:pPr>
    </w:p>
    <w:p w14:paraId="61348DE5">
      <w:pPr>
        <w:spacing w:line="241" w:lineRule="auto"/>
        <w:rPr>
          <w:rFonts w:ascii="Arial"/>
          <w:color w:val="auto"/>
          <w:sz w:val="21"/>
          <w:highlight w:val="none"/>
        </w:rPr>
      </w:pPr>
    </w:p>
    <w:p w14:paraId="4EEE2ED3">
      <w:pPr>
        <w:spacing w:line="241" w:lineRule="auto"/>
        <w:rPr>
          <w:rFonts w:ascii="Arial"/>
          <w:color w:val="auto"/>
          <w:sz w:val="21"/>
          <w:highlight w:val="none"/>
        </w:rPr>
      </w:pPr>
    </w:p>
    <w:p w14:paraId="5DC930CC">
      <w:pPr>
        <w:spacing w:line="241" w:lineRule="auto"/>
        <w:rPr>
          <w:rFonts w:ascii="Arial"/>
          <w:color w:val="auto"/>
          <w:sz w:val="21"/>
          <w:highlight w:val="none"/>
        </w:rPr>
      </w:pPr>
    </w:p>
    <w:p w14:paraId="7241AF4A">
      <w:pPr>
        <w:spacing w:line="241" w:lineRule="auto"/>
        <w:rPr>
          <w:rFonts w:ascii="Arial"/>
          <w:color w:val="auto"/>
          <w:sz w:val="21"/>
          <w:highlight w:val="none"/>
        </w:rPr>
      </w:pPr>
    </w:p>
    <w:p w14:paraId="6DF665B0">
      <w:pPr>
        <w:spacing w:line="241" w:lineRule="auto"/>
        <w:rPr>
          <w:rFonts w:ascii="Arial"/>
          <w:color w:val="auto"/>
          <w:sz w:val="21"/>
          <w:highlight w:val="none"/>
        </w:rPr>
      </w:pPr>
    </w:p>
    <w:p w14:paraId="2A65949D">
      <w:pPr>
        <w:spacing w:line="241" w:lineRule="auto"/>
        <w:rPr>
          <w:rFonts w:ascii="Arial"/>
          <w:color w:val="auto"/>
          <w:sz w:val="21"/>
          <w:highlight w:val="none"/>
        </w:rPr>
      </w:pPr>
    </w:p>
    <w:p w14:paraId="4001F4BE">
      <w:pPr>
        <w:spacing w:line="241" w:lineRule="auto"/>
        <w:rPr>
          <w:rFonts w:ascii="Arial"/>
          <w:color w:val="auto"/>
          <w:sz w:val="21"/>
          <w:highlight w:val="none"/>
        </w:rPr>
      </w:pPr>
    </w:p>
    <w:p w14:paraId="1E32C3AC">
      <w:pPr>
        <w:spacing w:line="241" w:lineRule="auto"/>
        <w:rPr>
          <w:rFonts w:ascii="Arial"/>
          <w:color w:val="auto"/>
          <w:sz w:val="21"/>
          <w:highlight w:val="none"/>
        </w:rPr>
      </w:pPr>
    </w:p>
    <w:p w14:paraId="789C1DCA">
      <w:pPr>
        <w:spacing w:line="241" w:lineRule="auto"/>
        <w:rPr>
          <w:rFonts w:ascii="Arial"/>
          <w:color w:val="auto"/>
          <w:sz w:val="21"/>
          <w:highlight w:val="none"/>
        </w:rPr>
      </w:pPr>
    </w:p>
    <w:p w14:paraId="03C7D1F4">
      <w:pPr>
        <w:spacing w:line="241" w:lineRule="auto"/>
        <w:rPr>
          <w:rFonts w:ascii="Arial"/>
          <w:color w:val="auto"/>
          <w:sz w:val="21"/>
          <w:highlight w:val="none"/>
        </w:rPr>
      </w:pPr>
    </w:p>
    <w:p w14:paraId="50B07F01">
      <w:pPr>
        <w:spacing w:line="241" w:lineRule="auto"/>
        <w:rPr>
          <w:rFonts w:ascii="Arial"/>
          <w:color w:val="auto"/>
          <w:sz w:val="21"/>
          <w:highlight w:val="none"/>
        </w:rPr>
      </w:pPr>
    </w:p>
    <w:p w14:paraId="1CB912F0">
      <w:pPr>
        <w:spacing w:line="241" w:lineRule="auto"/>
        <w:rPr>
          <w:rFonts w:ascii="Arial"/>
          <w:color w:val="auto"/>
          <w:sz w:val="21"/>
          <w:highlight w:val="none"/>
        </w:rPr>
      </w:pPr>
    </w:p>
    <w:p w14:paraId="1A914B62">
      <w:pPr>
        <w:spacing w:line="241" w:lineRule="auto"/>
        <w:rPr>
          <w:rFonts w:ascii="Arial"/>
          <w:color w:val="auto"/>
          <w:sz w:val="21"/>
          <w:highlight w:val="none"/>
        </w:rPr>
      </w:pPr>
    </w:p>
    <w:p w14:paraId="59040DF7">
      <w:pPr>
        <w:spacing w:line="241" w:lineRule="auto"/>
        <w:rPr>
          <w:rFonts w:ascii="Arial"/>
          <w:color w:val="auto"/>
          <w:sz w:val="21"/>
          <w:highlight w:val="none"/>
        </w:rPr>
      </w:pPr>
    </w:p>
    <w:p w14:paraId="6AE1B213">
      <w:pPr>
        <w:spacing w:line="241" w:lineRule="auto"/>
        <w:rPr>
          <w:rFonts w:ascii="Arial"/>
          <w:color w:val="auto"/>
          <w:sz w:val="21"/>
          <w:highlight w:val="none"/>
        </w:rPr>
      </w:pPr>
    </w:p>
    <w:p w14:paraId="7827CC9A">
      <w:pPr>
        <w:spacing w:line="241" w:lineRule="auto"/>
        <w:rPr>
          <w:rFonts w:ascii="Arial"/>
          <w:color w:val="auto"/>
          <w:sz w:val="21"/>
          <w:highlight w:val="none"/>
        </w:rPr>
      </w:pPr>
    </w:p>
    <w:p w14:paraId="29E3F70F">
      <w:pPr>
        <w:spacing w:line="241" w:lineRule="auto"/>
        <w:rPr>
          <w:rFonts w:ascii="Arial"/>
          <w:color w:val="auto"/>
          <w:sz w:val="21"/>
          <w:highlight w:val="none"/>
        </w:rPr>
      </w:pPr>
    </w:p>
    <w:p w14:paraId="5AEAA6EF">
      <w:pPr>
        <w:spacing w:line="242" w:lineRule="auto"/>
        <w:rPr>
          <w:rFonts w:ascii="Arial"/>
          <w:color w:val="auto"/>
          <w:sz w:val="21"/>
          <w:highlight w:val="none"/>
        </w:rPr>
      </w:pPr>
    </w:p>
    <w:p w14:paraId="44D7B24C">
      <w:pPr>
        <w:spacing w:before="169" w:line="218" w:lineRule="auto"/>
        <w:ind w:left="663"/>
        <w:jc w:val="center"/>
        <w:outlineLvl w:val="0"/>
        <w:rPr>
          <w:rFonts w:ascii="宋体" w:hAnsi="宋体" w:eastAsia="宋体" w:cs="宋体"/>
          <w:color w:val="auto"/>
          <w:sz w:val="52"/>
          <w:szCs w:val="52"/>
          <w:highlight w:val="none"/>
        </w:rPr>
      </w:pPr>
      <w:bookmarkStart w:id="8" w:name="_Toc11942"/>
      <w:r>
        <w:rPr>
          <w:rFonts w:ascii="宋体" w:hAnsi="宋体" w:eastAsia="宋体" w:cs="宋体"/>
          <w:b/>
          <w:bCs/>
          <w:color w:val="auto"/>
          <w:spacing w:val="-5"/>
          <w:sz w:val="52"/>
          <w:szCs w:val="52"/>
          <w:highlight w:val="none"/>
        </w:rPr>
        <w:t>第一章</w:t>
      </w:r>
      <w:r>
        <w:rPr>
          <w:rFonts w:ascii="宋体" w:hAnsi="宋体" w:eastAsia="宋体" w:cs="宋体"/>
          <w:color w:val="auto"/>
          <w:spacing w:val="-5"/>
          <w:sz w:val="52"/>
          <w:szCs w:val="52"/>
          <w:highlight w:val="none"/>
        </w:rPr>
        <w:t xml:space="preserve">  </w:t>
      </w:r>
      <w:r>
        <w:rPr>
          <w:rFonts w:ascii="宋体" w:hAnsi="宋体" w:eastAsia="宋体" w:cs="宋体"/>
          <w:b/>
          <w:bCs/>
          <w:color w:val="auto"/>
          <w:spacing w:val="-5"/>
          <w:sz w:val="52"/>
          <w:szCs w:val="52"/>
          <w:highlight w:val="none"/>
        </w:rPr>
        <w:t>招标公告</w:t>
      </w:r>
      <w:bookmarkEnd w:id="8"/>
    </w:p>
    <w:p w14:paraId="6A9D152A">
      <w:pPr>
        <w:spacing w:line="218" w:lineRule="auto"/>
        <w:rPr>
          <w:rFonts w:ascii="宋体" w:hAnsi="宋体" w:eastAsia="宋体" w:cs="宋体"/>
          <w:color w:val="auto"/>
          <w:sz w:val="52"/>
          <w:szCs w:val="52"/>
          <w:highlight w:val="none"/>
        </w:rPr>
        <w:sectPr>
          <w:footerReference r:id="rId7" w:type="default"/>
          <w:pgSz w:w="11906" w:h="16839"/>
          <w:pgMar w:top="1431" w:right="1785" w:bottom="1297" w:left="1785" w:header="0" w:footer="1065" w:gutter="0"/>
          <w:pgNumType w:fmt="decimal"/>
          <w:cols w:space="720" w:num="1"/>
        </w:sectPr>
      </w:pPr>
    </w:p>
    <w:p w14:paraId="544D25D8">
      <w:pPr>
        <w:spacing w:before="252"/>
        <w:ind w:left="3499"/>
        <w:outlineLvl w:val="0"/>
        <w:rPr>
          <w:rFonts w:ascii="宋体" w:hAnsi="宋体" w:eastAsia="宋体" w:cs="宋体"/>
          <w:color w:val="auto"/>
          <w:sz w:val="16"/>
          <w:szCs w:val="16"/>
          <w:highlight w:val="none"/>
        </w:rPr>
      </w:pPr>
      <w:bookmarkStart w:id="9" w:name="_Toc14183"/>
      <w:r>
        <w:rPr>
          <w:rFonts w:ascii="宋体" w:hAnsi="宋体" w:eastAsia="宋体" w:cs="宋体"/>
          <w:b/>
          <w:bCs/>
          <w:color w:val="auto"/>
          <w:spacing w:val="5"/>
          <w:sz w:val="31"/>
          <w:szCs w:val="31"/>
          <w:highlight w:val="none"/>
        </w:rPr>
        <w:t>第一章</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招标公告</w:t>
      </w:r>
      <w:bookmarkEnd w:id="9"/>
    </w:p>
    <w:p w14:paraId="71E196D4">
      <w:pPr>
        <w:spacing w:line="436" w:lineRule="auto"/>
        <w:rPr>
          <w:rFonts w:ascii="Arial"/>
          <w:color w:val="auto"/>
          <w:sz w:val="21"/>
          <w:highlight w:val="none"/>
        </w:rPr>
      </w:pPr>
    </w:p>
    <w:p w14:paraId="2AD93C00">
      <w:pPr>
        <w:tabs>
          <w:tab w:val="left" w:pos="1976"/>
        </w:tabs>
        <w:spacing w:before="101" w:line="223" w:lineRule="auto"/>
        <w:ind w:left="673"/>
        <w:jc w:val="center"/>
        <w:rPr>
          <w:rFonts w:ascii="宋体" w:hAnsi="宋体" w:eastAsia="宋体" w:cs="宋体"/>
          <w:color w:val="auto"/>
          <w:sz w:val="31"/>
          <w:szCs w:val="31"/>
          <w:highlight w:val="none"/>
        </w:rPr>
      </w:pPr>
      <w:r>
        <w:rPr>
          <w:rFonts w:ascii="宋体" w:hAnsi="宋体" w:eastAsia="宋体" w:cs="宋体"/>
          <w:b/>
          <w:bCs/>
          <w:color w:val="auto"/>
          <w:sz w:val="31"/>
          <w:szCs w:val="31"/>
          <w:highlight w:val="none"/>
          <w:u w:val="single" w:color="auto"/>
          <w:lang w:val="en-US" w:eastAsia="zh-CN"/>
        </w:rPr>
        <w:t>乳源瑶族自治县大东至岭溪公路新建工程</w:t>
      </w:r>
      <w:r>
        <w:rPr>
          <w:rFonts w:ascii="宋体" w:hAnsi="宋体" w:eastAsia="宋体" w:cs="宋体"/>
          <w:b/>
          <w:bCs/>
          <w:color w:val="auto"/>
          <w:sz w:val="31"/>
          <w:szCs w:val="31"/>
          <w:highlight w:val="none"/>
          <w:u w:val="single" w:color="auto"/>
        </w:rPr>
        <w:t>（项目名称</w:t>
      </w:r>
      <w:r>
        <w:rPr>
          <w:rFonts w:ascii="宋体" w:hAnsi="宋体" w:eastAsia="宋体" w:cs="宋体"/>
          <w:b/>
          <w:bCs/>
          <w:color w:val="auto"/>
          <w:spacing w:val="-18"/>
          <w:sz w:val="31"/>
          <w:szCs w:val="31"/>
          <w:highlight w:val="none"/>
          <w:u w:val="single" w:color="auto"/>
        </w:rPr>
        <w:t>）</w:t>
      </w:r>
      <w:r>
        <w:rPr>
          <w:rFonts w:hint="eastAsia" w:ascii="宋体" w:hAnsi="宋体" w:eastAsia="宋体" w:cs="宋体"/>
          <w:color w:val="auto"/>
          <w:spacing w:val="12"/>
          <w:sz w:val="31"/>
          <w:szCs w:val="31"/>
          <w:highlight w:val="none"/>
          <w:u w:val="single" w:color="auto"/>
          <w:lang w:val="en-US" w:eastAsia="zh-CN"/>
        </w:rPr>
        <w:t>/</w:t>
      </w:r>
      <w:r>
        <w:rPr>
          <w:rFonts w:ascii="宋体" w:hAnsi="宋体" w:eastAsia="宋体" w:cs="宋体"/>
          <w:b/>
          <w:bCs/>
          <w:color w:val="auto"/>
          <w:spacing w:val="-18"/>
          <w:sz w:val="31"/>
          <w:szCs w:val="31"/>
          <w:highlight w:val="none"/>
          <w:u w:val="single" w:color="auto"/>
        </w:rPr>
        <w:t>（</w:t>
      </w:r>
      <w:r>
        <w:rPr>
          <w:rFonts w:ascii="宋体" w:hAnsi="宋体" w:eastAsia="宋体" w:cs="宋体"/>
          <w:b/>
          <w:bCs/>
          <w:color w:val="auto"/>
          <w:sz w:val="31"/>
          <w:szCs w:val="31"/>
          <w:highlight w:val="none"/>
          <w:u w:val="single" w:color="auto"/>
        </w:rPr>
        <w:t>标类或标段）</w:t>
      </w:r>
      <w:r>
        <w:rPr>
          <w:rFonts w:ascii="宋体" w:hAnsi="宋体" w:eastAsia="宋体" w:cs="宋体"/>
          <w:b/>
          <w:bCs/>
          <w:color w:val="auto"/>
          <w:sz w:val="31"/>
          <w:szCs w:val="31"/>
          <w:highlight w:val="none"/>
        </w:rPr>
        <w:t>施工监理招标公告</w:t>
      </w:r>
    </w:p>
    <w:p w14:paraId="5A881069">
      <w:pPr>
        <w:spacing w:line="198" w:lineRule="exact"/>
        <w:rPr>
          <w:color w:val="auto"/>
          <w:highlight w:val="none"/>
        </w:rPr>
      </w:pPr>
    </w:p>
    <w:tbl>
      <w:tblPr>
        <w:tblStyle w:val="16"/>
        <w:tblW w:w="96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1979"/>
        <w:gridCol w:w="1663"/>
        <w:gridCol w:w="4151"/>
      </w:tblGrid>
      <w:tr w14:paraId="0B065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03" w:type="dxa"/>
            <w:vAlign w:val="center"/>
          </w:tcPr>
          <w:p w14:paraId="08B29CB3">
            <w:pPr>
              <w:pStyle w:val="17"/>
              <w:spacing w:before="112" w:line="228" w:lineRule="auto"/>
              <w:ind w:left="326"/>
              <w:jc w:val="both"/>
              <w:rPr>
                <w:color w:val="auto"/>
                <w:sz w:val="20"/>
                <w:szCs w:val="20"/>
                <w:highlight w:val="none"/>
              </w:rPr>
            </w:pPr>
            <w:r>
              <w:rPr>
                <w:b/>
                <w:bCs/>
                <w:color w:val="auto"/>
                <w:spacing w:val="6"/>
                <w:sz w:val="20"/>
                <w:szCs w:val="20"/>
                <w:highlight w:val="none"/>
              </w:rPr>
              <w:t>投资项目代码</w:t>
            </w:r>
          </w:p>
        </w:tc>
        <w:tc>
          <w:tcPr>
            <w:tcW w:w="7793" w:type="dxa"/>
            <w:gridSpan w:val="3"/>
            <w:vAlign w:val="center"/>
          </w:tcPr>
          <w:p w14:paraId="16EC6C27">
            <w:pPr>
              <w:pStyle w:val="17"/>
              <w:spacing w:before="65" w:line="265" w:lineRule="exact"/>
              <w:ind w:left="1822"/>
              <w:jc w:val="both"/>
              <w:rPr>
                <w:color w:val="auto"/>
                <w:spacing w:val="4"/>
                <w:sz w:val="20"/>
                <w:szCs w:val="20"/>
                <w:highlight w:val="none"/>
              </w:rPr>
            </w:pPr>
            <w:r>
              <w:rPr>
                <w:color w:val="auto"/>
                <w:spacing w:val="4"/>
                <w:sz w:val="20"/>
                <w:szCs w:val="20"/>
                <w:highlight w:val="none"/>
                <w:lang w:val="en-US" w:eastAsia="zh-CN"/>
              </w:rPr>
              <w:t>2509-440232-04-01-739036</w:t>
            </w:r>
          </w:p>
        </w:tc>
      </w:tr>
      <w:tr w14:paraId="7ECA9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03" w:type="dxa"/>
            <w:vAlign w:val="center"/>
          </w:tcPr>
          <w:p w14:paraId="51A8B8E6">
            <w:pPr>
              <w:pStyle w:val="17"/>
              <w:spacing w:before="111" w:line="228" w:lineRule="auto"/>
              <w:ind w:left="326"/>
              <w:jc w:val="both"/>
              <w:rPr>
                <w:color w:val="auto"/>
                <w:sz w:val="20"/>
                <w:szCs w:val="20"/>
                <w:highlight w:val="none"/>
              </w:rPr>
            </w:pPr>
            <w:r>
              <w:rPr>
                <w:b/>
                <w:bCs/>
                <w:color w:val="auto"/>
                <w:spacing w:val="6"/>
                <w:sz w:val="20"/>
                <w:szCs w:val="20"/>
                <w:highlight w:val="none"/>
              </w:rPr>
              <w:t>投资项目名称</w:t>
            </w:r>
          </w:p>
        </w:tc>
        <w:tc>
          <w:tcPr>
            <w:tcW w:w="7793" w:type="dxa"/>
            <w:gridSpan w:val="3"/>
            <w:vAlign w:val="center"/>
          </w:tcPr>
          <w:p w14:paraId="5E0DACD1">
            <w:pPr>
              <w:pStyle w:val="17"/>
              <w:spacing w:before="65" w:line="265" w:lineRule="exact"/>
              <w:ind w:left="1822"/>
              <w:jc w:val="both"/>
              <w:rPr>
                <w:color w:val="auto"/>
                <w:spacing w:val="4"/>
                <w:sz w:val="20"/>
                <w:szCs w:val="20"/>
                <w:highlight w:val="none"/>
              </w:rPr>
            </w:pPr>
            <w:r>
              <w:rPr>
                <w:color w:val="auto"/>
                <w:spacing w:val="4"/>
                <w:sz w:val="20"/>
                <w:szCs w:val="20"/>
                <w:highlight w:val="none"/>
                <w:lang w:val="en-US" w:eastAsia="zh-CN"/>
              </w:rPr>
              <w:t>乳源瑶族自治县大东至岭溪公路新建工程</w:t>
            </w:r>
          </w:p>
        </w:tc>
      </w:tr>
      <w:tr w14:paraId="27615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03" w:type="dxa"/>
            <w:vAlign w:val="center"/>
          </w:tcPr>
          <w:p w14:paraId="56C01672">
            <w:pPr>
              <w:pStyle w:val="17"/>
              <w:spacing w:before="110" w:line="228" w:lineRule="auto"/>
              <w:ind w:left="324"/>
              <w:jc w:val="both"/>
              <w:rPr>
                <w:color w:val="auto"/>
                <w:sz w:val="20"/>
                <w:szCs w:val="20"/>
                <w:highlight w:val="none"/>
              </w:rPr>
            </w:pPr>
            <w:r>
              <w:rPr>
                <w:b/>
                <w:bCs/>
                <w:color w:val="auto"/>
                <w:spacing w:val="6"/>
                <w:sz w:val="20"/>
                <w:szCs w:val="20"/>
                <w:highlight w:val="none"/>
              </w:rPr>
              <w:t>招标项目名称</w:t>
            </w:r>
          </w:p>
        </w:tc>
        <w:tc>
          <w:tcPr>
            <w:tcW w:w="7793" w:type="dxa"/>
            <w:gridSpan w:val="3"/>
            <w:vAlign w:val="center"/>
          </w:tcPr>
          <w:p w14:paraId="2E8F991B">
            <w:pPr>
              <w:pStyle w:val="17"/>
              <w:spacing w:before="65" w:line="265" w:lineRule="exact"/>
              <w:ind w:left="1822"/>
              <w:jc w:val="both"/>
              <w:rPr>
                <w:color w:val="auto"/>
                <w:spacing w:val="4"/>
                <w:sz w:val="20"/>
                <w:szCs w:val="20"/>
                <w:highlight w:val="none"/>
              </w:rPr>
            </w:pPr>
            <w:r>
              <w:rPr>
                <w:color w:val="auto"/>
                <w:spacing w:val="4"/>
                <w:sz w:val="20"/>
                <w:szCs w:val="20"/>
                <w:highlight w:val="none"/>
                <w:lang w:val="en-US" w:eastAsia="zh-CN"/>
              </w:rPr>
              <w:t>乳源瑶族自治县大东至岭溪公路新建工程施工监理</w:t>
            </w:r>
          </w:p>
        </w:tc>
      </w:tr>
      <w:tr w14:paraId="2E4D5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903" w:type="dxa"/>
            <w:vAlign w:val="center"/>
          </w:tcPr>
          <w:p w14:paraId="51E77A7A">
            <w:pPr>
              <w:pStyle w:val="17"/>
              <w:spacing w:before="65" w:line="228" w:lineRule="auto"/>
              <w:ind w:left="219"/>
              <w:jc w:val="both"/>
              <w:rPr>
                <w:color w:val="auto"/>
                <w:sz w:val="20"/>
                <w:szCs w:val="20"/>
                <w:highlight w:val="none"/>
              </w:rPr>
            </w:pPr>
            <w:r>
              <w:rPr>
                <w:b/>
                <w:bCs/>
                <w:color w:val="auto"/>
                <w:spacing w:val="7"/>
                <w:sz w:val="20"/>
                <w:szCs w:val="20"/>
                <w:highlight w:val="none"/>
              </w:rPr>
              <w:t>标段（包）名称</w:t>
            </w:r>
          </w:p>
        </w:tc>
        <w:tc>
          <w:tcPr>
            <w:tcW w:w="1979" w:type="dxa"/>
            <w:vAlign w:val="center"/>
          </w:tcPr>
          <w:p w14:paraId="097155E2">
            <w:pPr>
              <w:pStyle w:val="17"/>
              <w:spacing w:before="160" w:line="233" w:lineRule="auto"/>
              <w:jc w:val="both"/>
              <w:rPr>
                <w:color w:val="auto"/>
                <w:sz w:val="20"/>
                <w:szCs w:val="20"/>
                <w:highlight w:val="none"/>
              </w:rPr>
            </w:pPr>
            <w:r>
              <w:rPr>
                <w:color w:val="auto"/>
                <w:spacing w:val="4"/>
                <w:sz w:val="20"/>
                <w:szCs w:val="20"/>
                <w:highlight w:val="none"/>
                <w:lang w:val="en-US" w:eastAsia="zh-CN"/>
              </w:rPr>
              <w:t>乳源瑶族自治县大东至岭溪公路新建工程施工监理</w:t>
            </w:r>
          </w:p>
        </w:tc>
        <w:tc>
          <w:tcPr>
            <w:tcW w:w="1663" w:type="dxa"/>
            <w:vAlign w:val="center"/>
          </w:tcPr>
          <w:p w14:paraId="4A00CD4E">
            <w:pPr>
              <w:pStyle w:val="17"/>
              <w:spacing w:before="65" w:line="226" w:lineRule="auto"/>
              <w:ind w:left="420"/>
              <w:jc w:val="both"/>
              <w:rPr>
                <w:color w:val="auto"/>
                <w:sz w:val="20"/>
                <w:szCs w:val="20"/>
                <w:highlight w:val="none"/>
              </w:rPr>
            </w:pPr>
            <w:r>
              <w:rPr>
                <w:b/>
                <w:bCs/>
                <w:color w:val="auto"/>
                <w:spacing w:val="4"/>
                <w:sz w:val="20"/>
                <w:szCs w:val="20"/>
                <w:highlight w:val="none"/>
              </w:rPr>
              <w:t>公告性质</w:t>
            </w:r>
          </w:p>
        </w:tc>
        <w:tc>
          <w:tcPr>
            <w:tcW w:w="4151" w:type="dxa"/>
            <w:vAlign w:val="center"/>
          </w:tcPr>
          <w:p w14:paraId="2CED28E6">
            <w:pPr>
              <w:pStyle w:val="17"/>
              <w:spacing w:before="65" w:line="265" w:lineRule="exact"/>
              <w:ind w:left="1822"/>
              <w:jc w:val="both"/>
              <w:rPr>
                <w:color w:val="auto"/>
                <w:sz w:val="20"/>
                <w:szCs w:val="20"/>
                <w:highlight w:val="none"/>
              </w:rPr>
            </w:pPr>
            <w:r>
              <w:rPr>
                <w:color w:val="auto"/>
                <w:spacing w:val="4"/>
                <w:sz w:val="20"/>
                <w:szCs w:val="20"/>
                <w:highlight w:val="none"/>
              </w:rPr>
              <w:t>正常</w:t>
            </w:r>
          </w:p>
        </w:tc>
      </w:tr>
      <w:tr w14:paraId="4991C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03" w:type="dxa"/>
            <w:vAlign w:val="center"/>
          </w:tcPr>
          <w:p w14:paraId="0E218312">
            <w:pPr>
              <w:pStyle w:val="17"/>
              <w:spacing w:before="112" w:line="228" w:lineRule="auto"/>
              <w:ind w:left="333"/>
              <w:jc w:val="both"/>
              <w:rPr>
                <w:color w:val="auto"/>
                <w:sz w:val="20"/>
                <w:szCs w:val="20"/>
                <w:highlight w:val="none"/>
              </w:rPr>
            </w:pPr>
            <w:r>
              <w:rPr>
                <w:b/>
                <w:bCs/>
                <w:color w:val="auto"/>
                <w:spacing w:val="5"/>
                <w:sz w:val="20"/>
                <w:szCs w:val="20"/>
                <w:highlight w:val="none"/>
              </w:rPr>
              <w:t>资格审查方式</w:t>
            </w:r>
          </w:p>
        </w:tc>
        <w:tc>
          <w:tcPr>
            <w:tcW w:w="7793" w:type="dxa"/>
            <w:gridSpan w:val="3"/>
            <w:vAlign w:val="center"/>
          </w:tcPr>
          <w:p w14:paraId="79907B16">
            <w:pPr>
              <w:pStyle w:val="17"/>
              <w:spacing w:before="112" w:line="228" w:lineRule="auto"/>
              <w:ind w:left="3489"/>
              <w:jc w:val="both"/>
              <w:rPr>
                <w:color w:val="auto"/>
                <w:sz w:val="20"/>
                <w:szCs w:val="20"/>
                <w:highlight w:val="none"/>
              </w:rPr>
            </w:pPr>
            <w:r>
              <w:rPr>
                <w:color w:val="auto"/>
                <w:spacing w:val="5"/>
                <w:sz w:val="20"/>
                <w:szCs w:val="20"/>
                <w:highlight w:val="none"/>
              </w:rPr>
              <w:t>资格后审</w:t>
            </w:r>
          </w:p>
        </w:tc>
      </w:tr>
      <w:tr w14:paraId="19C53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903" w:type="dxa"/>
            <w:vAlign w:val="center"/>
          </w:tcPr>
          <w:p w14:paraId="5C153BF9">
            <w:pPr>
              <w:pStyle w:val="17"/>
              <w:spacing w:before="33" w:line="359" w:lineRule="auto"/>
              <w:ind w:left="333" w:right="319" w:hanging="9"/>
              <w:jc w:val="both"/>
              <w:rPr>
                <w:color w:val="auto"/>
                <w:sz w:val="20"/>
                <w:szCs w:val="20"/>
                <w:highlight w:val="none"/>
              </w:rPr>
            </w:pPr>
            <w:r>
              <w:rPr>
                <w:b/>
                <w:bCs/>
                <w:color w:val="auto"/>
                <w:spacing w:val="6"/>
                <w:sz w:val="20"/>
                <w:szCs w:val="20"/>
                <w:highlight w:val="none"/>
              </w:rPr>
              <w:t>招标项目实施</w:t>
            </w:r>
            <w:r>
              <w:rPr>
                <w:b/>
                <w:bCs/>
                <w:color w:val="auto"/>
                <w:spacing w:val="5"/>
                <w:sz w:val="20"/>
                <w:szCs w:val="20"/>
                <w:highlight w:val="none"/>
              </w:rPr>
              <w:t>（交货）地点</w:t>
            </w:r>
          </w:p>
        </w:tc>
        <w:tc>
          <w:tcPr>
            <w:tcW w:w="7793" w:type="dxa"/>
            <w:gridSpan w:val="3"/>
            <w:vAlign w:val="center"/>
          </w:tcPr>
          <w:p w14:paraId="543ADFB3">
            <w:pPr>
              <w:jc w:val="both"/>
              <w:rPr>
                <w:rFonts w:ascii="Arial"/>
                <w:color w:val="auto"/>
                <w:sz w:val="20"/>
                <w:szCs w:val="20"/>
                <w:highlight w:val="none"/>
              </w:rPr>
            </w:pPr>
            <w:r>
              <w:rPr>
                <w:rFonts w:ascii="Arial"/>
                <w:color w:val="auto"/>
                <w:sz w:val="20"/>
                <w:szCs w:val="20"/>
                <w:highlight w:val="none"/>
                <w:lang w:val="en-US" w:eastAsia="zh-CN"/>
              </w:rPr>
              <w:t>项目建设地点位于韶关市乳源瑶族自治县乳城镇</w:t>
            </w:r>
          </w:p>
        </w:tc>
      </w:tr>
      <w:tr w14:paraId="7AE53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03" w:type="dxa"/>
            <w:vAlign w:val="center"/>
          </w:tcPr>
          <w:p w14:paraId="3B99C174">
            <w:pPr>
              <w:pStyle w:val="17"/>
              <w:spacing w:before="113" w:line="228" w:lineRule="auto"/>
              <w:ind w:left="544"/>
              <w:jc w:val="both"/>
              <w:rPr>
                <w:color w:val="auto"/>
                <w:sz w:val="20"/>
                <w:szCs w:val="20"/>
                <w:highlight w:val="none"/>
              </w:rPr>
            </w:pPr>
            <w:r>
              <w:rPr>
                <w:b/>
                <w:bCs/>
                <w:color w:val="auto"/>
                <w:spacing w:val="4"/>
                <w:sz w:val="20"/>
                <w:szCs w:val="20"/>
                <w:highlight w:val="none"/>
              </w:rPr>
              <w:t>资金来源</w:t>
            </w:r>
          </w:p>
        </w:tc>
        <w:tc>
          <w:tcPr>
            <w:tcW w:w="1979" w:type="dxa"/>
            <w:vAlign w:val="center"/>
          </w:tcPr>
          <w:p w14:paraId="119C5319">
            <w:pPr>
              <w:jc w:val="both"/>
              <w:rPr>
                <w:rFonts w:ascii="Arial"/>
                <w:color w:val="auto"/>
                <w:sz w:val="20"/>
                <w:szCs w:val="20"/>
                <w:highlight w:val="none"/>
              </w:rPr>
            </w:pPr>
            <w:r>
              <w:rPr>
                <w:rFonts w:hint="eastAsia"/>
                <w:color w:val="auto"/>
                <w:sz w:val="20"/>
                <w:szCs w:val="20"/>
                <w:highlight w:val="none"/>
                <w:lang w:val="en-US" w:eastAsia="zh-CN"/>
              </w:rPr>
              <w:t>上级补助资金和县财政资金</w:t>
            </w:r>
          </w:p>
        </w:tc>
        <w:tc>
          <w:tcPr>
            <w:tcW w:w="1663" w:type="dxa"/>
            <w:vAlign w:val="center"/>
          </w:tcPr>
          <w:p w14:paraId="5203A326">
            <w:pPr>
              <w:pStyle w:val="17"/>
              <w:spacing w:before="113" w:line="228" w:lineRule="auto"/>
              <w:ind w:left="211"/>
              <w:jc w:val="both"/>
              <w:rPr>
                <w:color w:val="auto"/>
                <w:sz w:val="20"/>
                <w:szCs w:val="20"/>
                <w:highlight w:val="none"/>
              </w:rPr>
            </w:pPr>
            <w:r>
              <w:rPr>
                <w:b/>
                <w:bCs/>
                <w:color w:val="auto"/>
                <w:spacing w:val="5"/>
                <w:sz w:val="20"/>
                <w:szCs w:val="20"/>
                <w:highlight w:val="none"/>
              </w:rPr>
              <w:t>资金来源构成</w:t>
            </w:r>
          </w:p>
        </w:tc>
        <w:tc>
          <w:tcPr>
            <w:tcW w:w="4151" w:type="dxa"/>
            <w:vAlign w:val="center"/>
          </w:tcPr>
          <w:p w14:paraId="4336E044">
            <w:pPr>
              <w:jc w:val="both"/>
              <w:rPr>
                <w:rFonts w:hint="default" w:ascii="Arial" w:eastAsia="宋体"/>
                <w:color w:val="auto"/>
                <w:sz w:val="20"/>
                <w:szCs w:val="20"/>
                <w:highlight w:val="none"/>
                <w:lang w:val="en-US" w:eastAsia="zh-CN"/>
              </w:rPr>
            </w:pPr>
            <w:r>
              <w:rPr>
                <w:rFonts w:hint="eastAsia" w:eastAsia="宋体"/>
                <w:color w:val="auto"/>
                <w:sz w:val="20"/>
                <w:szCs w:val="20"/>
                <w:highlight w:val="none"/>
                <w:lang w:val="en-US" w:eastAsia="zh-CN"/>
              </w:rPr>
              <w:t>100%</w:t>
            </w:r>
          </w:p>
        </w:tc>
      </w:tr>
      <w:tr w14:paraId="35153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03" w:type="dxa"/>
            <w:vAlign w:val="top"/>
          </w:tcPr>
          <w:p w14:paraId="3D61DA13">
            <w:pPr>
              <w:pStyle w:val="17"/>
              <w:spacing w:before="112" w:line="228" w:lineRule="auto"/>
              <w:ind w:left="219"/>
              <w:rPr>
                <w:color w:val="auto"/>
                <w:highlight w:val="none"/>
              </w:rPr>
            </w:pPr>
            <w:r>
              <w:rPr>
                <w:b/>
                <w:bCs/>
                <w:color w:val="auto"/>
                <w:spacing w:val="7"/>
                <w:highlight w:val="none"/>
              </w:rPr>
              <w:t>招标范围及规模</w:t>
            </w:r>
          </w:p>
        </w:tc>
        <w:tc>
          <w:tcPr>
            <w:tcW w:w="7793" w:type="dxa"/>
            <w:gridSpan w:val="3"/>
            <w:vAlign w:val="center"/>
          </w:tcPr>
          <w:p w14:paraId="13C7D129">
            <w:pPr>
              <w:pStyle w:val="17"/>
              <w:tabs>
                <w:tab w:val="left" w:pos="7562"/>
              </w:tabs>
              <w:spacing w:before="33" w:line="360" w:lineRule="auto"/>
              <w:ind w:left="117" w:right="224"/>
              <w:jc w:val="both"/>
              <w:rPr>
                <w:rFonts w:hint="default" w:ascii="宋体" w:hAnsi="宋体" w:eastAsia="宋体" w:cs="宋体"/>
                <w:color w:val="auto"/>
                <w:spacing w:val="9"/>
                <w:highlight w:val="none"/>
                <w:lang w:val="en-US"/>
              </w:rPr>
            </w:pPr>
            <w:r>
              <w:rPr>
                <w:rFonts w:hint="eastAsia" w:ascii="宋体" w:hAnsi="宋体" w:eastAsia="宋体" w:cs="宋体"/>
                <w:color w:val="auto"/>
                <w:spacing w:val="9"/>
                <w:highlight w:val="none"/>
              </w:rPr>
              <w:t>1.建设地点：本项目位于韶关市乳源瑶族自治县，路线起于省道S246线肖屋村附近，起点桩号为K0+000，路线往北延伸，沿线途经石寨下、旱坑背、庙湾、陈江、岭溪，终于国道G323线，终点桩号为K9+</w:t>
            </w:r>
            <w:r>
              <w:rPr>
                <w:rFonts w:hint="eastAsia" w:ascii="宋体" w:hAnsi="宋体" w:eastAsia="宋体" w:cs="宋体"/>
                <w:color w:val="auto"/>
                <w:spacing w:val="9"/>
                <w:highlight w:val="none"/>
                <w:lang w:val="en-US" w:eastAsia="zh-CN"/>
              </w:rPr>
              <w:t>703</w:t>
            </w:r>
            <w:r>
              <w:rPr>
                <w:rFonts w:hint="eastAsia" w:ascii="宋体" w:hAnsi="宋体" w:eastAsia="宋体" w:cs="宋体"/>
                <w:color w:val="auto"/>
                <w:spacing w:val="9"/>
                <w:highlight w:val="none"/>
              </w:rPr>
              <w:t>.</w:t>
            </w:r>
            <w:r>
              <w:rPr>
                <w:rFonts w:hint="eastAsia" w:ascii="宋体" w:hAnsi="宋体" w:eastAsia="宋体" w:cs="宋体"/>
                <w:color w:val="auto"/>
                <w:spacing w:val="9"/>
                <w:highlight w:val="none"/>
                <w:lang w:val="en-US" w:eastAsia="zh-CN"/>
              </w:rPr>
              <w:t>02</w:t>
            </w:r>
            <w:r>
              <w:rPr>
                <w:rFonts w:hint="eastAsia" w:ascii="宋体" w:hAnsi="宋体" w:eastAsia="宋体" w:cs="宋体"/>
                <w:color w:val="auto"/>
                <w:spacing w:val="9"/>
                <w:highlight w:val="none"/>
              </w:rPr>
              <w:t>，路线全长9.</w:t>
            </w:r>
            <w:r>
              <w:rPr>
                <w:rFonts w:hint="eastAsia" w:ascii="宋体" w:hAnsi="宋体" w:eastAsia="宋体" w:cs="宋体"/>
                <w:color w:val="auto"/>
                <w:spacing w:val="9"/>
                <w:highlight w:val="none"/>
                <w:lang w:val="en-US" w:eastAsia="zh-CN"/>
              </w:rPr>
              <w:t>703</w:t>
            </w:r>
            <w:r>
              <w:rPr>
                <w:rFonts w:hint="eastAsia" w:ascii="宋体" w:hAnsi="宋体" w:eastAsia="宋体" w:cs="宋体"/>
                <w:color w:val="auto"/>
                <w:spacing w:val="9"/>
                <w:highlight w:val="none"/>
              </w:rPr>
              <w:t>公里。K</w:t>
            </w:r>
            <w:r>
              <w:rPr>
                <w:rFonts w:hint="eastAsia" w:ascii="宋体" w:hAnsi="宋体" w:eastAsia="宋体" w:cs="宋体"/>
                <w:color w:val="auto"/>
                <w:spacing w:val="9"/>
                <w:highlight w:val="none"/>
                <w:lang w:val="en-US" w:eastAsia="zh-CN"/>
              </w:rPr>
              <w:t>0</w:t>
            </w:r>
            <w:r>
              <w:rPr>
                <w:rFonts w:hint="eastAsia" w:ascii="宋体" w:hAnsi="宋体" w:eastAsia="宋体" w:cs="宋体"/>
                <w:color w:val="auto"/>
                <w:spacing w:val="9"/>
                <w:highlight w:val="none"/>
              </w:rPr>
              <w:t>+</w:t>
            </w:r>
            <w:r>
              <w:rPr>
                <w:rFonts w:hint="eastAsia" w:ascii="宋体" w:hAnsi="宋体" w:eastAsia="宋体" w:cs="宋体"/>
                <w:color w:val="auto"/>
                <w:spacing w:val="9"/>
                <w:highlight w:val="none"/>
                <w:lang w:val="en-US" w:eastAsia="zh-CN"/>
              </w:rPr>
              <w:t>000-</w:t>
            </w:r>
            <w:r>
              <w:rPr>
                <w:rFonts w:hint="eastAsia" w:ascii="宋体" w:hAnsi="宋体" w:eastAsia="宋体" w:cs="宋体"/>
                <w:color w:val="auto"/>
                <w:spacing w:val="9"/>
                <w:highlight w:val="none"/>
              </w:rPr>
              <w:t>K</w:t>
            </w:r>
            <w:r>
              <w:rPr>
                <w:rFonts w:hint="eastAsia" w:ascii="宋体" w:hAnsi="宋体" w:eastAsia="宋体" w:cs="宋体"/>
                <w:color w:val="auto"/>
                <w:spacing w:val="9"/>
                <w:highlight w:val="none"/>
                <w:lang w:val="en-US" w:eastAsia="zh-CN"/>
              </w:rPr>
              <w:t>8</w:t>
            </w:r>
            <w:r>
              <w:rPr>
                <w:rFonts w:hint="eastAsia" w:ascii="宋体" w:hAnsi="宋体" w:eastAsia="宋体" w:cs="宋体"/>
                <w:color w:val="auto"/>
                <w:spacing w:val="9"/>
                <w:highlight w:val="none"/>
              </w:rPr>
              <w:t>+</w:t>
            </w:r>
            <w:r>
              <w:rPr>
                <w:rFonts w:hint="eastAsia" w:ascii="宋体" w:hAnsi="宋体" w:eastAsia="宋体" w:cs="宋体"/>
                <w:color w:val="auto"/>
                <w:spacing w:val="9"/>
                <w:highlight w:val="none"/>
                <w:lang w:val="en-US" w:eastAsia="zh-CN"/>
              </w:rPr>
              <w:t>660段为新建，K8+660-K9+703.02段尽量利用现有公路进行改建。</w:t>
            </w:r>
          </w:p>
          <w:p w14:paraId="12DAB645">
            <w:pPr>
              <w:pStyle w:val="17"/>
              <w:tabs>
                <w:tab w:val="left" w:pos="7562"/>
              </w:tabs>
              <w:spacing w:before="33" w:line="360" w:lineRule="auto"/>
              <w:ind w:left="117" w:right="224"/>
              <w:jc w:val="both"/>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2.建设内容及规模：</w:t>
            </w:r>
          </w:p>
          <w:p w14:paraId="118E2C8C">
            <w:pPr>
              <w:pStyle w:val="17"/>
              <w:tabs>
                <w:tab w:val="left" w:pos="7562"/>
              </w:tabs>
              <w:spacing w:before="33" w:line="360" w:lineRule="auto"/>
              <w:ind w:left="117" w:right="224"/>
              <w:jc w:val="both"/>
              <w:rPr>
                <w:color w:val="auto"/>
                <w:highlight w:val="none"/>
              </w:rPr>
            </w:pPr>
            <w:r>
              <w:rPr>
                <w:rFonts w:hint="eastAsia" w:ascii="宋体" w:hAnsi="宋体" w:eastAsia="宋体" w:cs="宋体"/>
                <w:color w:val="auto"/>
                <w:spacing w:val="9"/>
                <w:highlight w:val="none"/>
              </w:rPr>
              <w:t>项目采用三级公路</w:t>
            </w:r>
            <w:r>
              <w:rPr>
                <w:rFonts w:hint="eastAsia" w:ascii="宋体" w:hAnsi="宋体" w:eastAsia="宋体" w:cs="宋体"/>
                <w:color w:val="auto"/>
                <w:spacing w:val="9"/>
                <w:highlight w:val="none"/>
                <w:lang w:val="en-US" w:eastAsia="zh-CN"/>
              </w:rPr>
              <w:t>的</w:t>
            </w:r>
            <w:r>
              <w:rPr>
                <w:rFonts w:hint="eastAsia" w:ascii="宋体" w:hAnsi="宋体" w:eastAsia="宋体" w:cs="宋体"/>
                <w:color w:val="auto"/>
                <w:spacing w:val="9"/>
                <w:highlight w:val="none"/>
              </w:rPr>
              <w:t>技术标准</w:t>
            </w:r>
            <w:r>
              <w:rPr>
                <w:rFonts w:hint="eastAsia" w:ascii="宋体" w:hAnsi="宋体" w:eastAsia="宋体" w:cs="宋体"/>
                <w:color w:val="auto"/>
                <w:spacing w:val="9"/>
                <w:highlight w:val="none"/>
                <w:lang w:val="en-US" w:eastAsia="zh-CN"/>
              </w:rPr>
              <w:t>建设</w:t>
            </w:r>
            <w:r>
              <w:rPr>
                <w:rFonts w:hint="eastAsia" w:ascii="宋体" w:hAnsi="宋体" w:eastAsia="宋体" w:cs="宋体"/>
                <w:color w:val="auto"/>
                <w:spacing w:val="9"/>
                <w:highlight w:val="none"/>
              </w:rPr>
              <w:t>，路线全长9.703公里，主要内容为</w:t>
            </w:r>
            <w:r>
              <w:rPr>
                <w:rFonts w:hint="eastAsia" w:ascii="宋体" w:hAnsi="宋体" w:eastAsia="宋体" w:cs="宋体"/>
                <w:color w:val="auto"/>
                <w:spacing w:val="9"/>
                <w:highlight w:val="none"/>
                <w:lang w:eastAsia="zh-CN"/>
              </w:rPr>
              <w:t>：</w:t>
            </w:r>
            <w:r>
              <w:rPr>
                <w:rFonts w:hint="eastAsia" w:ascii="宋体" w:hAnsi="宋体" w:eastAsia="宋体" w:cs="宋体"/>
                <w:color w:val="auto"/>
                <w:spacing w:val="9"/>
                <w:highlight w:val="none"/>
              </w:rPr>
              <w:t>路基土石方344165m³,路面工程69330㎡，挡土墙26232.9m³，排水与防护工程9.703公里，新建小桥53.4m/2座，中桥71m/1座，涵洞45道，等级路平面交叉2处，与等外路交叉5处。</w:t>
            </w:r>
          </w:p>
        </w:tc>
      </w:tr>
      <w:tr w14:paraId="399E9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03" w:type="dxa"/>
            <w:vAlign w:val="top"/>
          </w:tcPr>
          <w:p w14:paraId="19044E1D">
            <w:pPr>
              <w:pStyle w:val="17"/>
              <w:spacing w:before="238" w:line="228" w:lineRule="auto"/>
              <w:ind w:left="536"/>
              <w:rPr>
                <w:color w:val="auto"/>
                <w:highlight w:val="none"/>
              </w:rPr>
            </w:pPr>
            <w:r>
              <w:rPr>
                <w:b/>
                <w:bCs/>
                <w:color w:val="auto"/>
                <w:spacing w:val="6"/>
                <w:highlight w:val="none"/>
              </w:rPr>
              <w:t>招标内容</w:t>
            </w:r>
          </w:p>
        </w:tc>
        <w:tc>
          <w:tcPr>
            <w:tcW w:w="7793" w:type="dxa"/>
            <w:gridSpan w:val="3"/>
            <w:vAlign w:val="center"/>
          </w:tcPr>
          <w:p w14:paraId="6A96D0A9">
            <w:pPr>
              <w:pStyle w:val="17"/>
              <w:spacing w:before="35" w:line="227" w:lineRule="auto"/>
              <w:ind w:left="118"/>
              <w:jc w:val="both"/>
              <w:rPr>
                <w:color w:val="auto"/>
                <w:sz w:val="10"/>
                <w:szCs w:val="10"/>
                <w:highlight w:val="none"/>
              </w:rPr>
            </w:pPr>
            <w:r>
              <w:rPr>
                <w:color w:val="auto"/>
                <w:spacing w:val="7"/>
                <w:highlight w:val="none"/>
              </w:rPr>
              <w:t>本次招标共分</w:t>
            </w:r>
            <w:r>
              <w:rPr>
                <w:color w:val="auto"/>
                <w:spacing w:val="-83"/>
                <w:highlight w:val="none"/>
              </w:rPr>
              <w:t xml:space="preserve"> </w:t>
            </w:r>
            <w:r>
              <w:rPr>
                <w:color w:val="auto"/>
                <w:spacing w:val="4"/>
                <w:highlight w:val="none"/>
                <w:u w:val="single" w:color="auto"/>
              </w:rPr>
              <w:t xml:space="preserve">  </w:t>
            </w:r>
            <w:r>
              <w:rPr>
                <w:rFonts w:hint="eastAsia"/>
                <w:color w:val="auto"/>
                <w:spacing w:val="4"/>
                <w:highlight w:val="none"/>
                <w:u w:val="single" w:color="auto"/>
                <w:lang w:val="en-US" w:eastAsia="zh-CN"/>
              </w:rPr>
              <w:t>1</w:t>
            </w:r>
            <w:r>
              <w:rPr>
                <w:color w:val="auto"/>
                <w:spacing w:val="4"/>
                <w:highlight w:val="none"/>
                <w:u w:val="single" w:color="auto"/>
              </w:rPr>
              <w:t xml:space="preserve"> </w:t>
            </w:r>
            <w:r>
              <w:rPr>
                <w:color w:val="auto"/>
                <w:spacing w:val="-90"/>
                <w:highlight w:val="none"/>
              </w:rPr>
              <w:t xml:space="preserve"> </w:t>
            </w:r>
            <w:r>
              <w:rPr>
                <w:color w:val="auto"/>
                <w:spacing w:val="7"/>
                <w:highlight w:val="none"/>
              </w:rPr>
              <w:t>个标类</w:t>
            </w:r>
            <w:r>
              <w:rPr>
                <w:color w:val="auto"/>
                <w:spacing w:val="7"/>
                <w:highlight w:val="none"/>
                <w:u w:val="single" w:color="auto"/>
              </w:rPr>
              <w:t xml:space="preserve"> </w:t>
            </w:r>
            <w:r>
              <w:rPr>
                <w:rFonts w:hint="eastAsia"/>
                <w:color w:val="auto"/>
                <w:spacing w:val="7"/>
                <w:highlight w:val="none"/>
                <w:u w:val="single" w:color="auto"/>
                <w:lang w:val="en-US" w:eastAsia="zh-CN"/>
              </w:rPr>
              <w:t>1</w:t>
            </w:r>
            <w:r>
              <w:rPr>
                <w:color w:val="auto"/>
                <w:spacing w:val="7"/>
                <w:highlight w:val="none"/>
                <w:u w:val="single" w:color="auto"/>
              </w:rPr>
              <w:t xml:space="preserve">  </w:t>
            </w:r>
            <w:r>
              <w:rPr>
                <w:color w:val="auto"/>
                <w:spacing w:val="-92"/>
                <w:highlight w:val="none"/>
              </w:rPr>
              <w:t xml:space="preserve"> </w:t>
            </w:r>
            <w:r>
              <w:rPr>
                <w:color w:val="auto"/>
                <w:spacing w:val="7"/>
                <w:highlight w:val="none"/>
              </w:rPr>
              <w:t>个标段。具体见附件</w:t>
            </w:r>
            <w:r>
              <w:rPr>
                <w:color w:val="auto"/>
                <w:spacing w:val="-23"/>
                <w:highlight w:val="none"/>
              </w:rPr>
              <w:t xml:space="preserve"> </w:t>
            </w:r>
            <w:r>
              <w:rPr>
                <w:color w:val="auto"/>
                <w:spacing w:val="7"/>
                <w:highlight w:val="none"/>
              </w:rPr>
              <w:t>1</w:t>
            </w:r>
            <w:r>
              <w:rPr>
                <w:color w:val="auto"/>
                <w:spacing w:val="-38"/>
                <w:highlight w:val="none"/>
              </w:rPr>
              <w:t xml:space="preserve"> </w:t>
            </w:r>
            <w:r>
              <w:rPr>
                <w:color w:val="auto"/>
                <w:spacing w:val="7"/>
                <w:highlight w:val="none"/>
              </w:rPr>
              <w:t>标段划分及主要工程项目情况。</w:t>
            </w:r>
          </w:p>
        </w:tc>
      </w:tr>
      <w:tr w14:paraId="5A7E8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903" w:type="dxa"/>
            <w:vAlign w:val="top"/>
          </w:tcPr>
          <w:p w14:paraId="1E1B9ACD">
            <w:pPr>
              <w:spacing w:line="375" w:lineRule="auto"/>
              <w:rPr>
                <w:rFonts w:ascii="Arial"/>
                <w:color w:val="auto"/>
                <w:sz w:val="21"/>
                <w:highlight w:val="none"/>
              </w:rPr>
            </w:pPr>
          </w:p>
          <w:p w14:paraId="2F92F8BE">
            <w:pPr>
              <w:pStyle w:val="17"/>
              <w:spacing w:before="65" w:line="227" w:lineRule="auto"/>
              <w:ind w:left="221"/>
              <w:rPr>
                <w:color w:val="auto"/>
                <w:highlight w:val="none"/>
              </w:rPr>
            </w:pPr>
            <w:r>
              <w:rPr>
                <w:b/>
                <w:bCs/>
                <w:color w:val="auto"/>
                <w:spacing w:val="5"/>
                <w:highlight w:val="none"/>
              </w:rPr>
              <w:t>工期（交货期）</w:t>
            </w:r>
          </w:p>
        </w:tc>
        <w:tc>
          <w:tcPr>
            <w:tcW w:w="7793" w:type="dxa"/>
            <w:gridSpan w:val="3"/>
            <w:vAlign w:val="center"/>
          </w:tcPr>
          <w:p w14:paraId="4C0FB8C9">
            <w:pPr>
              <w:pStyle w:val="17"/>
              <w:tabs>
                <w:tab w:val="left" w:pos="7562"/>
              </w:tabs>
              <w:spacing w:before="33" w:line="365" w:lineRule="auto"/>
              <w:ind w:left="117" w:right="224"/>
              <w:jc w:val="both"/>
              <w:rPr>
                <w:color w:val="auto"/>
                <w:highlight w:val="none"/>
              </w:rPr>
            </w:pPr>
            <w:r>
              <w:rPr>
                <w:color w:val="auto"/>
                <w:spacing w:val="9"/>
                <w:highlight w:val="none"/>
              </w:rPr>
              <w:t>施工监理服务期限为：</w:t>
            </w:r>
            <w:r>
              <w:rPr>
                <w:rFonts w:hint="eastAsia"/>
                <w:color w:val="auto"/>
                <w:spacing w:val="9"/>
                <w:highlight w:val="none"/>
                <w:u w:val="single" w:color="auto"/>
                <w:lang w:val="en-US" w:eastAsia="zh-CN"/>
              </w:rPr>
              <w:t>31</w:t>
            </w:r>
            <w:r>
              <w:rPr>
                <w:color w:val="auto"/>
                <w:spacing w:val="9"/>
                <w:highlight w:val="none"/>
              </w:rPr>
              <w:t>个月，包括施工准</w:t>
            </w:r>
            <w:r>
              <w:rPr>
                <w:color w:val="auto"/>
                <w:spacing w:val="8"/>
                <w:highlight w:val="none"/>
              </w:rPr>
              <w:t>备阶段监理</w:t>
            </w:r>
            <w:r>
              <w:rPr>
                <w:color w:val="auto"/>
                <w:spacing w:val="8"/>
                <w:highlight w:val="none"/>
                <w:u w:val="single" w:color="auto"/>
              </w:rPr>
              <w:t xml:space="preserve"> </w:t>
            </w:r>
            <w:r>
              <w:rPr>
                <w:rFonts w:hint="eastAsia"/>
                <w:color w:val="auto"/>
                <w:spacing w:val="8"/>
                <w:highlight w:val="none"/>
                <w:u w:val="single" w:color="auto"/>
                <w:lang w:val="en-US" w:eastAsia="zh-CN"/>
              </w:rPr>
              <w:t>1</w:t>
            </w:r>
            <w:r>
              <w:rPr>
                <w:color w:val="auto"/>
                <w:spacing w:val="8"/>
                <w:highlight w:val="none"/>
                <w:u w:val="single" w:color="auto"/>
              </w:rPr>
              <w:t xml:space="preserve"> </w:t>
            </w:r>
            <w:r>
              <w:rPr>
                <w:color w:val="auto"/>
                <w:spacing w:val="-91"/>
                <w:highlight w:val="none"/>
              </w:rPr>
              <w:t xml:space="preserve"> </w:t>
            </w:r>
            <w:r>
              <w:rPr>
                <w:color w:val="auto"/>
                <w:spacing w:val="8"/>
                <w:highlight w:val="none"/>
              </w:rPr>
              <w:t>个月，施工阶段监理</w:t>
            </w:r>
            <w:r>
              <w:rPr>
                <w:rFonts w:hint="eastAsia"/>
                <w:color w:val="auto"/>
                <w:highlight w:val="none"/>
                <w:u w:val="single" w:color="auto"/>
                <w:lang w:val="en-US" w:eastAsia="zh-CN"/>
              </w:rPr>
              <w:t>18</w:t>
            </w:r>
            <w:r>
              <w:rPr>
                <w:color w:val="auto"/>
                <w:highlight w:val="none"/>
              </w:rPr>
              <w:t xml:space="preserve"> </w:t>
            </w:r>
            <w:r>
              <w:rPr>
                <w:color w:val="auto"/>
                <w:spacing w:val="9"/>
                <w:highlight w:val="none"/>
              </w:rPr>
              <w:t>个月，交(竣)工验收及缺陷责任期监理</w:t>
            </w:r>
            <w:r>
              <w:rPr>
                <w:color w:val="auto"/>
                <w:spacing w:val="6"/>
                <w:highlight w:val="none"/>
                <w:u w:val="single" w:color="auto"/>
              </w:rPr>
              <w:t xml:space="preserve"> </w:t>
            </w:r>
            <w:r>
              <w:rPr>
                <w:rFonts w:hint="eastAsia"/>
                <w:color w:val="auto"/>
                <w:spacing w:val="6"/>
                <w:highlight w:val="none"/>
                <w:u w:val="single" w:color="auto"/>
                <w:lang w:val="en-US" w:eastAsia="zh-CN"/>
              </w:rPr>
              <w:t>12</w:t>
            </w:r>
            <w:r>
              <w:rPr>
                <w:color w:val="auto"/>
                <w:spacing w:val="6"/>
                <w:highlight w:val="none"/>
                <w:u w:val="single" w:color="auto"/>
              </w:rPr>
              <w:t xml:space="preserve"> </w:t>
            </w:r>
            <w:r>
              <w:rPr>
                <w:color w:val="auto"/>
                <w:spacing w:val="-91"/>
                <w:highlight w:val="none"/>
              </w:rPr>
              <w:t xml:space="preserve"> </w:t>
            </w:r>
            <w:r>
              <w:rPr>
                <w:color w:val="auto"/>
                <w:spacing w:val="9"/>
                <w:highlight w:val="none"/>
              </w:rPr>
              <w:t>个月，如施工工期进行调整，监理服务</w:t>
            </w:r>
            <w:r>
              <w:rPr>
                <w:color w:val="auto"/>
                <w:spacing w:val="7"/>
                <w:highlight w:val="none"/>
              </w:rPr>
              <w:t>期也相应进行调整。</w:t>
            </w:r>
          </w:p>
        </w:tc>
      </w:tr>
      <w:tr w14:paraId="255E7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03" w:type="dxa"/>
            <w:vAlign w:val="top"/>
          </w:tcPr>
          <w:p w14:paraId="280AA82D">
            <w:pPr>
              <w:pStyle w:val="17"/>
              <w:spacing w:before="115" w:line="226" w:lineRule="auto"/>
              <w:ind w:left="326"/>
              <w:rPr>
                <w:color w:val="auto"/>
                <w:highlight w:val="none"/>
              </w:rPr>
            </w:pPr>
            <w:r>
              <w:rPr>
                <w:b/>
                <w:bCs/>
                <w:color w:val="auto"/>
                <w:spacing w:val="6"/>
                <w:highlight w:val="none"/>
              </w:rPr>
              <w:t>最高投标限价</w:t>
            </w:r>
          </w:p>
        </w:tc>
        <w:tc>
          <w:tcPr>
            <w:tcW w:w="7793" w:type="dxa"/>
            <w:gridSpan w:val="3"/>
            <w:vAlign w:val="top"/>
          </w:tcPr>
          <w:p w14:paraId="3AF718E9">
            <w:pPr>
              <w:pStyle w:val="17"/>
              <w:tabs>
                <w:tab w:val="left" w:pos="7562"/>
              </w:tabs>
              <w:spacing w:before="33" w:line="365" w:lineRule="auto"/>
              <w:ind w:left="117" w:right="224"/>
              <w:jc w:val="both"/>
              <w:rPr>
                <w:color w:val="auto"/>
                <w:highlight w:val="none"/>
              </w:rPr>
            </w:pPr>
            <w:r>
              <w:rPr>
                <w:rFonts w:hint="eastAsia"/>
                <w:color w:val="auto"/>
                <w:spacing w:val="7"/>
                <w:highlight w:val="none"/>
              </w:rPr>
              <w:t>人民币</w:t>
            </w:r>
            <w:r>
              <w:rPr>
                <w:rFonts w:hint="eastAsia"/>
                <w:color w:val="auto"/>
                <w:spacing w:val="7"/>
                <w:highlight w:val="none"/>
                <w:lang w:val="en-US" w:eastAsia="zh-CN"/>
              </w:rPr>
              <w:t>壹佰零叁万贰仟柒佰元整</w:t>
            </w:r>
            <w:r>
              <w:rPr>
                <w:rFonts w:hint="eastAsia"/>
                <w:color w:val="auto"/>
                <w:spacing w:val="7"/>
                <w:highlight w:val="none"/>
              </w:rPr>
              <w:t>（¥1032700.</w:t>
            </w:r>
            <w:r>
              <w:rPr>
                <w:rFonts w:hint="eastAsia"/>
                <w:color w:val="auto"/>
                <w:spacing w:val="7"/>
                <w:highlight w:val="none"/>
                <w:lang w:val="en-US" w:eastAsia="zh-CN"/>
              </w:rPr>
              <w:t>00</w:t>
            </w:r>
            <w:r>
              <w:rPr>
                <w:rFonts w:hint="eastAsia"/>
                <w:color w:val="auto"/>
                <w:spacing w:val="7"/>
                <w:highlight w:val="none"/>
              </w:rPr>
              <w:t>元）。</w:t>
            </w:r>
          </w:p>
        </w:tc>
      </w:tr>
      <w:tr w14:paraId="0F89F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1903" w:type="dxa"/>
            <w:vAlign w:val="top"/>
          </w:tcPr>
          <w:p w14:paraId="1BFB953A">
            <w:pPr>
              <w:pStyle w:val="17"/>
              <w:spacing w:before="65" w:line="378" w:lineRule="auto"/>
              <w:ind w:left="748" w:right="213" w:hanging="527"/>
              <w:rPr>
                <w:color w:val="auto"/>
                <w:highlight w:val="none"/>
              </w:rPr>
            </w:pPr>
            <w:r>
              <w:rPr>
                <w:b/>
                <w:bCs/>
                <w:color w:val="auto"/>
                <w:spacing w:val="6"/>
                <w:highlight w:val="none"/>
              </w:rPr>
              <w:t>是否接受联合体</w:t>
            </w:r>
            <w:bookmarkStart w:id="10" w:name="bookmark23"/>
            <w:bookmarkEnd w:id="10"/>
            <w:r>
              <w:rPr>
                <w:b/>
                <w:bCs/>
                <w:color w:val="auto"/>
                <w:spacing w:val="2"/>
                <w:highlight w:val="none"/>
              </w:rPr>
              <w:t>投标</w:t>
            </w:r>
          </w:p>
        </w:tc>
        <w:tc>
          <w:tcPr>
            <w:tcW w:w="7793" w:type="dxa"/>
            <w:gridSpan w:val="3"/>
            <w:vAlign w:val="top"/>
          </w:tcPr>
          <w:p w14:paraId="74504235">
            <w:pPr>
              <w:pStyle w:val="17"/>
              <w:spacing w:before="161" w:line="303" w:lineRule="auto"/>
              <w:ind w:left="113" w:right="120" w:firstLine="461"/>
              <w:rPr>
                <w:color w:val="auto"/>
                <w:highlight w:val="none"/>
              </w:rPr>
            </w:pPr>
            <w:r>
              <w:rPr>
                <w:color w:val="auto"/>
                <w:spacing w:val="8"/>
                <w:highlight w:val="none"/>
              </w:rPr>
              <w:t>本工程</w:t>
            </w:r>
            <w:r>
              <w:rPr>
                <w:color w:val="auto"/>
                <w:spacing w:val="8"/>
                <w:highlight w:val="none"/>
                <w:u w:val="single" w:color="auto"/>
              </w:rPr>
              <w:t xml:space="preserve"> </w:t>
            </w:r>
            <w:r>
              <w:rPr>
                <w:b/>
                <w:bCs/>
                <w:color w:val="auto"/>
                <w:spacing w:val="8"/>
                <w:highlight w:val="none"/>
                <w:u w:val="single" w:color="auto"/>
              </w:rPr>
              <w:t>不接受</w:t>
            </w:r>
            <w:r>
              <w:rPr>
                <w:color w:val="auto"/>
                <w:spacing w:val="8"/>
                <w:position w:val="10"/>
                <w:sz w:val="10"/>
                <w:szCs w:val="10"/>
                <w:highlight w:val="none"/>
                <w:u w:val="single" w:color="auto"/>
              </w:rPr>
              <w:t xml:space="preserve">  </w:t>
            </w:r>
            <w:r>
              <w:rPr>
                <w:color w:val="auto"/>
                <w:spacing w:val="8"/>
                <w:highlight w:val="none"/>
              </w:rPr>
              <w:t>联合体投标。</w:t>
            </w:r>
          </w:p>
        </w:tc>
      </w:tr>
    </w:tbl>
    <w:p w14:paraId="1038D512">
      <w:pPr>
        <w:spacing w:line="330" w:lineRule="auto"/>
        <w:rPr>
          <w:rFonts w:ascii="Arial"/>
          <w:color w:val="auto"/>
          <w:sz w:val="21"/>
          <w:highlight w:val="none"/>
        </w:rPr>
      </w:pPr>
    </w:p>
    <w:tbl>
      <w:tblPr>
        <w:tblStyle w:val="16"/>
        <w:tblW w:w="96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1979"/>
        <w:gridCol w:w="1663"/>
        <w:gridCol w:w="1320"/>
        <w:gridCol w:w="2831"/>
      </w:tblGrid>
      <w:tr w14:paraId="5B02E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1903" w:type="dxa"/>
            <w:vMerge w:val="restart"/>
            <w:tcBorders>
              <w:bottom w:val="nil"/>
            </w:tcBorders>
            <w:vAlign w:val="top"/>
          </w:tcPr>
          <w:p w14:paraId="3EFC8888">
            <w:pPr>
              <w:spacing w:line="339" w:lineRule="auto"/>
              <w:rPr>
                <w:rFonts w:ascii="Arial"/>
                <w:color w:val="auto"/>
                <w:sz w:val="21"/>
                <w:highlight w:val="none"/>
              </w:rPr>
            </w:pPr>
          </w:p>
          <w:p w14:paraId="26A01D87">
            <w:pPr>
              <w:spacing w:line="339" w:lineRule="auto"/>
              <w:rPr>
                <w:rFonts w:ascii="Arial"/>
                <w:color w:val="auto"/>
                <w:sz w:val="21"/>
                <w:highlight w:val="none"/>
              </w:rPr>
            </w:pPr>
          </w:p>
          <w:p w14:paraId="736A7DCD">
            <w:pPr>
              <w:pStyle w:val="17"/>
              <w:spacing w:before="65" w:line="228" w:lineRule="auto"/>
              <w:ind w:left="221"/>
              <w:rPr>
                <w:color w:val="auto"/>
                <w:highlight w:val="none"/>
              </w:rPr>
            </w:pPr>
            <w:r>
              <w:rPr>
                <w:b/>
                <w:bCs/>
                <w:color w:val="auto"/>
                <w:spacing w:val="6"/>
                <w:highlight w:val="none"/>
              </w:rPr>
              <w:t>投标资格能力要</w:t>
            </w:r>
          </w:p>
          <w:p w14:paraId="0F77C41D">
            <w:pPr>
              <w:pStyle w:val="17"/>
              <w:spacing w:before="161" w:line="228" w:lineRule="auto"/>
              <w:ind w:left="220"/>
              <w:rPr>
                <w:color w:val="auto"/>
                <w:highlight w:val="none"/>
              </w:rPr>
            </w:pPr>
            <w:r>
              <w:rPr>
                <w:b/>
                <w:bCs/>
                <w:color w:val="auto"/>
                <w:spacing w:val="7"/>
                <w:highlight w:val="none"/>
              </w:rPr>
              <w:t>求（包括但不限</w:t>
            </w:r>
          </w:p>
          <w:p w14:paraId="1C2CCD56">
            <w:pPr>
              <w:pStyle w:val="17"/>
              <w:spacing w:before="161" w:line="228" w:lineRule="auto"/>
              <w:ind w:left="221"/>
              <w:rPr>
                <w:color w:val="auto"/>
                <w:highlight w:val="none"/>
              </w:rPr>
            </w:pPr>
            <w:r>
              <w:rPr>
                <w:b/>
                <w:bCs/>
                <w:color w:val="auto"/>
                <w:spacing w:val="6"/>
                <w:highlight w:val="none"/>
              </w:rPr>
              <w:t>于资质人员、业</w:t>
            </w:r>
          </w:p>
          <w:p w14:paraId="69201A9F">
            <w:pPr>
              <w:pStyle w:val="17"/>
              <w:spacing w:before="160" w:line="228" w:lineRule="auto"/>
              <w:ind w:left="433"/>
              <w:rPr>
                <w:color w:val="auto"/>
                <w:highlight w:val="none"/>
              </w:rPr>
            </w:pPr>
            <w:r>
              <w:rPr>
                <w:b/>
                <w:bCs/>
                <w:color w:val="auto"/>
                <w:spacing w:val="4"/>
                <w:highlight w:val="none"/>
              </w:rPr>
              <w:t>绩等要求）</w:t>
            </w:r>
          </w:p>
        </w:tc>
        <w:tc>
          <w:tcPr>
            <w:tcW w:w="1979" w:type="dxa"/>
            <w:vAlign w:val="top"/>
          </w:tcPr>
          <w:p w14:paraId="255B9598">
            <w:pPr>
              <w:spacing w:line="250" w:lineRule="auto"/>
              <w:rPr>
                <w:rFonts w:ascii="Arial"/>
                <w:color w:val="auto"/>
                <w:sz w:val="21"/>
                <w:highlight w:val="none"/>
              </w:rPr>
            </w:pPr>
          </w:p>
          <w:p w14:paraId="02ED0E8C">
            <w:pPr>
              <w:spacing w:line="250" w:lineRule="auto"/>
              <w:rPr>
                <w:rFonts w:ascii="Arial"/>
                <w:color w:val="auto"/>
                <w:sz w:val="21"/>
                <w:highlight w:val="none"/>
              </w:rPr>
            </w:pPr>
          </w:p>
          <w:p w14:paraId="31535F93">
            <w:pPr>
              <w:spacing w:line="250" w:lineRule="auto"/>
              <w:rPr>
                <w:rFonts w:ascii="Arial"/>
                <w:color w:val="auto"/>
                <w:sz w:val="21"/>
                <w:highlight w:val="none"/>
              </w:rPr>
            </w:pPr>
          </w:p>
          <w:p w14:paraId="529AD709">
            <w:pPr>
              <w:spacing w:line="250" w:lineRule="auto"/>
              <w:rPr>
                <w:rFonts w:ascii="Arial"/>
                <w:color w:val="auto"/>
                <w:sz w:val="21"/>
                <w:highlight w:val="none"/>
              </w:rPr>
            </w:pPr>
          </w:p>
          <w:p w14:paraId="075B7277">
            <w:pPr>
              <w:pStyle w:val="17"/>
              <w:spacing w:before="65" w:line="228" w:lineRule="auto"/>
              <w:ind w:left="262"/>
              <w:rPr>
                <w:color w:val="auto"/>
                <w:highlight w:val="none"/>
              </w:rPr>
            </w:pPr>
            <w:r>
              <w:rPr>
                <w:color w:val="auto"/>
                <w:spacing w:val="8"/>
                <w:highlight w:val="none"/>
              </w:rPr>
              <w:t>投标人资格要求</w:t>
            </w:r>
          </w:p>
        </w:tc>
        <w:tc>
          <w:tcPr>
            <w:tcW w:w="5814" w:type="dxa"/>
            <w:gridSpan w:val="3"/>
            <w:vAlign w:val="top"/>
          </w:tcPr>
          <w:p w14:paraId="1B27E596">
            <w:pPr>
              <w:pStyle w:val="17"/>
              <w:spacing w:before="28" w:line="378" w:lineRule="auto"/>
              <w:ind w:left="117" w:right="199" w:firstLine="4"/>
              <w:jc w:val="both"/>
              <w:rPr>
                <w:color w:val="auto"/>
                <w:highlight w:val="none"/>
              </w:rPr>
            </w:pPr>
            <w:r>
              <w:rPr>
                <w:color w:val="auto"/>
                <w:spacing w:val="24"/>
                <w:highlight w:val="none"/>
              </w:rPr>
              <w:t>投标人应具有以下资</w:t>
            </w:r>
            <w:r>
              <w:rPr>
                <w:rFonts w:ascii="宋体" w:hAnsi="宋体" w:eastAsia="宋体" w:cs="宋体"/>
                <w:color w:val="auto"/>
                <w:spacing w:val="24"/>
                <w:highlight w:val="none"/>
              </w:rPr>
              <w:t>质： 详见招</w:t>
            </w:r>
            <w:r>
              <w:rPr>
                <w:color w:val="auto"/>
                <w:spacing w:val="24"/>
                <w:highlight w:val="none"/>
              </w:rPr>
              <w:t>标公告附件</w:t>
            </w:r>
            <w:r>
              <w:rPr>
                <w:color w:val="auto"/>
                <w:spacing w:val="-54"/>
                <w:highlight w:val="none"/>
              </w:rPr>
              <w:t xml:space="preserve"> </w:t>
            </w:r>
            <w:r>
              <w:rPr>
                <w:color w:val="auto"/>
                <w:spacing w:val="24"/>
                <w:highlight w:val="none"/>
              </w:rPr>
              <w:t>，</w:t>
            </w:r>
            <w:r>
              <w:rPr>
                <w:color w:val="auto"/>
                <w:spacing w:val="24"/>
                <w:highlight w:val="none"/>
                <w:u w:val="single" w:color="auto"/>
              </w:rPr>
              <w:t>投标人应</w:t>
            </w:r>
            <w:r>
              <w:rPr>
                <w:color w:val="auto"/>
                <w:spacing w:val="23"/>
                <w:highlight w:val="none"/>
                <w:u w:val="single" w:color="auto"/>
              </w:rPr>
              <w:t>进入交通运输部</w:t>
            </w:r>
            <w:r>
              <w:rPr>
                <w:color w:val="auto"/>
                <w:spacing w:val="-71"/>
                <w:highlight w:val="none"/>
                <w:u w:val="single" w:color="auto"/>
              </w:rPr>
              <w:t xml:space="preserve"> </w:t>
            </w:r>
            <w:r>
              <w:rPr>
                <w:color w:val="auto"/>
                <w:spacing w:val="23"/>
                <w:highlight w:val="none"/>
                <w:u w:val="single" w:color="auto"/>
              </w:rPr>
              <w:t>“</w:t>
            </w:r>
            <w:r>
              <w:rPr>
                <w:color w:val="auto"/>
                <w:spacing w:val="-70"/>
                <w:highlight w:val="none"/>
                <w:u w:val="single" w:color="auto"/>
              </w:rPr>
              <w:t xml:space="preserve"> </w:t>
            </w:r>
            <w:r>
              <w:rPr>
                <w:color w:val="auto"/>
                <w:spacing w:val="23"/>
                <w:highlight w:val="none"/>
                <w:u w:val="single" w:color="auto"/>
              </w:rPr>
              <w:t>全国公路建设市场监督管理系统</w:t>
            </w:r>
            <w:r>
              <w:rPr>
                <w:color w:val="auto"/>
                <w:spacing w:val="-51"/>
                <w:highlight w:val="none"/>
                <w:u w:val="single" w:color="auto"/>
              </w:rPr>
              <w:t xml:space="preserve"> </w:t>
            </w:r>
            <w:r>
              <w:rPr>
                <w:color w:val="auto"/>
                <w:spacing w:val="23"/>
                <w:highlight w:val="none"/>
                <w:u w:val="single" w:color="auto"/>
              </w:rPr>
              <w:t>”</w:t>
            </w:r>
            <w:r>
              <w:rPr>
                <w:color w:val="auto"/>
                <w:spacing w:val="-69"/>
                <w:highlight w:val="none"/>
                <w:u w:val="single" w:color="auto"/>
              </w:rPr>
              <w:t xml:space="preserve"> </w:t>
            </w:r>
            <w:r>
              <w:rPr>
                <w:color w:val="auto"/>
                <w:spacing w:val="23"/>
                <w:highlight w:val="none"/>
                <w:u w:val="single" w:color="auto"/>
              </w:rPr>
              <w:t>中</w:t>
            </w:r>
            <w:r>
              <w:rPr>
                <w:color w:val="auto"/>
                <w:spacing w:val="27"/>
                <w:highlight w:val="none"/>
                <w:u w:val="single" w:color="auto"/>
              </w:rPr>
              <w:t>的公路工程施工监理资质企业名录</w:t>
            </w:r>
            <w:r>
              <w:rPr>
                <w:color w:val="auto"/>
                <w:spacing w:val="-53"/>
                <w:highlight w:val="none"/>
                <w:u w:val="single" w:color="auto"/>
              </w:rPr>
              <w:t xml:space="preserve"> </w:t>
            </w:r>
            <w:r>
              <w:rPr>
                <w:color w:val="auto"/>
                <w:spacing w:val="27"/>
                <w:highlight w:val="none"/>
                <w:u w:val="single" w:color="auto"/>
              </w:rPr>
              <w:t>，且投标人</w:t>
            </w:r>
            <w:r>
              <w:rPr>
                <w:color w:val="auto"/>
                <w:spacing w:val="26"/>
                <w:highlight w:val="none"/>
                <w:u w:val="single" w:color="auto"/>
              </w:rPr>
              <w:t>名称和资</w:t>
            </w:r>
            <w:r>
              <w:rPr>
                <w:color w:val="auto"/>
                <w:spacing w:val="27"/>
                <w:highlight w:val="none"/>
                <w:u w:val="single" w:color="auto"/>
              </w:rPr>
              <w:t>质与该名录中的相应企业名称和资质完全一致</w:t>
            </w:r>
            <w:r>
              <w:rPr>
                <w:color w:val="auto"/>
                <w:spacing w:val="27"/>
                <w:highlight w:val="none"/>
              </w:rPr>
              <w:t>。</w:t>
            </w:r>
          </w:p>
          <w:p w14:paraId="1386AF83">
            <w:pPr>
              <w:pStyle w:val="17"/>
              <w:spacing w:line="343" w:lineRule="auto"/>
              <w:ind w:left="125" w:right="264" w:hanging="1"/>
              <w:jc w:val="both"/>
              <w:rPr>
                <w:color w:val="auto"/>
                <w:highlight w:val="none"/>
              </w:rPr>
            </w:pPr>
            <w:r>
              <w:rPr>
                <w:color w:val="auto"/>
                <w:spacing w:val="24"/>
                <w:highlight w:val="none"/>
              </w:rPr>
              <w:t>总监理工程师/驻地监理工程师的资格要求： 详见招标公告附件。</w:t>
            </w:r>
          </w:p>
        </w:tc>
      </w:tr>
      <w:tr w14:paraId="00DAD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03" w:type="dxa"/>
            <w:vMerge w:val="continue"/>
            <w:tcBorders>
              <w:top w:val="nil"/>
            </w:tcBorders>
            <w:vAlign w:val="top"/>
          </w:tcPr>
          <w:p w14:paraId="06F0B24F">
            <w:pPr>
              <w:rPr>
                <w:rFonts w:ascii="Arial"/>
                <w:color w:val="auto"/>
                <w:sz w:val="21"/>
                <w:highlight w:val="none"/>
              </w:rPr>
            </w:pPr>
          </w:p>
        </w:tc>
        <w:tc>
          <w:tcPr>
            <w:tcW w:w="1979" w:type="dxa"/>
            <w:vAlign w:val="top"/>
          </w:tcPr>
          <w:p w14:paraId="227EC5AB">
            <w:pPr>
              <w:pStyle w:val="17"/>
              <w:spacing w:before="111" w:line="228" w:lineRule="auto"/>
              <w:ind w:left="262"/>
              <w:rPr>
                <w:color w:val="auto"/>
                <w:highlight w:val="none"/>
              </w:rPr>
            </w:pPr>
            <w:r>
              <w:rPr>
                <w:color w:val="auto"/>
                <w:spacing w:val="8"/>
                <w:highlight w:val="none"/>
              </w:rPr>
              <w:t>投标人业绩要求</w:t>
            </w:r>
          </w:p>
        </w:tc>
        <w:tc>
          <w:tcPr>
            <w:tcW w:w="5814" w:type="dxa"/>
            <w:gridSpan w:val="3"/>
            <w:vAlign w:val="top"/>
          </w:tcPr>
          <w:p w14:paraId="06A3AB25">
            <w:pPr>
              <w:pStyle w:val="17"/>
              <w:spacing w:before="111" w:line="226" w:lineRule="auto"/>
              <w:ind w:left="121"/>
              <w:rPr>
                <w:color w:val="auto"/>
                <w:highlight w:val="none"/>
              </w:rPr>
            </w:pPr>
            <w:r>
              <w:rPr>
                <w:color w:val="auto"/>
                <w:spacing w:val="18"/>
                <w:highlight w:val="none"/>
                <w:u w:val="none" w:color="auto"/>
              </w:rPr>
              <w:t>详见招标公告附件</w:t>
            </w:r>
            <w:r>
              <w:rPr>
                <w:color w:val="auto"/>
                <w:spacing w:val="-51"/>
                <w:highlight w:val="none"/>
                <w:u w:val="none" w:color="auto"/>
              </w:rPr>
              <w:t xml:space="preserve"> </w:t>
            </w:r>
            <w:r>
              <w:rPr>
                <w:color w:val="auto"/>
                <w:spacing w:val="18"/>
                <w:highlight w:val="none"/>
                <w:u w:val="none" w:color="auto"/>
              </w:rPr>
              <w:t xml:space="preserve">。 </w:t>
            </w:r>
          </w:p>
        </w:tc>
      </w:tr>
      <w:tr w14:paraId="1A19F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903" w:type="dxa"/>
            <w:vMerge w:val="restart"/>
            <w:tcBorders>
              <w:bottom w:val="nil"/>
            </w:tcBorders>
            <w:vAlign w:val="center"/>
          </w:tcPr>
          <w:p w14:paraId="22926575">
            <w:pPr>
              <w:pStyle w:val="17"/>
              <w:spacing w:before="65" w:line="240" w:lineRule="auto"/>
              <w:ind w:left="324" w:right="319" w:firstLine="2"/>
              <w:jc w:val="both"/>
              <w:rPr>
                <w:color w:val="auto"/>
                <w:highlight w:val="none"/>
              </w:rPr>
            </w:pPr>
            <w:r>
              <w:rPr>
                <w:b/>
                <w:bCs/>
                <w:color w:val="auto"/>
                <w:spacing w:val="6"/>
                <w:highlight w:val="none"/>
              </w:rPr>
              <w:t>是否采用电子招标投标方式</w:t>
            </w:r>
          </w:p>
        </w:tc>
        <w:tc>
          <w:tcPr>
            <w:tcW w:w="1979" w:type="dxa"/>
            <w:vMerge w:val="restart"/>
            <w:tcBorders>
              <w:bottom w:val="nil"/>
            </w:tcBorders>
            <w:vAlign w:val="center"/>
          </w:tcPr>
          <w:p w14:paraId="248C1F25">
            <w:pPr>
              <w:pStyle w:val="17"/>
              <w:spacing w:before="65" w:line="240" w:lineRule="auto"/>
              <w:ind w:left="891"/>
              <w:jc w:val="both"/>
              <w:rPr>
                <w:color w:val="auto"/>
                <w:highlight w:val="none"/>
              </w:rPr>
            </w:pPr>
            <w:r>
              <w:rPr>
                <w:color w:val="auto"/>
                <w:highlight w:val="none"/>
              </w:rPr>
              <w:t>是</w:t>
            </w:r>
          </w:p>
        </w:tc>
        <w:tc>
          <w:tcPr>
            <w:tcW w:w="1663" w:type="dxa"/>
            <w:vMerge w:val="restart"/>
            <w:tcBorders>
              <w:bottom w:val="nil"/>
            </w:tcBorders>
            <w:vAlign w:val="center"/>
          </w:tcPr>
          <w:p w14:paraId="0CB02F90">
            <w:pPr>
              <w:spacing w:line="240" w:lineRule="auto"/>
              <w:jc w:val="both"/>
              <w:rPr>
                <w:rFonts w:ascii="Arial"/>
                <w:color w:val="auto"/>
                <w:sz w:val="21"/>
                <w:highlight w:val="none"/>
              </w:rPr>
            </w:pPr>
          </w:p>
          <w:p w14:paraId="243593A9">
            <w:pPr>
              <w:pStyle w:val="17"/>
              <w:spacing w:before="65" w:line="240" w:lineRule="auto"/>
              <w:ind w:left="734" w:right="200" w:hanging="531"/>
              <w:jc w:val="both"/>
              <w:rPr>
                <w:color w:val="auto"/>
                <w:highlight w:val="none"/>
              </w:rPr>
            </w:pPr>
            <w:r>
              <w:rPr>
                <w:b/>
                <w:bCs/>
                <w:color w:val="auto"/>
                <w:spacing w:val="6"/>
                <w:highlight w:val="none"/>
              </w:rPr>
              <w:t>招标文件的方</w:t>
            </w:r>
            <w:r>
              <w:rPr>
                <w:b/>
                <w:bCs/>
                <w:color w:val="auto"/>
                <w:spacing w:val="-3"/>
                <w:highlight w:val="none"/>
              </w:rPr>
              <w:t>式</w:t>
            </w:r>
          </w:p>
        </w:tc>
        <w:tc>
          <w:tcPr>
            <w:tcW w:w="1320" w:type="dxa"/>
            <w:vAlign w:val="center"/>
          </w:tcPr>
          <w:p w14:paraId="34BBA920">
            <w:pPr>
              <w:pStyle w:val="17"/>
              <w:spacing w:before="33" w:line="240" w:lineRule="auto"/>
              <w:ind w:left="125"/>
              <w:jc w:val="both"/>
              <w:rPr>
                <w:color w:val="auto"/>
                <w:highlight w:val="none"/>
              </w:rPr>
            </w:pPr>
            <w:r>
              <w:rPr>
                <w:color w:val="auto"/>
                <w:spacing w:val="15"/>
                <w:highlight w:val="none"/>
              </w:rPr>
              <w:t>下载招标文</w:t>
            </w:r>
          </w:p>
          <w:p w14:paraId="40FF9CB0">
            <w:pPr>
              <w:pStyle w:val="17"/>
              <w:spacing w:before="160" w:line="240" w:lineRule="auto"/>
              <w:ind w:left="119" w:right="109" w:hanging="1"/>
              <w:jc w:val="both"/>
              <w:rPr>
                <w:color w:val="auto"/>
                <w:highlight w:val="none"/>
              </w:rPr>
            </w:pPr>
            <w:r>
              <w:rPr>
                <w:color w:val="auto"/>
                <w:spacing w:val="17"/>
                <w:highlight w:val="none"/>
              </w:rPr>
              <w:t>件的网络地</w:t>
            </w:r>
            <w:r>
              <w:rPr>
                <w:color w:val="auto"/>
                <w:highlight w:val="none"/>
              </w:rPr>
              <w:t>址</w:t>
            </w:r>
          </w:p>
        </w:tc>
        <w:tc>
          <w:tcPr>
            <w:tcW w:w="2831" w:type="dxa"/>
            <w:vAlign w:val="center"/>
          </w:tcPr>
          <w:p w14:paraId="5138EACC">
            <w:pPr>
              <w:pStyle w:val="17"/>
              <w:tabs>
                <w:tab w:val="left" w:pos="530"/>
              </w:tabs>
              <w:spacing w:before="161" w:line="240" w:lineRule="auto"/>
              <w:ind w:left="119" w:right="113" w:hanging="9"/>
              <w:jc w:val="both"/>
              <w:rPr>
                <w:color w:val="auto"/>
                <w:highlight w:val="none"/>
              </w:rPr>
            </w:pPr>
            <w:r>
              <w:rPr>
                <w:rFonts w:hint="eastAsia"/>
                <w:color w:val="auto"/>
                <w:highlight w:val="none"/>
              </w:rPr>
              <w:t>广东省招标投标监管网https://zbtb.gd.gov.cn/；</w:t>
            </w:r>
          </w:p>
          <w:p w14:paraId="5422A512">
            <w:pPr>
              <w:pStyle w:val="17"/>
              <w:tabs>
                <w:tab w:val="left" w:pos="530"/>
              </w:tabs>
              <w:spacing w:before="161" w:line="240" w:lineRule="auto"/>
              <w:ind w:left="119" w:right="113" w:hanging="9"/>
              <w:jc w:val="both"/>
              <w:rPr>
                <w:color w:val="auto"/>
                <w:highlight w:val="none"/>
              </w:rPr>
            </w:pPr>
            <w:r>
              <w:rPr>
                <w:rFonts w:hint="eastAsia"/>
                <w:color w:val="auto"/>
                <w:highlight w:val="none"/>
              </w:rPr>
              <w:t>全国公共资源交易平台（广东省·韶关市）https://ygp.gdzwfw.gov.cn/ggzy-portal/#/440200/index。</w:t>
            </w:r>
          </w:p>
        </w:tc>
      </w:tr>
      <w:tr w14:paraId="5DB3A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9" w:hRule="atLeast"/>
        </w:trPr>
        <w:tc>
          <w:tcPr>
            <w:tcW w:w="1903" w:type="dxa"/>
            <w:vMerge w:val="continue"/>
            <w:tcBorders>
              <w:top w:val="nil"/>
            </w:tcBorders>
            <w:vAlign w:val="center"/>
          </w:tcPr>
          <w:p w14:paraId="27727AD9">
            <w:pPr>
              <w:spacing w:line="240" w:lineRule="auto"/>
              <w:jc w:val="both"/>
              <w:rPr>
                <w:rFonts w:ascii="Arial"/>
                <w:color w:val="auto"/>
                <w:sz w:val="21"/>
                <w:highlight w:val="none"/>
              </w:rPr>
            </w:pPr>
          </w:p>
        </w:tc>
        <w:tc>
          <w:tcPr>
            <w:tcW w:w="1979" w:type="dxa"/>
            <w:vMerge w:val="continue"/>
            <w:tcBorders>
              <w:top w:val="nil"/>
            </w:tcBorders>
            <w:vAlign w:val="center"/>
          </w:tcPr>
          <w:p w14:paraId="1C10901A">
            <w:pPr>
              <w:spacing w:line="240" w:lineRule="auto"/>
              <w:jc w:val="both"/>
              <w:rPr>
                <w:rFonts w:ascii="Arial"/>
                <w:color w:val="auto"/>
                <w:sz w:val="21"/>
                <w:highlight w:val="none"/>
              </w:rPr>
            </w:pPr>
          </w:p>
        </w:tc>
        <w:tc>
          <w:tcPr>
            <w:tcW w:w="1663" w:type="dxa"/>
            <w:vMerge w:val="continue"/>
            <w:tcBorders>
              <w:top w:val="nil"/>
            </w:tcBorders>
            <w:vAlign w:val="center"/>
          </w:tcPr>
          <w:p w14:paraId="3F70241C">
            <w:pPr>
              <w:spacing w:line="240" w:lineRule="auto"/>
              <w:jc w:val="both"/>
              <w:rPr>
                <w:rFonts w:ascii="Arial"/>
                <w:color w:val="auto"/>
                <w:sz w:val="21"/>
                <w:highlight w:val="none"/>
              </w:rPr>
            </w:pPr>
          </w:p>
        </w:tc>
        <w:tc>
          <w:tcPr>
            <w:tcW w:w="1320" w:type="dxa"/>
            <w:vAlign w:val="center"/>
          </w:tcPr>
          <w:p w14:paraId="2398D125">
            <w:pPr>
              <w:pStyle w:val="17"/>
              <w:spacing w:before="65" w:line="240" w:lineRule="auto"/>
              <w:ind w:left="118" w:right="111" w:firstLine="4"/>
              <w:jc w:val="both"/>
              <w:rPr>
                <w:color w:val="auto"/>
                <w:highlight w:val="none"/>
              </w:rPr>
            </w:pPr>
            <w:r>
              <w:rPr>
                <w:color w:val="auto"/>
                <w:spacing w:val="16"/>
                <w:highlight w:val="none"/>
              </w:rPr>
              <w:t>获取招标文</w:t>
            </w:r>
            <w:r>
              <w:rPr>
                <w:color w:val="auto"/>
                <w:spacing w:val="7"/>
                <w:highlight w:val="none"/>
              </w:rPr>
              <w:t>件的方式</w:t>
            </w:r>
          </w:p>
        </w:tc>
        <w:tc>
          <w:tcPr>
            <w:tcW w:w="2831" w:type="dxa"/>
            <w:vAlign w:val="center"/>
          </w:tcPr>
          <w:p w14:paraId="539518C1">
            <w:pPr>
              <w:pStyle w:val="17"/>
              <w:spacing w:before="31" w:line="240" w:lineRule="auto"/>
              <w:ind w:left="114" w:right="113" w:firstLine="9"/>
              <w:jc w:val="both"/>
              <w:rPr>
                <w:color w:val="auto"/>
                <w:highlight w:val="none"/>
              </w:rPr>
            </w:pPr>
            <w:r>
              <w:rPr>
                <w:color w:val="auto"/>
                <w:spacing w:val="15"/>
                <w:highlight w:val="none"/>
              </w:rPr>
              <w:t>凡有意参加投标者，请于获</w:t>
            </w:r>
            <w:r>
              <w:rPr>
                <w:color w:val="auto"/>
                <w:spacing w:val="16"/>
                <w:highlight w:val="none"/>
              </w:rPr>
              <w:t>取招标文件截止时间前，登</w:t>
            </w:r>
            <w:r>
              <w:rPr>
                <w:color w:val="auto"/>
                <w:spacing w:val="13"/>
                <w:highlight w:val="none"/>
              </w:rPr>
              <w:t>录</w:t>
            </w:r>
            <w:r>
              <w:rPr>
                <w:color w:val="auto"/>
                <w:spacing w:val="-94"/>
                <w:highlight w:val="none"/>
              </w:rPr>
              <w:t xml:space="preserve"> </w:t>
            </w:r>
            <w:r>
              <w:rPr>
                <w:rFonts w:hint="eastAsia"/>
                <w:color w:val="auto"/>
                <w:highlight w:val="none"/>
              </w:rPr>
              <w:t>全国公共资源交易平台（广东省·韶关市）</w:t>
            </w:r>
            <w:r>
              <w:rPr>
                <w:color w:val="auto"/>
                <w:spacing w:val="13"/>
                <w:highlight w:val="none"/>
              </w:rPr>
              <w:t>网</w:t>
            </w:r>
            <w:r>
              <w:rPr>
                <w:color w:val="auto"/>
                <w:spacing w:val="16"/>
                <w:highlight w:val="none"/>
              </w:rPr>
              <w:t>站，选择对应招标项目进行登记，并自行在网站中下载招标文件。</w:t>
            </w:r>
          </w:p>
        </w:tc>
      </w:tr>
      <w:tr w14:paraId="18B61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903" w:type="dxa"/>
            <w:vAlign w:val="center"/>
          </w:tcPr>
          <w:p w14:paraId="36FA2514">
            <w:pPr>
              <w:pStyle w:val="17"/>
              <w:spacing w:before="36" w:line="240" w:lineRule="auto"/>
              <w:ind w:left="640" w:right="213" w:hanging="419"/>
              <w:jc w:val="both"/>
              <w:rPr>
                <w:color w:val="auto"/>
                <w:highlight w:val="none"/>
              </w:rPr>
            </w:pPr>
            <w:r>
              <w:rPr>
                <w:b/>
                <w:bCs/>
                <w:color w:val="auto"/>
                <w:spacing w:val="6"/>
                <w:highlight w:val="none"/>
              </w:rPr>
              <w:t>获取招标文件开</w:t>
            </w:r>
            <w:r>
              <w:rPr>
                <w:b/>
                <w:bCs/>
                <w:color w:val="auto"/>
                <w:spacing w:val="5"/>
                <w:highlight w:val="none"/>
              </w:rPr>
              <w:t>始时间</w:t>
            </w:r>
          </w:p>
        </w:tc>
        <w:tc>
          <w:tcPr>
            <w:tcW w:w="1979" w:type="dxa"/>
            <w:vAlign w:val="center"/>
          </w:tcPr>
          <w:p w14:paraId="1A4D17C6">
            <w:pPr>
              <w:pStyle w:val="17"/>
              <w:spacing w:before="35" w:line="240" w:lineRule="auto"/>
              <w:jc w:val="center"/>
              <w:rPr>
                <w:color w:val="auto"/>
                <w:spacing w:val="-2"/>
                <w:highlight w:val="none"/>
              </w:rPr>
            </w:pPr>
            <w:r>
              <w:rPr>
                <w:rFonts w:hint="eastAsia"/>
                <w:color w:val="auto"/>
                <w:spacing w:val="12"/>
                <w:highlight w:val="none"/>
              </w:rPr>
              <w:t>2026年</w:t>
            </w:r>
            <w:r>
              <w:rPr>
                <w:rFonts w:hint="eastAsia"/>
                <w:color w:val="auto"/>
                <w:spacing w:val="12"/>
                <w:highlight w:val="none"/>
                <w:lang w:val="en-US" w:eastAsia="zh-CN"/>
              </w:rPr>
              <w:t>3</w:t>
            </w:r>
            <w:r>
              <w:rPr>
                <w:color w:val="auto"/>
                <w:spacing w:val="-2"/>
                <w:highlight w:val="none"/>
              </w:rPr>
              <w:t>月</w:t>
            </w:r>
            <w:r>
              <w:rPr>
                <w:rFonts w:hint="eastAsia"/>
                <w:color w:val="auto"/>
                <w:spacing w:val="-2"/>
                <w:highlight w:val="none"/>
                <w:lang w:val="en-US" w:eastAsia="zh-CN"/>
              </w:rPr>
              <w:t>27</w:t>
            </w:r>
            <w:r>
              <w:rPr>
                <w:color w:val="auto"/>
                <w:spacing w:val="-2"/>
                <w:highlight w:val="none"/>
              </w:rPr>
              <w:t>日</w:t>
            </w:r>
          </w:p>
          <w:p w14:paraId="3C21CF0C">
            <w:pPr>
              <w:pStyle w:val="17"/>
              <w:spacing w:before="35" w:line="240" w:lineRule="auto"/>
              <w:jc w:val="center"/>
              <w:rPr>
                <w:color w:val="auto"/>
                <w:highlight w:val="none"/>
              </w:rPr>
            </w:pPr>
            <w:r>
              <w:rPr>
                <w:rFonts w:hint="eastAsia"/>
                <w:color w:val="auto"/>
                <w:spacing w:val="-2"/>
                <w:highlight w:val="none"/>
                <w:lang w:val="en-US" w:eastAsia="zh-CN"/>
              </w:rPr>
              <w:t>17</w:t>
            </w:r>
            <w:r>
              <w:rPr>
                <w:color w:val="auto"/>
                <w:spacing w:val="-5"/>
                <w:highlight w:val="none"/>
              </w:rPr>
              <w:t>时</w:t>
            </w:r>
            <w:r>
              <w:rPr>
                <w:rFonts w:hint="eastAsia"/>
                <w:color w:val="auto"/>
                <w:spacing w:val="-5"/>
                <w:highlight w:val="none"/>
                <w:lang w:val="en-US" w:eastAsia="zh-CN"/>
              </w:rPr>
              <w:t>00</w:t>
            </w:r>
            <w:r>
              <w:rPr>
                <w:color w:val="auto"/>
                <w:spacing w:val="-5"/>
                <w:highlight w:val="none"/>
              </w:rPr>
              <w:t>分</w:t>
            </w:r>
          </w:p>
        </w:tc>
        <w:tc>
          <w:tcPr>
            <w:tcW w:w="1663" w:type="dxa"/>
            <w:vAlign w:val="center"/>
          </w:tcPr>
          <w:p w14:paraId="2D53CDF4">
            <w:pPr>
              <w:pStyle w:val="17"/>
              <w:spacing w:before="36" w:line="240" w:lineRule="auto"/>
              <w:ind w:left="413" w:right="200" w:hanging="207"/>
              <w:jc w:val="both"/>
              <w:rPr>
                <w:color w:val="auto"/>
                <w:highlight w:val="none"/>
              </w:rPr>
            </w:pPr>
            <w:r>
              <w:rPr>
                <w:b/>
                <w:bCs/>
                <w:color w:val="auto"/>
                <w:spacing w:val="6"/>
                <w:highlight w:val="none"/>
              </w:rPr>
              <w:t>获取招标文件截止时间</w:t>
            </w:r>
          </w:p>
        </w:tc>
        <w:tc>
          <w:tcPr>
            <w:tcW w:w="4151" w:type="dxa"/>
            <w:gridSpan w:val="2"/>
            <w:vAlign w:val="center"/>
          </w:tcPr>
          <w:p w14:paraId="5D2AE7B3">
            <w:pPr>
              <w:pStyle w:val="17"/>
              <w:spacing w:before="35" w:line="240" w:lineRule="auto"/>
              <w:jc w:val="center"/>
              <w:rPr>
                <w:color w:val="auto"/>
                <w:highlight w:val="none"/>
              </w:rPr>
            </w:pPr>
            <w:r>
              <w:rPr>
                <w:rFonts w:hint="eastAsia"/>
                <w:color w:val="auto"/>
                <w:spacing w:val="12"/>
                <w:highlight w:val="none"/>
              </w:rPr>
              <w:t>2026年</w:t>
            </w:r>
            <w:r>
              <w:rPr>
                <w:rFonts w:hint="eastAsia"/>
                <w:color w:val="auto"/>
                <w:spacing w:val="9"/>
                <w:highlight w:val="none"/>
                <w:lang w:val="en-US" w:eastAsia="zh-CN"/>
              </w:rPr>
              <w:t>4</w:t>
            </w:r>
            <w:r>
              <w:rPr>
                <w:color w:val="auto"/>
                <w:spacing w:val="-2"/>
                <w:highlight w:val="none"/>
              </w:rPr>
              <w:t>月</w:t>
            </w:r>
            <w:r>
              <w:rPr>
                <w:rFonts w:hint="eastAsia"/>
                <w:color w:val="auto"/>
                <w:spacing w:val="-2"/>
                <w:highlight w:val="none"/>
                <w:lang w:val="en-US" w:eastAsia="zh-CN"/>
              </w:rPr>
              <w:t>17</w:t>
            </w:r>
            <w:r>
              <w:rPr>
                <w:color w:val="auto"/>
                <w:spacing w:val="-2"/>
                <w:highlight w:val="none"/>
              </w:rPr>
              <w:t>日</w:t>
            </w:r>
            <w:r>
              <w:rPr>
                <w:rFonts w:hint="eastAsia"/>
                <w:color w:val="auto"/>
                <w:spacing w:val="-2"/>
                <w:highlight w:val="none"/>
                <w:lang w:val="en-US" w:eastAsia="zh-CN"/>
              </w:rPr>
              <w:t>10</w:t>
            </w:r>
            <w:r>
              <w:rPr>
                <w:color w:val="auto"/>
                <w:spacing w:val="-5"/>
                <w:highlight w:val="none"/>
              </w:rPr>
              <w:t>时</w:t>
            </w:r>
            <w:r>
              <w:rPr>
                <w:rFonts w:hint="eastAsia"/>
                <w:color w:val="auto"/>
                <w:spacing w:val="-5"/>
                <w:highlight w:val="none"/>
                <w:lang w:val="en-US" w:eastAsia="zh-CN"/>
              </w:rPr>
              <w:t>00</w:t>
            </w:r>
            <w:r>
              <w:rPr>
                <w:color w:val="auto"/>
                <w:spacing w:val="-5"/>
                <w:highlight w:val="none"/>
              </w:rPr>
              <w:t>分</w:t>
            </w:r>
          </w:p>
        </w:tc>
      </w:tr>
      <w:tr w14:paraId="0B736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1903" w:type="dxa"/>
            <w:vAlign w:val="center"/>
          </w:tcPr>
          <w:p w14:paraId="142AF070">
            <w:pPr>
              <w:pStyle w:val="17"/>
              <w:spacing w:before="36" w:line="240" w:lineRule="auto"/>
              <w:ind w:left="641" w:right="213" w:hanging="422"/>
              <w:jc w:val="both"/>
              <w:rPr>
                <w:color w:val="auto"/>
                <w:highlight w:val="none"/>
              </w:rPr>
            </w:pPr>
            <w:r>
              <w:rPr>
                <w:b/>
                <w:bCs/>
                <w:color w:val="auto"/>
                <w:spacing w:val="7"/>
                <w:highlight w:val="none"/>
              </w:rPr>
              <w:t>递交投标文件截</w:t>
            </w:r>
            <w:bookmarkStart w:id="11" w:name="bookmark28"/>
            <w:bookmarkEnd w:id="11"/>
            <w:bookmarkStart w:id="12" w:name="bookmark29"/>
            <w:bookmarkEnd w:id="12"/>
            <w:r>
              <w:rPr>
                <w:b/>
                <w:bCs/>
                <w:color w:val="auto"/>
                <w:spacing w:val="5"/>
                <w:highlight w:val="none"/>
              </w:rPr>
              <w:t>止时间</w:t>
            </w:r>
          </w:p>
        </w:tc>
        <w:tc>
          <w:tcPr>
            <w:tcW w:w="1979" w:type="dxa"/>
            <w:vAlign w:val="center"/>
          </w:tcPr>
          <w:p w14:paraId="71635160">
            <w:pPr>
              <w:pStyle w:val="17"/>
              <w:spacing w:before="161" w:line="240" w:lineRule="auto"/>
              <w:jc w:val="center"/>
              <w:rPr>
                <w:color w:val="auto"/>
                <w:spacing w:val="-2"/>
                <w:highlight w:val="none"/>
              </w:rPr>
            </w:pPr>
            <w:r>
              <w:rPr>
                <w:rFonts w:hint="eastAsia"/>
                <w:color w:val="auto"/>
                <w:spacing w:val="12"/>
                <w:highlight w:val="none"/>
              </w:rPr>
              <w:t>2026年</w:t>
            </w:r>
            <w:r>
              <w:rPr>
                <w:rFonts w:hint="eastAsia"/>
                <w:color w:val="auto"/>
                <w:spacing w:val="9"/>
                <w:highlight w:val="none"/>
                <w:lang w:val="en-US" w:eastAsia="zh-CN"/>
              </w:rPr>
              <w:t>4</w:t>
            </w:r>
            <w:r>
              <w:rPr>
                <w:color w:val="auto"/>
                <w:spacing w:val="-2"/>
                <w:highlight w:val="none"/>
              </w:rPr>
              <w:t>月</w:t>
            </w:r>
            <w:r>
              <w:rPr>
                <w:rFonts w:hint="eastAsia"/>
                <w:color w:val="auto"/>
                <w:spacing w:val="-2"/>
                <w:highlight w:val="none"/>
                <w:lang w:val="en-US" w:eastAsia="zh-CN"/>
              </w:rPr>
              <w:t>17</w:t>
            </w:r>
            <w:r>
              <w:rPr>
                <w:color w:val="auto"/>
                <w:spacing w:val="-2"/>
                <w:highlight w:val="none"/>
              </w:rPr>
              <w:t>日</w:t>
            </w:r>
          </w:p>
          <w:p w14:paraId="0EDDB9CB">
            <w:pPr>
              <w:pStyle w:val="17"/>
              <w:spacing w:before="161" w:line="240" w:lineRule="auto"/>
              <w:jc w:val="center"/>
              <w:rPr>
                <w:color w:val="auto"/>
                <w:highlight w:val="none"/>
              </w:rPr>
            </w:pPr>
            <w:r>
              <w:rPr>
                <w:rFonts w:hint="eastAsia"/>
                <w:color w:val="auto"/>
                <w:spacing w:val="-2"/>
                <w:highlight w:val="none"/>
                <w:lang w:val="en-US" w:eastAsia="zh-CN"/>
              </w:rPr>
              <w:t>10</w:t>
            </w:r>
            <w:r>
              <w:rPr>
                <w:color w:val="auto"/>
                <w:spacing w:val="-5"/>
                <w:highlight w:val="none"/>
              </w:rPr>
              <w:t>时</w:t>
            </w:r>
            <w:r>
              <w:rPr>
                <w:rFonts w:hint="eastAsia"/>
                <w:color w:val="auto"/>
                <w:spacing w:val="-5"/>
                <w:highlight w:val="none"/>
                <w:lang w:val="en-US" w:eastAsia="zh-CN"/>
              </w:rPr>
              <w:t>00</w:t>
            </w:r>
            <w:r>
              <w:rPr>
                <w:color w:val="auto"/>
                <w:spacing w:val="-5"/>
                <w:highlight w:val="none"/>
              </w:rPr>
              <w:t>分</w:t>
            </w:r>
          </w:p>
        </w:tc>
        <w:tc>
          <w:tcPr>
            <w:tcW w:w="1663" w:type="dxa"/>
            <w:vAlign w:val="center"/>
          </w:tcPr>
          <w:p w14:paraId="3A2F9CEE">
            <w:pPr>
              <w:pStyle w:val="17"/>
              <w:spacing w:before="36" w:line="240" w:lineRule="auto"/>
              <w:ind w:left="625" w:right="200" w:hanging="420"/>
              <w:jc w:val="both"/>
              <w:rPr>
                <w:color w:val="auto"/>
                <w:highlight w:val="none"/>
              </w:rPr>
            </w:pPr>
            <w:r>
              <w:rPr>
                <w:b/>
                <w:bCs/>
                <w:color w:val="auto"/>
                <w:spacing w:val="6"/>
                <w:highlight w:val="none"/>
              </w:rPr>
              <w:t>投标文件递交</w:t>
            </w:r>
            <w:r>
              <w:rPr>
                <w:b/>
                <w:bCs/>
                <w:color w:val="auto"/>
                <w:spacing w:val="3"/>
                <w:highlight w:val="none"/>
              </w:rPr>
              <w:t>方式</w:t>
            </w:r>
          </w:p>
        </w:tc>
        <w:tc>
          <w:tcPr>
            <w:tcW w:w="4151" w:type="dxa"/>
            <w:gridSpan w:val="2"/>
            <w:vAlign w:val="center"/>
          </w:tcPr>
          <w:p w14:paraId="0D1D613D">
            <w:pPr>
              <w:pStyle w:val="17"/>
              <w:spacing w:before="36" w:line="240" w:lineRule="auto"/>
              <w:ind w:left="119" w:right="113" w:firstLine="1"/>
              <w:jc w:val="both"/>
              <w:rPr>
                <w:color w:val="auto"/>
                <w:highlight w:val="none"/>
              </w:rPr>
            </w:pPr>
            <w:r>
              <w:rPr>
                <w:color w:val="auto"/>
                <w:spacing w:val="17"/>
                <w:highlight w:val="none"/>
              </w:rPr>
              <w:t>投标人应在递交投标文件截止时间前，通</w:t>
            </w:r>
            <w:r>
              <w:rPr>
                <w:color w:val="auto"/>
                <w:spacing w:val="12"/>
                <w:highlight w:val="none"/>
              </w:rPr>
              <w:t>过互联网使用</w:t>
            </w:r>
            <w:r>
              <w:rPr>
                <w:color w:val="auto"/>
                <w:highlight w:val="none"/>
              </w:rPr>
              <w:t>CA</w:t>
            </w:r>
            <w:r>
              <w:rPr>
                <w:color w:val="auto"/>
                <w:spacing w:val="-30"/>
                <w:highlight w:val="none"/>
              </w:rPr>
              <w:t xml:space="preserve"> </w:t>
            </w:r>
            <w:r>
              <w:rPr>
                <w:color w:val="auto"/>
                <w:spacing w:val="12"/>
                <w:highlight w:val="none"/>
              </w:rPr>
              <w:t>数字证书登录“</w:t>
            </w:r>
            <w:r>
              <w:rPr>
                <w:color w:val="auto"/>
                <w:spacing w:val="-63"/>
                <w:highlight w:val="none"/>
              </w:rPr>
              <w:t xml:space="preserve"> </w:t>
            </w:r>
            <w:r>
              <w:rPr>
                <w:color w:val="auto"/>
                <w:spacing w:val="12"/>
                <w:highlight w:val="none"/>
              </w:rPr>
              <w:t>电子交易</w:t>
            </w:r>
            <w:r>
              <w:rPr>
                <w:color w:val="auto"/>
                <w:spacing w:val="15"/>
                <w:highlight w:val="none"/>
              </w:rPr>
              <w:t>平台</w:t>
            </w:r>
            <w:r>
              <w:rPr>
                <w:color w:val="auto"/>
                <w:spacing w:val="-57"/>
                <w:highlight w:val="none"/>
              </w:rPr>
              <w:t xml:space="preserve"> </w:t>
            </w:r>
            <w:r>
              <w:rPr>
                <w:color w:val="auto"/>
                <w:spacing w:val="15"/>
                <w:highlight w:val="none"/>
              </w:rPr>
              <w:t>”，将加密的投标文件上传，并保存</w:t>
            </w:r>
            <w:r>
              <w:rPr>
                <w:color w:val="auto"/>
                <w:spacing w:val="30"/>
                <w:highlight w:val="none"/>
              </w:rPr>
              <w:t>上传成功后系统自动生成的电子签收凭</w:t>
            </w:r>
            <w:r>
              <w:rPr>
                <w:color w:val="auto"/>
                <w:spacing w:val="17"/>
                <w:highlight w:val="none"/>
              </w:rPr>
              <w:t>证，递交时间即为电子签收凭证时间。逾</w:t>
            </w:r>
            <w:r>
              <w:rPr>
                <w:color w:val="auto"/>
                <w:spacing w:val="30"/>
                <w:highlight w:val="none"/>
              </w:rPr>
              <w:t>期未完成上传或未按规定加密的投标文</w:t>
            </w:r>
            <w:r>
              <w:rPr>
                <w:color w:val="auto"/>
                <w:spacing w:val="17"/>
                <w:highlight w:val="none"/>
              </w:rPr>
              <w:t>件，招标人予以拒收。</w:t>
            </w:r>
          </w:p>
        </w:tc>
      </w:tr>
    </w:tbl>
    <w:p w14:paraId="1ED6006A">
      <w:pPr>
        <w:spacing w:line="240" w:lineRule="auto"/>
        <w:rPr>
          <w:rFonts w:ascii="宋体" w:hAnsi="宋体" w:eastAsia="宋体" w:cs="宋体"/>
          <w:color w:val="auto"/>
          <w:sz w:val="18"/>
          <w:szCs w:val="18"/>
          <w:highlight w:val="none"/>
        </w:rPr>
        <w:sectPr>
          <w:footerReference r:id="rId8" w:type="default"/>
          <w:pgSz w:w="11906" w:h="16839"/>
          <w:pgMar w:top="1416" w:right="1102" w:bottom="1297" w:left="1102" w:header="0" w:footer="1065" w:gutter="0"/>
          <w:pgNumType w:fmt="decimal"/>
          <w:cols w:space="720" w:num="1"/>
        </w:sectPr>
      </w:pPr>
    </w:p>
    <w:tbl>
      <w:tblPr>
        <w:tblStyle w:val="16"/>
        <w:tblW w:w="96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1979"/>
        <w:gridCol w:w="1663"/>
        <w:gridCol w:w="4151"/>
      </w:tblGrid>
      <w:tr w14:paraId="64658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903" w:type="dxa"/>
            <w:tcBorders>
              <w:bottom w:val="single" w:color="auto" w:sz="4" w:space="0"/>
            </w:tcBorders>
            <w:vAlign w:val="center"/>
          </w:tcPr>
          <w:p w14:paraId="771E39AE">
            <w:pPr>
              <w:spacing w:line="240" w:lineRule="auto"/>
              <w:jc w:val="both"/>
              <w:rPr>
                <w:rFonts w:ascii="Arial"/>
                <w:color w:val="auto"/>
                <w:sz w:val="21"/>
                <w:highlight w:val="none"/>
              </w:rPr>
            </w:pPr>
          </w:p>
          <w:p w14:paraId="67FC5E83">
            <w:pPr>
              <w:spacing w:line="240" w:lineRule="auto"/>
              <w:jc w:val="both"/>
              <w:rPr>
                <w:rFonts w:ascii="Arial"/>
                <w:color w:val="auto"/>
                <w:sz w:val="21"/>
                <w:highlight w:val="none"/>
              </w:rPr>
            </w:pPr>
          </w:p>
          <w:p w14:paraId="7EDA9103">
            <w:pPr>
              <w:pStyle w:val="17"/>
              <w:spacing w:before="65" w:line="240" w:lineRule="auto"/>
              <w:ind w:left="536"/>
              <w:jc w:val="both"/>
              <w:rPr>
                <w:color w:val="auto"/>
                <w:highlight w:val="none"/>
              </w:rPr>
            </w:pPr>
            <w:r>
              <w:rPr>
                <w:b/>
                <w:bCs/>
                <w:color w:val="auto"/>
                <w:spacing w:val="6"/>
                <w:highlight w:val="none"/>
              </w:rPr>
              <w:t>开标时间</w:t>
            </w:r>
          </w:p>
        </w:tc>
        <w:tc>
          <w:tcPr>
            <w:tcW w:w="1979" w:type="dxa"/>
            <w:tcBorders>
              <w:bottom w:val="single" w:color="auto" w:sz="4" w:space="0"/>
            </w:tcBorders>
            <w:vAlign w:val="center"/>
          </w:tcPr>
          <w:p w14:paraId="64BB8027">
            <w:pPr>
              <w:pStyle w:val="17"/>
              <w:spacing w:before="161" w:line="240" w:lineRule="auto"/>
              <w:jc w:val="center"/>
              <w:rPr>
                <w:color w:val="auto"/>
                <w:spacing w:val="-2"/>
                <w:highlight w:val="none"/>
              </w:rPr>
            </w:pPr>
            <w:r>
              <w:rPr>
                <w:rFonts w:hint="eastAsia"/>
                <w:color w:val="auto"/>
                <w:spacing w:val="12"/>
                <w:highlight w:val="none"/>
              </w:rPr>
              <w:t>2026年</w:t>
            </w:r>
            <w:r>
              <w:rPr>
                <w:rFonts w:hint="eastAsia"/>
                <w:color w:val="auto"/>
                <w:spacing w:val="9"/>
                <w:highlight w:val="none"/>
                <w:lang w:val="en-US" w:eastAsia="zh-CN"/>
              </w:rPr>
              <w:t>4</w:t>
            </w:r>
            <w:r>
              <w:rPr>
                <w:color w:val="auto"/>
                <w:spacing w:val="-2"/>
                <w:highlight w:val="none"/>
              </w:rPr>
              <w:t>月</w:t>
            </w:r>
            <w:r>
              <w:rPr>
                <w:rFonts w:hint="eastAsia"/>
                <w:color w:val="auto"/>
                <w:spacing w:val="-2"/>
                <w:highlight w:val="none"/>
                <w:lang w:val="en-US" w:eastAsia="zh-CN"/>
              </w:rPr>
              <w:t>17</w:t>
            </w:r>
            <w:r>
              <w:rPr>
                <w:color w:val="auto"/>
                <w:spacing w:val="-2"/>
                <w:highlight w:val="none"/>
              </w:rPr>
              <w:t>日</w:t>
            </w:r>
          </w:p>
          <w:p w14:paraId="4EF0EEF6">
            <w:pPr>
              <w:pStyle w:val="17"/>
              <w:spacing w:before="161" w:line="240" w:lineRule="auto"/>
              <w:jc w:val="center"/>
              <w:rPr>
                <w:color w:val="auto"/>
                <w:highlight w:val="none"/>
              </w:rPr>
            </w:pPr>
            <w:r>
              <w:rPr>
                <w:rFonts w:hint="eastAsia"/>
                <w:color w:val="auto"/>
                <w:spacing w:val="-2"/>
                <w:highlight w:val="none"/>
                <w:lang w:val="en-US" w:eastAsia="zh-CN"/>
              </w:rPr>
              <w:t>10</w:t>
            </w:r>
            <w:r>
              <w:rPr>
                <w:color w:val="auto"/>
                <w:spacing w:val="-5"/>
                <w:highlight w:val="none"/>
              </w:rPr>
              <w:t>时</w:t>
            </w:r>
            <w:r>
              <w:rPr>
                <w:rFonts w:hint="eastAsia"/>
                <w:color w:val="auto"/>
                <w:spacing w:val="-5"/>
                <w:highlight w:val="none"/>
                <w:lang w:val="en-US" w:eastAsia="zh-CN"/>
              </w:rPr>
              <w:t>00</w:t>
            </w:r>
            <w:r>
              <w:rPr>
                <w:color w:val="auto"/>
                <w:spacing w:val="-5"/>
                <w:highlight w:val="none"/>
              </w:rPr>
              <w:t>分</w:t>
            </w:r>
            <w:r>
              <w:rPr>
                <w:color w:val="auto"/>
                <w:spacing w:val="17"/>
                <w:highlight w:val="none"/>
              </w:rPr>
              <w:t>（与投标截止时间</w:t>
            </w:r>
            <w:r>
              <w:rPr>
                <w:color w:val="auto"/>
                <w:spacing w:val="6"/>
                <w:highlight w:val="none"/>
              </w:rPr>
              <w:t>为同一时间）</w:t>
            </w:r>
          </w:p>
        </w:tc>
        <w:tc>
          <w:tcPr>
            <w:tcW w:w="1663" w:type="dxa"/>
            <w:tcBorders>
              <w:bottom w:val="single" w:color="auto" w:sz="4" w:space="0"/>
            </w:tcBorders>
            <w:vAlign w:val="center"/>
          </w:tcPr>
          <w:p w14:paraId="19520E8F">
            <w:pPr>
              <w:spacing w:line="240" w:lineRule="auto"/>
              <w:jc w:val="both"/>
              <w:rPr>
                <w:rFonts w:ascii="Arial"/>
                <w:color w:val="auto"/>
                <w:sz w:val="21"/>
                <w:highlight w:val="none"/>
              </w:rPr>
            </w:pPr>
          </w:p>
          <w:p w14:paraId="31609FDE">
            <w:pPr>
              <w:spacing w:line="240" w:lineRule="auto"/>
              <w:jc w:val="both"/>
              <w:rPr>
                <w:rFonts w:ascii="Arial"/>
                <w:color w:val="auto"/>
                <w:sz w:val="21"/>
                <w:highlight w:val="none"/>
              </w:rPr>
            </w:pPr>
          </w:p>
          <w:p w14:paraId="6A28C49F">
            <w:pPr>
              <w:pStyle w:val="17"/>
              <w:spacing w:before="65" w:line="240" w:lineRule="auto"/>
              <w:ind w:left="414"/>
              <w:jc w:val="both"/>
              <w:rPr>
                <w:color w:val="auto"/>
                <w:highlight w:val="none"/>
              </w:rPr>
            </w:pPr>
            <w:r>
              <w:rPr>
                <w:b/>
                <w:bCs/>
                <w:color w:val="auto"/>
                <w:spacing w:val="6"/>
                <w:highlight w:val="none"/>
              </w:rPr>
              <w:t>开标地点</w:t>
            </w:r>
          </w:p>
        </w:tc>
        <w:tc>
          <w:tcPr>
            <w:tcW w:w="4151" w:type="dxa"/>
            <w:tcBorders>
              <w:bottom w:val="single" w:color="auto" w:sz="4" w:space="0"/>
            </w:tcBorders>
            <w:vAlign w:val="center"/>
          </w:tcPr>
          <w:p w14:paraId="6C7A577A">
            <w:pPr>
              <w:pStyle w:val="17"/>
              <w:spacing w:before="37" w:line="240" w:lineRule="auto"/>
              <w:ind w:right="113"/>
              <w:jc w:val="left"/>
              <w:rPr>
                <w:rFonts w:hint="eastAsia" w:ascii="宋体" w:hAnsi="宋体" w:eastAsia="宋体" w:cs="宋体"/>
                <w:color w:val="auto"/>
                <w:spacing w:val="15"/>
                <w:highlight w:val="none"/>
                <w:lang w:eastAsia="zh-CN"/>
              </w:rPr>
            </w:pPr>
            <w:r>
              <w:rPr>
                <w:rFonts w:hint="eastAsia" w:ascii="宋体" w:hAnsi="宋体" w:eastAsia="宋体" w:cs="宋体"/>
                <w:color w:val="auto"/>
                <w:spacing w:val="15"/>
                <w:highlight w:val="none"/>
              </w:rPr>
              <w:t>地址：韶关市公共资源交易中心乳源分中心(韶关市乳源瑶族自治县乳城镇北环中路乳源农旅特色小镇政务服务大厅4号楼3楼(京港澳高速乳源收费站路口旁)</w:t>
            </w:r>
            <w:r>
              <w:rPr>
                <w:rFonts w:ascii="宋体" w:hAnsi="宋体" w:eastAsia="宋体" w:cs="宋体"/>
                <w:color w:val="auto"/>
                <w:spacing w:val="15"/>
                <w:highlight w:val="none"/>
              </w:rPr>
              <w:t>(具体开标室以</w:t>
            </w:r>
            <w:r>
              <w:rPr>
                <w:rFonts w:hint="eastAsia" w:ascii="宋体" w:hAnsi="宋体" w:eastAsia="宋体" w:cs="宋体"/>
                <w:color w:val="auto"/>
                <w:spacing w:val="15"/>
                <w:highlight w:val="none"/>
              </w:rPr>
              <w:t>韶关市公共资源交易中心乳源分中心</w:t>
            </w:r>
            <w:r>
              <w:rPr>
                <w:rFonts w:hint="eastAsia" w:ascii="宋体" w:hAnsi="宋体" w:eastAsia="宋体" w:cs="宋体"/>
                <w:color w:val="auto"/>
                <w:spacing w:val="15"/>
                <w:highlight w:val="none"/>
                <w:lang w:val="en-US" w:eastAsia="zh-CN"/>
              </w:rPr>
              <w:t>当</w:t>
            </w:r>
            <w:r>
              <w:rPr>
                <w:rFonts w:hint="eastAsia" w:ascii="宋体" w:hAnsi="宋体" w:eastAsia="宋体" w:cs="宋体"/>
                <w:color w:val="auto"/>
                <w:spacing w:val="15"/>
                <w:highlight w:val="none"/>
              </w:rPr>
              <w:t>日现场通知为准</w:t>
            </w:r>
            <w:r>
              <w:rPr>
                <w:rFonts w:hint="eastAsia" w:ascii="宋体" w:hAnsi="宋体" w:eastAsia="宋体" w:cs="宋体"/>
                <w:color w:val="auto"/>
                <w:spacing w:val="15"/>
                <w:highlight w:val="none"/>
                <w:lang w:eastAsia="zh-CN"/>
              </w:rPr>
              <w:t>）</w:t>
            </w:r>
          </w:p>
        </w:tc>
      </w:tr>
      <w:tr w14:paraId="325B1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903" w:type="dxa"/>
            <w:tcBorders>
              <w:top w:val="single" w:color="auto" w:sz="4" w:space="0"/>
              <w:left w:val="single" w:color="auto" w:sz="4" w:space="0"/>
              <w:bottom w:val="single" w:color="auto" w:sz="4" w:space="0"/>
            </w:tcBorders>
            <w:vAlign w:val="top"/>
          </w:tcPr>
          <w:p w14:paraId="75F74B00">
            <w:pPr>
              <w:pStyle w:val="17"/>
              <w:spacing w:before="236" w:line="226" w:lineRule="auto"/>
              <w:ind w:left="327"/>
              <w:rPr>
                <w:color w:val="auto"/>
                <w:highlight w:val="none"/>
              </w:rPr>
            </w:pPr>
            <w:r>
              <w:rPr>
                <w:b/>
                <w:bCs/>
                <w:color w:val="auto"/>
                <w:spacing w:val="6"/>
                <w:highlight w:val="none"/>
              </w:rPr>
              <w:t>发布公告媒介</w:t>
            </w:r>
          </w:p>
        </w:tc>
        <w:tc>
          <w:tcPr>
            <w:tcW w:w="7793" w:type="dxa"/>
            <w:gridSpan w:val="3"/>
            <w:tcBorders>
              <w:top w:val="single" w:color="auto" w:sz="4" w:space="0"/>
              <w:bottom w:val="single" w:color="auto" w:sz="4" w:space="0"/>
              <w:right w:val="single" w:color="auto" w:sz="4" w:space="0"/>
            </w:tcBorders>
            <w:vAlign w:val="top"/>
          </w:tcPr>
          <w:p w14:paraId="679C8B67">
            <w:pPr>
              <w:pStyle w:val="17"/>
              <w:spacing w:before="33" w:line="359" w:lineRule="auto"/>
              <w:ind w:left="140" w:right="164" w:hanging="23"/>
              <w:rPr>
                <w:color w:val="auto"/>
                <w:highlight w:val="none"/>
              </w:rPr>
            </w:pPr>
            <w:r>
              <w:rPr>
                <w:color w:val="auto"/>
                <w:spacing w:val="8"/>
                <w:highlight w:val="none"/>
              </w:rPr>
              <w:t>广东省招标投标监管网、</w:t>
            </w:r>
            <w:r>
              <w:rPr>
                <w:rFonts w:hint="eastAsia"/>
                <w:color w:val="auto"/>
                <w:highlight w:val="none"/>
              </w:rPr>
              <w:t>全国公共资源交易平台（广东省·韶关市）</w:t>
            </w:r>
            <w:r>
              <w:rPr>
                <w:color w:val="auto"/>
                <w:spacing w:val="7"/>
                <w:highlight w:val="none"/>
              </w:rPr>
              <w:t>网站，如公告详细内容不一致者，以广东省招标投标监管网公告为准。</w:t>
            </w:r>
          </w:p>
        </w:tc>
      </w:tr>
      <w:tr w14:paraId="454A3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03" w:type="dxa"/>
            <w:tcBorders>
              <w:top w:val="single" w:color="auto" w:sz="4" w:space="0"/>
            </w:tcBorders>
            <w:vAlign w:val="center"/>
          </w:tcPr>
          <w:p w14:paraId="5949C174">
            <w:pPr>
              <w:pStyle w:val="17"/>
              <w:spacing w:before="113" w:line="228" w:lineRule="auto"/>
              <w:ind w:left="641"/>
              <w:jc w:val="both"/>
              <w:rPr>
                <w:color w:val="auto"/>
                <w:highlight w:val="none"/>
              </w:rPr>
            </w:pPr>
            <w:r>
              <w:rPr>
                <w:b/>
                <w:bCs/>
                <w:color w:val="auto"/>
                <w:spacing w:val="5"/>
                <w:highlight w:val="none"/>
              </w:rPr>
              <w:t>招标人</w:t>
            </w:r>
          </w:p>
        </w:tc>
        <w:tc>
          <w:tcPr>
            <w:tcW w:w="1979" w:type="dxa"/>
            <w:tcBorders>
              <w:top w:val="single" w:color="auto" w:sz="4" w:space="0"/>
            </w:tcBorders>
            <w:vAlign w:val="center"/>
          </w:tcPr>
          <w:p w14:paraId="2315CD3C">
            <w:pPr>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default" w:ascii="宋体" w:hAnsi="宋体" w:eastAsia="宋体" w:cs="宋体"/>
                <w:snapToGrid w:val="0"/>
                <w:color w:val="auto"/>
                <w:kern w:val="0"/>
                <w:sz w:val="20"/>
                <w:szCs w:val="20"/>
                <w:highlight w:val="none"/>
                <w:lang w:val="en-US" w:eastAsia="zh-CN"/>
              </w:rPr>
            </w:pPr>
            <w:r>
              <w:rPr>
                <w:rFonts w:hint="default" w:ascii="宋体" w:hAnsi="宋体" w:eastAsia="宋体" w:cs="宋体"/>
                <w:snapToGrid w:val="0"/>
                <w:color w:val="auto"/>
                <w:kern w:val="0"/>
                <w:sz w:val="20"/>
                <w:szCs w:val="20"/>
                <w:highlight w:val="none"/>
                <w:lang w:val="en-US" w:eastAsia="zh-CN"/>
              </w:rPr>
              <w:t>乳源瑶族自治县地方公路事务中心</w:t>
            </w:r>
          </w:p>
        </w:tc>
        <w:tc>
          <w:tcPr>
            <w:tcW w:w="1663" w:type="dxa"/>
            <w:tcBorders>
              <w:top w:val="single" w:color="auto" w:sz="4" w:space="0"/>
            </w:tcBorders>
            <w:vAlign w:val="center"/>
          </w:tcPr>
          <w:p w14:paraId="1E6F6EF5">
            <w:pPr>
              <w:pStyle w:val="17"/>
              <w:spacing w:before="113" w:line="230" w:lineRule="auto"/>
              <w:ind w:left="414"/>
              <w:jc w:val="both"/>
              <w:rPr>
                <w:color w:val="auto"/>
                <w:highlight w:val="none"/>
              </w:rPr>
            </w:pPr>
            <w:r>
              <w:rPr>
                <w:b/>
                <w:bCs/>
                <w:color w:val="auto"/>
                <w:spacing w:val="6"/>
                <w:highlight w:val="none"/>
              </w:rPr>
              <w:t>联系地址</w:t>
            </w:r>
          </w:p>
        </w:tc>
        <w:tc>
          <w:tcPr>
            <w:tcW w:w="4151" w:type="dxa"/>
            <w:tcBorders>
              <w:top w:val="single" w:color="auto" w:sz="4" w:space="0"/>
            </w:tcBorders>
            <w:vAlign w:val="center"/>
          </w:tcPr>
          <w:p w14:paraId="7B4DF716">
            <w:pPr>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乳源瑶族自治县乳城镇滨江中路交通运输局三楼</w:t>
            </w:r>
          </w:p>
        </w:tc>
      </w:tr>
      <w:tr w14:paraId="11414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903" w:type="dxa"/>
            <w:vAlign w:val="center"/>
          </w:tcPr>
          <w:p w14:paraId="5B123A9C">
            <w:pPr>
              <w:pStyle w:val="17"/>
              <w:spacing w:before="48" w:line="228" w:lineRule="auto"/>
              <w:ind w:left="324"/>
              <w:jc w:val="both"/>
              <w:rPr>
                <w:color w:val="auto"/>
                <w:highlight w:val="none"/>
              </w:rPr>
            </w:pPr>
            <w:r>
              <w:rPr>
                <w:b/>
                <w:bCs/>
                <w:color w:val="auto"/>
                <w:spacing w:val="6"/>
                <w:highlight w:val="none"/>
              </w:rPr>
              <w:t>招标人联系人</w:t>
            </w:r>
          </w:p>
        </w:tc>
        <w:tc>
          <w:tcPr>
            <w:tcW w:w="1979" w:type="dxa"/>
            <w:vAlign w:val="center"/>
          </w:tcPr>
          <w:p w14:paraId="6FEAEA4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default" w:ascii="宋体" w:hAnsi="宋体" w:eastAsia="宋体" w:cs="宋体"/>
                <w:snapToGrid w:val="0"/>
                <w:color w:val="auto"/>
                <w:kern w:val="0"/>
                <w:sz w:val="20"/>
                <w:szCs w:val="20"/>
                <w:highlight w:val="none"/>
                <w:lang w:val="en-US" w:eastAsia="zh-CN"/>
              </w:rPr>
            </w:pPr>
            <w:r>
              <w:rPr>
                <w:rFonts w:hint="default" w:ascii="宋体" w:hAnsi="宋体" w:eastAsia="宋体" w:cs="宋体"/>
                <w:snapToGrid w:val="0"/>
                <w:color w:val="auto"/>
                <w:kern w:val="0"/>
                <w:sz w:val="20"/>
                <w:szCs w:val="20"/>
                <w:highlight w:val="none"/>
                <w:lang w:val="en-US" w:eastAsia="zh-CN"/>
              </w:rPr>
              <w:t>李工</w:t>
            </w:r>
          </w:p>
        </w:tc>
        <w:tc>
          <w:tcPr>
            <w:tcW w:w="1663" w:type="dxa"/>
            <w:vAlign w:val="center"/>
          </w:tcPr>
          <w:p w14:paraId="238AC10A">
            <w:pPr>
              <w:pStyle w:val="17"/>
              <w:spacing w:before="47" w:line="230" w:lineRule="auto"/>
              <w:ind w:left="414"/>
              <w:jc w:val="both"/>
              <w:rPr>
                <w:color w:val="auto"/>
                <w:highlight w:val="none"/>
              </w:rPr>
            </w:pPr>
            <w:r>
              <w:rPr>
                <w:b/>
                <w:bCs/>
                <w:color w:val="auto"/>
                <w:spacing w:val="6"/>
                <w:highlight w:val="none"/>
              </w:rPr>
              <w:t>联系电话</w:t>
            </w:r>
          </w:p>
        </w:tc>
        <w:tc>
          <w:tcPr>
            <w:tcW w:w="4151" w:type="dxa"/>
            <w:vAlign w:val="center"/>
          </w:tcPr>
          <w:p w14:paraId="2FCF5033">
            <w:pPr>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0751-8556175</w:t>
            </w:r>
          </w:p>
        </w:tc>
      </w:tr>
      <w:tr w14:paraId="3970D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903" w:type="dxa"/>
            <w:vAlign w:val="center"/>
          </w:tcPr>
          <w:p w14:paraId="425A3AC1">
            <w:pPr>
              <w:pStyle w:val="17"/>
              <w:spacing w:before="37" w:line="227" w:lineRule="auto"/>
              <w:ind w:left="324"/>
              <w:jc w:val="both"/>
              <w:rPr>
                <w:color w:val="auto"/>
                <w:highlight w:val="none"/>
              </w:rPr>
            </w:pPr>
            <w:r>
              <w:rPr>
                <w:b/>
                <w:bCs/>
                <w:color w:val="auto"/>
                <w:spacing w:val="6"/>
                <w:highlight w:val="none"/>
              </w:rPr>
              <w:t>招标代理机构</w:t>
            </w:r>
          </w:p>
        </w:tc>
        <w:tc>
          <w:tcPr>
            <w:tcW w:w="1979" w:type="dxa"/>
            <w:vAlign w:val="center"/>
          </w:tcPr>
          <w:p w14:paraId="0CBE6422">
            <w:pPr>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default" w:ascii="宋体" w:hAnsi="宋体" w:eastAsia="宋体" w:cs="宋体"/>
                <w:snapToGrid w:val="0"/>
                <w:color w:val="auto"/>
                <w:kern w:val="0"/>
                <w:sz w:val="20"/>
                <w:szCs w:val="20"/>
                <w:highlight w:val="none"/>
                <w:lang w:val="en-US" w:eastAsia="zh-CN"/>
              </w:rPr>
            </w:pPr>
            <w:r>
              <w:rPr>
                <w:rFonts w:hint="default" w:ascii="宋体" w:hAnsi="宋体" w:eastAsia="宋体" w:cs="宋体"/>
                <w:snapToGrid w:val="0"/>
                <w:color w:val="auto"/>
                <w:kern w:val="0"/>
                <w:sz w:val="20"/>
                <w:szCs w:val="20"/>
                <w:highlight w:val="none"/>
                <w:lang w:val="en-US" w:eastAsia="zh-CN"/>
              </w:rPr>
              <w:t>韶关市中晟项目管理有限公司</w:t>
            </w:r>
          </w:p>
        </w:tc>
        <w:tc>
          <w:tcPr>
            <w:tcW w:w="1663" w:type="dxa"/>
            <w:vAlign w:val="center"/>
          </w:tcPr>
          <w:p w14:paraId="263334FD">
            <w:pPr>
              <w:pStyle w:val="17"/>
              <w:spacing w:before="37" w:line="230" w:lineRule="auto"/>
              <w:ind w:left="414"/>
              <w:jc w:val="both"/>
              <w:rPr>
                <w:color w:val="auto"/>
                <w:highlight w:val="none"/>
              </w:rPr>
            </w:pPr>
            <w:r>
              <w:rPr>
                <w:b/>
                <w:bCs/>
                <w:color w:val="auto"/>
                <w:spacing w:val="6"/>
                <w:highlight w:val="none"/>
              </w:rPr>
              <w:t>联系地址</w:t>
            </w:r>
          </w:p>
        </w:tc>
        <w:tc>
          <w:tcPr>
            <w:tcW w:w="4151" w:type="dxa"/>
            <w:vAlign w:val="center"/>
          </w:tcPr>
          <w:p w14:paraId="6E129753">
            <w:pPr>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default" w:ascii="宋体" w:hAnsi="宋体" w:eastAsia="宋体" w:cs="宋体"/>
                <w:snapToGrid w:val="0"/>
                <w:color w:val="auto"/>
                <w:kern w:val="0"/>
                <w:sz w:val="20"/>
                <w:szCs w:val="20"/>
                <w:highlight w:val="none"/>
                <w:lang w:val="en-US" w:eastAsia="zh-CN"/>
              </w:rPr>
            </w:pPr>
            <w:r>
              <w:rPr>
                <w:rFonts w:hint="default" w:ascii="宋体" w:hAnsi="宋体" w:eastAsia="宋体" w:cs="宋体"/>
                <w:snapToGrid w:val="0"/>
                <w:color w:val="auto"/>
                <w:kern w:val="0"/>
                <w:sz w:val="20"/>
                <w:szCs w:val="20"/>
                <w:highlight w:val="none"/>
                <w:lang w:val="en-US" w:eastAsia="zh-CN"/>
              </w:rPr>
              <w:t>韶关市武江区芙蓉新村六街4栋A</w:t>
            </w:r>
          </w:p>
        </w:tc>
      </w:tr>
      <w:tr w14:paraId="2A84F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903" w:type="dxa"/>
            <w:vAlign w:val="center"/>
          </w:tcPr>
          <w:p w14:paraId="731F8421">
            <w:pPr>
              <w:pStyle w:val="17"/>
              <w:spacing w:before="34" w:line="228" w:lineRule="auto"/>
              <w:ind w:left="219"/>
              <w:jc w:val="both"/>
              <w:rPr>
                <w:color w:val="auto"/>
                <w:highlight w:val="none"/>
              </w:rPr>
            </w:pPr>
            <w:r>
              <w:rPr>
                <w:b/>
                <w:bCs/>
                <w:color w:val="auto"/>
                <w:spacing w:val="7"/>
                <w:highlight w:val="none"/>
              </w:rPr>
              <w:t>招标代理联系人</w:t>
            </w:r>
          </w:p>
        </w:tc>
        <w:tc>
          <w:tcPr>
            <w:tcW w:w="1979" w:type="dxa"/>
            <w:vAlign w:val="center"/>
          </w:tcPr>
          <w:p w14:paraId="7B3DD06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付秋芬</w:t>
            </w:r>
          </w:p>
        </w:tc>
        <w:tc>
          <w:tcPr>
            <w:tcW w:w="1663" w:type="dxa"/>
            <w:vAlign w:val="center"/>
          </w:tcPr>
          <w:p w14:paraId="64EBE922">
            <w:pPr>
              <w:pStyle w:val="17"/>
              <w:spacing w:before="34" w:line="230" w:lineRule="auto"/>
              <w:ind w:left="414"/>
              <w:jc w:val="both"/>
              <w:rPr>
                <w:color w:val="auto"/>
                <w:highlight w:val="none"/>
              </w:rPr>
            </w:pPr>
            <w:r>
              <w:rPr>
                <w:b/>
                <w:bCs/>
                <w:color w:val="auto"/>
                <w:spacing w:val="6"/>
                <w:highlight w:val="none"/>
              </w:rPr>
              <w:t>联系电话</w:t>
            </w:r>
          </w:p>
        </w:tc>
        <w:tc>
          <w:tcPr>
            <w:tcW w:w="4151" w:type="dxa"/>
            <w:vAlign w:val="center"/>
          </w:tcPr>
          <w:p w14:paraId="428EEE5F">
            <w:pPr>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default" w:ascii="宋体" w:hAnsi="宋体" w:eastAsia="宋体" w:cs="宋体"/>
                <w:snapToGrid w:val="0"/>
                <w:color w:val="auto"/>
                <w:kern w:val="0"/>
                <w:sz w:val="20"/>
                <w:szCs w:val="20"/>
                <w:highlight w:val="none"/>
                <w:lang w:val="en-US" w:eastAsia="zh-CN"/>
              </w:rPr>
            </w:pPr>
            <w:r>
              <w:rPr>
                <w:rFonts w:hint="default" w:ascii="宋体" w:hAnsi="宋体" w:eastAsia="宋体" w:cs="宋体"/>
                <w:snapToGrid w:val="0"/>
                <w:color w:val="auto"/>
                <w:kern w:val="0"/>
                <w:sz w:val="20"/>
                <w:szCs w:val="20"/>
                <w:highlight w:val="none"/>
                <w:lang w:val="en-US" w:eastAsia="zh-CN"/>
              </w:rPr>
              <w:t>0751-8288690</w:t>
            </w:r>
          </w:p>
        </w:tc>
      </w:tr>
      <w:tr w14:paraId="68B71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903" w:type="dxa"/>
            <w:vAlign w:val="center"/>
          </w:tcPr>
          <w:p w14:paraId="0D90D60B">
            <w:pPr>
              <w:pStyle w:val="17"/>
              <w:spacing w:before="96" w:line="227" w:lineRule="auto"/>
              <w:ind w:left="324"/>
              <w:jc w:val="both"/>
              <w:rPr>
                <w:color w:val="auto"/>
                <w:highlight w:val="none"/>
              </w:rPr>
            </w:pPr>
            <w:r>
              <w:rPr>
                <w:b/>
                <w:bCs/>
                <w:color w:val="auto"/>
                <w:spacing w:val="6"/>
                <w:highlight w:val="none"/>
              </w:rPr>
              <w:t>招标监督机构</w:t>
            </w:r>
          </w:p>
        </w:tc>
        <w:tc>
          <w:tcPr>
            <w:tcW w:w="1979" w:type="dxa"/>
            <w:vAlign w:val="center"/>
          </w:tcPr>
          <w:p w14:paraId="2F59214D">
            <w:pPr>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乳源瑶族自治县交通运输局</w:t>
            </w:r>
          </w:p>
        </w:tc>
        <w:tc>
          <w:tcPr>
            <w:tcW w:w="1663" w:type="dxa"/>
            <w:vAlign w:val="center"/>
          </w:tcPr>
          <w:p w14:paraId="33249D41">
            <w:pPr>
              <w:pStyle w:val="17"/>
              <w:spacing w:before="96" w:line="230" w:lineRule="auto"/>
              <w:ind w:left="414"/>
              <w:jc w:val="both"/>
              <w:rPr>
                <w:color w:val="auto"/>
                <w:highlight w:val="none"/>
              </w:rPr>
            </w:pPr>
            <w:r>
              <w:rPr>
                <w:b/>
                <w:bCs/>
                <w:color w:val="auto"/>
                <w:spacing w:val="6"/>
                <w:highlight w:val="none"/>
              </w:rPr>
              <w:t>联系电话</w:t>
            </w:r>
          </w:p>
        </w:tc>
        <w:tc>
          <w:tcPr>
            <w:tcW w:w="4151" w:type="dxa"/>
            <w:vAlign w:val="center"/>
          </w:tcPr>
          <w:p w14:paraId="1C8EE6DB">
            <w:pPr>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default" w:ascii="宋体" w:hAnsi="宋体" w:eastAsia="宋体" w:cs="宋体"/>
                <w:snapToGrid w:val="0"/>
                <w:color w:val="auto"/>
                <w:kern w:val="0"/>
                <w:sz w:val="20"/>
                <w:szCs w:val="20"/>
                <w:highlight w:val="none"/>
                <w:lang w:val="en-US" w:eastAsia="zh-CN"/>
              </w:rPr>
            </w:pPr>
            <w:r>
              <w:rPr>
                <w:rFonts w:hint="eastAsia" w:ascii="宋体" w:hAnsi="宋体" w:eastAsia="宋体" w:cs="宋体"/>
                <w:snapToGrid w:val="0"/>
                <w:color w:val="auto"/>
                <w:kern w:val="0"/>
                <w:sz w:val="20"/>
                <w:szCs w:val="20"/>
                <w:highlight w:val="none"/>
                <w:lang w:val="en-US" w:eastAsia="zh-CN"/>
              </w:rPr>
              <w:t>0751-8556180</w:t>
            </w:r>
          </w:p>
        </w:tc>
      </w:tr>
      <w:tr w14:paraId="5FF6E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903" w:type="dxa"/>
            <w:vAlign w:val="top"/>
          </w:tcPr>
          <w:p w14:paraId="36946598">
            <w:pPr>
              <w:spacing w:line="258" w:lineRule="auto"/>
              <w:rPr>
                <w:rFonts w:ascii="Arial"/>
                <w:color w:val="auto"/>
                <w:sz w:val="21"/>
                <w:highlight w:val="none"/>
              </w:rPr>
            </w:pPr>
          </w:p>
          <w:p w14:paraId="761C265C">
            <w:pPr>
              <w:spacing w:line="258" w:lineRule="auto"/>
              <w:rPr>
                <w:rFonts w:ascii="Arial"/>
                <w:color w:val="auto"/>
                <w:sz w:val="21"/>
                <w:highlight w:val="none"/>
              </w:rPr>
            </w:pPr>
          </w:p>
          <w:p w14:paraId="44A3586F">
            <w:pPr>
              <w:spacing w:line="258" w:lineRule="auto"/>
              <w:rPr>
                <w:rFonts w:ascii="Arial"/>
                <w:color w:val="auto"/>
                <w:sz w:val="21"/>
                <w:highlight w:val="none"/>
              </w:rPr>
            </w:pPr>
          </w:p>
          <w:p w14:paraId="503A14BC">
            <w:pPr>
              <w:spacing w:line="258" w:lineRule="auto"/>
              <w:rPr>
                <w:rFonts w:ascii="Arial"/>
                <w:color w:val="auto"/>
                <w:sz w:val="21"/>
                <w:highlight w:val="none"/>
              </w:rPr>
            </w:pPr>
          </w:p>
          <w:p w14:paraId="78C31DA0">
            <w:pPr>
              <w:spacing w:line="258" w:lineRule="auto"/>
              <w:rPr>
                <w:rFonts w:ascii="Arial"/>
                <w:color w:val="auto"/>
                <w:sz w:val="21"/>
                <w:highlight w:val="none"/>
              </w:rPr>
            </w:pPr>
          </w:p>
          <w:p w14:paraId="2EE0DDCD">
            <w:pPr>
              <w:spacing w:line="258" w:lineRule="auto"/>
              <w:rPr>
                <w:rFonts w:ascii="Arial"/>
                <w:color w:val="auto"/>
                <w:sz w:val="21"/>
                <w:highlight w:val="none"/>
              </w:rPr>
            </w:pPr>
          </w:p>
          <w:p w14:paraId="28E4EC71">
            <w:pPr>
              <w:spacing w:line="259" w:lineRule="auto"/>
              <w:rPr>
                <w:rFonts w:ascii="Arial"/>
                <w:color w:val="auto"/>
                <w:sz w:val="21"/>
                <w:highlight w:val="none"/>
              </w:rPr>
            </w:pPr>
          </w:p>
          <w:p w14:paraId="299227D9">
            <w:pPr>
              <w:pStyle w:val="17"/>
              <w:spacing w:before="65" w:line="378" w:lineRule="auto"/>
              <w:ind w:left="554" w:right="213" w:hanging="335"/>
              <w:rPr>
                <w:color w:val="auto"/>
                <w:highlight w:val="none"/>
              </w:rPr>
            </w:pPr>
            <w:r>
              <w:rPr>
                <w:b/>
                <w:bCs/>
                <w:color w:val="auto"/>
                <w:spacing w:val="7"/>
                <w:highlight w:val="none"/>
              </w:rPr>
              <w:t>其他依法应当载</w:t>
            </w:r>
            <w:r>
              <w:rPr>
                <w:b/>
                <w:bCs/>
                <w:color w:val="auto"/>
                <w:spacing w:val="1"/>
                <w:highlight w:val="none"/>
              </w:rPr>
              <w:t>明的内容</w:t>
            </w:r>
          </w:p>
        </w:tc>
        <w:tc>
          <w:tcPr>
            <w:tcW w:w="7793" w:type="dxa"/>
            <w:gridSpan w:val="3"/>
            <w:vAlign w:val="top"/>
          </w:tcPr>
          <w:p w14:paraId="666A3E10">
            <w:pPr>
              <w:pStyle w:val="17"/>
              <w:spacing w:before="46" w:line="360" w:lineRule="auto"/>
              <w:ind w:left="120" w:right="113" w:firstLine="12"/>
              <w:rPr>
                <w:color w:val="auto"/>
                <w:highlight w:val="none"/>
              </w:rPr>
            </w:pPr>
            <w:r>
              <w:rPr>
                <w:color w:val="auto"/>
                <w:spacing w:val="9"/>
                <w:highlight w:val="none"/>
              </w:rPr>
              <w:t>1.本招标项目</w:t>
            </w:r>
            <w:r>
              <w:rPr>
                <w:color w:val="auto"/>
                <w:spacing w:val="-96"/>
                <w:highlight w:val="none"/>
              </w:rPr>
              <w:t xml:space="preserve"> </w:t>
            </w:r>
            <w:r>
              <w:rPr>
                <w:color w:val="auto"/>
                <w:spacing w:val="9"/>
                <w:highlight w:val="none"/>
                <w:u w:val="single" w:color="auto"/>
              </w:rPr>
              <w:t xml:space="preserve">  </w:t>
            </w:r>
            <w:r>
              <w:rPr>
                <w:color w:val="auto"/>
                <w:spacing w:val="9"/>
                <w:highlight w:val="none"/>
                <w:u w:val="single" w:color="auto"/>
                <w:lang w:val="en-US" w:eastAsia="zh-CN"/>
              </w:rPr>
              <w:t>乳源瑶族自治县大东至岭溪公路新建工程</w:t>
            </w:r>
            <w:r>
              <w:rPr>
                <w:color w:val="auto"/>
                <w:spacing w:val="9"/>
                <w:highlight w:val="none"/>
                <w:u w:val="single" w:color="auto"/>
              </w:rPr>
              <w:t>（项目名称）</w:t>
            </w:r>
            <w:r>
              <w:rPr>
                <w:color w:val="auto"/>
                <w:spacing w:val="-53"/>
                <w:highlight w:val="none"/>
                <w:u w:val="single" w:color="auto"/>
              </w:rPr>
              <w:t xml:space="preserve"> </w:t>
            </w:r>
            <w:r>
              <w:rPr>
                <w:color w:val="auto"/>
                <w:spacing w:val="9"/>
                <w:highlight w:val="none"/>
              </w:rPr>
              <w:t>已由</w:t>
            </w:r>
            <w:r>
              <w:rPr>
                <w:color w:val="auto"/>
                <w:spacing w:val="8"/>
                <w:highlight w:val="none"/>
                <w:u w:val="single" w:color="auto"/>
              </w:rPr>
              <w:t xml:space="preserve"> </w:t>
            </w:r>
            <w:r>
              <w:rPr>
                <w:color w:val="auto"/>
                <w:spacing w:val="8"/>
                <w:highlight w:val="none"/>
                <w:u w:val="single" w:color="auto"/>
                <w:lang w:val="en-US" w:eastAsia="zh-CN"/>
              </w:rPr>
              <w:t>乳源瑶族自治县发展和改革局</w:t>
            </w:r>
            <w:r>
              <w:rPr>
                <w:color w:val="auto"/>
                <w:spacing w:val="9"/>
                <w:highlight w:val="none"/>
                <w:u w:val="single" w:color="auto"/>
              </w:rPr>
              <w:t>（</w:t>
            </w:r>
            <w:r>
              <w:rPr>
                <w:color w:val="auto"/>
                <w:spacing w:val="8"/>
                <w:highlight w:val="none"/>
                <w:u w:val="single" w:color="auto"/>
              </w:rPr>
              <w:t>项目审批、核准或备案机关</w:t>
            </w:r>
            <w:r>
              <w:rPr>
                <w:color w:val="auto"/>
                <w:spacing w:val="7"/>
                <w:highlight w:val="none"/>
                <w:u w:val="single" w:color="auto"/>
              </w:rPr>
              <w:t>名称）</w:t>
            </w:r>
            <w:r>
              <w:rPr>
                <w:color w:val="auto"/>
                <w:spacing w:val="-48"/>
                <w:highlight w:val="none"/>
                <w:u w:val="single" w:color="auto"/>
              </w:rPr>
              <w:t xml:space="preserve"> </w:t>
            </w:r>
            <w:r>
              <w:rPr>
                <w:color w:val="auto"/>
                <w:spacing w:val="7"/>
                <w:highlight w:val="none"/>
              </w:rPr>
              <w:t>以</w:t>
            </w:r>
            <w:r>
              <w:rPr>
                <w:color w:val="auto"/>
                <w:spacing w:val="7"/>
                <w:highlight w:val="none"/>
                <w:u w:val="single" w:color="auto"/>
              </w:rPr>
              <w:t xml:space="preserve"> </w:t>
            </w:r>
            <w:r>
              <w:rPr>
                <w:rFonts w:hint="eastAsia"/>
                <w:color w:val="auto"/>
                <w:spacing w:val="7"/>
                <w:highlight w:val="none"/>
                <w:u w:val="single" w:color="auto"/>
                <w:lang w:eastAsia="zh-CN"/>
              </w:rPr>
              <w:t>《</w:t>
            </w:r>
            <w:r>
              <w:rPr>
                <w:rFonts w:hint="eastAsia"/>
                <w:color w:val="auto"/>
                <w:spacing w:val="7"/>
                <w:highlight w:val="none"/>
                <w:u w:val="single" w:color="auto"/>
                <w:lang w:val="en-US" w:eastAsia="zh-CN"/>
              </w:rPr>
              <w:t>关于乳源瑶族自治县大东至岭溪公路新建工程项目可行性研究报告的批复</w:t>
            </w:r>
            <w:r>
              <w:rPr>
                <w:rFonts w:hint="eastAsia"/>
                <w:color w:val="auto"/>
                <w:spacing w:val="7"/>
                <w:highlight w:val="none"/>
                <w:u w:val="single" w:color="auto"/>
                <w:lang w:eastAsia="zh-CN"/>
              </w:rPr>
              <w:t>》（</w:t>
            </w:r>
            <w:r>
              <w:rPr>
                <w:rFonts w:hint="eastAsia"/>
                <w:color w:val="auto"/>
                <w:spacing w:val="7"/>
                <w:highlight w:val="none"/>
                <w:u w:val="single" w:color="auto"/>
                <w:lang w:val="en-US" w:eastAsia="zh-CN"/>
              </w:rPr>
              <w:t>乳发改投审〔2025〕99号</w:t>
            </w:r>
            <w:r>
              <w:rPr>
                <w:rFonts w:hint="eastAsia"/>
                <w:color w:val="auto"/>
                <w:spacing w:val="7"/>
                <w:highlight w:val="none"/>
                <w:u w:val="single" w:color="auto"/>
                <w:lang w:eastAsia="zh-CN"/>
              </w:rPr>
              <w:t>）</w:t>
            </w:r>
            <w:r>
              <w:rPr>
                <w:color w:val="auto"/>
                <w:spacing w:val="7"/>
                <w:highlight w:val="none"/>
                <w:u w:val="single" w:color="auto"/>
              </w:rPr>
              <w:t>（批文名称及编号）</w:t>
            </w:r>
            <w:r>
              <w:rPr>
                <w:rFonts w:hint="eastAsia" w:ascii="宋体" w:hAnsi="宋体" w:cs="宋体"/>
                <w:color w:val="auto"/>
                <w:spacing w:val="4"/>
                <w:sz w:val="20"/>
                <w:szCs w:val="20"/>
                <w:highlight w:val="none"/>
                <w:u w:val="none"/>
                <w:lang w:val="en-US" w:eastAsia="zh-CN"/>
              </w:rPr>
              <w:t>、</w:t>
            </w:r>
            <w:r>
              <w:rPr>
                <w:rFonts w:hint="eastAsia" w:ascii="宋体" w:hAnsi="宋体" w:cs="宋体"/>
                <w:color w:val="auto"/>
                <w:spacing w:val="4"/>
                <w:sz w:val="20"/>
                <w:szCs w:val="20"/>
                <w:highlight w:val="none"/>
                <w:u w:val="single"/>
              </w:rPr>
              <w:t>乳源瑶族自治县交通运输局</w:t>
            </w:r>
            <w:r>
              <w:rPr>
                <w:rFonts w:hint="eastAsia" w:ascii="宋体" w:hAnsi="宋体" w:cs="宋体"/>
                <w:color w:val="auto"/>
                <w:spacing w:val="4"/>
                <w:sz w:val="20"/>
                <w:szCs w:val="20"/>
                <w:highlight w:val="none"/>
              </w:rPr>
              <w:t>以</w:t>
            </w:r>
            <w:r>
              <w:rPr>
                <w:rFonts w:hint="eastAsia" w:ascii="宋体" w:hAnsi="宋体" w:cs="宋体"/>
                <w:color w:val="auto"/>
                <w:spacing w:val="4"/>
                <w:sz w:val="20"/>
                <w:szCs w:val="20"/>
                <w:highlight w:val="none"/>
                <w:u w:val="single"/>
              </w:rPr>
              <w:t>关于乳源瑶族自治县大东至岭溪公路新建工程初步设计的批复（乳交基〔2025〕40号）</w:t>
            </w:r>
            <w:r>
              <w:rPr>
                <w:rFonts w:hint="eastAsia" w:ascii="宋体" w:hAnsi="宋体" w:cs="宋体"/>
                <w:color w:val="auto"/>
                <w:spacing w:val="4"/>
                <w:sz w:val="20"/>
                <w:szCs w:val="20"/>
                <w:highlight w:val="none"/>
              </w:rPr>
              <w:t>批准建设</w:t>
            </w:r>
            <w:r>
              <w:rPr>
                <w:color w:val="auto"/>
                <w:spacing w:val="7"/>
                <w:highlight w:val="none"/>
              </w:rPr>
              <w:t>批准建设，</w:t>
            </w:r>
            <w:r>
              <w:rPr>
                <w:rFonts w:hint="eastAsia"/>
                <w:color w:val="auto"/>
                <w:spacing w:val="7"/>
                <w:highlight w:val="none"/>
                <w:lang w:val="en-US" w:eastAsia="zh-CN"/>
              </w:rPr>
              <w:t>施工图</w:t>
            </w:r>
            <w:r>
              <w:rPr>
                <w:color w:val="auto"/>
                <w:spacing w:val="7"/>
                <w:highlight w:val="none"/>
              </w:rPr>
              <w:t>设计已由</w:t>
            </w:r>
            <w:r>
              <w:rPr>
                <w:color w:val="auto"/>
                <w:spacing w:val="7"/>
                <w:highlight w:val="none"/>
                <w:u w:val="single" w:color="auto"/>
              </w:rPr>
              <w:t xml:space="preserve">  </w:t>
            </w:r>
            <w:r>
              <w:rPr>
                <w:rFonts w:hint="eastAsia"/>
                <w:color w:val="auto"/>
                <w:spacing w:val="7"/>
                <w:highlight w:val="none"/>
                <w:u w:val="single" w:color="auto"/>
              </w:rPr>
              <w:t>乳源瑶族自治县交通运输局</w:t>
            </w:r>
            <w:r>
              <w:rPr>
                <w:color w:val="auto"/>
                <w:spacing w:val="7"/>
                <w:highlight w:val="none"/>
                <w:u w:val="single" w:color="auto"/>
              </w:rPr>
              <w:t>（批准机关</w:t>
            </w:r>
            <w:r>
              <w:rPr>
                <w:color w:val="auto"/>
                <w:spacing w:val="12"/>
                <w:highlight w:val="none"/>
                <w:u w:val="single" w:color="auto"/>
              </w:rPr>
              <w:t>名称）</w:t>
            </w:r>
            <w:r>
              <w:rPr>
                <w:color w:val="auto"/>
                <w:spacing w:val="-32"/>
                <w:highlight w:val="none"/>
                <w:u w:val="single" w:color="auto"/>
              </w:rPr>
              <w:t xml:space="preserve"> </w:t>
            </w:r>
            <w:r>
              <w:rPr>
                <w:color w:val="auto"/>
                <w:spacing w:val="12"/>
                <w:highlight w:val="none"/>
              </w:rPr>
              <w:t>以</w:t>
            </w:r>
            <w:r>
              <w:rPr>
                <w:color w:val="auto"/>
                <w:spacing w:val="-92"/>
                <w:highlight w:val="none"/>
              </w:rPr>
              <w:t xml:space="preserve"> </w:t>
            </w:r>
            <w:r>
              <w:rPr>
                <w:color w:val="auto"/>
                <w:highlight w:val="none"/>
                <w:u w:val="single" w:color="auto"/>
              </w:rPr>
              <w:t xml:space="preserve"> </w:t>
            </w:r>
            <w:r>
              <w:rPr>
                <w:rFonts w:hint="eastAsia"/>
                <w:color w:val="auto"/>
                <w:highlight w:val="none"/>
                <w:u w:val="single" w:color="auto"/>
                <w:lang w:eastAsia="zh-CN"/>
              </w:rPr>
              <w:t>《</w:t>
            </w:r>
            <w:r>
              <w:rPr>
                <w:rFonts w:hint="eastAsia"/>
                <w:color w:val="auto"/>
                <w:highlight w:val="none"/>
                <w:u w:val="single" w:color="auto"/>
              </w:rPr>
              <w:t>关于乳源瑶族自治县大东至岭溪公路新建工程施工图设计的批复</w:t>
            </w:r>
            <w:r>
              <w:rPr>
                <w:rFonts w:hint="eastAsia"/>
                <w:color w:val="auto"/>
                <w:highlight w:val="none"/>
                <w:u w:val="single" w:color="auto"/>
                <w:lang w:eastAsia="zh-CN"/>
              </w:rPr>
              <w:t>》（乳交基[2026]2号）</w:t>
            </w:r>
            <w:r>
              <w:rPr>
                <w:color w:val="auto"/>
                <w:spacing w:val="12"/>
                <w:highlight w:val="none"/>
                <w:u w:val="single" w:color="auto"/>
              </w:rPr>
              <w:t>（批文名称及编号）</w:t>
            </w:r>
            <w:r>
              <w:rPr>
                <w:color w:val="auto"/>
                <w:spacing w:val="12"/>
                <w:highlight w:val="none"/>
              </w:rPr>
              <w:t>批准，建设单位为</w:t>
            </w:r>
            <w:r>
              <w:rPr>
                <w:color w:val="auto"/>
                <w:spacing w:val="-88"/>
                <w:highlight w:val="none"/>
              </w:rPr>
              <w:t xml:space="preserve"> </w:t>
            </w:r>
            <w:r>
              <w:rPr>
                <w:color w:val="auto"/>
                <w:spacing w:val="5"/>
                <w:highlight w:val="none"/>
                <w:u w:val="single" w:color="auto"/>
              </w:rPr>
              <w:t xml:space="preserve"> </w:t>
            </w:r>
            <w:r>
              <w:rPr>
                <w:color w:val="auto"/>
                <w:spacing w:val="5"/>
                <w:highlight w:val="none"/>
                <w:u w:val="single" w:color="auto"/>
                <w:lang w:val="en-US" w:eastAsia="zh-CN"/>
              </w:rPr>
              <w:t>乳源瑶族自治县地方公路事务中心</w:t>
            </w:r>
            <w:r>
              <w:rPr>
                <w:color w:val="auto"/>
                <w:spacing w:val="12"/>
                <w:highlight w:val="none"/>
                <w:u w:val="single" w:color="auto"/>
              </w:rPr>
              <w:t>，</w:t>
            </w:r>
            <w:r>
              <w:rPr>
                <w:color w:val="auto"/>
                <w:spacing w:val="12"/>
                <w:highlight w:val="none"/>
              </w:rPr>
              <w:t>招标人</w:t>
            </w:r>
            <w:r>
              <w:rPr>
                <w:color w:val="auto"/>
                <w:spacing w:val="-1"/>
                <w:highlight w:val="none"/>
              </w:rPr>
              <w:t>为</w:t>
            </w:r>
            <w:r>
              <w:rPr>
                <w:color w:val="auto"/>
                <w:spacing w:val="5"/>
                <w:highlight w:val="none"/>
                <w:u w:val="single" w:color="auto"/>
                <w:lang w:val="en-US" w:eastAsia="zh-CN"/>
              </w:rPr>
              <w:t>乳源瑶族自治县地方公路事务中心</w:t>
            </w:r>
            <w:r>
              <w:rPr>
                <w:color w:val="auto"/>
                <w:spacing w:val="4"/>
                <w:highlight w:val="none"/>
                <w:u w:val="single" w:color="auto"/>
              </w:rPr>
              <w:t xml:space="preserve"> </w:t>
            </w:r>
            <w:r>
              <w:rPr>
                <w:color w:val="auto"/>
                <w:spacing w:val="-1"/>
                <w:highlight w:val="none"/>
              </w:rPr>
              <w:t>。</w:t>
            </w:r>
          </w:p>
          <w:p w14:paraId="46DFEC8C">
            <w:pPr>
              <w:pStyle w:val="17"/>
              <w:spacing w:before="160" w:line="360" w:lineRule="auto"/>
              <w:ind w:left="117" w:right="113" w:firstLine="3"/>
              <w:rPr>
                <w:color w:val="auto"/>
                <w:highlight w:val="none"/>
              </w:rPr>
            </w:pPr>
            <w:r>
              <w:rPr>
                <w:color w:val="auto"/>
                <w:spacing w:val="11"/>
                <w:highlight w:val="none"/>
              </w:rPr>
              <w:t>2.被广东省交通运输厅评为</w:t>
            </w:r>
            <w:r>
              <w:rPr>
                <w:color w:val="auto"/>
                <w:spacing w:val="-94"/>
                <w:highlight w:val="none"/>
              </w:rPr>
              <w:t xml:space="preserve"> </w:t>
            </w:r>
            <w:r>
              <w:rPr>
                <w:color w:val="auto"/>
                <w:spacing w:val="7"/>
                <w:highlight w:val="none"/>
                <w:u w:val="single" w:color="auto"/>
              </w:rPr>
              <w:t xml:space="preserve">  </w:t>
            </w:r>
            <w:r>
              <w:rPr>
                <w:rFonts w:hint="eastAsia"/>
                <w:color w:val="auto"/>
                <w:spacing w:val="7"/>
                <w:highlight w:val="none"/>
                <w:u w:val="single" w:color="auto"/>
                <w:lang w:val="en-US" w:eastAsia="zh-CN"/>
              </w:rPr>
              <w:t>/</w:t>
            </w:r>
            <w:r>
              <w:rPr>
                <w:color w:val="auto"/>
                <w:spacing w:val="7"/>
                <w:highlight w:val="none"/>
                <w:u w:val="single" w:color="auto"/>
              </w:rPr>
              <w:t xml:space="preserve">  </w:t>
            </w:r>
            <w:r>
              <w:rPr>
                <w:color w:val="auto"/>
                <w:spacing w:val="-86"/>
                <w:highlight w:val="none"/>
              </w:rPr>
              <w:t xml:space="preserve"> </w:t>
            </w:r>
            <w:r>
              <w:rPr>
                <w:color w:val="auto"/>
                <w:spacing w:val="11"/>
                <w:highlight w:val="none"/>
              </w:rPr>
              <w:t>级信用等级的投标人，最多可对其中的</w:t>
            </w:r>
            <w:r>
              <w:rPr>
                <w:color w:val="auto"/>
                <w:spacing w:val="-96"/>
                <w:highlight w:val="none"/>
              </w:rPr>
              <w:t xml:space="preserve"> </w:t>
            </w:r>
            <w:r>
              <w:rPr>
                <w:color w:val="auto"/>
                <w:spacing w:val="8"/>
                <w:highlight w:val="none"/>
                <w:u w:val="single" w:color="auto"/>
              </w:rPr>
              <w:t xml:space="preserve">   </w:t>
            </w:r>
            <w:r>
              <w:rPr>
                <w:rFonts w:hint="eastAsia"/>
                <w:color w:val="auto"/>
                <w:spacing w:val="8"/>
                <w:highlight w:val="none"/>
                <w:u w:val="single" w:color="auto"/>
                <w:lang w:val="en-US" w:eastAsia="zh-CN"/>
              </w:rPr>
              <w:t>/</w:t>
            </w:r>
            <w:r>
              <w:rPr>
                <w:color w:val="auto"/>
                <w:spacing w:val="8"/>
                <w:highlight w:val="none"/>
                <w:u w:val="single" w:color="auto"/>
              </w:rPr>
              <w:t xml:space="preserve">  </w:t>
            </w:r>
            <w:r>
              <w:rPr>
                <w:color w:val="auto"/>
                <w:spacing w:val="-91"/>
                <w:highlight w:val="none"/>
              </w:rPr>
              <w:t xml:space="preserve"> </w:t>
            </w:r>
            <w:r>
              <w:rPr>
                <w:color w:val="auto"/>
                <w:spacing w:val="11"/>
                <w:highlight w:val="none"/>
              </w:rPr>
              <w:t>个</w:t>
            </w:r>
            <w:r>
              <w:rPr>
                <w:color w:val="auto"/>
                <w:spacing w:val="11"/>
                <w:highlight w:val="none"/>
                <w:u w:val="single" w:color="auto"/>
              </w:rPr>
              <w:t>标</w:t>
            </w:r>
            <w:r>
              <w:rPr>
                <w:color w:val="auto"/>
                <w:spacing w:val="12"/>
                <w:highlight w:val="none"/>
                <w:u w:val="single" w:color="auto"/>
              </w:rPr>
              <w:t>类或标段</w:t>
            </w:r>
            <w:r>
              <w:rPr>
                <w:color w:val="auto"/>
                <w:spacing w:val="12"/>
                <w:highlight w:val="none"/>
              </w:rPr>
              <w:t>进行投标，其余投标人最多可对其中的</w:t>
            </w:r>
            <w:r>
              <w:rPr>
                <w:color w:val="auto"/>
                <w:spacing w:val="-85"/>
                <w:highlight w:val="none"/>
              </w:rPr>
              <w:t xml:space="preserve"> </w:t>
            </w:r>
            <w:r>
              <w:rPr>
                <w:color w:val="auto"/>
                <w:spacing w:val="8"/>
                <w:highlight w:val="none"/>
                <w:u w:val="single" w:color="auto"/>
              </w:rPr>
              <w:t xml:space="preserve">  </w:t>
            </w:r>
            <w:r>
              <w:rPr>
                <w:rFonts w:hint="eastAsia"/>
                <w:color w:val="auto"/>
                <w:spacing w:val="8"/>
                <w:highlight w:val="none"/>
                <w:u w:val="single" w:color="auto"/>
                <w:lang w:val="en-US" w:eastAsia="zh-CN"/>
              </w:rPr>
              <w:t>/</w:t>
            </w:r>
            <w:r>
              <w:rPr>
                <w:color w:val="auto"/>
                <w:spacing w:val="-91"/>
                <w:highlight w:val="none"/>
              </w:rPr>
              <w:t xml:space="preserve"> </w:t>
            </w:r>
            <w:r>
              <w:rPr>
                <w:color w:val="auto"/>
                <w:spacing w:val="12"/>
                <w:highlight w:val="none"/>
              </w:rPr>
              <w:t>个</w:t>
            </w:r>
            <w:r>
              <w:rPr>
                <w:color w:val="auto"/>
                <w:spacing w:val="12"/>
                <w:highlight w:val="none"/>
                <w:u w:val="single" w:color="auto"/>
              </w:rPr>
              <w:t>标类或</w:t>
            </w:r>
            <w:r>
              <w:rPr>
                <w:color w:val="auto"/>
                <w:spacing w:val="12"/>
                <w:highlight w:val="none"/>
              </w:rPr>
              <w:t>标段进行投标，每个</w:t>
            </w:r>
            <w:r>
              <w:rPr>
                <w:color w:val="auto"/>
                <w:spacing w:val="9"/>
                <w:highlight w:val="none"/>
              </w:rPr>
              <w:t>投标人只允许中</w:t>
            </w:r>
            <w:r>
              <w:rPr>
                <w:color w:val="auto"/>
                <w:spacing w:val="9"/>
                <w:highlight w:val="none"/>
                <w:u w:val="single" w:color="auto"/>
              </w:rPr>
              <w:t xml:space="preserve"> </w:t>
            </w:r>
            <w:r>
              <w:rPr>
                <w:rFonts w:hint="eastAsia"/>
                <w:color w:val="auto"/>
                <w:spacing w:val="9"/>
                <w:highlight w:val="none"/>
                <w:u w:val="single" w:color="auto"/>
                <w:lang w:val="en-US" w:eastAsia="zh-CN"/>
              </w:rPr>
              <w:t>/</w:t>
            </w:r>
            <w:r>
              <w:rPr>
                <w:color w:val="auto"/>
                <w:spacing w:val="9"/>
                <w:highlight w:val="none"/>
                <w:u w:val="single" w:color="auto"/>
              </w:rPr>
              <w:t xml:space="preserve"> </w:t>
            </w:r>
            <w:r>
              <w:rPr>
                <w:color w:val="auto"/>
                <w:spacing w:val="-77"/>
                <w:highlight w:val="none"/>
              </w:rPr>
              <w:t xml:space="preserve"> </w:t>
            </w:r>
            <w:r>
              <w:rPr>
                <w:color w:val="auto"/>
                <w:spacing w:val="9"/>
                <w:highlight w:val="none"/>
              </w:rPr>
              <w:t>个标段。（本款所指的信用等级为广东省交通运输厅最新年度发布的广东省公路工程从业单位信用等级（监理单位</w:t>
            </w:r>
            <w:r>
              <w:rPr>
                <w:color w:val="auto"/>
                <w:spacing w:val="24"/>
                <w:highlight w:val="none"/>
              </w:rPr>
              <w:t>），</w:t>
            </w:r>
            <w:r>
              <w:rPr>
                <w:color w:val="auto"/>
                <w:spacing w:val="9"/>
                <w:highlight w:val="none"/>
              </w:rPr>
              <w:t>投标登记阶段无需承诺是否</w:t>
            </w:r>
            <w:r>
              <w:rPr>
                <w:color w:val="auto"/>
                <w:spacing w:val="8"/>
                <w:highlight w:val="none"/>
              </w:rPr>
              <w:t>在此次投标过程中使用）</w:t>
            </w:r>
            <w:r>
              <w:rPr>
                <w:color w:val="auto"/>
                <w:highlight w:val="none"/>
              </w:rPr>
              <w:fldChar w:fldCharType="begin"/>
            </w:r>
            <w:r>
              <w:rPr>
                <w:color w:val="auto"/>
                <w:highlight w:val="none"/>
              </w:rPr>
              <w:instrText xml:space="preserve"> HYPERLINK \l "bookmark31" </w:instrText>
            </w:r>
            <w:r>
              <w:rPr>
                <w:color w:val="auto"/>
                <w:highlight w:val="none"/>
              </w:rPr>
              <w:fldChar w:fldCharType="separate"/>
            </w:r>
            <w:r>
              <w:rPr>
                <w:color w:val="auto"/>
                <w:spacing w:val="8"/>
                <w:position w:val="10"/>
                <w:sz w:val="10"/>
                <w:szCs w:val="10"/>
                <w:highlight w:val="none"/>
              </w:rPr>
              <w:t>①</w:t>
            </w:r>
            <w:r>
              <w:rPr>
                <w:color w:val="auto"/>
                <w:spacing w:val="8"/>
                <w:position w:val="10"/>
                <w:sz w:val="10"/>
                <w:szCs w:val="10"/>
                <w:highlight w:val="none"/>
              </w:rPr>
              <w:fldChar w:fldCharType="end"/>
            </w:r>
            <w:r>
              <w:rPr>
                <w:color w:val="auto"/>
                <w:spacing w:val="8"/>
                <w:highlight w:val="none"/>
              </w:rPr>
              <w:t>。</w:t>
            </w:r>
          </w:p>
          <w:p w14:paraId="1B86C087">
            <w:pPr>
              <w:pStyle w:val="17"/>
              <w:spacing w:before="1" w:line="360" w:lineRule="auto"/>
              <w:ind w:left="119" w:right="113" w:firstLine="2"/>
              <w:rPr>
                <w:color w:val="auto"/>
                <w:highlight w:val="none"/>
              </w:rPr>
            </w:pPr>
            <w:r>
              <w:rPr>
                <w:color w:val="auto"/>
                <w:spacing w:val="9"/>
                <w:highlight w:val="none"/>
              </w:rPr>
              <w:t>3.与招标人存在利害关系可能影响招标公正性的法人，不得参加投标；若单位负责</w:t>
            </w:r>
            <w:r>
              <w:rPr>
                <w:color w:val="auto"/>
                <w:spacing w:val="12"/>
                <w:highlight w:val="none"/>
              </w:rPr>
              <w:t>人</w:t>
            </w:r>
            <w:r>
              <w:rPr>
                <w:color w:val="auto"/>
                <w:highlight w:val="none"/>
              </w:rPr>
              <w:fldChar w:fldCharType="begin"/>
            </w:r>
            <w:r>
              <w:rPr>
                <w:color w:val="auto"/>
                <w:highlight w:val="none"/>
              </w:rPr>
              <w:instrText xml:space="preserve"> HYPERLINK \l "bookmark32" </w:instrText>
            </w:r>
            <w:r>
              <w:rPr>
                <w:color w:val="auto"/>
                <w:highlight w:val="none"/>
              </w:rPr>
              <w:fldChar w:fldCharType="separate"/>
            </w:r>
            <w:r>
              <w:rPr>
                <w:color w:val="auto"/>
                <w:spacing w:val="12"/>
                <w:position w:val="10"/>
                <w:sz w:val="10"/>
                <w:szCs w:val="10"/>
                <w:highlight w:val="none"/>
              </w:rPr>
              <w:t>②</w:t>
            </w:r>
            <w:r>
              <w:rPr>
                <w:color w:val="auto"/>
                <w:spacing w:val="12"/>
                <w:position w:val="10"/>
                <w:sz w:val="10"/>
                <w:szCs w:val="10"/>
                <w:highlight w:val="none"/>
              </w:rPr>
              <w:fldChar w:fldCharType="end"/>
            </w:r>
            <w:r>
              <w:rPr>
                <w:color w:val="auto"/>
                <w:spacing w:val="12"/>
                <w:highlight w:val="none"/>
              </w:rPr>
              <w:t>为同一人、或者存在控股</w:t>
            </w:r>
            <w:r>
              <w:rPr>
                <w:color w:val="auto"/>
                <w:highlight w:val="none"/>
              </w:rPr>
              <w:fldChar w:fldCharType="begin"/>
            </w:r>
            <w:r>
              <w:rPr>
                <w:color w:val="auto"/>
                <w:highlight w:val="none"/>
              </w:rPr>
              <w:instrText xml:space="preserve"> HYPERLINK \l "bookmark33" </w:instrText>
            </w:r>
            <w:r>
              <w:rPr>
                <w:color w:val="auto"/>
                <w:highlight w:val="none"/>
              </w:rPr>
              <w:fldChar w:fldCharType="separate"/>
            </w:r>
            <w:r>
              <w:rPr>
                <w:color w:val="auto"/>
                <w:spacing w:val="12"/>
                <w:position w:val="10"/>
                <w:sz w:val="10"/>
                <w:szCs w:val="10"/>
                <w:highlight w:val="none"/>
              </w:rPr>
              <w:t>③</w:t>
            </w:r>
            <w:r>
              <w:rPr>
                <w:color w:val="auto"/>
                <w:spacing w:val="12"/>
                <w:position w:val="10"/>
                <w:sz w:val="10"/>
                <w:szCs w:val="10"/>
                <w:highlight w:val="none"/>
              </w:rPr>
              <w:fldChar w:fldCharType="end"/>
            </w:r>
            <w:r>
              <w:rPr>
                <w:color w:val="auto"/>
                <w:spacing w:val="-25"/>
                <w:position w:val="10"/>
                <w:sz w:val="10"/>
                <w:szCs w:val="10"/>
                <w:highlight w:val="none"/>
              </w:rPr>
              <w:t xml:space="preserve"> </w:t>
            </w:r>
            <w:r>
              <w:rPr>
                <w:color w:val="auto"/>
                <w:spacing w:val="12"/>
                <w:highlight w:val="none"/>
              </w:rPr>
              <w:t>、管理关系</w:t>
            </w:r>
            <w:r>
              <w:rPr>
                <w:color w:val="auto"/>
                <w:highlight w:val="none"/>
              </w:rPr>
              <w:fldChar w:fldCharType="begin"/>
            </w:r>
            <w:r>
              <w:rPr>
                <w:color w:val="auto"/>
                <w:highlight w:val="none"/>
              </w:rPr>
              <w:instrText xml:space="preserve"> HYPERLINK \l "bookmark34" </w:instrText>
            </w:r>
            <w:r>
              <w:rPr>
                <w:color w:val="auto"/>
                <w:highlight w:val="none"/>
              </w:rPr>
              <w:fldChar w:fldCharType="separate"/>
            </w:r>
            <w:r>
              <w:rPr>
                <w:color w:val="auto"/>
                <w:spacing w:val="12"/>
                <w:position w:val="10"/>
                <w:sz w:val="10"/>
                <w:szCs w:val="10"/>
                <w:highlight w:val="none"/>
              </w:rPr>
              <w:t>④</w:t>
            </w:r>
            <w:r>
              <w:rPr>
                <w:color w:val="auto"/>
                <w:spacing w:val="12"/>
                <w:position w:val="10"/>
                <w:sz w:val="10"/>
                <w:szCs w:val="10"/>
                <w:highlight w:val="none"/>
              </w:rPr>
              <w:fldChar w:fldCharType="end"/>
            </w:r>
            <w:r>
              <w:rPr>
                <w:color w:val="auto"/>
                <w:spacing w:val="12"/>
                <w:highlight w:val="none"/>
              </w:rPr>
              <w:t>的不</w:t>
            </w:r>
            <w:r>
              <w:rPr>
                <w:color w:val="auto"/>
                <w:spacing w:val="11"/>
                <w:highlight w:val="none"/>
              </w:rPr>
              <w:t>同单位，不得参加同一标段投标或</w:t>
            </w:r>
          </w:p>
        </w:tc>
      </w:tr>
    </w:tbl>
    <w:p w14:paraId="50720798">
      <w:pPr>
        <w:spacing w:line="290" w:lineRule="auto"/>
        <w:rPr>
          <w:rFonts w:ascii="Arial"/>
          <w:color w:val="auto"/>
          <w:sz w:val="21"/>
          <w:highlight w:val="none"/>
        </w:rPr>
      </w:pPr>
    </w:p>
    <w:p w14:paraId="5BDCB994">
      <w:pPr>
        <w:spacing w:before="59" w:line="220" w:lineRule="auto"/>
        <w:ind w:left="320"/>
        <w:rPr>
          <w:rFonts w:ascii="宋体" w:hAnsi="宋体" w:eastAsia="宋体" w:cs="宋体"/>
          <w:color w:val="auto"/>
          <w:sz w:val="18"/>
          <w:szCs w:val="18"/>
          <w:highlight w:val="none"/>
        </w:rPr>
      </w:pPr>
      <w:bookmarkStart w:id="13" w:name="bookmark31"/>
      <w:bookmarkEnd w:id="13"/>
      <w:bookmarkStart w:id="14" w:name="bookmark33"/>
      <w:bookmarkEnd w:id="14"/>
      <w:bookmarkStart w:id="15" w:name="bookmark32"/>
      <w:bookmarkEnd w:id="15"/>
      <w:r>
        <w:rPr>
          <w:rFonts w:ascii="宋体" w:hAnsi="宋体" w:eastAsia="宋体" w:cs="宋体"/>
          <w:color w:val="auto"/>
          <w:spacing w:val="-1"/>
          <w:sz w:val="18"/>
          <w:szCs w:val="18"/>
          <w:highlight w:val="none"/>
        </w:rPr>
        <w:t>① 适用于多个标段同时进行招标的情形。</w:t>
      </w:r>
    </w:p>
    <w:p w14:paraId="32B5BDF9">
      <w:pPr>
        <w:spacing w:before="21" w:line="217" w:lineRule="auto"/>
        <w:ind w:left="319"/>
        <w:rPr>
          <w:rFonts w:ascii="宋体" w:hAnsi="宋体" w:eastAsia="宋体" w:cs="宋体"/>
          <w:color w:val="auto"/>
          <w:sz w:val="18"/>
          <w:szCs w:val="18"/>
          <w:highlight w:val="none"/>
        </w:rPr>
      </w:pPr>
      <w:r>
        <w:rPr>
          <w:rFonts w:ascii="宋体" w:hAnsi="宋体" w:eastAsia="宋体" w:cs="宋体"/>
          <w:color w:val="auto"/>
          <w:sz w:val="18"/>
          <w:szCs w:val="18"/>
          <w:highlight w:val="none"/>
        </w:rPr>
        <w:t>② 单位负责人是指单位的法定代表人或者法律、行政法规规定代表单位行使职权的</w:t>
      </w:r>
      <w:r>
        <w:rPr>
          <w:rFonts w:ascii="宋体" w:hAnsi="宋体" w:eastAsia="宋体" w:cs="宋体"/>
          <w:color w:val="auto"/>
          <w:spacing w:val="-1"/>
          <w:sz w:val="18"/>
          <w:szCs w:val="18"/>
          <w:highlight w:val="none"/>
        </w:rPr>
        <w:t>主要负责人。</w:t>
      </w:r>
    </w:p>
    <w:p w14:paraId="44BF32FE">
      <w:pPr>
        <w:spacing w:before="21" w:line="232" w:lineRule="auto"/>
        <w:ind w:left="319" w:right="387"/>
        <w:rPr>
          <w:rFonts w:ascii="宋体" w:hAnsi="宋体" w:eastAsia="宋体" w:cs="宋体"/>
          <w:color w:val="auto"/>
          <w:sz w:val="18"/>
          <w:szCs w:val="18"/>
          <w:highlight w:val="none"/>
        </w:rPr>
      </w:pPr>
      <w:r>
        <w:rPr>
          <w:rFonts w:ascii="宋体" w:hAnsi="宋体" w:eastAsia="宋体" w:cs="宋体"/>
          <w:color w:val="auto"/>
          <w:sz w:val="18"/>
          <w:szCs w:val="18"/>
          <w:highlight w:val="none"/>
        </w:rPr>
        <w:t>③ 控股是指出资额占有限责任公司资本总额</w:t>
      </w:r>
      <w:r>
        <w:rPr>
          <w:rFonts w:ascii="宋体" w:hAnsi="宋体" w:eastAsia="宋体" w:cs="宋体"/>
          <w:color w:val="auto"/>
          <w:spacing w:val="-33"/>
          <w:sz w:val="18"/>
          <w:szCs w:val="18"/>
          <w:highlight w:val="none"/>
        </w:rPr>
        <w:t xml:space="preserve"> </w:t>
      </w:r>
      <w:r>
        <w:rPr>
          <w:rFonts w:ascii="宋体" w:hAnsi="宋体" w:eastAsia="宋体" w:cs="宋体"/>
          <w:color w:val="auto"/>
          <w:sz w:val="18"/>
          <w:szCs w:val="18"/>
          <w:highlight w:val="none"/>
        </w:rPr>
        <w:t>50%</w:t>
      </w:r>
      <w:r>
        <w:rPr>
          <w:rFonts w:ascii="宋体" w:hAnsi="宋体" w:eastAsia="宋体" w:cs="宋体"/>
          <w:color w:val="auto"/>
          <w:spacing w:val="-1"/>
          <w:sz w:val="18"/>
          <w:szCs w:val="18"/>
          <w:highlight w:val="none"/>
        </w:rPr>
        <w:t>以上或者其持有的股份占股份有限公司股本总额</w:t>
      </w:r>
      <w:r>
        <w:rPr>
          <w:rFonts w:ascii="宋体" w:hAnsi="宋体" w:eastAsia="宋体" w:cs="宋体"/>
          <w:color w:val="auto"/>
          <w:spacing w:val="-34"/>
          <w:sz w:val="18"/>
          <w:szCs w:val="18"/>
          <w:highlight w:val="none"/>
        </w:rPr>
        <w:t xml:space="preserve"> </w:t>
      </w:r>
      <w:r>
        <w:rPr>
          <w:rFonts w:ascii="宋体" w:hAnsi="宋体" w:eastAsia="宋体" w:cs="宋体"/>
          <w:color w:val="auto"/>
          <w:spacing w:val="-1"/>
          <w:sz w:val="18"/>
          <w:szCs w:val="18"/>
          <w:highlight w:val="none"/>
        </w:rPr>
        <w:t>50%以上的，以及</w:t>
      </w:r>
      <w:r>
        <w:rPr>
          <w:rFonts w:ascii="宋体" w:hAnsi="宋体" w:eastAsia="宋体" w:cs="宋体"/>
          <w:color w:val="auto"/>
          <w:sz w:val="18"/>
          <w:szCs w:val="18"/>
          <w:highlight w:val="none"/>
        </w:rPr>
        <w:t>出资额或者持有股份的比例虽然不足</w:t>
      </w:r>
      <w:r>
        <w:rPr>
          <w:rFonts w:ascii="宋体" w:hAnsi="宋体" w:eastAsia="宋体" w:cs="宋体"/>
          <w:color w:val="auto"/>
          <w:spacing w:val="-34"/>
          <w:sz w:val="18"/>
          <w:szCs w:val="18"/>
          <w:highlight w:val="none"/>
        </w:rPr>
        <w:t xml:space="preserve"> </w:t>
      </w:r>
      <w:r>
        <w:rPr>
          <w:rFonts w:ascii="宋体" w:hAnsi="宋体" w:eastAsia="宋体" w:cs="宋体"/>
          <w:color w:val="auto"/>
          <w:sz w:val="18"/>
          <w:szCs w:val="18"/>
          <w:highlight w:val="none"/>
        </w:rPr>
        <w:t>50%，但依其出资额或者持有的股份所</w:t>
      </w:r>
      <w:r>
        <w:rPr>
          <w:rFonts w:ascii="宋体" w:hAnsi="宋体" w:eastAsia="宋体" w:cs="宋体"/>
          <w:color w:val="auto"/>
          <w:spacing w:val="-1"/>
          <w:sz w:val="18"/>
          <w:szCs w:val="18"/>
          <w:highlight w:val="none"/>
        </w:rPr>
        <w:t>享有的表决权已足以对股东会、股东大</w:t>
      </w:r>
      <w:bookmarkStart w:id="16" w:name="bookmark34"/>
      <w:bookmarkEnd w:id="16"/>
      <w:r>
        <w:rPr>
          <w:rFonts w:ascii="宋体" w:hAnsi="宋体" w:eastAsia="宋体" w:cs="宋体"/>
          <w:color w:val="auto"/>
          <w:spacing w:val="-1"/>
          <w:sz w:val="18"/>
          <w:szCs w:val="18"/>
          <w:highlight w:val="none"/>
        </w:rPr>
        <w:t>会的决议产生重大影响的。</w:t>
      </w:r>
    </w:p>
    <w:p w14:paraId="68A6385E">
      <w:pPr>
        <w:spacing w:before="19" w:line="220" w:lineRule="auto"/>
        <w:ind w:left="319"/>
        <w:rPr>
          <w:rFonts w:ascii="宋体" w:hAnsi="宋体" w:eastAsia="宋体" w:cs="宋体"/>
          <w:color w:val="auto"/>
          <w:sz w:val="18"/>
          <w:szCs w:val="18"/>
          <w:highlight w:val="none"/>
        </w:rPr>
      </w:pPr>
      <w:r>
        <w:rPr>
          <w:rFonts w:ascii="宋体" w:hAnsi="宋体" w:eastAsia="宋体" w:cs="宋体"/>
          <w:color w:val="auto"/>
          <w:sz w:val="18"/>
          <w:szCs w:val="18"/>
          <w:highlight w:val="none"/>
        </w:rPr>
        <w:t>④ 管理关系是指不具有出资持股关系的其他单位之间存在的管理与</w:t>
      </w:r>
      <w:r>
        <w:rPr>
          <w:rFonts w:ascii="宋体" w:hAnsi="宋体" w:eastAsia="宋体" w:cs="宋体"/>
          <w:color w:val="auto"/>
          <w:spacing w:val="-1"/>
          <w:sz w:val="18"/>
          <w:szCs w:val="18"/>
          <w:highlight w:val="none"/>
        </w:rPr>
        <w:t>被管理关系。</w:t>
      </w:r>
    </w:p>
    <w:p w14:paraId="415EA34D">
      <w:pPr>
        <w:spacing w:line="220" w:lineRule="auto"/>
        <w:rPr>
          <w:rFonts w:ascii="宋体" w:hAnsi="宋体" w:eastAsia="宋体" w:cs="宋体"/>
          <w:color w:val="auto"/>
          <w:sz w:val="18"/>
          <w:szCs w:val="18"/>
          <w:highlight w:val="none"/>
        </w:rPr>
        <w:sectPr>
          <w:footerReference r:id="rId9" w:type="default"/>
          <w:pgSz w:w="11906" w:h="16839"/>
          <w:pgMar w:top="1416" w:right="1102" w:bottom="1297" w:left="1102" w:header="0" w:footer="1067" w:gutter="0"/>
          <w:pgNumType w:fmt="decimal"/>
          <w:cols w:space="720" w:num="1"/>
        </w:sectPr>
      </w:pPr>
    </w:p>
    <w:tbl>
      <w:tblPr>
        <w:tblStyle w:val="16"/>
        <w:tblW w:w="96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7793"/>
      </w:tblGrid>
      <w:tr w14:paraId="0A02D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052" w:hRule="atLeast"/>
        </w:trPr>
        <w:tc>
          <w:tcPr>
            <w:tcW w:w="1903" w:type="dxa"/>
            <w:vAlign w:val="top"/>
          </w:tcPr>
          <w:p w14:paraId="0BAAE3B6">
            <w:pPr>
              <w:rPr>
                <w:rFonts w:ascii="Arial"/>
                <w:color w:val="auto"/>
                <w:sz w:val="21"/>
                <w:highlight w:val="none"/>
              </w:rPr>
            </w:pPr>
          </w:p>
        </w:tc>
        <w:tc>
          <w:tcPr>
            <w:tcW w:w="7793" w:type="dxa"/>
            <w:vAlign w:val="top"/>
          </w:tcPr>
          <w:p w14:paraId="0F722BD6">
            <w:pPr>
              <w:pStyle w:val="17"/>
              <w:spacing w:before="35" w:line="228" w:lineRule="auto"/>
              <w:ind w:left="119"/>
              <w:rPr>
                <w:color w:val="auto"/>
                <w:highlight w:val="none"/>
              </w:rPr>
            </w:pPr>
            <w:r>
              <w:rPr>
                <w:color w:val="auto"/>
                <w:spacing w:val="9"/>
                <w:highlight w:val="none"/>
              </w:rPr>
              <w:t>者未划分标段的同一招标项目投标，否则按否决其投标处理。</w:t>
            </w:r>
          </w:p>
          <w:p w14:paraId="5903D09F">
            <w:pPr>
              <w:pStyle w:val="17"/>
              <w:spacing w:before="160" w:line="370" w:lineRule="auto"/>
              <w:ind w:left="118" w:right="113" w:hanging="1"/>
              <w:rPr>
                <w:color w:val="auto"/>
                <w:highlight w:val="none"/>
              </w:rPr>
            </w:pPr>
            <w:r>
              <w:rPr>
                <w:color w:val="auto"/>
                <w:spacing w:val="10"/>
                <w:highlight w:val="none"/>
              </w:rPr>
              <w:t>4.投标人及与投标人有隶属关系或其他利害关系的</w:t>
            </w:r>
            <w:r>
              <w:rPr>
                <w:color w:val="auto"/>
                <w:spacing w:val="9"/>
                <w:highlight w:val="none"/>
              </w:rPr>
              <w:t>单位同时参加本工程项目施工监</w:t>
            </w:r>
            <w:r>
              <w:rPr>
                <w:color w:val="auto"/>
                <w:spacing w:val="10"/>
                <w:highlight w:val="none"/>
              </w:rPr>
              <w:t>理和中心试验室试验检测服务的投标时，对于工作范围有重合的施工</w:t>
            </w:r>
            <w:r>
              <w:rPr>
                <w:color w:val="auto"/>
                <w:spacing w:val="9"/>
                <w:highlight w:val="none"/>
              </w:rPr>
              <w:t>监理标段和中</w:t>
            </w:r>
            <w:r>
              <w:rPr>
                <w:color w:val="auto"/>
                <w:spacing w:val="12"/>
                <w:highlight w:val="none"/>
              </w:rPr>
              <w:t>心试验室试验检测服务标段不允许兼中，即施工监理</w:t>
            </w:r>
            <w:r>
              <w:rPr>
                <w:color w:val="auto"/>
                <w:spacing w:val="-87"/>
                <w:highlight w:val="none"/>
              </w:rPr>
              <w:t xml:space="preserve"> </w:t>
            </w:r>
            <w:r>
              <w:rPr>
                <w:color w:val="auto"/>
                <w:spacing w:val="8"/>
                <w:highlight w:val="none"/>
                <w:u w:val="single" w:color="auto"/>
              </w:rPr>
              <w:t xml:space="preserve"> </w:t>
            </w:r>
            <w:r>
              <w:rPr>
                <w:rFonts w:hint="eastAsia"/>
                <w:color w:val="auto"/>
                <w:spacing w:val="8"/>
                <w:highlight w:val="none"/>
                <w:u w:val="single" w:color="auto"/>
                <w:lang w:val="en-US" w:eastAsia="zh-CN"/>
              </w:rPr>
              <w:t>/</w:t>
            </w:r>
            <w:r>
              <w:rPr>
                <w:color w:val="auto"/>
                <w:spacing w:val="8"/>
                <w:highlight w:val="none"/>
                <w:u w:val="single" w:color="auto"/>
              </w:rPr>
              <w:t xml:space="preserve">  </w:t>
            </w:r>
            <w:r>
              <w:rPr>
                <w:color w:val="auto"/>
                <w:spacing w:val="-91"/>
                <w:highlight w:val="none"/>
              </w:rPr>
              <w:t xml:space="preserve"> </w:t>
            </w:r>
            <w:r>
              <w:rPr>
                <w:color w:val="auto"/>
                <w:spacing w:val="12"/>
                <w:highlight w:val="none"/>
              </w:rPr>
              <w:t>标段与中心试验室试验检</w:t>
            </w:r>
            <w:r>
              <w:rPr>
                <w:color w:val="auto"/>
                <w:spacing w:val="6"/>
                <w:highlight w:val="none"/>
              </w:rPr>
              <w:t>测服务</w:t>
            </w:r>
            <w:r>
              <w:rPr>
                <w:color w:val="auto"/>
                <w:spacing w:val="6"/>
                <w:highlight w:val="none"/>
                <w:u w:val="single" w:color="auto"/>
              </w:rPr>
              <w:t xml:space="preserve">  </w:t>
            </w:r>
            <w:r>
              <w:rPr>
                <w:rFonts w:hint="eastAsia"/>
                <w:color w:val="auto"/>
                <w:spacing w:val="6"/>
                <w:highlight w:val="none"/>
                <w:u w:val="single" w:color="auto"/>
                <w:lang w:val="en-US" w:eastAsia="zh-CN"/>
              </w:rPr>
              <w:t>/</w:t>
            </w:r>
            <w:r>
              <w:rPr>
                <w:color w:val="auto"/>
                <w:spacing w:val="6"/>
                <w:highlight w:val="none"/>
                <w:u w:val="single" w:color="auto"/>
              </w:rPr>
              <w:t xml:space="preserve"> </w:t>
            </w:r>
            <w:r>
              <w:rPr>
                <w:color w:val="auto"/>
                <w:spacing w:val="-77"/>
                <w:highlight w:val="none"/>
              </w:rPr>
              <w:t xml:space="preserve"> </w:t>
            </w:r>
            <w:r>
              <w:rPr>
                <w:color w:val="auto"/>
                <w:spacing w:val="6"/>
                <w:highlight w:val="none"/>
              </w:rPr>
              <w:t>标段工作范围重合</w:t>
            </w:r>
            <w:r>
              <w:rPr>
                <w:color w:val="auto"/>
                <w:highlight w:val="none"/>
              </w:rPr>
              <w:fldChar w:fldCharType="begin"/>
            </w:r>
            <w:r>
              <w:rPr>
                <w:color w:val="auto"/>
                <w:highlight w:val="none"/>
              </w:rPr>
              <w:instrText xml:space="preserve"> HYPERLINK \l "bookmark35" </w:instrText>
            </w:r>
            <w:r>
              <w:rPr>
                <w:color w:val="auto"/>
                <w:highlight w:val="none"/>
              </w:rPr>
              <w:fldChar w:fldCharType="separate"/>
            </w:r>
            <w:r>
              <w:rPr>
                <w:color w:val="auto"/>
                <w:spacing w:val="6"/>
                <w:position w:val="10"/>
                <w:sz w:val="10"/>
                <w:szCs w:val="10"/>
                <w:highlight w:val="none"/>
              </w:rPr>
              <w:t>①</w:t>
            </w:r>
            <w:r>
              <w:rPr>
                <w:color w:val="auto"/>
                <w:spacing w:val="6"/>
                <w:position w:val="10"/>
                <w:sz w:val="10"/>
                <w:szCs w:val="10"/>
                <w:highlight w:val="none"/>
              </w:rPr>
              <w:fldChar w:fldCharType="end"/>
            </w:r>
            <w:r>
              <w:rPr>
                <w:color w:val="auto"/>
                <w:spacing w:val="6"/>
                <w:highlight w:val="none"/>
              </w:rPr>
              <w:t>。</w:t>
            </w:r>
          </w:p>
          <w:p w14:paraId="4082CF78">
            <w:pPr>
              <w:pStyle w:val="17"/>
              <w:spacing w:before="14" w:line="310" w:lineRule="auto"/>
              <w:ind w:left="126" w:right="113" w:hanging="4"/>
              <w:rPr>
                <w:color w:val="auto"/>
                <w:highlight w:val="none"/>
              </w:rPr>
            </w:pPr>
            <w:r>
              <w:rPr>
                <w:color w:val="auto"/>
                <w:spacing w:val="11"/>
                <w:highlight w:val="none"/>
              </w:rPr>
              <w:t>5.在“信用中国</w:t>
            </w:r>
            <w:r>
              <w:rPr>
                <w:color w:val="auto"/>
                <w:spacing w:val="-56"/>
                <w:highlight w:val="none"/>
              </w:rPr>
              <w:t xml:space="preserve"> </w:t>
            </w:r>
            <w:r>
              <w:rPr>
                <w:color w:val="auto"/>
                <w:spacing w:val="11"/>
                <w:highlight w:val="none"/>
              </w:rPr>
              <w:t>”网站</w:t>
            </w:r>
            <w:r>
              <w:rPr>
                <w:color w:val="auto"/>
                <w:highlight w:val="none"/>
              </w:rPr>
              <w:fldChar w:fldCharType="begin"/>
            </w:r>
            <w:r>
              <w:rPr>
                <w:color w:val="auto"/>
                <w:highlight w:val="none"/>
              </w:rPr>
              <w:instrText xml:space="preserve"> HYPERLINK \l "bookmark36" </w:instrText>
            </w:r>
            <w:r>
              <w:rPr>
                <w:color w:val="auto"/>
                <w:highlight w:val="none"/>
              </w:rPr>
              <w:fldChar w:fldCharType="separate"/>
            </w:r>
            <w:r>
              <w:rPr>
                <w:color w:val="auto"/>
                <w:spacing w:val="11"/>
                <w:position w:val="10"/>
                <w:sz w:val="10"/>
                <w:szCs w:val="10"/>
                <w:highlight w:val="none"/>
              </w:rPr>
              <w:t>②</w:t>
            </w:r>
            <w:r>
              <w:rPr>
                <w:color w:val="auto"/>
                <w:spacing w:val="11"/>
                <w:position w:val="10"/>
                <w:sz w:val="10"/>
                <w:szCs w:val="10"/>
                <w:highlight w:val="none"/>
              </w:rPr>
              <w:fldChar w:fldCharType="end"/>
            </w:r>
            <w:r>
              <w:rPr>
                <w:color w:val="auto"/>
                <w:spacing w:val="11"/>
                <w:highlight w:val="none"/>
              </w:rPr>
              <w:t>中被列入失信被执行人名单的投标人，在国家企业信用信</w:t>
            </w:r>
            <w:r>
              <w:rPr>
                <w:color w:val="auto"/>
                <w:spacing w:val="9"/>
                <w:highlight w:val="none"/>
              </w:rPr>
              <w:t>息公示系统中被列入严重违法失信名单的投标人，均按否决投标处理。</w:t>
            </w:r>
          </w:p>
          <w:p w14:paraId="50272FD6">
            <w:pPr>
              <w:pStyle w:val="17"/>
              <w:spacing w:before="1" w:line="226" w:lineRule="auto"/>
              <w:ind w:left="118"/>
              <w:rPr>
                <w:color w:val="auto"/>
                <w:highlight w:val="none"/>
              </w:rPr>
            </w:pPr>
            <w:r>
              <w:rPr>
                <w:color w:val="auto"/>
                <w:spacing w:val="6"/>
                <w:highlight w:val="none"/>
              </w:rPr>
              <w:t>6.</w:t>
            </w:r>
            <w:r>
              <w:rPr>
                <w:color w:val="auto"/>
                <w:spacing w:val="8"/>
                <w:highlight w:val="none"/>
              </w:rPr>
              <w:t>招标人将</w:t>
            </w:r>
            <w:r>
              <w:rPr>
                <w:color w:val="auto"/>
                <w:spacing w:val="8"/>
                <w:highlight w:val="none"/>
                <w:u w:val="single" w:color="auto"/>
              </w:rPr>
              <w:t xml:space="preserve"> 不组织</w:t>
            </w:r>
            <w:r>
              <w:rPr>
                <w:rFonts w:hint="eastAsia"/>
                <w:color w:val="auto"/>
                <w:spacing w:val="8"/>
                <w:highlight w:val="none"/>
                <w:u w:val="single" w:color="auto"/>
                <w:lang w:val="en-US" w:eastAsia="zh-CN"/>
              </w:rPr>
              <w:t xml:space="preserve"> </w:t>
            </w:r>
            <w:r>
              <w:rPr>
                <w:color w:val="auto"/>
                <w:spacing w:val="8"/>
                <w:highlight w:val="none"/>
              </w:rPr>
              <w:t>踏勘现场和投标预备会。</w:t>
            </w:r>
          </w:p>
          <w:p w14:paraId="7C88FF89">
            <w:pPr>
              <w:pStyle w:val="17"/>
              <w:spacing w:before="163" w:line="356" w:lineRule="auto"/>
              <w:ind w:left="117" w:right="113" w:firstLine="2"/>
              <w:rPr>
                <w:color w:val="auto"/>
                <w:highlight w:val="none"/>
              </w:rPr>
            </w:pPr>
            <w:r>
              <w:rPr>
                <w:rFonts w:hint="eastAsia" w:ascii="MingLiU-ExtB" w:hAnsi="MingLiU-ExtB" w:cs="MingLiU-ExtB"/>
                <w:color w:val="auto"/>
                <w:spacing w:val="9"/>
                <w:highlight w:val="none"/>
                <w:lang w:val="en-US" w:eastAsia="zh-CN"/>
              </w:rPr>
              <w:t>7</w:t>
            </w:r>
            <w:r>
              <w:rPr>
                <w:color w:val="auto"/>
                <w:spacing w:val="9"/>
                <w:highlight w:val="none"/>
              </w:rPr>
              <w:t>.在规定的投标登记期间，如某个标段投标登记并获取招标</w:t>
            </w:r>
            <w:r>
              <w:rPr>
                <w:color w:val="auto"/>
                <w:spacing w:val="8"/>
                <w:highlight w:val="none"/>
              </w:rPr>
              <w:t>文件的投标人不足</w:t>
            </w:r>
            <w:r>
              <w:rPr>
                <w:color w:val="auto"/>
                <w:spacing w:val="-33"/>
                <w:highlight w:val="none"/>
              </w:rPr>
              <w:t xml:space="preserve"> </w:t>
            </w:r>
            <w:r>
              <w:rPr>
                <w:color w:val="auto"/>
                <w:spacing w:val="8"/>
                <w:highlight w:val="none"/>
              </w:rPr>
              <w:t>3</w:t>
            </w:r>
            <w:r>
              <w:rPr>
                <w:color w:val="auto"/>
                <w:spacing w:val="-36"/>
                <w:highlight w:val="none"/>
              </w:rPr>
              <w:t xml:space="preserve"> </w:t>
            </w:r>
            <w:r>
              <w:rPr>
                <w:color w:val="auto"/>
                <w:spacing w:val="8"/>
                <w:highlight w:val="none"/>
              </w:rPr>
              <w:t>家</w:t>
            </w:r>
            <w:r>
              <w:rPr>
                <w:color w:val="auto"/>
                <w:spacing w:val="10"/>
                <w:highlight w:val="none"/>
              </w:rPr>
              <w:t>时，招标人有权选择以下任一方式</w:t>
            </w:r>
            <w:r>
              <w:rPr>
                <w:color w:val="auto"/>
                <w:spacing w:val="-5"/>
                <w:highlight w:val="none"/>
              </w:rPr>
              <w:t>：（</w:t>
            </w:r>
            <w:r>
              <w:rPr>
                <w:color w:val="auto"/>
                <w:spacing w:val="10"/>
                <w:highlight w:val="none"/>
              </w:rPr>
              <w:t>1）在</w:t>
            </w:r>
            <w:r>
              <w:rPr>
                <w:color w:val="auto"/>
                <w:spacing w:val="10"/>
                <w:highlight w:val="none"/>
                <w:u w:val="single" w:color="auto"/>
              </w:rPr>
              <w:t>广东省招标投标监管网及</w:t>
            </w:r>
            <w:r>
              <w:rPr>
                <w:rFonts w:hint="eastAsia"/>
                <w:color w:val="auto"/>
                <w:spacing w:val="10"/>
                <w:highlight w:val="none"/>
                <w:u w:val="single" w:color="auto"/>
              </w:rPr>
              <w:t>全国公共资源交易平台（广东省·韶关市）</w:t>
            </w:r>
            <w:r>
              <w:rPr>
                <w:color w:val="auto"/>
                <w:spacing w:val="10"/>
                <w:highlight w:val="none"/>
                <w:u w:val="single" w:color="auto"/>
              </w:rPr>
              <w:t>网站</w:t>
            </w:r>
            <w:r>
              <w:rPr>
                <w:color w:val="auto"/>
                <w:spacing w:val="10"/>
                <w:highlight w:val="none"/>
              </w:rPr>
              <w:t>发布公告延长上述投标人家数不足的标段投标登记和获取</w:t>
            </w:r>
            <w:r>
              <w:rPr>
                <w:color w:val="auto"/>
                <w:spacing w:val="9"/>
                <w:highlight w:val="none"/>
              </w:rPr>
              <w:t>招标文件</w:t>
            </w:r>
            <w:r>
              <w:rPr>
                <w:color w:val="auto"/>
                <w:spacing w:val="10"/>
                <w:highlight w:val="none"/>
              </w:rPr>
              <w:t>时间，在延期投标登记和获取招标文件时间内，已投标登记投标人的资料</w:t>
            </w:r>
            <w:r>
              <w:rPr>
                <w:color w:val="auto"/>
                <w:spacing w:val="9"/>
                <w:highlight w:val="none"/>
              </w:rPr>
              <w:t>仍有效并</w:t>
            </w:r>
            <w:r>
              <w:rPr>
                <w:color w:val="auto"/>
                <w:spacing w:val="10"/>
                <w:highlight w:val="none"/>
              </w:rPr>
              <w:t>可自行补充资料，未投标登记的投标人可根据公告的约定进行投标登记并</w:t>
            </w:r>
            <w:r>
              <w:rPr>
                <w:color w:val="auto"/>
                <w:spacing w:val="9"/>
                <w:highlight w:val="none"/>
              </w:rPr>
              <w:t>获取招标</w:t>
            </w:r>
            <w:r>
              <w:rPr>
                <w:color w:val="auto"/>
                <w:spacing w:val="20"/>
                <w:highlight w:val="none"/>
              </w:rPr>
              <w:t>文件</w:t>
            </w:r>
            <w:r>
              <w:rPr>
                <w:color w:val="auto"/>
                <w:spacing w:val="-13"/>
                <w:highlight w:val="none"/>
              </w:rPr>
              <w:t>；</w:t>
            </w:r>
            <w:r>
              <w:rPr>
                <w:color w:val="auto"/>
                <w:spacing w:val="-65"/>
                <w:highlight w:val="none"/>
              </w:rPr>
              <w:t xml:space="preserve"> </w:t>
            </w:r>
            <w:r>
              <w:rPr>
                <w:color w:val="auto"/>
                <w:spacing w:val="-13"/>
                <w:highlight w:val="none"/>
              </w:rPr>
              <w:t>（</w:t>
            </w:r>
            <w:r>
              <w:rPr>
                <w:color w:val="auto"/>
                <w:spacing w:val="20"/>
                <w:highlight w:val="none"/>
              </w:rPr>
              <w:t>2）对上述投标人家数不足的标段依法重</w:t>
            </w:r>
            <w:r>
              <w:rPr>
                <w:color w:val="auto"/>
                <w:spacing w:val="19"/>
                <w:highlight w:val="none"/>
              </w:rPr>
              <w:t>新组织招标或依法开展后续工</w:t>
            </w:r>
            <w:r>
              <w:rPr>
                <w:color w:val="auto"/>
                <w:highlight w:val="none"/>
              </w:rPr>
              <w:t>作。</w:t>
            </w:r>
          </w:p>
          <w:p w14:paraId="725045B5">
            <w:pPr>
              <w:pStyle w:val="17"/>
              <w:spacing w:before="160" w:line="228" w:lineRule="auto"/>
              <w:ind w:left="133"/>
              <w:rPr>
                <w:color w:val="auto"/>
                <w:highlight w:val="none"/>
              </w:rPr>
            </w:pPr>
            <w:r>
              <w:rPr>
                <w:rFonts w:hint="eastAsia"/>
                <w:color w:val="auto"/>
                <w:spacing w:val="7"/>
                <w:highlight w:val="none"/>
                <w:lang w:val="en-US" w:eastAsia="zh-CN"/>
              </w:rPr>
              <w:t>8</w:t>
            </w:r>
            <w:r>
              <w:rPr>
                <w:color w:val="auto"/>
                <w:spacing w:val="7"/>
                <w:highlight w:val="none"/>
              </w:rPr>
              <w:t>.受理异议的联系人和联系方式：</w:t>
            </w:r>
          </w:p>
          <w:p w14:paraId="7C453E43">
            <w:pPr>
              <w:pStyle w:val="17"/>
              <w:spacing w:before="164" w:line="228" w:lineRule="auto"/>
              <w:ind w:left="540"/>
              <w:rPr>
                <w:color w:val="auto"/>
                <w:highlight w:val="none"/>
              </w:rPr>
            </w:pPr>
            <w:r>
              <w:rPr>
                <w:color w:val="auto"/>
                <w:spacing w:val="8"/>
                <w:highlight w:val="none"/>
              </w:rPr>
              <w:t>异议受理部门：</w:t>
            </w:r>
            <w:r>
              <w:rPr>
                <w:color w:val="auto"/>
                <w:highlight w:val="none"/>
                <w:u w:val="single" w:color="auto"/>
              </w:rPr>
              <w:t xml:space="preserve"> </w:t>
            </w:r>
            <w:r>
              <w:rPr>
                <w:rFonts w:hint="eastAsia"/>
                <w:color w:val="auto"/>
                <w:highlight w:val="none"/>
                <w:u w:val="single" w:color="auto"/>
                <w:lang w:eastAsia="zh-CN"/>
              </w:rPr>
              <w:t>乳源瑶族自治县地方公路事务中心</w:t>
            </w:r>
          </w:p>
          <w:p w14:paraId="2A8256D1">
            <w:pPr>
              <w:pStyle w:val="17"/>
              <w:spacing w:before="161" w:line="229" w:lineRule="auto"/>
              <w:ind w:left="538"/>
              <w:rPr>
                <w:color w:val="auto"/>
                <w:highlight w:val="none"/>
              </w:rPr>
            </w:pPr>
            <w:r>
              <w:rPr>
                <w:color w:val="auto"/>
                <w:spacing w:val="7"/>
                <w:highlight w:val="none"/>
              </w:rPr>
              <w:t>联系方式：</w:t>
            </w:r>
            <w:r>
              <w:rPr>
                <w:color w:val="auto"/>
                <w:highlight w:val="none"/>
                <w:u w:val="single" w:color="auto"/>
              </w:rPr>
              <w:t xml:space="preserve"> </w:t>
            </w:r>
            <w:r>
              <w:rPr>
                <w:rFonts w:hint="eastAsia"/>
                <w:color w:val="auto"/>
                <w:highlight w:val="none"/>
                <w:u w:val="single" w:color="auto"/>
                <w:lang w:val="en-US" w:eastAsia="zh-CN"/>
              </w:rPr>
              <w:t>0751-8556175</w:t>
            </w:r>
            <w:r>
              <w:rPr>
                <w:color w:val="auto"/>
                <w:highlight w:val="none"/>
                <w:u w:val="single" w:color="auto"/>
              </w:rPr>
              <w:t xml:space="preserve"> </w:t>
            </w:r>
          </w:p>
        </w:tc>
      </w:tr>
    </w:tbl>
    <w:p w14:paraId="551AE726">
      <w:pPr>
        <w:spacing w:line="249" w:lineRule="auto"/>
        <w:rPr>
          <w:rFonts w:ascii="Arial"/>
          <w:color w:val="auto"/>
          <w:sz w:val="21"/>
          <w:highlight w:val="none"/>
        </w:rPr>
      </w:pPr>
    </w:p>
    <w:p w14:paraId="09AC3012">
      <w:pPr>
        <w:spacing w:line="250" w:lineRule="auto"/>
        <w:rPr>
          <w:rFonts w:ascii="Arial"/>
          <w:color w:val="auto"/>
          <w:sz w:val="21"/>
          <w:highlight w:val="none"/>
        </w:rPr>
      </w:pPr>
    </w:p>
    <w:p w14:paraId="299BD994">
      <w:pPr>
        <w:spacing w:line="250" w:lineRule="auto"/>
        <w:rPr>
          <w:rFonts w:ascii="Arial"/>
          <w:color w:val="auto"/>
          <w:sz w:val="21"/>
          <w:highlight w:val="none"/>
        </w:rPr>
      </w:pPr>
    </w:p>
    <w:p w14:paraId="63CD4B9D">
      <w:pPr>
        <w:spacing w:line="250" w:lineRule="auto"/>
        <w:rPr>
          <w:rFonts w:ascii="Arial"/>
          <w:color w:val="auto"/>
          <w:sz w:val="21"/>
          <w:highlight w:val="none"/>
        </w:rPr>
      </w:pPr>
    </w:p>
    <w:p w14:paraId="35EBFDA9">
      <w:pPr>
        <w:spacing w:line="250" w:lineRule="auto"/>
        <w:rPr>
          <w:rFonts w:ascii="Arial"/>
          <w:color w:val="auto"/>
          <w:sz w:val="21"/>
          <w:highlight w:val="none"/>
        </w:rPr>
      </w:pPr>
    </w:p>
    <w:p w14:paraId="654C0AE0">
      <w:pPr>
        <w:spacing w:line="250" w:lineRule="auto"/>
        <w:rPr>
          <w:rFonts w:ascii="Arial"/>
          <w:color w:val="auto"/>
          <w:sz w:val="21"/>
          <w:highlight w:val="none"/>
        </w:rPr>
      </w:pPr>
    </w:p>
    <w:p w14:paraId="02D353D2">
      <w:pPr>
        <w:spacing w:before="58" w:line="220" w:lineRule="auto"/>
        <w:ind w:left="320"/>
        <w:rPr>
          <w:rFonts w:ascii="宋体" w:hAnsi="宋体" w:eastAsia="宋体" w:cs="宋体"/>
          <w:color w:val="auto"/>
          <w:sz w:val="18"/>
          <w:szCs w:val="18"/>
          <w:highlight w:val="none"/>
        </w:rPr>
      </w:pPr>
      <w:bookmarkStart w:id="17" w:name="bookmark35"/>
      <w:bookmarkEnd w:id="17"/>
      <w:r>
        <w:rPr>
          <w:rFonts w:ascii="宋体" w:hAnsi="宋体" w:eastAsia="宋体" w:cs="宋体"/>
          <w:color w:val="auto"/>
          <w:sz w:val="18"/>
          <w:szCs w:val="18"/>
          <w:highlight w:val="none"/>
        </w:rPr>
        <w:t>① 本条不适用于中心试验室试验检测服务与监理合</w:t>
      </w:r>
      <w:r>
        <w:rPr>
          <w:rFonts w:ascii="宋体" w:hAnsi="宋体" w:eastAsia="宋体" w:cs="宋体"/>
          <w:color w:val="auto"/>
          <w:spacing w:val="-1"/>
          <w:sz w:val="18"/>
          <w:szCs w:val="18"/>
          <w:highlight w:val="none"/>
        </w:rPr>
        <w:t>并招标的情况。</w:t>
      </w:r>
    </w:p>
    <w:p w14:paraId="50B1184D">
      <w:pPr>
        <w:spacing w:before="21" w:line="216" w:lineRule="auto"/>
        <w:ind w:left="319"/>
        <w:rPr>
          <w:rFonts w:ascii="宋体" w:hAnsi="宋体" w:eastAsia="宋体" w:cs="宋体"/>
          <w:color w:val="auto"/>
          <w:sz w:val="18"/>
          <w:szCs w:val="18"/>
          <w:highlight w:val="none"/>
        </w:rPr>
      </w:pPr>
      <w:bookmarkStart w:id="18" w:name="bookmark36"/>
      <w:bookmarkEnd w:id="18"/>
      <w:bookmarkStart w:id="19" w:name="bookmark37"/>
      <w:bookmarkEnd w:id="19"/>
      <w:r>
        <w:rPr>
          <w:rFonts w:ascii="宋体" w:hAnsi="宋体" w:eastAsia="宋体" w:cs="宋体"/>
          <w:color w:val="auto"/>
          <w:spacing w:val="-2"/>
          <w:sz w:val="18"/>
          <w:szCs w:val="18"/>
          <w:highlight w:val="none"/>
        </w:rPr>
        <w:t>② “</w:t>
      </w:r>
      <w:r>
        <w:rPr>
          <w:rFonts w:ascii="宋体" w:hAnsi="宋体" w:eastAsia="宋体" w:cs="宋体"/>
          <w:color w:val="auto"/>
          <w:spacing w:val="-66"/>
          <w:sz w:val="18"/>
          <w:szCs w:val="18"/>
          <w:highlight w:val="none"/>
        </w:rPr>
        <w:t xml:space="preserve"> </w:t>
      </w:r>
      <w:r>
        <w:rPr>
          <w:rFonts w:ascii="宋体" w:hAnsi="宋体" w:eastAsia="宋体" w:cs="宋体"/>
          <w:color w:val="auto"/>
          <w:spacing w:val="-2"/>
          <w:sz w:val="18"/>
          <w:szCs w:val="18"/>
          <w:highlight w:val="none"/>
        </w:rPr>
        <w:t>中国执行信息公开网</w:t>
      </w:r>
      <w:r>
        <w:rPr>
          <w:rFonts w:ascii="宋体" w:hAnsi="宋体" w:eastAsia="宋体" w:cs="宋体"/>
          <w:color w:val="auto"/>
          <w:spacing w:val="-66"/>
          <w:sz w:val="18"/>
          <w:szCs w:val="18"/>
          <w:highlight w:val="none"/>
        </w:rPr>
        <w:t xml:space="preserve"> </w:t>
      </w:r>
      <w:r>
        <w:rPr>
          <w:rFonts w:ascii="宋体" w:hAnsi="宋体" w:eastAsia="宋体" w:cs="宋体"/>
          <w:color w:val="auto"/>
          <w:spacing w:val="-2"/>
          <w:sz w:val="18"/>
          <w:szCs w:val="18"/>
          <w:highlight w:val="none"/>
        </w:rPr>
        <w:t>”查询信息也予以认可,</w:t>
      </w:r>
      <w:r>
        <w:rPr>
          <w:rFonts w:ascii="宋体" w:hAnsi="宋体" w:eastAsia="宋体" w:cs="宋体"/>
          <w:color w:val="auto"/>
          <w:spacing w:val="-3"/>
          <w:sz w:val="18"/>
          <w:szCs w:val="18"/>
          <w:highlight w:val="none"/>
        </w:rPr>
        <w:t>下同。</w:t>
      </w:r>
    </w:p>
    <w:p w14:paraId="0AC9C56A">
      <w:pPr>
        <w:spacing w:before="18" w:line="220" w:lineRule="auto"/>
        <w:ind w:left="319"/>
        <w:rPr>
          <w:rFonts w:ascii="宋体" w:hAnsi="宋体" w:eastAsia="宋体" w:cs="宋体"/>
          <w:color w:val="auto"/>
          <w:sz w:val="18"/>
          <w:szCs w:val="18"/>
          <w:highlight w:val="none"/>
        </w:rPr>
      </w:pPr>
    </w:p>
    <w:p w14:paraId="4D7ED25D">
      <w:pPr>
        <w:spacing w:line="220" w:lineRule="auto"/>
        <w:rPr>
          <w:rFonts w:ascii="宋体" w:hAnsi="宋体" w:eastAsia="宋体" w:cs="宋体"/>
          <w:color w:val="auto"/>
          <w:sz w:val="18"/>
          <w:szCs w:val="18"/>
          <w:highlight w:val="none"/>
        </w:rPr>
        <w:sectPr>
          <w:footerReference r:id="rId10" w:type="default"/>
          <w:pgSz w:w="11906" w:h="16839"/>
          <w:pgMar w:top="1416" w:right="1102" w:bottom="1297" w:left="1102" w:header="0" w:footer="1067" w:gutter="0"/>
          <w:pgNumType w:fmt="decimal"/>
          <w:cols w:space="720" w:num="1"/>
        </w:sectPr>
      </w:pPr>
    </w:p>
    <w:p w14:paraId="57AC9219">
      <w:pPr>
        <w:spacing w:before="47" w:line="218" w:lineRule="auto"/>
        <w:ind w:left="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招标公告附件</w:t>
      </w:r>
    </w:p>
    <w:p w14:paraId="15E7F081">
      <w:pPr>
        <w:spacing w:before="181" w:line="219" w:lineRule="auto"/>
        <w:ind w:left="27"/>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附件 1：标段的划分及主要工程项目情况</w:t>
      </w:r>
    </w:p>
    <w:p w14:paraId="25828EE9">
      <w:pPr>
        <w:spacing w:before="181" w:line="219" w:lineRule="auto"/>
        <w:ind w:left="27"/>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附件 2：</w:t>
      </w:r>
      <w:bookmarkStart w:id="20" w:name="bookmark39"/>
      <w:bookmarkEnd w:id="20"/>
      <w:r>
        <w:rPr>
          <w:rFonts w:hint="eastAsia" w:ascii="宋体" w:hAnsi="宋体" w:eastAsia="宋体" w:cs="宋体"/>
          <w:color w:val="auto"/>
          <w:spacing w:val="-4"/>
          <w:sz w:val="24"/>
          <w:szCs w:val="24"/>
          <w:highlight w:val="none"/>
        </w:rPr>
        <w:t>重要事项时间地点一览表</w:t>
      </w:r>
    </w:p>
    <w:p w14:paraId="4936E5DA">
      <w:pPr>
        <w:spacing w:before="181" w:line="219" w:lineRule="auto"/>
        <w:ind w:left="27"/>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 xml:space="preserve">附件 </w:t>
      </w:r>
      <w:r>
        <w:rPr>
          <w:rFonts w:hint="eastAsia" w:ascii="宋体" w:hAnsi="宋体" w:eastAsia="宋体" w:cs="宋体"/>
          <w:color w:val="auto"/>
          <w:spacing w:val="-4"/>
          <w:sz w:val="24"/>
          <w:szCs w:val="24"/>
          <w:highlight w:val="none"/>
          <w:lang w:val="en-US" w:eastAsia="zh-CN"/>
        </w:rPr>
        <w:t>3</w:t>
      </w:r>
      <w:r>
        <w:rPr>
          <w:rFonts w:ascii="宋体" w:hAnsi="宋体" w:eastAsia="宋体" w:cs="宋体"/>
          <w:color w:val="auto"/>
          <w:spacing w:val="-4"/>
          <w:sz w:val="24"/>
          <w:szCs w:val="24"/>
          <w:highlight w:val="none"/>
        </w:rPr>
        <w:t>：招标文件（含资格审查条件、评标办法）</w:t>
      </w:r>
    </w:p>
    <w:p w14:paraId="43EF9E1C">
      <w:pPr>
        <w:spacing w:before="181" w:line="219" w:lineRule="auto"/>
        <w:ind w:left="27"/>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以上附件可从发布公告的网站媒介上下载。</w:t>
      </w:r>
    </w:p>
    <w:p w14:paraId="7C9A4CA4">
      <w:pPr>
        <w:spacing w:line="243" w:lineRule="auto"/>
        <w:rPr>
          <w:rFonts w:ascii="Arial"/>
          <w:color w:val="auto"/>
          <w:sz w:val="21"/>
          <w:highlight w:val="none"/>
        </w:rPr>
      </w:pPr>
    </w:p>
    <w:p w14:paraId="2542B4CE">
      <w:pPr>
        <w:spacing w:line="243" w:lineRule="auto"/>
        <w:rPr>
          <w:rFonts w:ascii="Arial"/>
          <w:color w:val="auto"/>
          <w:sz w:val="21"/>
          <w:highlight w:val="none"/>
        </w:rPr>
      </w:pPr>
    </w:p>
    <w:p w14:paraId="250A5ADC">
      <w:pPr>
        <w:spacing w:line="243" w:lineRule="auto"/>
        <w:rPr>
          <w:rFonts w:ascii="Arial"/>
          <w:color w:val="auto"/>
          <w:sz w:val="21"/>
          <w:highlight w:val="none"/>
        </w:rPr>
      </w:pPr>
    </w:p>
    <w:p w14:paraId="78F4FCC0">
      <w:pPr>
        <w:spacing w:line="243" w:lineRule="auto"/>
        <w:rPr>
          <w:rFonts w:ascii="Arial"/>
          <w:color w:val="auto"/>
          <w:sz w:val="21"/>
          <w:highlight w:val="none"/>
        </w:rPr>
      </w:pPr>
    </w:p>
    <w:p w14:paraId="0677B7C2">
      <w:pPr>
        <w:spacing w:line="243" w:lineRule="auto"/>
        <w:rPr>
          <w:rFonts w:ascii="Arial"/>
          <w:color w:val="auto"/>
          <w:sz w:val="21"/>
          <w:highlight w:val="none"/>
        </w:rPr>
      </w:pPr>
    </w:p>
    <w:p w14:paraId="33A7B302">
      <w:pPr>
        <w:spacing w:line="243" w:lineRule="auto"/>
        <w:rPr>
          <w:rFonts w:ascii="Arial"/>
          <w:color w:val="auto"/>
          <w:sz w:val="21"/>
          <w:highlight w:val="none"/>
        </w:rPr>
      </w:pPr>
    </w:p>
    <w:p w14:paraId="1430D955">
      <w:pPr>
        <w:spacing w:line="243" w:lineRule="auto"/>
        <w:rPr>
          <w:rFonts w:ascii="Arial"/>
          <w:color w:val="auto"/>
          <w:sz w:val="21"/>
          <w:highlight w:val="none"/>
        </w:rPr>
      </w:pPr>
    </w:p>
    <w:p w14:paraId="7E92D65D">
      <w:pPr>
        <w:spacing w:line="243" w:lineRule="auto"/>
        <w:rPr>
          <w:rFonts w:ascii="Arial"/>
          <w:color w:val="auto"/>
          <w:sz w:val="21"/>
          <w:highlight w:val="none"/>
        </w:rPr>
      </w:pPr>
    </w:p>
    <w:p w14:paraId="24F47171">
      <w:pPr>
        <w:spacing w:line="243" w:lineRule="auto"/>
        <w:rPr>
          <w:rFonts w:ascii="Arial"/>
          <w:color w:val="auto"/>
          <w:sz w:val="21"/>
          <w:highlight w:val="none"/>
        </w:rPr>
      </w:pPr>
    </w:p>
    <w:p w14:paraId="04F894A5">
      <w:pPr>
        <w:spacing w:line="243" w:lineRule="auto"/>
        <w:rPr>
          <w:rFonts w:ascii="Arial"/>
          <w:color w:val="auto"/>
          <w:sz w:val="21"/>
          <w:highlight w:val="none"/>
        </w:rPr>
      </w:pPr>
    </w:p>
    <w:p w14:paraId="331D890B">
      <w:pPr>
        <w:spacing w:line="243" w:lineRule="auto"/>
        <w:rPr>
          <w:rFonts w:ascii="Arial"/>
          <w:color w:val="auto"/>
          <w:sz w:val="21"/>
          <w:highlight w:val="none"/>
        </w:rPr>
      </w:pPr>
    </w:p>
    <w:p w14:paraId="42BB9B5A">
      <w:pPr>
        <w:spacing w:line="243" w:lineRule="auto"/>
        <w:rPr>
          <w:rFonts w:ascii="Arial"/>
          <w:color w:val="auto"/>
          <w:sz w:val="21"/>
          <w:highlight w:val="none"/>
        </w:rPr>
      </w:pPr>
    </w:p>
    <w:p w14:paraId="69ADD556">
      <w:pPr>
        <w:spacing w:line="243" w:lineRule="auto"/>
        <w:rPr>
          <w:rFonts w:ascii="Arial"/>
          <w:color w:val="auto"/>
          <w:sz w:val="21"/>
          <w:highlight w:val="none"/>
        </w:rPr>
      </w:pPr>
    </w:p>
    <w:p w14:paraId="1DD1B1FB">
      <w:pPr>
        <w:spacing w:line="243" w:lineRule="auto"/>
        <w:rPr>
          <w:rFonts w:ascii="Arial"/>
          <w:color w:val="auto"/>
          <w:sz w:val="21"/>
          <w:highlight w:val="none"/>
        </w:rPr>
      </w:pPr>
    </w:p>
    <w:p w14:paraId="02881F3D">
      <w:pPr>
        <w:spacing w:line="243" w:lineRule="auto"/>
        <w:rPr>
          <w:rFonts w:ascii="Arial"/>
          <w:color w:val="auto"/>
          <w:sz w:val="21"/>
          <w:highlight w:val="none"/>
        </w:rPr>
      </w:pPr>
    </w:p>
    <w:p w14:paraId="5B0DC953">
      <w:pPr>
        <w:spacing w:line="243" w:lineRule="auto"/>
        <w:rPr>
          <w:rFonts w:ascii="Arial"/>
          <w:color w:val="auto"/>
          <w:sz w:val="21"/>
          <w:highlight w:val="none"/>
        </w:rPr>
      </w:pPr>
    </w:p>
    <w:p w14:paraId="3E3B7E70">
      <w:pPr>
        <w:spacing w:line="243" w:lineRule="auto"/>
        <w:rPr>
          <w:rFonts w:ascii="Arial"/>
          <w:color w:val="auto"/>
          <w:sz w:val="21"/>
          <w:highlight w:val="none"/>
        </w:rPr>
      </w:pPr>
    </w:p>
    <w:p w14:paraId="4D1CB6FE">
      <w:pPr>
        <w:spacing w:line="243" w:lineRule="auto"/>
        <w:rPr>
          <w:rFonts w:ascii="Arial"/>
          <w:color w:val="auto"/>
          <w:sz w:val="21"/>
          <w:highlight w:val="none"/>
        </w:rPr>
      </w:pPr>
    </w:p>
    <w:p w14:paraId="2DE3B3D8">
      <w:pPr>
        <w:spacing w:line="243" w:lineRule="auto"/>
        <w:rPr>
          <w:rFonts w:ascii="Arial"/>
          <w:color w:val="auto"/>
          <w:sz w:val="21"/>
          <w:highlight w:val="none"/>
        </w:rPr>
      </w:pPr>
    </w:p>
    <w:p w14:paraId="06DDE56B">
      <w:pPr>
        <w:spacing w:line="243" w:lineRule="auto"/>
        <w:rPr>
          <w:rFonts w:ascii="Arial"/>
          <w:color w:val="auto"/>
          <w:sz w:val="21"/>
          <w:highlight w:val="none"/>
        </w:rPr>
      </w:pPr>
    </w:p>
    <w:p w14:paraId="0C27229D">
      <w:pPr>
        <w:spacing w:line="243" w:lineRule="auto"/>
        <w:rPr>
          <w:rFonts w:ascii="Arial"/>
          <w:color w:val="auto"/>
          <w:sz w:val="21"/>
          <w:highlight w:val="none"/>
        </w:rPr>
      </w:pPr>
    </w:p>
    <w:p w14:paraId="67652E84">
      <w:pPr>
        <w:spacing w:line="243" w:lineRule="auto"/>
        <w:rPr>
          <w:rFonts w:ascii="Arial"/>
          <w:color w:val="auto"/>
          <w:sz w:val="21"/>
          <w:highlight w:val="none"/>
        </w:rPr>
      </w:pPr>
    </w:p>
    <w:p w14:paraId="61A5B99A">
      <w:pPr>
        <w:spacing w:line="243" w:lineRule="auto"/>
        <w:rPr>
          <w:rFonts w:ascii="Arial"/>
          <w:color w:val="auto"/>
          <w:sz w:val="21"/>
          <w:highlight w:val="none"/>
        </w:rPr>
      </w:pPr>
    </w:p>
    <w:p w14:paraId="207B090F">
      <w:pPr>
        <w:spacing w:line="243" w:lineRule="auto"/>
        <w:rPr>
          <w:rFonts w:ascii="Arial"/>
          <w:color w:val="auto"/>
          <w:sz w:val="21"/>
          <w:highlight w:val="none"/>
        </w:rPr>
      </w:pPr>
    </w:p>
    <w:p w14:paraId="7375A51E">
      <w:pPr>
        <w:spacing w:line="243" w:lineRule="auto"/>
        <w:rPr>
          <w:rFonts w:ascii="Arial"/>
          <w:color w:val="auto"/>
          <w:sz w:val="21"/>
          <w:highlight w:val="none"/>
        </w:rPr>
      </w:pPr>
    </w:p>
    <w:p w14:paraId="3D750986">
      <w:pPr>
        <w:spacing w:line="243" w:lineRule="auto"/>
        <w:rPr>
          <w:rFonts w:ascii="Arial"/>
          <w:color w:val="auto"/>
          <w:sz w:val="21"/>
          <w:highlight w:val="none"/>
        </w:rPr>
      </w:pPr>
    </w:p>
    <w:p w14:paraId="1F47E0B7">
      <w:pPr>
        <w:spacing w:line="243" w:lineRule="auto"/>
        <w:rPr>
          <w:rFonts w:ascii="Arial"/>
          <w:color w:val="auto"/>
          <w:sz w:val="21"/>
          <w:highlight w:val="none"/>
        </w:rPr>
      </w:pPr>
    </w:p>
    <w:p w14:paraId="635619A6">
      <w:pPr>
        <w:spacing w:line="243" w:lineRule="auto"/>
        <w:rPr>
          <w:rFonts w:ascii="Arial"/>
          <w:color w:val="auto"/>
          <w:sz w:val="21"/>
          <w:highlight w:val="none"/>
        </w:rPr>
      </w:pPr>
    </w:p>
    <w:p w14:paraId="24E48511">
      <w:pPr>
        <w:spacing w:line="243" w:lineRule="auto"/>
        <w:rPr>
          <w:rFonts w:ascii="Arial"/>
          <w:color w:val="auto"/>
          <w:sz w:val="21"/>
          <w:highlight w:val="none"/>
        </w:rPr>
      </w:pPr>
    </w:p>
    <w:p w14:paraId="7661C9B5">
      <w:pPr>
        <w:spacing w:line="243" w:lineRule="auto"/>
        <w:rPr>
          <w:rFonts w:ascii="Arial"/>
          <w:color w:val="auto"/>
          <w:sz w:val="21"/>
          <w:highlight w:val="none"/>
        </w:rPr>
      </w:pPr>
    </w:p>
    <w:p w14:paraId="43AC19BA">
      <w:pPr>
        <w:spacing w:line="243" w:lineRule="auto"/>
        <w:rPr>
          <w:rFonts w:ascii="Arial"/>
          <w:color w:val="auto"/>
          <w:sz w:val="21"/>
          <w:highlight w:val="none"/>
        </w:rPr>
      </w:pPr>
    </w:p>
    <w:p w14:paraId="2C837CA4">
      <w:pPr>
        <w:spacing w:line="243" w:lineRule="auto"/>
        <w:rPr>
          <w:rFonts w:ascii="Arial"/>
          <w:color w:val="auto"/>
          <w:sz w:val="21"/>
          <w:highlight w:val="none"/>
        </w:rPr>
      </w:pPr>
    </w:p>
    <w:p w14:paraId="30DF49E4">
      <w:pPr>
        <w:spacing w:line="243" w:lineRule="auto"/>
        <w:rPr>
          <w:rFonts w:ascii="Arial"/>
          <w:color w:val="auto"/>
          <w:sz w:val="21"/>
          <w:highlight w:val="none"/>
        </w:rPr>
      </w:pPr>
    </w:p>
    <w:p w14:paraId="79E90C01">
      <w:pPr>
        <w:spacing w:line="243" w:lineRule="auto"/>
        <w:rPr>
          <w:rFonts w:ascii="Arial"/>
          <w:color w:val="auto"/>
          <w:sz w:val="21"/>
          <w:highlight w:val="none"/>
        </w:rPr>
      </w:pPr>
    </w:p>
    <w:p w14:paraId="0051AA36">
      <w:pPr>
        <w:spacing w:line="243" w:lineRule="auto"/>
        <w:rPr>
          <w:rFonts w:ascii="Arial"/>
          <w:color w:val="auto"/>
          <w:sz w:val="21"/>
          <w:highlight w:val="none"/>
        </w:rPr>
      </w:pPr>
    </w:p>
    <w:p w14:paraId="3B082548">
      <w:pPr>
        <w:spacing w:line="243" w:lineRule="auto"/>
        <w:rPr>
          <w:rFonts w:ascii="Arial"/>
          <w:color w:val="auto"/>
          <w:sz w:val="21"/>
          <w:highlight w:val="none"/>
        </w:rPr>
      </w:pPr>
    </w:p>
    <w:p w14:paraId="361D486E">
      <w:pPr>
        <w:spacing w:line="243" w:lineRule="auto"/>
        <w:rPr>
          <w:rFonts w:ascii="Arial"/>
          <w:color w:val="auto"/>
          <w:sz w:val="21"/>
          <w:highlight w:val="none"/>
        </w:rPr>
      </w:pPr>
    </w:p>
    <w:p w14:paraId="45F8BDB2">
      <w:pPr>
        <w:spacing w:line="243" w:lineRule="auto"/>
        <w:rPr>
          <w:rFonts w:ascii="Arial"/>
          <w:color w:val="auto"/>
          <w:sz w:val="21"/>
          <w:highlight w:val="none"/>
        </w:rPr>
      </w:pPr>
    </w:p>
    <w:p w14:paraId="0D3D5CC1">
      <w:pPr>
        <w:spacing w:line="243" w:lineRule="auto"/>
        <w:rPr>
          <w:rFonts w:ascii="Arial"/>
          <w:color w:val="auto"/>
          <w:sz w:val="21"/>
          <w:highlight w:val="none"/>
        </w:rPr>
      </w:pPr>
    </w:p>
    <w:p w14:paraId="1A92576B">
      <w:pPr>
        <w:spacing w:line="243" w:lineRule="auto"/>
        <w:rPr>
          <w:rFonts w:ascii="Arial"/>
          <w:color w:val="auto"/>
          <w:sz w:val="21"/>
          <w:highlight w:val="none"/>
        </w:rPr>
      </w:pPr>
    </w:p>
    <w:p w14:paraId="0D004511">
      <w:pPr>
        <w:spacing w:line="243" w:lineRule="auto"/>
        <w:rPr>
          <w:rFonts w:ascii="Arial"/>
          <w:color w:val="auto"/>
          <w:sz w:val="21"/>
          <w:highlight w:val="none"/>
        </w:rPr>
      </w:pPr>
    </w:p>
    <w:p w14:paraId="440E2232">
      <w:pPr>
        <w:spacing w:line="243" w:lineRule="auto"/>
        <w:rPr>
          <w:rFonts w:ascii="Arial"/>
          <w:color w:val="auto"/>
          <w:sz w:val="21"/>
          <w:highlight w:val="none"/>
        </w:rPr>
      </w:pPr>
    </w:p>
    <w:p w14:paraId="63157F1B">
      <w:pPr>
        <w:spacing w:line="243" w:lineRule="auto"/>
        <w:rPr>
          <w:rFonts w:ascii="Arial"/>
          <w:color w:val="auto"/>
          <w:sz w:val="21"/>
          <w:highlight w:val="none"/>
        </w:rPr>
      </w:pPr>
    </w:p>
    <w:p w14:paraId="2C95884F">
      <w:pPr>
        <w:spacing w:line="243" w:lineRule="auto"/>
        <w:rPr>
          <w:rFonts w:ascii="Arial"/>
          <w:color w:val="auto"/>
          <w:sz w:val="21"/>
          <w:highlight w:val="none"/>
        </w:rPr>
      </w:pPr>
    </w:p>
    <w:p w14:paraId="42A4AB40">
      <w:pPr>
        <w:spacing w:line="243" w:lineRule="auto"/>
        <w:rPr>
          <w:rFonts w:ascii="Arial"/>
          <w:color w:val="auto"/>
          <w:sz w:val="21"/>
          <w:highlight w:val="none"/>
        </w:rPr>
      </w:pPr>
    </w:p>
    <w:p w14:paraId="4AD25843">
      <w:pPr>
        <w:spacing w:line="244" w:lineRule="auto"/>
        <w:rPr>
          <w:rFonts w:ascii="Arial"/>
          <w:color w:val="auto"/>
          <w:sz w:val="21"/>
          <w:highlight w:val="none"/>
        </w:rPr>
      </w:pPr>
    </w:p>
    <w:p w14:paraId="7EA85DCC">
      <w:pPr>
        <w:spacing w:line="244" w:lineRule="auto"/>
        <w:rPr>
          <w:rFonts w:ascii="Arial"/>
          <w:color w:val="auto"/>
          <w:sz w:val="21"/>
          <w:highlight w:val="none"/>
        </w:rPr>
      </w:pPr>
    </w:p>
    <w:p w14:paraId="324FA119">
      <w:pPr>
        <w:rPr>
          <w:rFonts w:ascii="宋体" w:hAnsi="宋体" w:eastAsia="宋体" w:cs="宋体"/>
          <w:b/>
          <w:bCs/>
          <w:color w:val="auto"/>
          <w:spacing w:val="5"/>
          <w:sz w:val="20"/>
          <w:szCs w:val="20"/>
          <w:highlight w:val="none"/>
        </w:rPr>
      </w:pPr>
      <w:r>
        <w:rPr>
          <w:rFonts w:ascii="宋体" w:hAnsi="宋体" w:eastAsia="宋体" w:cs="宋体"/>
          <w:b/>
          <w:bCs/>
          <w:color w:val="auto"/>
          <w:spacing w:val="5"/>
          <w:sz w:val="20"/>
          <w:szCs w:val="20"/>
          <w:highlight w:val="none"/>
        </w:rPr>
        <w:br w:type="page"/>
      </w:r>
    </w:p>
    <w:p w14:paraId="062511FD">
      <w:pPr>
        <w:spacing w:before="44" w:line="223" w:lineRule="auto"/>
        <w:ind w:left="120"/>
        <w:rPr>
          <w:rFonts w:ascii="MingLiU-ExtB" w:hAnsi="MingLiU-ExtB" w:eastAsia="MingLiU-ExtB" w:cs="MingLiU-ExtB"/>
          <w:color w:val="auto"/>
          <w:sz w:val="20"/>
          <w:szCs w:val="20"/>
          <w:highlight w:val="none"/>
        </w:rPr>
      </w:pPr>
      <w:r>
        <w:rPr>
          <w:rFonts w:ascii="宋体" w:hAnsi="宋体" w:eastAsia="宋体" w:cs="宋体"/>
          <w:b/>
          <w:bCs/>
          <w:color w:val="auto"/>
          <w:spacing w:val="5"/>
          <w:sz w:val="20"/>
          <w:szCs w:val="20"/>
          <w:highlight w:val="none"/>
        </w:rPr>
        <w:t>招标公告附件</w:t>
      </w:r>
      <w:r>
        <w:rPr>
          <w:rFonts w:ascii="宋体" w:hAnsi="宋体" w:eastAsia="宋体" w:cs="宋体"/>
          <w:color w:val="auto"/>
          <w:spacing w:val="-19"/>
          <w:sz w:val="20"/>
          <w:szCs w:val="20"/>
          <w:highlight w:val="none"/>
        </w:rPr>
        <w:t xml:space="preserve"> </w:t>
      </w:r>
      <w:r>
        <w:rPr>
          <w:rFonts w:ascii="MingLiU-ExtB" w:hAnsi="MingLiU-ExtB" w:eastAsia="MingLiU-ExtB" w:cs="MingLiU-ExtB"/>
          <w:b/>
          <w:bCs/>
          <w:color w:val="auto"/>
          <w:spacing w:val="5"/>
          <w:sz w:val="20"/>
          <w:szCs w:val="20"/>
          <w:highlight w:val="none"/>
        </w:rPr>
        <w:t>1</w:t>
      </w:r>
    </w:p>
    <w:tbl>
      <w:tblPr>
        <w:tblStyle w:val="16"/>
        <w:tblW w:w="9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9"/>
        <w:gridCol w:w="948"/>
        <w:gridCol w:w="896"/>
        <w:gridCol w:w="2969"/>
        <w:gridCol w:w="1435"/>
        <w:gridCol w:w="1230"/>
      </w:tblGrid>
      <w:tr w14:paraId="5C3C4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21" w:type="dxa"/>
            <w:vAlign w:val="top"/>
          </w:tcPr>
          <w:p w14:paraId="4C6D98F8">
            <w:pPr>
              <w:pStyle w:val="17"/>
              <w:spacing w:before="192" w:line="228" w:lineRule="auto"/>
              <w:ind w:left="259"/>
              <w:rPr>
                <w:color w:val="auto"/>
                <w:highlight w:val="none"/>
              </w:rPr>
            </w:pPr>
            <w:r>
              <w:rPr>
                <w:color w:val="auto"/>
                <w:spacing w:val="4"/>
                <w:highlight w:val="none"/>
              </w:rPr>
              <w:t>标类</w:t>
            </w:r>
          </w:p>
        </w:tc>
        <w:tc>
          <w:tcPr>
            <w:tcW w:w="709" w:type="dxa"/>
            <w:vAlign w:val="top"/>
          </w:tcPr>
          <w:p w14:paraId="18886AF2">
            <w:pPr>
              <w:pStyle w:val="17"/>
              <w:spacing w:before="37" w:line="271" w:lineRule="auto"/>
              <w:ind w:left="258" w:right="146" w:hanging="109"/>
              <w:rPr>
                <w:color w:val="auto"/>
                <w:highlight w:val="none"/>
              </w:rPr>
            </w:pPr>
            <w:r>
              <w:rPr>
                <w:color w:val="auto"/>
                <w:spacing w:val="4"/>
                <w:highlight w:val="none"/>
              </w:rPr>
              <w:t>标段</w:t>
            </w:r>
            <w:r>
              <w:rPr>
                <w:color w:val="auto"/>
                <w:highlight w:val="none"/>
              </w:rPr>
              <w:t>号</w:t>
            </w:r>
          </w:p>
        </w:tc>
        <w:tc>
          <w:tcPr>
            <w:tcW w:w="948" w:type="dxa"/>
            <w:vAlign w:val="top"/>
          </w:tcPr>
          <w:p w14:paraId="568FCED2">
            <w:pPr>
              <w:pStyle w:val="17"/>
              <w:spacing w:before="37" w:line="228" w:lineRule="auto"/>
              <w:ind w:left="162"/>
              <w:rPr>
                <w:color w:val="auto"/>
                <w:highlight w:val="none"/>
              </w:rPr>
            </w:pPr>
            <w:r>
              <w:rPr>
                <w:color w:val="auto"/>
                <w:spacing w:val="6"/>
                <w:highlight w:val="none"/>
              </w:rPr>
              <w:t>合同起</w:t>
            </w:r>
          </w:p>
          <w:p w14:paraId="4B6DDD9A">
            <w:pPr>
              <w:pStyle w:val="17"/>
              <w:spacing w:before="64" w:line="228" w:lineRule="auto"/>
              <w:ind w:left="162"/>
              <w:rPr>
                <w:color w:val="auto"/>
                <w:highlight w:val="none"/>
              </w:rPr>
            </w:pPr>
            <w:r>
              <w:rPr>
                <w:color w:val="auto"/>
                <w:spacing w:val="6"/>
                <w:highlight w:val="none"/>
              </w:rPr>
              <w:t>讫桩号</w:t>
            </w:r>
          </w:p>
        </w:tc>
        <w:tc>
          <w:tcPr>
            <w:tcW w:w="896" w:type="dxa"/>
            <w:vAlign w:val="top"/>
          </w:tcPr>
          <w:p w14:paraId="33AFA6A8">
            <w:pPr>
              <w:pStyle w:val="17"/>
              <w:spacing w:before="37" w:line="228" w:lineRule="auto"/>
              <w:ind w:left="245"/>
              <w:rPr>
                <w:color w:val="auto"/>
                <w:highlight w:val="none"/>
              </w:rPr>
            </w:pPr>
            <w:r>
              <w:rPr>
                <w:color w:val="auto"/>
                <w:spacing w:val="3"/>
                <w:highlight w:val="none"/>
              </w:rPr>
              <w:t>里程</w:t>
            </w:r>
          </w:p>
          <w:p w14:paraId="32B3F7F5">
            <w:pPr>
              <w:pStyle w:val="17"/>
              <w:spacing w:before="65" w:line="228" w:lineRule="auto"/>
              <w:ind w:left="244"/>
              <w:rPr>
                <w:color w:val="auto"/>
                <w:highlight w:val="none"/>
              </w:rPr>
            </w:pPr>
            <w:r>
              <w:rPr>
                <w:color w:val="auto"/>
                <w:spacing w:val="4"/>
                <w:highlight w:val="none"/>
              </w:rPr>
              <w:t>长度</w:t>
            </w:r>
          </w:p>
        </w:tc>
        <w:tc>
          <w:tcPr>
            <w:tcW w:w="2969" w:type="dxa"/>
            <w:vAlign w:val="top"/>
          </w:tcPr>
          <w:p w14:paraId="2892F235">
            <w:pPr>
              <w:pStyle w:val="17"/>
              <w:spacing w:before="175" w:line="264" w:lineRule="exact"/>
              <w:ind w:left="1016"/>
              <w:rPr>
                <w:color w:val="auto"/>
                <w:sz w:val="10"/>
                <w:szCs w:val="10"/>
                <w:highlight w:val="none"/>
              </w:rPr>
            </w:pPr>
            <w:r>
              <w:rPr>
                <w:b/>
                <w:bCs/>
                <w:color w:val="auto"/>
                <w:spacing w:val="6"/>
                <w:highlight w:val="none"/>
              </w:rPr>
              <w:t>招标内容</w:t>
            </w:r>
          </w:p>
        </w:tc>
        <w:tc>
          <w:tcPr>
            <w:tcW w:w="1435" w:type="dxa"/>
            <w:vAlign w:val="top"/>
          </w:tcPr>
          <w:p w14:paraId="48D02B77">
            <w:pPr>
              <w:pStyle w:val="17"/>
              <w:spacing w:before="192" w:line="228" w:lineRule="auto"/>
              <w:ind w:left="199"/>
              <w:rPr>
                <w:color w:val="auto"/>
                <w:highlight w:val="none"/>
              </w:rPr>
            </w:pPr>
            <w:r>
              <w:rPr>
                <w:color w:val="auto"/>
                <w:spacing w:val="7"/>
                <w:highlight w:val="none"/>
              </w:rPr>
              <w:t>监理服务期</w:t>
            </w:r>
          </w:p>
        </w:tc>
        <w:tc>
          <w:tcPr>
            <w:tcW w:w="1230" w:type="dxa"/>
            <w:vAlign w:val="top"/>
          </w:tcPr>
          <w:p w14:paraId="3DD75BCC">
            <w:pPr>
              <w:pStyle w:val="17"/>
              <w:spacing w:before="175" w:line="264" w:lineRule="exact"/>
              <w:ind w:left="157"/>
              <w:rPr>
                <w:color w:val="auto"/>
                <w:sz w:val="10"/>
                <w:szCs w:val="10"/>
                <w:highlight w:val="none"/>
              </w:rPr>
            </w:pPr>
            <w:r>
              <w:rPr>
                <w:color w:val="auto"/>
                <w:spacing w:val="5"/>
                <w:highlight w:val="none"/>
              </w:rPr>
              <w:t>资质等级</w:t>
            </w:r>
          </w:p>
        </w:tc>
      </w:tr>
      <w:tr w14:paraId="0A10D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8" w:hRule="atLeast"/>
        </w:trPr>
        <w:tc>
          <w:tcPr>
            <w:tcW w:w="821" w:type="dxa"/>
            <w:vAlign w:val="top"/>
          </w:tcPr>
          <w:p w14:paraId="097AE3EB">
            <w:pPr>
              <w:spacing w:line="249" w:lineRule="auto"/>
              <w:rPr>
                <w:rFonts w:ascii="Arial"/>
                <w:color w:val="auto"/>
                <w:sz w:val="21"/>
                <w:highlight w:val="none"/>
              </w:rPr>
            </w:pPr>
          </w:p>
          <w:p w14:paraId="719AAF55">
            <w:pPr>
              <w:spacing w:line="249" w:lineRule="auto"/>
              <w:rPr>
                <w:rFonts w:ascii="Arial"/>
                <w:color w:val="auto"/>
                <w:sz w:val="21"/>
                <w:highlight w:val="none"/>
              </w:rPr>
            </w:pPr>
          </w:p>
          <w:p w14:paraId="0792BFEB">
            <w:pPr>
              <w:spacing w:line="249" w:lineRule="auto"/>
              <w:rPr>
                <w:rFonts w:ascii="Arial"/>
                <w:color w:val="auto"/>
                <w:sz w:val="21"/>
                <w:highlight w:val="none"/>
              </w:rPr>
            </w:pPr>
          </w:p>
          <w:p w14:paraId="7CC98878">
            <w:pPr>
              <w:spacing w:line="249" w:lineRule="auto"/>
              <w:rPr>
                <w:rFonts w:ascii="Arial"/>
                <w:color w:val="auto"/>
                <w:sz w:val="21"/>
                <w:highlight w:val="none"/>
              </w:rPr>
            </w:pPr>
          </w:p>
          <w:p w14:paraId="7BD69518">
            <w:pPr>
              <w:spacing w:line="249" w:lineRule="auto"/>
              <w:rPr>
                <w:rFonts w:ascii="Arial"/>
                <w:color w:val="auto"/>
                <w:sz w:val="21"/>
                <w:highlight w:val="none"/>
              </w:rPr>
            </w:pPr>
          </w:p>
          <w:p w14:paraId="19BF418E">
            <w:pPr>
              <w:spacing w:line="249" w:lineRule="auto"/>
              <w:rPr>
                <w:rFonts w:ascii="Arial"/>
                <w:color w:val="auto"/>
                <w:sz w:val="21"/>
                <w:highlight w:val="none"/>
              </w:rPr>
            </w:pPr>
          </w:p>
          <w:p w14:paraId="0AEE5A12">
            <w:pPr>
              <w:spacing w:line="249" w:lineRule="auto"/>
              <w:rPr>
                <w:rFonts w:ascii="Arial"/>
                <w:color w:val="auto"/>
                <w:sz w:val="21"/>
                <w:highlight w:val="none"/>
              </w:rPr>
            </w:pPr>
          </w:p>
          <w:p w14:paraId="1499F4BD">
            <w:pPr>
              <w:spacing w:line="249" w:lineRule="auto"/>
              <w:rPr>
                <w:rFonts w:ascii="Arial"/>
                <w:color w:val="auto"/>
                <w:sz w:val="21"/>
                <w:highlight w:val="none"/>
              </w:rPr>
            </w:pPr>
          </w:p>
          <w:p w14:paraId="0F9F9437">
            <w:pPr>
              <w:pStyle w:val="17"/>
              <w:spacing w:before="65" w:line="289" w:lineRule="auto"/>
              <w:ind w:left="153" w:right="146" w:firstLine="51"/>
              <w:jc w:val="both"/>
              <w:rPr>
                <w:color w:val="auto"/>
                <w:highlight w:val="none"/>
              </w:rPr>
            </w:pPr>
            <w:r>
              <w:rPr>
                <w:b/>
                <w:bCs/>
                <w:color w:val="auto"/>
                <w:spacing w:val="3"/>
                <w:highlight w:val="none"/>
              </w:rPr>
              <w:t>土建</w:t>
            </w:r>
            <w:r>
              <w:rPr>
                <w:b/>
                <w:bCs/>
                <w:color w:val="auto"/>
                <w:spacing w:val="29"/>
                <w:highlight w:val="none"/>
              </w:rPr>
              <w:t>监理</w:t>
            </w:r>
            <w:r>
              <w:rPr>
                <w:b/>
                <w:bCs/>
                <w:color w:val="auto"/>
                <w:spacing w:val="3"/>
                <w:highlight w:val="none"/>
              </w:rPr>
              <w:t>类（A</w:t>
            </w:r>
            <w:r>
              <w:rPr>
                <w:b/>
                <w:bCs/>
                <w:color w:val="auto"/>
                <w:spacing w:val="23"/>
                <w:highlight w:val="none"/>
              </w:rPr>
              <w:t>类）</w:t>
            </w:r>
          </w:p>
        </w:tc>
        <w:tc>
          <w:tcPr>
            <w:tcW w:w="709" w:type="dxa"/>
            <w:vAlign w:val="center"/>
          </w:tcPr>
          <w:p w14:paraId="37C66867">
            <w:pPr>
              <w:pStyle w:val="17"/>
              <w:spacing w:before="65" w:line="284" w:lineRule="auto"/>
              <w:ind w:left="112" w:right="106" w:firstLine="10"/>
              <w:jc w:val="center"/>
              <w:rPr>
                <w:rFonts w:hint="eastAsia" w:ascii="宋体" w:hAnsi="宋体" w:eastAsia="宋体" w:cs="宋体"/>
                <w:color w:val="auto"/>
                <w:spacing w:val="7"/>
                <w:highlight w:val="none"/>
                <w:lang w:val="en-US" w:eastAsia="zh-CN"/>
              </w:rPr>
            </w:pPr>
            <w:r>
              <w:rPr>
                <w:rFonts w:hint="eastAsia" w:ascii="宋体" w:hAnsi="宋体" w:eastAsia="宋体" w:cs="宋体"/>
                <w:color w:val="auto"/>
                <w:spacing w:val="7"/>
                <w:highlight w:val="none"/>
                <w:lang w:val="en-US" w:eastAsia="zh-CN"/>
              </w:rPr>
              <w:t>/</w:t>
            </w:r>
          </w:p>
        </w:tc>
        <w:tc>
          <w:tcPr>
            <w:tcW w:w="948" w:type="dxa"/>
            <w:vAlign w:val="center"/>
          </w:tcPr>
          <w:p w14:paraId="7012D88A">
            <w:pPr>
              <w:pStyle w:val="17"/>
              <w:spacing w:before="65" w:line="284" w:lineRule="auto"/>
              <w:ind w:left="112" w:right="106" w:firstLine="10"/>
              <w:jc w:val="center"/>
              <w:rPr>
                <w:rFonts w:ascii="宋体" w:hAnsi="宋体" w:eastAsia="宋体" w:cs="宋体"/>
                <w:color w:val="auto"/>
                <w:spacing w:val="7"/>
                <w:highlight w:val="none"/>
              </w:rPr>
            </w:pPr>
            <w:r>
              <w:rPr>
                <w:rFonts w:hint="eastAsia" w:ascii="宋体" w:hAnsi="宋体" w:eastAsia="宋体" w:cs="宋体"/>
                <w:color w:val="auto"/>
                <w:spacing w:val="7"/>
                <w:highlight w:val="none"/>
              </w:rPr>
              <w:t>K0+000~K9+703.02</w:t>
            </w:r>
          </w:p>
        </w:tc>
        <w:tc>
          <w:tcPr>
            <w:tcW w:w="896" w:type="dxa"/>
            <w:vAlign w:val="center"/>
          </w:tcPr>
          <w:p w14:paraId="36F05F53">
            <w:pPr>
              <w:pStyle w:val="17"/>
              <w:spacing w:before="65" w:line="284" w:lineRule="auto"/>
              <w:ind w:left="112" w:right="106" w:firstLine="10"/>
              <w:jc w:val="center"/>
              <w:rPr>
                <w:rFonts w:hint="default" w:ascii="宋体" w:hAnsi="宋体" w:eastAsia="宋体" w:cs="宋体"/>
                <w:color w:val="auto"/>
                <w:spacing w:val="7"/>
                <w:highlight w:val="none"/>
                <w:lang w:val="en-US" w:eastAsia="zh-CN"/>
              </w:rPr>
            </w:pPr>
            <w:r>
              <w:rPr>
                <w:rFonts w:hint="eastAsia" w:ascii="宋体" w:hAnsi="宋体" w:eastAsia="宋体" w:cs="宋体"/>
                <w:color w:val="auto"/>
                <w:spacing w:val="7"/>
                <w:highlight w:val="none"/>
                <w:lang w:val="en-US" w:eastAsia="zh-CN"/>
              </w:rPr>
              <w:t>9.703公里</w:t>
            </w:r>
          </w:p>
        </w:tc>
        <w:tc>
          <w:tcPr>
            <w:tcW w:w="2969" w:type="dxa"/>
            <w:vAlign w:val="top"/>
          </w:tcPr>
          <w:p w14:paraId="168E8CC0">
            <w:pPr>
              <w:spacing w:line="434" w:lineRule="auto"/>
              <w:rPr>
                <w:rFonts w:ascii="Arial"/>
                <w:color w:val="auto"/>
                <w:sz w:val="21"/>
                <w:highlight w:val="none"/>
              </w:rPr>
            </w:pPr>
          </w:p>
          <w:p w14:paraId="287BC9A9">
            <w:pPr>
              <w:pStyle w:val="17"/>
              <w:spacing w:before="65" w:line="284" w:lineRule="auto"/>
              <w:ind w:left="112" w:right="106" w:firstLine="10"/>
              <w:rPr>
                <w:color w:val="auto"/>
                <w:highlight w:val="none"/>
              </w:rPr>
            </w:pPr>
            <w:r>
              <w:rPr>
                <w:color w:val="auto"/>
                <w:spacing w:val="14"/>
                <w:highlight w:val="none"/>
              </w:rPr>
              <w:t>（1）</w:t>
            </w:r>
            <w:r>
              <w:rPr>
                <w:color w:val="auto"/>
                <w:spacing w:val="-49"/>
                <w:highlight w:val="none"/>
              </w:rPr>
              <w:t xml:space="preserve"> </w:t>
            </w:r>
            <w:r>
              <w:rPr>
                <w:color w:val="auto"/>
                <w:spacing w:val="14"/>
                <w:highlight w:val="none"/>
              </w:rPr>
              <w:t>里程范围内的</w:t>
            </w:r>
            <w:r>
              <w:rPr>
                <w:color w:val="auto"/>
                <w:spacing w:val="14"/>
                <w:highlight w:val="none"/>
                <w:u w:val="single" w:color="auto"/>
              </w:rPr>
              <w:t>路基、桥</w:t>
            </w:r>
            <w:r>
              <w:rPr>
                <w:color w:val="auto"/>
                <w:spacing w:val="11"/>
                <w:highlight w:val="none"/>
                <w:u w:val="single" w:color="auto"/>
              </w:rPr>
              <w:t>涵、路面、隧道、绿化、交通安全设施及沿线附属设施</w:t>
            </w:r>
            <w:r>
              <w:rPr>
                <w:color w:val="auto"/>
                <w:spacing w:val="11"/>
                <w:highlight w:val="none"/>
              </w:rPr>
              <w:t>等的施工准备阶段、施工阶段、交</w:t>
            </w:r>
            <w:r>
              <w:rPr>
                <w:color w:val="auto"/>
                <w:spacing w:val="10"/>
                <w:highlight w:val="none"/>
              </w:rPr>
              <w:t>(竣)工验收及缺陷责任期阶段</w:t>
            </w:r>
            <w:r>
              <w:rPr>
                <w:color w:val="auto"/>
                <w:spacing w:val="25"/>
                <w:highlight w:val="none"/>
              </w:rPr>
              <w:t>的施工监理</w:t>
            </w:r>
            <w:r>
              <w:rPr>
                <w:color w:val="auto"/>
                <w:spacing w:val="-56"/>
                <w:highlight w:val="none"/>
              </w:rPr>
              <w:t xml:space="preserve"> </w:t>
            </w:r>
            <w:r>
              <w:rPr>
                <w:color w:val="auto"/>
                <w:spacing w:val="25"/>
                <w:highlight w:val="none"/>
              </w:rPr>
              <w:t>、施工安全的监</w:t>
            </w:r>
            <w:r>
              <w:rPr>
                <w:color w:val="auto"/>
                <w:spacing w:val="11"/>
                <w:highlight w:val="none"/>
              </w:rPr>
              <w:t>理、交通组织监理，项目的环境保护、</w:t>
            </w:r>
            <w:r>
              <w:rPr>
                <w:color w:val="auto"/>
                <w:spacing w:val="11"/>
                <w:highlight w:val="none"/>
                <w:u w:val="single" w:color="auto"/>
              </w:rPr>
              <w:t>水土保持</w:t>
            </w:r>
            <w:r>
              <w:rPr>
                <w:color w:val="auto"/>
                <w:spacing w:val="11"/>
                <w:highlight w:val="none"/>
              </w:rPr>
              <w:t>的监理，参建各方竣工档案编制工作的监</w:t>
            </w:r>
            <w:r>
              <w:rPr>
                <w:color w:val="auto"/>
                <w:spacing w:val="7"/>
                <w:highlight w:val="none"/>
              </w:rPr>
              <w:t>理，</w:t>
            </w:r>
            <w:r>
              <w:rPr>
                <w:color w:val="auto"/>
                <w:spacing w:val="-47"/>
                <w:highlight w:val="none"/>
              </w:rPr>
              <w:t xml:space="preserve"> </w:t>
            </w:r>
            <w:r>
              <w:rPr>
                <w:color w:val="auto"/>
                <w:spacing w:val="7"/>
                <w:highlight w:val="none"/>
              </w:rPr>
              <w:t>以及配合业主交、竣工验</w:t>
            </w:r>
            <w:r>
              <w:rPr>
                <w:color w:val="auto"/>
                <w:spacing w:val="11"/>
                <w:highlight w:val="none"/>
              </w:rPr>
              <w:t>收和配合业主竣工验收前的结</w:t>
            </w:r>
            <w:r>
              <w:rPr>
                <w:color w:val="auto"/>
                <w:spacing w:val="8"/>
                <w:highlight w:val="none"/>
              </w:rPr>
              <w:t>算与决算的有关工作。</w:t>
            </w:r>
          </w:p>
          <w:p w14:paraId="513A2187">
            <w:pPr>
              <w:pStyle w:val="17"/>
              <w:spacing w:before="64" w:line="259" w:lineRule="auto"/>
              <w:ind w:left="112" w:right="106" w:firstLine="10"/>
              <w:rPr>
                <w:color w:val="auto"/>
                <w:highlight w:val="none"/>
              </w:rPr>
            </w:pPr>
            <w:r>
              <w:rPr>
                <w:color w:val="auto"/>
                <w:spacing w:val="14"/>
                <w:highlight w:val="none"/>
              </w:rPr>
              <w:t>（2）</w:t>
            </w:r>
            <w:r>
              <w:rPr>
                <w:color w:val="auto"/>
                <w:spacing w:val="-49"/>
                <w:highlight w:val="none"/>
              </w:rPr>
              <w:t xml:space="preserve"> </w:t>
            </w:r>
            <w:r>
              <w:rPr>
                <w:color w:val="auto"/>
                <w:spacing w:val="14"/>
                <w:highlight w:val="none"/>
              </w:rPr>
              <w:t>监理人不需要组建中心</w:t>
            </w:r>
            <w:r>
              <w:rPr>
                <w:color w:val="auto"/>
                <w:spacing w:val="5"/>
                <w:highlight w:val="none"/>
              </w:rPr>
              <w:t>试验室。</w:t>
            </w:r>
          </w:p>
        </w:tc>
        <w:tc>
          <w:tcPr>
            <w:tcW w:w="1435" w:type="dxa"/>
            <w:vAlign w:val="top"/>
          </w:tcPr>
          <w:p w14:paraId="59CD1B4F">
            <w:pPr>
              <w:pStyle w:val="17"/>
              <w:spacing w:before="32" w:line="289" w:lineRule="auto"/>
              <w:ind w:left="114" w:right="103"/>
              <w:rPr>
                <w:color w:val="auto"/>
                <w:highlight w:val="none"/>
              </w:rPr>
            </w:pPr>
            <w:r>
              <w:rPr>
                <w:color w:val="auto"/>
                <w:spacing w:val="42"/>
                <w:highlight w:val="none"/>
              </w:rPr>
              <w:t>施工监理服</w:t>
            </w:r>
            <w:r>
              <w:rPr>
                <w:color w:val="auto"/>
                <w:spacing w:val="28"/>
                <w:highlight w:val="none"/>
              </w:rPr>
              <w:t>务期限为</w:t>
            </w:r>
            <w:r>
              <w:rPr>
                <w:color w:val="auto"/>
                <w:spacing w:val="-30"/>
                <w:highlight w:val="none"/>
              </w:rPr>
              <w:t xml:space="preserve"> </w:t>
            </w:r>
            <w:r>
              <w:rPr>
                <w:color w:val="auto"/>
                <w:spacing w:val="28"/>
                <w:highlight w:val="none"/>
              </w:rPr>
              <w:t>：</w:t>
            </w:r>
            <w:r>
              <w:rPr>
                <w:rFonts w:hint="eastAsia"/>
                <w:color w:val="auto"/>
                <w:spacing w:val="28"/>
                <w:highlight w:val="none"/>
                <w:u w:val="single"/>
                <w:lang w:val="en-US" w:eastAsia="zh-CN"/>
              </w:rPr>
              <w:t>31</w:t>
            </w:r>
            <w:r>
              <w:rPr>
                <w:color w:val="auto"/>
                <w:spacing w:val="16"/>
                <w:highlight w:val="none"/>
              </w:rPr>
              <w:t>个月</w:t>
            </w:r>
            <w:r>
              <w:rPr>
                <w:color w:val="auto"/>
                <w:spacing w:val="-30"/>
                <w:highlight w:val="none"/>
              </w:rPr>
              <w:t xml:space="preserve"> </w:t>
            </w:r>
            <w:r>
              <w:rPr>
                <w:color w:val="auto"/>
                <w:spacing w:val="16"/>
                <w:highlight w:val="none"/>
              </w:rPr>
              <w:t>，</w:t>
            </w:r>
            <w:r>
              <w:rPr>
                <w:color w:val="auto"/>
                <w:spacing w:val="-40"/>
                <w:highlight w:val="none"/>
              </w:rPr>
              <w:t xml:space="preserve"> </w:t>
            </w:r>
            <w:r>
              <w:rPr>
                <w:color w:val="auto"/>
                <w:spacing w:val="16"/>
                <w:highlight w:val="none"/>
              </w:rPr>
              <w:t>包括</w:t>
            </w:r>
          </w:p>
          <w:p w14:paraId="1AA334CD">
            <w:pPr>
              <w:pStyle w:val="17"/>
              <w:spacing w:line="289" w:lineRule="auto"/>
              <w:ind w:left="115" w:right="103" w:hanging="1"/>
              <w:jc w:val="both"/>
              <w:rPr>
                <w:color w:val="auto"/>
                <w:highlight w:val="none"/>
              </w:rPr>
            </w:pPr>
            <w:r>
              <w:rPr>
                <w:color w:val="auto"/>
                <w:spacing w:val="42"/>
                <w:highlight w:val="none"/>
              </w:rPr>
              <w:t>施工准备阶</w:t>
            </w:r>
            <w:r>
              <w:rPr>
                <w:color w:val="auto"/>
                <w:spacing w:val="-1"/>
                <w:highlight w:val="none"/>
              </w:rPr>
              <w:t>段</w:t>
            </w:r>
            <w:r>
              <w:rPr>
                <w:color w:val="auto"/>
                <w:spacing w:val="-53"/>
                <w:highlight w:val="none"/>
              </w:rPr>
              <w:t xml:space="preserve"> </w:t>
            </w:r>
            <w:r>
              <w:rPr>
                <w:color w:val="auto"/>
                <w:spacing w:val="-1"/>
                <w:highlight w:val="none"/>
              </w:rPr>
              <w:t>监</w:t>
            </w:r>
            <w:r>
              <w:rPr>
                <w:color w:val="auto"/>
                <w:spacing w:val="-56"/>
                <w:highlight w:val="none"/>
              </w:rPr>
              <w:t xml:space="preserve"> </w:t>
            </w:r>
            <w:r>
              <w:rPr>
                <w:color w:val="auto"/>
                <w:spacing w:val="-1"/>
                <w:highlight w:val="none"/>
              </w:rPr>
              <w:t>理</w:t>
            </w:r>
            <w:r>
              <w:rPr>
                <w:color w:val="auto"/>
                <w:spacing w:val="-65"/>
                <w:highlight w:val="none"/>
              </w:rPr>
              <w:t xml:space="preserve"> </w:t>
            </w:r>
            <w:r>
              <w:rPr>
                <w:color w:val="auto"/>
                <w:spacing w:val="39"/>
                <w:highlight w:val="none"/>
                <w:u w:val="single" w:color="auto"/>
              </w:rPr>
              <w:t xml:space="preserve"> </w:t>
            </w:r>
            <w:r>
              <w:rPr>
                <w:rFonts w:hint="eastAsia"/>
                <w:color w:val="auto"/>
                <w:spacing w:val="39"/>
                <w:highlight w:val="none"/>
                <w:u w:val="single" w:color="auto"/>
                <w:lang w:val="en-US" w:eastAsia="zh-CN"/>
              </w:rPr>
              <w:t>1</w:t>
            </w:r>
            <w:r>
              <w:rPr>
                <w:color w:val="auto"/>
                <w:spacing w:val="39"/>
                <w:highlight w:val="none"/>
                <w:u w:val="single" w:color="auto"/>
              </w:rPr>
              <w:t xml:space="preserve"> </w:t>
            </w:r>
            <w:r>
              <w:rPr>
                <w:color w:val="auto"/>
                <w:spacing w:val="-91"/>
                <w:highlight w:val="none"/>
              </w:rPr>
              <w:t xml:space="preserve"> </w:t>
            </w:r>
            <w:r>
              <w:rPr>
                <w:color w:val="auto"/>
                <w:spacing w:val="-1"/>
                <w:highlight w:val="none"/>
              </w:rPr>
              <w:t>个</w:t>
            </w:r>
            <w:r>
              <w:rPr>
                <w:color w:val="auto"/>
                <w:spacing w:val="17"/>
                <w:highlight w:val="none"/>
              </w:rPr>
              <w:t>月</w:t>
            </w:r>
            <w:r>
              <w:rPr>
                <w:color w:val="auto"/>
                <w:spacing w:val="-32"/>
                <w:highlight w:val="none"/>
              </w:rPr>
              <w:t xml:space="preserve"> </w:t>
            </w:r>
            <w:r>
              <w:rPr>
                <w:color w:val="auto"/>
                <w:spacing w:val="17"/>
                <w:highlight w:val="none"/>
              </w:rPr>
              <w:t>，</w:t>
            </w:r>
            <w:r>
              <w:rPr>
                <w:color w:val="auto"/>
                <w:spacing w:val="-44"/>
                <w:highlight w:val="none"/>
              </w:rPr>
              <w:t xml:space="preserve"> </w:t>
            </w:r>
            <w:r>
              <w:rPr>
                <w:color w:val="auto"/>
                <w:spacing w:val="17"/>
                <w:highlight w:val="none"/>
              </w:rPr>
              <w:t>施工</w:t>
            </w:r>
            <w:r>
              <w:rPr>
                <w:rFonts w:ascii="宋体" w:hAnsi="宋体" w:eastAsia="宋体" w:cs="宋体"/>
                <w:color w:val="auto"/>
                <w:spacing w:val="-1"/>
                <w:highlight w:val="none"/>
              </w:rPr>
              <w:t xml:space="preserve">阶段 监 理    </w:t>
            </w:r>
            <w:r>
              <w:rPr>
                <w:rFonts w:hint="eastAsia" w:ascii="宋体" w:hAnsi="宋体" w:eastAsia="宋体" w:cs="宋体"/>
                <w:color w:val="auto"/>
                <w:spacing w:val="-1"/>
                <w:highlight w:val="none"/>
                <w:u w:val="single"/>
                <w:lang w:val="en-US" w:eastAsia="zh-CN"/>
              </w:rPr>
              <w:t>18</w:t>
            </w:r>
            <w:r>
              <w:rPr>
                <w:rFonts w:ascii="宋体" w:hAnsi="宋体" w:eastAsia="宋体" w:cs="宋体"/>
                <w:color w:val="auto"/>
                <w:spacing w:val="-1"/>
                <w:highlight w:val="none"/>
              </w:rPr>
              <w:t>个月 ， 交 ( 竣 )工</w:t>
            </w:r>
            <w:r>
              <w:rPr>
                <w:color w:val="auto"/>
                <w:spacing w:val="42"/>
                <w:highlight w:val="none"/>
              </w:rPr>
              <w:t>验收及缺</w:t>
            </w:r>
            <w:r>
              <w:rPr>
                <w:color w:val="auto"/>
                <w:spacing w:val="39"/>
                <w:highlight w:val="none"/>
              </w:rPr>
              <w:t>陷责任期监</w:t>
            </w:r>
            <w:r>
              <w:rPr>
                <w:color w:val="auto"/>
                <w:spacing w:val="-1"/>
                <w:highlight w:val="none"/>
              </w:rPr>
              <w:t>理</w:t>
            </w:r>
            <w:r>
              <w:rPr>
                <w:color w:val="auto"/>
                <w:spacing w:val="28"/>
                <w:highlight w:val="none"/>
              </w:rPr>
              <w:t xml:space="preserve"> </w:t>
            </w:r>
            <w:r>
              <w:rPr>
                <w:color w:val="auto"/>
                <w:spacing w:val="22"/>
                <w:highlight w:val="none"/>
                <w:u w:val="single" w:color="auto"/>
              </w:rPr>
              <w:t xml:space="preserve">  </w:t>
            </w:r>
            <w:r>
              <w:rPr>
                <w:rFonts w:hint="eastAsia"/>
                <w:color w:val="auto"/>
                <w:spacing w:val="-1"/>
                <w:highlight w:val="none"/>
                <w:u w:val="single" w:color="auto"/>
                <w:lang w:val="en-US" w:eastAsia="zh-CN"/>
              </w:rPr>
              <w:t>12</w:t>
            </w:r>
            <w:r>
              <w:rPr>
                <w:color w:val="auto"/>
                <w:spacing w:val="-91"/>
                <w:highlight w:val="none"/>
              </w:rPr>
              <w:t xml:space="preserve"> </w:t>
            </w:r>
            <w:r>
              <w:rPr>
                <w:color w:val="auto"/>
                <w:spacing w:val="-1"/>
                <w:highlight w:val="none"/>
              </w:rPr>
              <w:t>个</w:t>
            </w:r>
            <w:r>
              <w:rPr>
                <w:color w:val="auto"/>
                <w:spacing w:val="5"/>
                <w:highlight w:val="none"/>
              </w:rPr>
              <w:t>月</w:t>
            </w:r>
            <w:r>
              <w:rPr>
                <w:color w:val="auto"/>
                <w:spacing w:val="-32"/>
                <w:highlight w:val="none"/>
              </w:rPr>
              <w:t xml:space="preserve"> </w:t>
            </w:r>
            <w:r>
              <w:rPr>
                <w:color w:val="auto"/>
                <w:spacing w:val="5"/>
                <w:highlight w:val="none"/>
              </w:rPr>
              <w:t>，</w:t>
            </w:r>
            <w:r>
              <w:rPr>
                <w:color w:val="auto"/>
                <w:spacing w:val="-38"/>
                <w:highlight w:val="none"/>
              </w:rPr>
              <w:t xml:space="preserve"> </w:t>
            </w:r>
            <w:r>
              <w:rPr>
                <w:color w:val="auto"/>
                <w:spacing w:val="5"/>
                <w:highlight w:val="none"/>
              </w:rPr>
              <w:t>如</w:t>
            </w:r>
            <w:r>
              <w:rPr>
                <w:color w:val="auto"/>
                <w:spacing w:val="-48"/>
                <w:highlight w:val="none"/>
              </w:rPr>
              <w:t xml:space="preserve"> </w:t>
            </w:r>
            <w:r>
              <w:rPr>
                <w:color w:val="auto"/>
                <w:spacing w:val="5"/>
                <w:highlight w:val="none"/>
              </w:rPr>
              <w:t>施工</w:t>
            </w:r>
            <w:r>
              <w:rPr>
                <w:color w:val="auto"/>
                <w:spacing w:val="41"/>
                <w:highlight w:val="none"/>
              </w:rPr>
              <w:t>工期进行调</w:t>
            </w:r>
            <w:r>
              <w:rPr>
                <w:color w:val="auto"/>
                <w:spacing w:val="16"/>
                <w:highlight w:val="none"/>
              </w:rPr>
              <w:t>整</w:t>
            </w:r>
            <w:r>
              <w:rPr>
                <w:color w:val="auto"/>
                <w:spacing w:val="-30"/>
                <w:highlight w:val="none"/>
              </w:rPr>
              <w:t xml:space="preserve"> </w:t>
            </w:r>
            <w:r>
              <w:rPr>
                <w:color w:val="auto"/>
                <w:spacing w:val="16"/>
                <w:highlight w:val="none"/>
              </w:rPr>
              <w:t>，</w:t>
            </w:r>
            <w:r>
              <w:rPr>
                <w:color w:val="auto"/>
                <w:spacing w:val="-41"/>
                <w:highlight w:val="none"/>
              </w:rPr>
              <w:t xml:space="preserve"> </w:t>
            </w:r>
            <w:r>
              <w:rPr>
                <w:color w:val="auto"/>
                <w:spacing w:val="16"/>
                <w:highlight w:val="none"/>
              </w:rPr>
              <w:t>监理服</w:t>
            </w:r>
            <w:r>
              <w:rPr>
                <w:color w:val="auto"/>
                <w:spacing w:val="41"/>
                <w:highlight w:val="none"/>
              </w:rPr>
              <w:t>务期也相应</w:t>
            </w:r>
            <w:r>
              <w:rPr>
                <w:color w:val="auto"/>
                <w:spacing w:val="6"/>
                <w:highlight w:val="none"/>
              </w:rPr>
              <w:t>进行调整。</w:t>
            </w:r>
          </w:p>
        </w:tc>
        <w:tc>
          <w:tcPr>
            <w:tcW w:w="1230" w:type="dxa"/>
            <w:vAlign w:val="top"/>
          </w:tcPr>
          <w:p w14:paraId="42F4FD85">
            <w:pPr>
              <w:spacing w:line="274" w:lineRule="auto"/>
              <w:rPr>
                <w:rFonts w:ascii="Arial"/>
                <w:color w:val="auto"/>
                <w:sz w:val="21"/>
                <w:highlight w:val="none"/>
              </w:rPr>
            </w:pPr>
          </w:p>
          <w:p w14:paraId="5FBE95DA">
            <w:pPr>
              <w:spacing w:line="274" w:lineRule="auto"/>
              <w:rPr>
                <w:rFonts w:ascii="Arial"/>
                <w:color w:val="auto"/>
                <w:sz w:val="21"/>
                <w:highlight w:val="none"/>
              </w:rPr>
            </w:pPr>
          </w:p>
          <w:p w14:paraId="0B835E85">
            <w:pPr>
              <w:spacing w:line="274" w:lineRule="auto"/>
              <w:rPr>
                <w:rFonts w:ascii="Arial"/>
                <w:color w:val="auto"/>
                <w:sz w:val="21"/>
                <w:highlight w:val="none"/>
              </w:rPr>
            </w:pPr>
          </w:p>
          <w:p w14:paraId="45D2A2AE">
            <w:pPr>
              <w:spacing w:line="274" w:lineRule="auto"/>
              <w:rPr>
                <w:rFonts w:ascii="Arial"/>
                <w:color w:val="auto"/>
                <w:sz w:val="21"/>
                <w:highlight w:val="none"/>
              </w:rPr>
            </w:pPr>
          </w:p>
          <w:p w14:paraId="07CE2DEB">
            <w:pPr>
              <w:spacing w:line="275" w:lineRule="auto"/>
              <w:rPr>
                <w:rFonts w:ascii="Arial"/>
                <w:color w:val="auto"/>
                <w:sz w:val="21"/>
                <w:highlight w:val="none"/>
              </w:rPr>
            </w:pPr>
          </w:p>
          <w:p w14:paraId="5D740F75">
            <w:pPr>
              <w:pStyle w:val="17"/>
              <w:spacing w:before="65" w:line="289" w:lineRule="auto"/>
              <w:ind w:left="115" w:right="107" w:firstLine="4"/>
              <w:jc w:val="both"/>
              <w:rPr>
                <w:color w:val="auto"/>
                <w:highlight w:val="none"/>
              </w:rPr>
            </w:pPr>
            <w:r>
              <w:rPr>
                <w:color w:val="auto"/>
                <w:spacing w:val="-2"/>
                <w:highlight w:val="none"/>
              </w:rPr>
              <w:t>具</w:t>
            </w:r>
            <w:r>
              <w:rPr>
                <w:color w:val="auto"/>
                <w:spacing w:val="-33"/>
                <w:highlight w:val="none"/>
              </w:rPr>
              <w:t xml:space="preserve"> </w:t>
            </w:r>
            <w:r>
              <w:rPr>
                <w:color w:val="auto"/>
                <w:spacing w:val="-2"/>
                <w:highlight w:val="none"/>
              </w:rPr>
              <w:t>有</w:t>
            </w:r>
            <w:r>
              <w:rPr>
                <w:color w:val="auto"/>
                <w:spacing w:val="-30"/>
                <w:highlight w:val="none"/>
              </w:rPr>
              <w:t xml:space="preserve"> </w:t>
            </w:r>
            <w:r>
              <w:rPr>
                <w:color w:val="auto"/>
                <w:spacing w:val="-2"/>
                <w:highlight w:val="none"/>
              </w:rPr>
              <w:t>交</w:t>
            </w:r>
            <w:r>
              <w:rPr>
                <w:color w:val="auto"/>
                <w:spacing w:val="-35"/>
                <w:highlight w:val="none"/>
              </w:rPr>
              <w:t xml:space="preserve"> </w:t>
            </w:r>
            <w:r>
              <w:rPr>
                <w:color w:val="auto"/>
                <w:spacing w:val="-2"/>
                <w:highlight w:val="none"/>
              </w:rPr>
              <w:t>通</w:t>
            </w:r>
            <w:r>
              <w:rPr>
                <w:color w:val="auto"/>
                <w:spacing w:val="-1"/>
                <w:highlight w:val="none"/>
              </w:rPr>
              <w:t>运</w:t>
            </w:r>
            <w:r>
              <w:rPr>
                <w:color w:val="auto"/>
                <w:spacing w:val="-35"/>
                <w:highlight w:val="none"/>
              </w:rPr>
              <w:t xml:space="preserve"> </w:t>
            </w:r>
            <w:r>
              <w:rPr>
                <w:color w:val="auto"/>
                <w:spacing w:val="-1"/>
                <w:highlight w:val="none"/>
              </w:rPr>
              <w:t>输</w:t>
            </w:r>
            <w:r>
              <w:rPr>
                <w:color w:val="auto"/>
                <w:spacing w:val="-33"/>
                <w:highlight w:val="none"/>
              </w:rPr>
              <w:t xml:space="preserve"> </w:t>
            </w:r>
            <w:r>
              <w:rPr>
                <w:color w:val="auto"/>
                <w:spacing w:val="-1"/>
                <w:highlight w:val="none"/>
              </w:rPr>
              <w:t>主</w:t>
            </w:r>
            <w:r>
              <w:rPr>
                <w:color w:val="auto"/>
                <w:spacing w:val="-29"/>
                <w:highlight w:val="none"/>
              </w:rPr>
              <w:t xml:space="preserve"> </w:t>
            </w:r>
            <w:r>
              <w:rPr>
                <w:color w:val="auto"/>
                <w:spacing w:val="-1"/>
                <w:highlight w:val="none"/>
              </w:rPr>
              <w:t>管</w:t>
            </w:r>
            <w:r>
              <w:rPr>
                <w:color w:val="auto"/>
                <w:spacing w:val="-7"/>
                <w:highlight w:val="none"/>
              </w:rPr>
              <w:t>部</w:t>
            </w:r>
            <w:r>
              <w:rPr>
                <w:color w:val="auto"/>
                <w:spacing w:val="-10"/>
                <w:highlight w:val="none"/>
              </w:rPr>
              <w:t xml:space="preserve"> </w:t>
            </w:r>
            <w:r>
              <w:rPr>
                <w:color w:val="auto"/>
                <w:spacing w:val="-7"/>
                <w:highlight w:val="none"/>
              </w:rPr>
              <w:t>门</w:t>
            </w:r>
            <w:r>
              <w:rPr>
                <w:color w:val="auto"/>
                <w:spacing w:val="-32"/>
                <w:highlight w:val="none"/>
              </w:rPr>
              <w:t xml:space="preserve"> </w:t>
            </w:r>
            <w:r>
              <w:rPr>
                <w:color w:val="auto"/>
                <w:spacing w:val="-7"/>
                <w:highlight w:val="none"/>
              </w:rPr>
              <w:t>核</w:t>
            </w:r>
            <w:r>
              <w:rPr>
                <w:color w:val="auto"/>
                <w:spacing w:val="-31"/>
                <w:highlight w:val="none"/>
              </w:rPr>
              <w:t xml:space="preserve"> </w:t>
            </w:r>
            <w:r>
              <w:rPr>
                <w:color w:val="auto"/>
                <w:spacing w:val="-7"/>
                <w:highlight w:val="none"/>
              </w:rPr>
              <w:t>发</w:t>
            </w:r>
            <w:r>
              <w:rPr>
                <w:color w:val="auto"/>
                <w:spacing w:val="-1"/>
                <w:highlight w:val="none"/>
              </w:rPr>
              <w:t>的</w:t>
            </w:r>
            <w:r>
              <w:rPr>
                <w:color w:val="auto"/>
                <w:spacing w:val="-34"/>
                <w:highlight w:val="none"/>
              </w:rPr>
              <w:t xml:space="preserve"> </w:t>
            </w:r>
            <w:r>
              <w:rPr>
                <w:color w:val="auto"/>
                <w:spacing w:val="-1"/>
                <w:highlight w:val="none"/>
              </w:rPr>
              <w:t>在</w:t>
            </w:r>
            <w:r>
              <w:rPr>
                <w:color w:val="auto"/>
                <w:spacing w:val="-34"/>
                <w:highlight w:val="none"/>
              </w:rPr>
              <w:t xml:space="preserve"> </w:t>
            </w:r>
            <w:r>
              <w:rPr>
                <w:color w:val="auto"/>
                <w:spacing w:val="-1"/>
                <w:highlight w:val="none"/>
              </w:rPr>
              <w:t>有</w:t>
            </w:r>
            <w:r>
              <w:rPr>
                <w:color w:val="auto"/>
                <w:spacing w:val="-29"/>
                <w:highlight w:val="none"/>
              </w:rPr>
              <w:t xml:space="preserve"> </w:t>
            </w:r>
            <w:r>
              <w:rPr>
                <w:color w:val="auto"/>
                <w:spacing w:val="-1"/>
                <w:highlight w:val="none"/>
              </w:rPr>
              <w:t>效</w:t>
            </w:r>
            <w:r>
              <w:rPr>
                <w:color w:val="auto"/>
                <w:spacing w:val="-11"/>
                <w:highlight w:val="none"/>
              </w:rPr>
              <w:t>期 内</w:t>
            </w:r>
            <w:r>
              <w:rPr>
                <w:color w:val="auto"/>
                <w:spacing w:val="-18"/>
                <w:highlight w:val="none"/>
              </w:rPr>
              <w:t xml:space="preserve"> </w:t>
            </w:r>
            <w:r>
              <w:rPr>
                <w:color w:val="auto"/>
                <w:spacing w:val="-11"/>
                <w:highlight w:val="none"/>
              </w:rPr>
              <w:t>的</w:t>
            </w:r>
            <w:r>
              <w:rPr>
                <w:color w:val="auto"/>
                <w:spacing w:val="-28"/>
                <w:highlight w:val="none"/>
              </w:rPr>
              <w:t xml:space="preserve"> </w:t>
            </w:r>
            <w:r>
              <w:rPr>
                <w:color w:val="auto"/>
                <w:spacing w:val="-11"/>
                <w:highlight w:val="none"/>
              </w:rPr>
              <w:t>公</w:t>
            </w:r>
            <w:r>
              <w:rPr>
                <w:color w:val="auto"/>
                <w:spacing w:val="12"/>
                <w:highlight w:val="none"/>
              </w:rPr>
              <w:t>路工程</w:t>
            </w:r>
            <w:r>
              <w:rPr>
                <w:color w:val="auto"/>
                <w:spacing w:val="53"/>
                <w:highlight w:val="none"/>
                <w:u w:val="single" w:color="auto"/>
              </w:rPr>
              <w:t xml:space="preserve"> </w:t>
            </w:r>
            <w:r>
              <w:rPr>
                <w:rFonts w:hint="eastAsia"/>
                <w:color w:val="auto"/>
                <w:spacing w:val="53"/>
                <w:highlight w:val="none"/>
                <w:u w:val="single" w:color="auto"/>
                <w:lang w:val="en-US" w:eastAsia="zh-CN"/>
              </w:rPr>
              <w:t>乙</w:t>
            </w:r>
            <w:r>
              <w:rPr>
                <w:color w:val="auto"/>
                <w:spacing w:val="12"/>
                <w:highlight w:val="none"/>
                <w:u w:val="single" w:color="auto"/>
              </w:rPr>
              <w:t>级</w:t>
            </w:r>
            <w:r>
              <w:rPr>
                <w:rFonts w:hint="eastAsia"/>
                <w:color w:val="auto"/>
                <w:spacing w:val="12"/>
                <w:highlight w:val="none"/>
                <w:u w:val="single" w:color="auto"/>
                <w:lang w:val="en-US" w:eastAsia="zh-CN"/>
              </w:rPr>
              <w:t>以上（含乙级）</w:t>
            </w:r>
            <w:r>
              <w:rPr>
                <w:color w:val="auto"/>
                <w:spacing w:val="-1"/>
                <w:highlight w:val="none"/>
              </w:rPr>
              <w:t>监</w:t>
            </w:r>
            <w:r>
              <w:rPr>
                <w:color w:val="auto"/>
                <w:spacing w:val="-31"/>
                <w:highlight w:val="none"/>
              </w:rPr>
              <w:t xml:space="preserve"> </w:t>
            </w:r>
            <w:r>
              <w:rPr>
                <w:color w:val="auto"/>
                <w:spacing w:val="-1"/>
                <w:highlight w:val="none"/>
              </w:rPr>
              <w:t>理</w:t>
            </w:r>
            <w:r>
              <w:rPr>
                <w:color w:val="auto"/>
                <w:spacing w:val="-31"/>
                <w:highlight w:val="none"/>
              </w:rPr>
              <w:t xml:space="preserve"> </w:t>
            </w:r>
            <w:r>
              <w:rPr>
                <w:color w:val="auto"/>
                <w:spacing w:val="-1"/>
                <w:highlight w:val="none"/>
              </w:rPr>
              <w:t>企</w:t>
            </w:r>
            <w:r>
              <w:rPr>
                <w:color w:val="auto"/>
                <w:spacing w:val="-35"/>
                <w:highlight w:val="none"/>
              </w:rPr>
              <w:t xml:space="preserve"> </w:t>
            </w:r>
            <w:r>
              <w:rPr>
                <w:color w:val="auto"/>
                <w:spacing w:val="-1"/>
                <w:highlight w:val="none"/>
              </w:rPr>
              <w:t>业</w:t>
            </w:r>
            <w:r>
              <w:rPr>
                <w:color w:val="auto"/>
                <w:spacing w:val="3"/>
                <w:highlight w:val="none"/>
              </w:rPr>
              <w:t>资质。</w:t>
            </w:r>
          </w:p>
        </w:tc>
      </w:tr>
    </w:tbl>
    <w:p w14:paraId="0D36608B">
      <w:pPr>
        <w:spacing w:line="242" w:lineRule="auto"/>
        <w:rPr>
          <w:rFonts w:ascii="Arial"/>
          <w:color w:val="auto"/>
          <w:sz w:val="21"/>
          <w:highlight w:val="none"/>
        </w:rPr>
      </w:pPr>
    </w:p>
    <w:p w14:paraId="63B9E464">
      <w:pPr>
        <w:spacing w:line="242" w:lineRule="auto"/>
        <w:rPr>
          <w:rFonts w:ascii="Arial"/>
          <w:color w:val="auto"/>
          <w:sz w:val="21"/>
          <w:highlight w:val="none"/>
        </w:rPr>
      </w:pPr>
    </w:p>
    <w:p w14:paraId="33D01B19">
      <w:pPr>
        <w:spacing w:line="242" w:lineRule="auto"/>
        <w:rPr>
          <w:rFonts w:ascii="Arial"/>
          <w:color w:val="auto"/>
          <w:sz w:val="21"/>
          <w:highlight w:val="none"/>
        </w:rPr>
      </w:pPr>
    </w:p>
    <w:p w14:paraId="6D43BF54">
      <w:pPr>
        <w:rPr>
          <w:rFonts w:hint="eastAsia" w:ascii="宋体" w:hAnsi="宋体" w:cs="宋体"/>
          <w:color w:val="auto"/>
          <w:highlight w:val="none"/>
        </w:rPr>
      </w:pPr>
      <w:bookmarkStart w:id="21" w:name="_Toc20966"/>
      <w:r>
        <w:rPr>
          <w:rFonts w:hint="eastAsia" w:ascii="宋体" w:hAnsi="宋体" w:cs="宋体"/>
          <w:color w:val="auto"/>
          <w:highlight w:val="none"/>
        </w:rPr>
        <w:br w:type="page"/>
      </w:r>
    </w:p>
    <w:p w14:paraId="3CD36121">
      <w:pPr>
        <w:pStyle w:val="2"/>
        <w:rPr>
          <w:rFonts w:hint="eastAsia" w:ascii="宋体" w:hAnsi="宋体" w:cs="宋体"/>
          <w:color w:val="auto"/>
          <w:highlight w:val="none"/>
        </w:rPr>
      </w:pPr>
      <w:bookmarkStart w:id="22" w:name="_Toc5637"/>
      <w:bookmarkStart w:id="23" w:name="_Toc16593"/>
      <w:bookmarkStart w:id="24" w:name="_Toc2004"/>
      <w:bookmarkStart w:id="25" w:name="_Toc22423"/>
      <w:r>
        <w:rPr>
          <w:rFonts w:hint="eastAsia" w:ascii="宋体" w:hAnsi="宋体" w:cs="宋体"/>
          <w:color w:val="auto"/>
          <w:highlight w:val="none"/>
        </w:rPr>
        <w:t>附件 2：重要事项时间地点一览表</w:t>
      </w:r>
      <w:bookmarkEnd w:id="21"/>
      <w:bookmarkEnd w:id="22"/>
      <w:bookmarkEnd w:id="23"/>
      <w:bookmarkEnd w:id="24"/>
      <w:bookmarkEnd w:id="25"/>
    </w:p>
    <w:tbl>
      <w:tblPr>
        <w:tblStyle w:val="13"/>
        <w:tblW w:w="945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58"/>
        <w:gridCol w:w="1667"/>
        <w:gridCol w:w="7333"/>
      </w:tblGrid>
      <w:tr w14:paraId="4FF5ED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4595D6ED">
            <w:pPr>
              <w:wordWrap w:val="0"/>
              <w:adjustRightInd w:val="0"/>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50ADF295">
            <w:pPr>
              <w:wordWrap w:val="0"/>
              <w:adjustRightInd w:val="0"/>
              <w:snapToGrid w:val="0"/>
              <w:spacing w:line="360" w:lineRule="exact"/>
              <w:jc w:val="center"/>
              <w:rPr>
                <w:rFonts w:ascii="宋体"/>
                <w:snapToGrid w:val="0"/>
                <w:color w:val="auto"/>
                <w:kern w:val="0"/>
                <w:sz w:val="22"/>
                <w:szCs w:val="22"/>
                <w:highlight w:val="none"/>
              </w:rPr>
            </w:pPr>
            <w:r>
              <w:rPr>
                <w:rFonts w:hint="eastAsia" w:ascii="宋体"/>
                <w:snapToGrid w:val="0"/>
                <w:color w:val="auto"/>
                <w:kern w:val="0"/>
                <w:sz w:val="22"/>
                <w:szCs w:val="22"/>
                <w:highlight w:val="none"/>
              </w:rPr>
              <w:t>招标公告</w:t>
            </w:r>
          </w:p>
          <w:p w14:paraId="0128344B">
            <w:pPr>
              <w:wordWrap w:val="0"/>
              <w:adjustRightInd w:val="0"/>
              <w:snapToGrid w:val="0"/>
              <w:spacing w:line="360" w:lineRule="exact"/>
              <w:jc w:val="center"/>
              <w:rPr>
                <w:rFonts w:hint="eastAsia" w:ascii="宋体" w:hAnsi="宋体" w:cs="Tahoma"/>
                <w:color w:val="auto"/>
                <w:sz w:val="22"/>
                <w:szCs w:val="22"/>
                <w:highlight w:val="none"/>
              </w:rPr>
            </w:pPr>
            <w:r>
              <w:rPr>
                <w:rFonts w:hint="eastAsia" w:ascii="宋体"/>
                <w:snapToGrid w:val="0"/>
                <w:color w:val="auto"/>
                <w:kern w:val="0"/>
                <w:sz w:val="22"/>
                <w:szCs w:val="22"/>
                <w:highlight w:val="none"/>
              </w:rPr>
              <w:t xml:space="preserve">发布时间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69F2D926">
            <w:pPr>
              <w:widowControl/>
              <w:snapToGrid w:val="0"/>
              <w:ind w:left="105" w:leftChars="50"/>
              <w:jc w:val="left"/>
              <w:rPr>
                <w:rFonts w:hint="eastAsia" w:ascii="宋体" w:hAnsi="宋体" w:cs="Tahoma"/>
                <w:color w:val="auto"/>
                <w:sz w:val="22"/>
                <w:szCs w:val="22"/>
                <w:highlight w:val="none"/>
              </w:rPr>
            </w:pPr>
            <w:r>
              <w:rPr>
                <w:rFonts w:hint="eastAsia" w:ascii="宋体" w:hAnsi="宋体" w:cs="宋体"/>
                <w:color w:val="auto"/>
                <w:kern w:val="0"/>
                <w:sz w:val="22"/>
                <w:szCs w:val="22"/>
                <w:highlight w:val="none"/>
                <w:u w:val="single"/>
              </w:rPr>
              <w:t>2026</w:t>
            </w:r>
            <w:r>
              <w:rPr>
                <w:rFonts w:hint="eastAsia" w:ascii="宋体" w:hAnsi="宋体" w:cs="宋体"/>
                <w:color w:val="auto"/>
                <w:kern w:val="0"/>
                <w:sz w:val="22"/>
                <w:szCs w:val="22"/>
                <w:highlight w:val="none"/>
              </w:rPr>
              <w:t>年</w:t>
            </w:r>
            <w:r>
              <w:rPr>
                <w:rFonts w:hint="eastAsia" w:ascii="宋体" w:hAnsi="宋体" w:eastAsia="宋体" w:cs="宋体"/>
                <w:color w:val="auto"/>
                <w:kern w:val="0"/>
                <w:sz w:val="22"/>
                <w:szCs w:val="22"/>
                <w:highlight w:val="none"/>
                <w:u w:val="single"/>
                <w:lang w:val="en-US" w:eastAsia="zh-CN"/>
              </w:rPr>
              <w:t xml:space="preserve"> 3 </w:t>
            </w:r>
            <w:r>
              <w:rPr>
                <w:rFonts w:hint="eastAsia" w:ascii="宋体" w:hAnsi="宋体" w:cs="宋体"/>
                <w:color w:val="auto"/>
                <w:kern w:val="0"/>
                <w:sz w:val="22"/>
                <w:szCs w:val="22"/>
                <w:highlight w:val="none"/>
              </w:rPr>
              <w:t>月</w:t>
            </w:r>
            <w:r>
              <w:rPr>
                <w:rFonts w:hint="eastAsia" w:ascii="宋体" w:hAnsi="宋体" w:eastAsia="宋体" w:cs="宋体"/>
                <w:color w:val="auto"/>
                <w:kern w:val="0"/>
                <w:sz w:val="22"/>
                <w:szCs w:val="22"/>
                <w:highlight w:val="none"/>
                <w:u w:val="single"/>
                <w:lang w:val="en-US" w:eastAsia="zh-CN"/>
              </w:rPr>
              <w:t xml:space="preserve"> 27 </w:t>
            </w:r>
            <w:r>
              <w:rPr>
                <w:rFonts w:hint="eastAsia" w:ascii="宋体" w:hAnsi="宋体" w:cs="宋体"/>
                <w:color w:val="auto"/>
                <w:kern w:val="0"/>
                <w:sz w:val="22"/>
                <w:szCs w:val="22"/>
                <w:highlight w:val="none"/>
              </w:rPr>
              <w:t>日</w:t>
            </w:r>
            <w:r>
              <w:rPr>
                <w:rFonts w:hint="eastAsia" w:ascii="宋体" w:hAnsi="宋体" w:eastAsia="宋体" w:cs="宋体"/>
                <w:color w:val="auto"/>
                <w:kern w:val="0"/>
                <w:sz w:val="22"/>
                <w:szCs w:val="22"/>
                <w:highlight w:val="none"/>
                <w:u w:val="single"/>
                <w:lang w:val="en-US" w:eastAsia="zh-CN"/>
              </w:rPr>
              <w:t xml:space="preserve"> 17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00</w:t>
            </w:r>
            <w:r>
              <w:rPr>
                <w:rFonts w:hint="eastAsia" w:ascii="宋体" w:hAnsi="宋体" w:cs="宋体"/>
                <w:color w:val="auto"/>
                <w:kern w:val="0"/>
                <w:sz w:val="22"/>
                <w:szCs w:val="22"/>
                <w:highlight w:val="none"/>
              </w:rPr>
              <w:t>分</w:t>
            </w:r>
          </w:p>
        </w:tc>
      </w:tr>
      <w:tr w14:paraId="6979E3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0CC21FB2">
            <w:pPr>
              <w:wordWrap w:val="0"/>
              <w:adjustRightInd w:val="0"/>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43CE9A8D">
            <w:pPr>
              <w:wordWrap w:val="0"/>
              <w:adjustRightInd w:val="0"/>
              <w:snapToGrid w:val="0"/>
              <w:spacing w:line="360" w:lineRule="exact"/>
              <w:jc w:val="center"/>
              <w:rPr>
                <w:rFonts w:hint="eastAsia" w:ascii="宋体" w:hAnsi="宋体" w:cs="Tahoma"/>
                <w:color w:val="auto"/>
                <w:sz w:val="22"/>
                <w:szCs w:val="22"/>
                <w:highlight w:val="none"/>
              </w:rPr>
            </w:pPr>
            <w:r>
              <w:rPr>
                <w:rFonts w:hint="eastAsia" w:ascii="宋体"/>
                <w:snapToGrid w:val="0"/>
                <w:color w:val="auto"/>
                <w:kern w:val="0"/>
                <w:sz w:val="22"/>
                <w:szCs w:val="22"/>
                <w:highlight w:val="none"/>
              </w:rPr>
              <w:t xml:space="preserve">获取招标文件截止时间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07DDBC1C">
            <w:pPr>
              <w:widowControl/>
              <w:snapToGrid w:val="0"/>
              <w:ind w:left="105" w:leftChars="50"/>
              <w:jc w:val="left"/>
              <w:rPr>
                <w:rFonts w:hint="eastAsia" w:ascii="宋体" w:hAnsi="宋体" w:cs="Tahoma"/>
                <w:color w:val="auto"/>
                <w:sz w:val="22"/>
                <w:szCs w:val="22"/>
                <w:highlight w:val="none"/>
              </w:rPr>
            </w:pPr>
            <w:r>
              <w:rPr>
                <w:rFonts w:hint="eastAsia" w:ascii="宋体" w:hAnsi="宋体" w:cs="宋体"/>
                <w:color w:val="auto"/>
                <w:kern w:val="0"/>
                <w:sz w:val="22"/>
                <w:szCs w:val="22"/>
                <w:highlight w:val="none"/>
                <w:u w:val="single"/>
              </w:rPr>
              <w:t>2026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4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17 </w:t>
            </w:r>
            <w:r>
              <w:rPr>
                <w:rFonts w:hint="eastAsia" w:ascii="宋体" w:hAnsi="宋体" w:cs="宋体"/>
                <w:color w:val="auto"/>
                <w:kern w:val="0"/>
                <w:sz w:val="22"/>
                <w:szCs w:val="22"/>
                <w:highlight w:val="none"/>
              </w:rPr>
              <w:t>日</w:t>
            </w:r>
            <w:r>
              <w:rPr>
                <w:rFonts w:hint="eastAsia" w:ascii="宋体" w:hAnsi="宋体" w:eastAsia="宋体" w:cs="宋体"/>
                <w:color w:val="auto"/>
                <w:kern w:val="0"/>
                <w:sz w:val="22"/>
                <w:szCs w:val="22"/>
                <w:highlight w:val="none"/>
                <w:u w:val="single"/>
                <w:lang w:val="en-US" w:eastAsia="zh-CN"/>
              </w:rPr>
              <w:t xml:space="preserve"> 10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00</w:t>
            </w:r>
            <w:r>
              <w:rPr>
                <w:rFonts w:hint="eastAsia" w:ascii="宋体" w:hAnsi="宋体" w:cs="宋体"/>
                <w:color w:val="auto"/>
                <w:kern w:val="0"/>
                <w:sz w:val="22"/>
                <w:szCs w:val="22"/>
                <w:highlight w:val="none"/>
              </w:rPr>
              <w:t>分</w:t>
            </w:r>
          </w:p>
        </w:tc>
      </w:tr>
      <w:tr w14:paraId="670013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5"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2E817725">
            <w:pPr>
              <w:wordWrap w:val="0"/>
              <w:adjustRightInd w:val="0"/>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3B69F865">
            <w:pPr>
              <w:wordWrap w:val="0"/>
              <w:adjustRightInd w:val="0"/>
              <w:snapToGrid w:val="0"/>
              <w:spacing w:line="360" w:lineRule="exact"/>
              <w:jc w:val="center"/>
              <w:rPr>
                <w:rFonts w:ascii="宋体"/>
                <w:snapToGrid w:val="0"/>
                <w:color w:val="auto"/>
                <w:kern w:val="0"/>
                <w:sz w:val="22"/>
                <w:szCs w:val="22"/>
                <w:highlight w:val="none"/>
              </w:rPr>
            </w:pPr>
            <w:r>
              <w:rPr>
                <w:rFonts w:hint="eastAsia" w:ascii="宋体"/>
                <w:snapToGrid w:val="0"/>
                <w:color w:val="auto"/>
                <w:kern w:val="0"/>
                <w:sz w:val="22"/>
                <w:szCs w:val="22"/>
                <w:highlight w:val="none"/>
              </w:rPr>
              <w:t>网上提问</w:t>
            </w:r>
          </w:p>
          <w:p w14:paraId="0E5A49F8">
            <w:pPr>
              <w:wordWrap w:val="0"/>
              <w:adjustRightInd w:val="0"/>
              <w:snapToGrid w:val="0"/>
              <w:spacing w:line="360" w:lineRule="exact"/>
              <w:jc w:val="center"/>
              <w:rPr>
                <w:rFonts w:hint="eastAsia" w:ascii="宋体" w:hAnsi="宋体" w:cs="Tahoma"/>
                <w:color w:val="auto"/>
                <w:sz w:val="22"/>
                <w:szCs w:val="22"/>
                <w:highlight w:val="none"/>
              </w:rPr>
            </w:pPr>
            <w:r>
              <w:rPr>
                <w:rFonts w:hint="eastAsia" w:ascii="宋体"/>
                <w:snapToGrid w:val="0"/>
                <w:color w:val="auto"/>
                <w:kern w:val="0"/>
                <w:sz w:val="22"/>
                <w:szCs w:val="22"/>
                <w:highlight w:val="none"/>
              </w:rPr>
              <w:t>截止时间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44A8435F">
            <w:pPr>
              <w:wordWrap w:val="0"/>
              <w:adjustRightInd w:val="0"/>
              <w:snapToGrid w:val="0"/>
              <w:ind w:left="105" w:leftChars="50"/>
              <w:jc w:val="left"/>
              <w:rPr>
                <w:rFonts w:hint="eastAsia" w:ascii="宋体" w:hAnsi="宋体" w:cs="Tahoma"/>
                <w:color w:val="auto"/>
                <w:sz w:val="22"/>
                <w:szCs w:val="22"/>
                <w:highlight w:val="none"/>
              </w:rPr>
            </w:pPr>
            <w:r>
              <w:rPr>
                <w:rFonts w:hint="eastAsia" w:ascii="宋体" w:hAnsi="宋体" w:cs="宋体"/>
                <w:color w:val="auto"/>
                <w:kern w:val="0"/>
                <w:sz w:val="22"/>
                <w:szCs w:val="22"/>
                <w:highlight w:val="none"/>
                <w:u w:val="single"/>
              </w:rPr>
              <w:t>2026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4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7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16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00 </w:t>
            </w:r>
            <w:r>
              <w:rPr>
                <w:rFonts w:hint="eastAsia" w:ascii="宋体" w:hAnsi="宋体" w:cs="宋体"/>
                <w:color w:val="auto"/>
                <w:kern w:val="0"/>
                <w:sz w:val="22"/>
                <w:szCs w:val="22"/>
                <w:highlight w:val="none"/>
              </w:rPr>
              <w:t>分</w:t>
            </w:r>
          </w:p>
        </w:tc>
      </w:tr>
      <w:tr w14:paraId="099BB3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3AA4F370">
            <w:pPr>
              <w:wordWrap w:val="0"/>
              <w:adjustRightInd w:val="0"/>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61300B80">
            <w:pPr>
              <w:wordWrap w:val="0"/>
              <w:adjustRightInd w:val="0"/>
              <w:snapToGrid w:val="0"/>
              <w:spacing w:line="360" w:lineRule="exact"/>
              <w:jc w:val="center"/>
              <w:rPr>
                <w:rFonts w:ascii="宋体"/>
                <w:snapToGrid w:val="0"/>
                <w:color w:val="auto"/>
                <w:kern w:val="0"/>
                <w:sz w:val="22"/>
                <w:szCs w:val="22"/>
                <w:highlight w:val="none"/>
              </w:rPr>
            </w:pPr>
            <w:r>
              <w:rPr>
                <w:rFonts w:hint="eastAsia" w:ascii="宋体"/>
                <w:snapToGrid w:val="0"/>
                <w:color w:val="auto"/>
                <w:kern w:val="0"/>
                <w:sz w:val="22"/>
                <w:szCs w:val="22"/>
                <w:highlight w:val="none"/>
              </w:rPr>
              <w:t>网上答疑</w:t>
            </w:r>
          </w:p>
          <w:p w14:paraId="00198775">
            <w:pPr>
              <w:wordWrap w:val="0"/>
              <w:adjustRightInd w:val="0"/>
              <w:snapToGrid w:val="0"/>
              <w:spacing w:line="360" w:lineRule="exact"/>
              <w:jc w:val="center"/>
              <w:rPr>
                <w:rFonts w:hint="eastAsia" w:ascii="宋体" w:hAnsi="宋体" w:cs="Tahoma"/>
                <w:color w:val="auto"/>
                <w:sz w:val="22"/>
                <w:szCs w:val="22"/>
                <w:highlight w:val="none"/>
              </w:rPr>
            </w:pPr>
            <w:r>
              <w:rPr>
                <w:rFonts w:hint="eastAsia" w:ascii="宋体"/>
                <w:snapToGrid w:val="0"/>
                <w:color w:val="auto"/>
                <w:kern w:val="0"/>
                <w:sz w:val="22"/>
                <w:szCs w:val="22"/>
                <w:highlight w:val="none"/>
              </w:rPr>
              <w:t>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241B007E">
            <w:pPr>
              <w:snapToGrid w:val="0"/>
              <w:ind w:left="105" w:leftChars="50"/>
              <w:jc w:val="left"/>
              <w:rPr>
                <w:rFonts w:hint="eastAsia" w:ascii="宋体" w:hAnsi="宋体" w:cs="Tahoma"/>
                <w:color w:val="auto"/>
                <w:sz w:val="22"/>
                <w:szCs w:val="22"/>
                <w:highlight w:val="none"/>
              </w:rPr>
            </w:pPr>
            <w:r>
              <w:rPr>
                <w:rFonts w:hint="eastAsia" w:ascii="宋体" w:hAnsi="宋体" w:cs="宋体"/>
                <w:color w:val="auto"/>
                <w:kern w:val="0"/>
                <w:sz w:val="22"/>
                <w:szCs w:val="22"/>
                <w:highlight w:val="none"/>
                <w:u w:val="single"/>
              </w:rPr>
              <w:t>2026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4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7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16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30 </w:t>
            </w:r>
            <w:r>
              <w:rPr>
                <w:rFonts w:hint="eastAsia" w:ascii="宋体" w:hAnsi="宋体" w:cs="宋体"/>
                <w:color w:val="auto"/>
                <w:kern w:val="0"/>
                <w:sz w:val="22"/>
                <w:szCs w:val="22"/>
                <w:highlight w:val="none"/>
              </w:rPr>
              <w:t>分至</w:t>
            </w:r>
            <w:r>
              <w:rPr>
                <w:rFonts w:hint="eastAsia" w:ascii="宋体" w:hAnsi="宋体" w:eastAsia="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u w:val="single"/>
              </w:rPr>
              <w:t>2026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4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10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16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00</w:t>
            </w:r>
            <w:r>
              <w:rPr>
                <w:rFonts w:hint="eastAsia" w:ascii="宋体" w:hAnsi="宋体" w:cs="宋体"/>
                <w:color w:val="auto"/>
                <w:kern w:val="0"/>
                <w:sz w:val="22"/>
                <w:szCs w:val="22"/>
                <w:highlight w:val="none"/>
              </w:rPr>
              <w:t>分</w:t>
            </w:r>
          </w:p>
        </w:tc>
      </w:tr>
      <w:tr w14:paraId="04D90A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4"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3FB12C11">
            <w:pPr>
              <w:wordWrap w:val="0"/>
              <w:adjustRightInd w:val="0"/>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4BF602D4">
            <w:pPr>
              <w:wordWrap w:val="0"/>
              <w:adjustRightInd w:val="0"/>
              <w:snapToGrid w:val="0"/>
              <w:spacing w:line="360" w:lineRule="exact"/>
              <w:jc w:val="center"/>
              <w:rPr>
                <w:rFonts w:ascii="宋体"/>
                <w:snapToGrid w:val="0"/>
                <w:color w:val="auto"/>
                <w:kern w:val="0"/>
                <w:sz w:val="22"/>
                <w:szCs w:val="22"/>
                <w:highlight w:val="none"/>
              </w:rPr>
            </w:pPr>
            <w:r>
              <w:rPr>
                <w:rFonts w:hint="eastAsia" w:ascii="宋体"/>
                <w:snapToGrid w:val="0"/>
                <w:color w:val="auto"/>
                <w:kern w:val="0"/>
                <w:sz w:val="22"/>
                <w:szCs w:val="22"/>
                <w:highlight w:val="none"/>
              </w:rPr>
              <w:t>投标保证缴</w:t>
            </w:r>
          </w:p>
          <w:p w14:paraId="44D2817B">
            <w:pPr>
              <w:wordWrap w:val="0"/>
              <w:adjustRightInd w:val="0"/>
              <w:snapToGrid w:val="0"/>
              <w:spacing w:line="360" w:lineRule="exact"/>
              <w:jc w:val="center"/>
              <w:rPr>
                <w:rFonts w:hint="eastAsia" w:ascii="宋体" w:hAnsi="宋体" w:cs="Tahoma"/>
                <w:color w:val="auto"/>
                <w:sz w:val="22"/>
                <w:szCs w:val="22"/>
                <w:highlight w:val="none"/>
              </w:rPr>
            </w:pPr>
            <w:r>
              <w:rPr>
                <w:rFonts w:hint="eastAsia" w:ascii="宋体"/>
                <w:snapToGrid w:val="0"/>
                <w:color w:val="auto"/>
                <w:kern w:val="0"/>
                <w:sz w:val="22"/>
                <w:szCs w:val="22"/>
                <w:highlight w:val="none"/>
              </w:rPr>
              <w:t>纳截止时间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76E45CEE">
            <w:pPr>
              <w:widowControl/>
              <w:snapToGrid w:val="0"/>
              <w:spacing w:before="156" w:beforeLines="50" w:line="360" w:lineRule="auto"/>
              <w:ind w:left="105" w:leftChars="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投标保证金到账截止时间：</w:t>
            </w:r>
            <w:r>
              <w:rPr>
                <w:rFonts w:hint="eastAsia" w:ascii="宋体" w:hAnsi="宋体" w:cs="宋体"/>
                <w:color w:val="auto"/>
                <w:kern w:val="0"/>
                <w:sz w:val="22"/>
                <w:szCs w:val="22"/>
                <w:highlight w:val="none"/>
                <w:u w:val="single"/>
              </w:rPr>
              <w:t>2026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4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16 </w:t>
            </w:r>
            <w:r>
              <w:rPr>
                <w:rFonts w:hint="eastAsia" w:ascii="宋体" w:hAnsi="宋体" w:cs="宋体"/>
                <w:color w:val="auto"/>
                <w:kern w:val="0"/>
                <w:sz w:val="22"/>
                <w:szCs w:val="22"/>
                <w:highlight w:val="none"/>
              </w:rPr>
              <w:t>日</w:t>
            </w:r>
            <w:r>
              <w:rPr>
                <w:rFonts w:hint="eastAsia" w:ascii="宋体" w:hAnsi="宋体" w:eastAsia="宋体" w:cs="宋体"/>
                <w:color w:val="auto"/>
                <w:kern w:val="0"/>
                <w:sz w:val="22"/>
                <w:szCs w:val="22"/>
                <w:highlight w:val="none"/>
                <w:u w:val="single"/>
                <w:lang w:val="en-US" w:eastAsia="zh-CN"/>
              </w:rPr>
              <w:t xml:space="preserve"> 10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00</w:t>
            </w:r>
            <w:r>
              <w:rPr>
                <w:rFonts w:hint="eastAsia" w:ascii="宋体" w:hAnsi="宋体" w:cs="宋体"/>
                <w:color w:val="auto"/>
                <w:kern w:val="0"/>
                <w:sz w:val="22"/>
                <w:szCs w:val="22"/>
                <w:highlight w:val="none"/>
              </w:rPr>
              <w:t>分；</w:t>
            </w:r>
          </w:p>
          <w:p w14:paraId="0395BD51">
            <w:pPr>
              <w:widowControl/>
              <w:snapToGrid w:val="0"/>
              <w:spacing w:line="360" w:lineRule="auto"/>
              <w:ind w:left="105" w:leftChars="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投标保证担保上传截止时间：</w:t>
            </w:r>
            <w:r>
              <w:rPr>
                <w:rFonts w:hint="eastAsia" w:ascii="宋体" w:hAnsi="宋体" w:cs="宋体"/>
                <w:color w:val="auto"/>
                <w:kern w:val="0"/>
                <w:sz w:val="22"/>
                <w:szCs w:val="22"/>
                <w:highlight w:val="none"/>
                <w:u w:val="single"/>
              </w:rPr>
              <w:t>2026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4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16 </w:t>
            </w:r>
            <w:r>
              <w:rPr>
                <w:rFonts w:hint="eastAsia" w:ascii="宋体" w:hAnsi="宋体" w:cs="宋体"/>
                <w:color w:val="auto"/>
                <w:kern w:val="0"/>
                <w:sz w:val="22"/>
                <w:szCs w:val="22"/>
                <w:highlight w:val="none"/>
              </w:rPr>
              <w:t>日</w:t>
            </w:r>
            <w:r>
              <w:rPr>
                <w:rFonts w:hint="eastAsia" w:ascii="宋体" w:hAnsi="宋体" w:eastAsia="宋体" w:cs="宋体"/>
                <w:color w:val="auto"/>
                <w:kern w:val="0"/>
                <w:sz w:val="22"/>
                <w:szCs w:val="22"/>
                <w:highlight w:val="none"/>
                <w:u w:val="single"/>
                <w:lang w:val="en-US" w:eastAsia="zh-CN"/>
              </w:rPr>
              <w:t xml:space="preserve"> 10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00</w:t>
            </w:r>
            <w:r>
              <w:rPr>
                <w:rFonts w:hint="eastAsia" w:ascii="宋体" w:hAnsi="宋体" w:cs="宋体"/>
                <w:color w:val="auto"/>
                <w:kern w:val="0"/>
                <w:sz w:val="22"/>
                <w:szCs w:val="22"/>
                <w:highlight w:val="none"/>
              </w:rPr>
              <w:t>分；</w:t>
            </w:r>
          </w:p>
          <w:p w14:paraId="6317E438">
            <w:pPr>
              <w:widowControl/>
              <w:snapToGrid w:val="0"/>
              <w:spacing w:line="360" w:lineRule="auto"/>
              <w:ind w:left="105" w:leftChars="50"/>
              <w:jc w:val="left"/>
              <w:rPr>
                <w:rFonts w:hint="eastAsia" w:ascii="宋体" w:hAnsi="宋体" w:cs="Tahoma"/>
                <w:color w:val="auto"/>
                <w:sz w:val="22"/>
                <w:szCs w:val="22"/>
                <w:highlight w:val="none"/>
              </w:rPr>
            </w:pPr>
            <w:r>
              <w:rPr>
                <w:rFonts w:hint="eastAsia" w:ascii="宋体" w:hAnsi="宋体" w:cs="宋体"/>
                <w:color w:val="auto"/>
                <w:kern w:val="0"/>
                <w:sz w:val="22"/>
                <w:szCs w:val="22"/>
                <w:highlight w:val="none"/>
              </w:rPr>
              <w:t>投标保证保险投保截止时间：</w:t>
            </w:r>
            <w:r>
              <w:rPr>
                <w:rFonts w:hint="eastAsia" w:ascii="宋体" w:hAnsi="宋体" w:cs="宋体"/>
                <w:color w:val="auto"/>
                <w:kern w:val="0"/>
                <w:sz w:val="22"/>
                <w:szCs w:val="22"/>
                <w:highlight w:val="none"/>
                <w:u w:val="single"/>
              </w:rPr>
              <w:t>2026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4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16 </w:t>
            </w:r>
            <w:r>
              <w:rPr>
                <w:rFonts w:hint="eastAsia" w:ascii="宋体" w:hAnsi="宋体" w:cs="宋体"/>
                <w:color w:val="auto"/>
                <w:kern w:val="0"/>
                <w:sz w:val="22"/>
                <w:szCs w:val="22"/>
                <w:highlight w:val="none"/>
              </w:rPr>
              <w:t>日</w:t>
            </w:r>
            <w:r>
              <w:rPr>
                <w:rFonts w:hint="eastAsia" w:ascii="宋体" w:hAnsi="宋体" w:eastAsia="宋体" w:cs="宋体"/>
                <w:color w:val="auto"/>
                <w:kern w:val="0"/>
                <w:sz w:val="22"/>
                <w:szCs w:val="22"/>
                <w:highlight w:val="none"/>
                <w:u w:val="single"/>
                <w:lang w:val="en-US" w:eastAsia="zh-CN"/>
              </w:rPr>
              <w:t xml:space="preserve"> 10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00</w:t>
            </w:r>
            <w:r>
              <w:rPr>
                <w:rFonts w:hint="eastAsia" w:ascii="宋体" w:hAnsi="宋体" w:cs="宋体"/>
                <w:color w:val="auto"/>
                <w:kern w:val="0"/>
                <w:sz w:val="22"/>
                <w:szCs w:val="22"/>
                <w:highlight w:val="none"/>
              </w:rPr>
              <w:t>分。</w:t>
            </w:r>
          </w:p>
        </w:tc>
      </w:tr>
      <w:tr w14:paraId="7529E7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72A2F4E8">
            <w:pPr>
              <w:wordWrap w:val="0"/>
              <w:adjustRightInd w:val="0"/>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6</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7F42E1A8">
            <w:pPr>
              <w:wordWrap w:val="0"/>
              <w:adjustRightInd w:val="0"/>
              <w:snapToGrid w:val="0"/>
              <w:spacing w:line="360" w:lineRule="exact"/>
              <w:jc w:val="center"/>
              <w:rPr>
                <w:rFonts w:ascii="宋体"/>
                <w:snapToGrid w:val="0"/>
                <w:color w:val="auto"/>
                <w:kern w:val="0"/>
                <w:sz w:val="22"/>
                <w:szCs w:val="22"/>
                <w:highlight w:val="none"/>
              </w:rPr>
            </w:pPr>
            <w:r>
              <w:rPr>
                <w:rFonts w:hint="eastAsia" w:ascii="宋体"/>
                <w:snapToGrid w:val="0"/>
                <w:color w:val="auto"/>
                <w:kern w:val="0"/>
                <w:sz w:val="22"/>
                <w:szCs w:val="22"/>
                <w:highlight w:val="none"/>
              </w:rPr>
              <w:t>电子投标</w:t>
            </w:r>
          </w:p>
          <w:p w14:paraId="62B3306E">
            <w:pPr>
              <w:wordWrap w:val="0"/>
              <w:adjustRightInd w:val="0"/>
              <w:snapToGrid w:val="0"/>
              <w:spacing w:line="360" w:lineRule="exact"/>
              <w:jc w:val="center"/>
              <w:rPr>
                <w:rFonts w:hint="eastAsia" w:ascii="宋体" w:hAnsi="宋体" w:cs="Tahoma"/>
                <w:color w:val="auto"/>
                <w:sz w:val="22"/>
                <w:szCs w:val="22"/>
                <w:highlight w:val="none"/>
              </w:rPr>
            </w:pPr>
            <w:r>
              <w:rPr>
                <w:rFonts w:hint="eastAsia" w:ascii="宋体"/>
                <w:snapToGrid w:val="0"/>
                <w:color w:val="auto"/>
                <w:kern w:val="0"/>
                <w:sz w:val="22"/>
                <w:szCs w:val="22"/>
                <w:highlight w:val="none"/>
              </w:rPr>
              <w:t>截止时间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02D1D8BD">
            <w:pPr>
              <w:snapToGrid w:val="0"/>
              <w:ind w:left="105" w:leftChars="50"/>
              <w:jc w:val="left"/>
              <w:rPr>
                <w:rFonts w:hint="eastAsia" w:ascii="宋体" w:hAnsi="宋体" w:cs="Tahoma"/>
                <w:color w:val="auto"/>
                <w:sz w:val="22"/>
                <w:szCs w:val="22"/>
                <w:highlight w:val="none"/>
              </w:rPr>
            </w:pPr>
            <w:r>
              <w:rPr>
                <w:rFonts w:hint="eastAsia" w:ascii="宋体" w:hAnsi="宋体" w:cs="宋体"/>
                <w:color w:val="auto"/>
                <w:kern w:val="0"/>
                <w:sz w:val="22"/>
                <w:szCs w:val="22"/>
                <w:highlight w:val="none"/>
                <w:u w:val="single"/>
              </w:rPr>
              <w:t>2026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4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17 </w:t>
            </w:r>
            <w:r>
              <w:rPr>
                <w:rFonts w:hint="eastAsia" w:ascii="宋体" w:hAnsi="宋体" w:cs="宋体"/>
                <w:color w:val="auto"/>
                <w:kern w:val="0"/>
                <w:sz w:val="22"/>
                <w:szCs w:val="22"/>
                <w:highlight w:val="none"/>
              </w:rPr>
              <w:t>日</w:t>
            </w:r>
            <w:r>
              <w:rPr>
                <w:rFonts w:hint="eastAsia" w:ascii="宋体" w:hAnsi="宋体" w:eastAsia="宋体" w:cs="宋体"/>
                <w:color w:val="auto"/>
                <w:kern w:val="0"/>
                <w:sz w:val="22"/>
                <w:szCs w:val="22"/>
                <w:highlight w:val="none"/>
                <w:u w:val="single"/>
                <w:lang w:val="en-US" w:eastAsia="zh-CN"/>
              </w:rPr>
              <w:t xml:space="preserve"> 10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00</w:t>
            </w:r>
            <w:r>
              <w:rPr>
                <w:rFonts w:hint="eastAsia" w:ascii="宋体" w:hAnsi="宋体" w:cs="宋体"/>
                <w:color w:val="auto"/>
                <w:kern w:val="0"/>
                <w:sz w:val="22"/>
                <w:szCs w:val="22"/>
                <w:highlight w:val="none"/>
              </w:rPr>
              <w:t>分</w:t>
            </w:r>
          </w:p>
        </w:tc>
      </w:tr>
      <w:tr w14:paraId="378394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8"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2463296A">
            <w:pPr>
              <w:wordWrap w:val="0"/>
              <w:adjustRightInd w:val="0"/>
              <w:snapToGrid w:val="0"/>
              <w:spacing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2F14912A">
            <w:pPr>
              <w:wordWrap w:val="0"/>
              <w:adjustRightInd w:val="0"/>
              <w:snapToGrid w:val="0"/>
              <w:spacing w:line="400" w:lineRule="exact"/>
              <w:jc w:val="center"/>
              <w:rPr>
                <w:rFonts w:hint="eastAsia" w:ascii="宋体" w:hAnsi="宋体" w:cs="Tahoma"/>
                <w:color w:val="auto"/>
                <w:sz w:val="20"/>
                <w:szCs w:val="22"/>
                <w:highlight w:val="none"/>
              </w:rPr>
            </w:pPr>
            <w:r>
              <w:rPr>
                <w:rFonts w:hint="eastAsia" w:ascii="宋体"/>
                <w:snapToGrid w:val="0"/>
                <w:color w:val="auto"/>
                <w:kern w:val="0"/>
                <w:sz w:val="22"/>
                <w:szCs w:val="22"/>
                <w:highlight w:val="none"/>
              </w:rPr>
              <w:t>开标时间</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5584DD70">
            <w:pPr>
              <w:wordWrap w:val="0"/>
              <w:adjustRightInd w:val="0"/>
              <w:snapToGrid w:val="0"/>
              <w:ind w:left="105" w:leftChars="50"/>
              <w:rPr>
                <w:rFonts w:hint="eastAsia" w:ascii="宋体" w:hAnsi="宋体" w:cs="Tahoma"/>
                <w:color w:val="auto"/>
                <w:sz w:val="20"/>
                <w:szCs w:val="22"/>
                <w:highlight w:val="none"/>
              </w:rPr>
            </w:pPr>
            <w:r>
              <w:rPr>
                <w:rFonts w:hint="eastAsia" w:ascii="宋体" w:hAnsi="宋体" w:cs="宋体"/>
                <w:color w:val="auto"/>
                <w:kern w:val="0"/>
                <w:sz w:val="22"/>
                <w:szCs w:val="22"/>
                <w:highlight w:val="none"/>
                <w:u w:val="single"/>
              </w:rPr>
              <w:t>2026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4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17 </w:t>
            </w:r>
            <w:r>
              <w:rPr>
                <w:rFonts w:hint="eastAsia" w:ascii="宋体" w:hAnsi="宋体" w:cs="宋体"/>
                <w:color w:val="auto"/>
                <w:kern w:val="0"/>
                <w:sz w:val="22"/>
                <w:szCs w:val="22"/>
                <w:highlight w:val="none"/>
              </w:rPr>
              <w:t>日</w:t>
            </w:r>
            <w:r>
              <w:rPr>
                <w:rFonts w:hint="eastAsia" w:ascii="宋体" w:hAnsi="宋体" w:eastAsia="宋体" w:cs="宋体"/>
                <w:color w:val="auto"/>
                <w:kern w:val="0"/>
                <w:sz w:val="22"/>
                <w:szCs w:val="22"/>
                <w:highlight w:val="none"/>
                <w:u w:val="single"/>
                <w:lang w:val="en-US" w:eastAsia="zh-CN"/>
              </w:rPr>
              <w:t xml:space="preserve"> 10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00</w:t>
            </w:r>
            <w:r>
              <w:rPr>
                <w:rFonts w:hint="eastAsia" w:ascii="宋体" w:hAnsi="宋体" w:cs="宋体"/>
                <w:color w:val="auto"/>
                <w:kern w:val="0"/>
                <w:sz w:val="22"/>
                <w:szCs w:val="22"/>
                <w:highlight w:val="none"/>
              </w:rPr>
              <w:t>分</w:t>
            </w:r>
          </w:p>
        </w:tc>
      </w:tr>
      <w:tr w14:paraId="76CA9D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15" w:hRule="atLeas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41F1F47E">
            <w:pPr>
              <w:wordWrap w:val="0"/>
              <w:adjustRightInd w:val="0"/>
              <w:snapToGrid w:val="0"/>
              <w:spacing w:line="3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snapToGrid w:val="0"/>
                <w:color w:val="auto"/>
                <w:kern w:val="0"/>
                <w:sz w:val="22"/>
                <w:szCs w:val="22"/>
                <w:highlight w:val="none"/>
                <w:lang w:val="en-US" w:eastAsia="zh-CN"/>
              </w:rPr>
              <w:t>8</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49165656">
            <w:pPr>
              <w:wordWrap w:val="0"/>
              <w:adjustRightInd w:val="0"/>
              <w:snapToGrid w:val="0"/>
              <w:spacing w:line="360" w:lineRule="exact"/>
              <w:jc w:val="center"/>
              <w:rPr>
                <w:rFonts w:hint="eastAsia" w:ascii="宋体" w:hAnsi="宋体" w:cs="Tahoma"/>
                <w:color w:val="auto"/>
                <w:sz w:val="22"/>
                <w:szCs w:val="22"/>
                <w:highlight w:val="none"/>
              </w:rPr>
            </w:pPr>
            <w:r>
              <w:rPr>
                <w:rFonts w:hint="eastAsia" w:ascii="宋体" w:hAnsi="宋体" w:cs="宋体"/>
                <w:snapToGrid w:val="0"/>
                <w:color w:val="auto"/>
                <w:kern w:val="0"/>
                <w:sz w:val="22"/>
                <w:szCs w:val="22"/>
                <w:highlight w:val="none"/>
              </w:rPr>
              <w:t xml:space="preserve">开标地点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643D8826">
            <w:pPr>
              <w:wordWrap w:val="0"/>
              <w:adjustRightInd w:val="0"/>
              <w:snapToGrid w:val="0"/>
              <w:spacing w:line="400" w:lineRule="exact"/>
              <w:ind w:left="105" w:leftChars="50"/>
              <w:jc w:val="left"/>
              <w:rPr>
                <w:rFonts w:hint="eastAsia" w:ascii="宋体" w:hAnsi="宋体" w:cs="Tahoma"/>
                <w:color w:val="auto"/>
                <w:sz w:val="22"/>
                <w:szCs w:val="22"/>
                <w:highlight w:val="none"/>
                <w:lang w:val="en-US" w:eastAsia="zh-CN"/>
              </w:rPr>
            </w:pPr>
            <w:r>
              <w:rPr>
                <w:rFonts w:hint="eastAsia" w:ascii="宋体" w:hAnsi="宋体" w:cs="Tahoma"/>
                <w:color w:val="auto"/>
                <w:sz w:val="22"/>
                <w:szCs w:val="22"/>
                <w:highlight w:val="none"/>
                <w:lang w:val="en-US" w:eastAsia="zh-CN"/>
              </w:rPr>
              <w:t>递交场所：韶关市公共资源交易中心乳源分中心</w:t>
            </w:r>
          </w:p>
          <w:p w14:paraId="0479C42D">
            <w:pPr>
              <w:wordWrap w:val="0"/>
              <w:adjustRightInd w:val="0"/>
              <w:snapToGrid w:val="0"/>
              <w:spacing w:line="400" w:lineRule="exact"/>
              <w:ind w:left="105" w:leftChars="50"/>
              <w:jc w:val="left"/>
              <w:rPr>
                <w:rFonts w:hint="eastAsia" w:ascii="宋体" w:hAnsi="宋体" w:cs="Tahoma"/>
                <w:color w:val="auto"/>
                <w:sz w:val="22"/>
                <w:szCs w:val="22"/>
                <w:highlight w:val="none"/>
              </w:rPr>
            </w:pPr>
            <w:r>
              <w:rPr>
                <w:rFonts w:hint="eastAsia" w:ascii="宋体" w:hAnsi="宋体" w:cs="Tahoma"/>
                <w:color w:val="auto"/>
                <w:sz w:val="22"/>
                <w:szCs w:val="22"/>
                <w:highlight w:val="none"/>
                <w:lang w:val="en-US" w:eastAsia="zh-CN"/>
              </w:rPr>
              <w:t>地址：韶关市乳源瑶族自治县乳城镇北环中路乳源农旅特色小镇政务服务大厅4号楼3楼（京港澳高速乳源收费站路口旁，具体开标室以当日现场通知为准。</w:t>
            </w:r>
          </w:p>
        </w:tc>
      </w:tr>
      <w:tr w14:paraId="0199A9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54" w:hRule="exact"/>
          <w:jc w:val="center"/>
        </w:trPr>
        <w:tc>
          <w:tcPr>
            <w:tcW w:w="458" w:type="dxa"/>
            <w:tcBorders>
              <w:top w:val="single" w:color="080000" w:sz="4" w:space="0"/>
              <w:left w:val="single" w:color="080000" w:sz="4" w:space="0"/>
              <w:bottom w:val="single" w:color="080000" w:sz="4" w:space="0"/>
              <w:right w:val="single" w:color="080000" w:sz="4" w:space="0"/>
            </w:tcBorders>
            <w:noWrap/>
            <w:vAlign w:val="center"/>
          </w:tcPr>
          <w:p w14:paraId="6C616D6F">
            <w:pPr>
              <w:widowControl/>
              <w:snapToGrid w:val="0"/>
              <w:spacing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p>
        </w:tc>
        <w:tc>
          <w:tcPr>
            <w:tcW w:w="1667" w:type="dxa"/>
            <w:tcBorders>
              <w:top w:val="single" w:color="080000" w:sz="4" w:space="0"/>
              <w:left w:val="single" w:color="080000" w:sz="4" w:space="0"/>
              <w:bottom w:val="single" w:color="080000" w:sz="4" w:space="0"/>
              <w:right w:val="single" w:color="080000" w:sz="4" w:space="0"/>
            </w:tcBorders>
            <w:noWrap/>
            <w:vAlign w:val="center"/>
          </w:tcPr>
          <w:p w14:paraId="09A00D1D">
            <w:pPr>
              <w:widowControl/>
              <w:snapToGrid w:val="0"/>
              <w:spacing w:line="360" w:lineRule="exact"/>
              <w:jc w:val="center"/>
              <w:rPr>
                <w:rFonts w:hint="eastAsia" w:hAnsi="宋体" w:cs="宋体"/>
                <w:color w:val="auto"/>
                <w:sz w:val="22"/>
                <w:szCs w:val="22"/>
                <w:highlight w:val="none"/>
              </w:rPr>
            </w:pPr>
            <w:r>
              <w:rPr>
                <w:rFonts w:hAnsi="宋体" w:cs="宋体"/>
                <w:color w:val="auto"/>
                <w:sz w:val="22"/>
                <w:szCs w:val="22"/>
                <w:highlight w:val="none"/>
              </w:rPr>
              <w:t>交易场所</w:t>
            </w:r>
          </w:p>
          <w:p w14:paraId="781F8546">
            <w:pPr>
              <w:widowControl/>
              <w:snapToGrid w:val="0"/>
              <w:spacing w:line="360" w:lineRule="exact"/>
              <w:jc w:val="center"/>
              <w:rPr>
                <w:rFonts w:hint="eastAsia" w:hAnsi="宋体" w:cs="Tahoma"/>
                <w:color w:val="auto"/>
                <w:sz w:val="22"/>
                <w:szCs w:val="22"/>
                <w:highlight w:val="none"/>
              </w:rPr>
            </w:pPr>
            <w:r>
              <w:rPr>
                <w:rFonts w:hAnsi="宋体" w:cs="宋体"/>
                <w:color w:val="auto"/>
                <w:sz w:val="22"/>
                <w:szCs w:val="22"/>
                <w:highlight w:val="none"/>
              </w:rPr>
              <w:t xml:space="preserve">联系方式 </w:t>
            </w:r>
          </w:p>
        </w:tc>
        <w:tc>
          <w:tcPr>
            <w:tcW w:w="7333" w:type="dxa"/>
            <w:tcBorders>
              <w:top w:val="single" w:color="080000" w:sz="4" w:space="0"/>
              <w:left w:val="single" w:color="080000" w:sz="4" w:space="0"/>
              <w:bottom w:val="single" w:color="080000" w:sz="4" w:space="0"/>
              <w:right w:val="single" w:color="080000" w:sz="4" w:space="0"/>
            </w:tcBorders>
            <w:noWrap/>
            <w:vAlign w:val="center"/>
          </w:tcPr>
          <w:p w14:paraId="567FD171">
            <w:pPr>
              <w:wordWrap w:val="0"/>
              <w:adjustRightInd w:val="0"/>
              <w:snapToGrid w:val="0"/>
              <w:spacing w:line="400" w:lineRule="exact"/>
              <w:ind w:left="105" w:leftChars="50"/>
              <w:jc w:val="left"/>
              <w:rPr>
                <w:rFonts w:hint="eastAsia" w:ascii="宋体" w:hAnsi="宋体" w:cs="Tahoma"/>
                <w:color w:val="auto"/>
                <w:sz w:val="22"/>
                <w:szCs w:val="22"/>
                <w:highlight w:val="none"/>
                <w:lang w:val="en-US" w:eastAsia="zh-CN"/>
              </w:rPr>
            </w:pPr>
            <w:r>
              <w:rPr>
                <w:rFonts w:hint="eastAsia" w:ascii="宋体" w:hAnsi="宋体" w:cs="Tahoma"/>
                <w:color w:val="auto"/>
                <w:sz w:val="22"/>
                <w:szCs w:val="22"/>
                <w:highlight w:val="none"/>
                <w:lang w:val="en-US" w:eastAsia="zh-CN"/>
              </w:rPr>
              <w:t>单位名称：韶关市公共资源交易中心</w:t>
            </w:r>
          </w:p>
          <w:p w14:paraId="62FB6791">
            <w:pPr>
              <w:wordWrap w:val="0"/>
              <w:adjustRightInd w:val="0"/>
              <w:snapToGrid w:val="0"/>
              <w:spacing w:line="400" w:lineRule="exact"/>
              <w:ind w:left="105" w:leftChars="50"/>
              <w:jc w:val="left"/>
              <w:rPr>
                <w:rFonts w:hint="eastAsia" w:ascii="宋体" w:hAnsi="宋体" w:cs="Tahoma"/>
                <w:color w:val="auto"/>
                <w:sz w:val="22"/>
                <w:szCs w:val="22"/>
                <w:highlight w:val="none"/>
                <w:lang w:val="en-US" w:eastAsia="zh-CN"/>
              </w:rPr>
            </w:pPr>
            <w:r>
              <w:rPr>
                <w:rFonts w:hint="eastAsia" w:ascii="宋体" w:hAnsi="宋体" w:cs="Tahoma"/>
                <w:color w:val="auto"/>
                <w:sz w:val="22"/>
                <w:szCs w:val="22"/>
                <w:highlight w:val="none"/>
                <w:lang w:val="en-US" w:eastAsia="zh-CN"/>
              </w:rPr>
              <w:t>办公地址：韶关市公共资源交易中心乳源分中心(韶关市乳源瑶族自治县乳城镇北环中路乳源农旅特色小镇政务服务大厅4号楼3楼(京港澳高速乳源收费站路口旁))</w:t>
            </w:r>
          </w:p>
          <w:p w14:paraId="434F5A7D">
            <w:pPr>
              <w:wordWrap w:val="0"/>
              <w:adjustRightInd w:val="0"/>
              <w:snapToGrid w:val="0"/>
              <w:spacing w:line="400" w:lineRule="exact"/>
              <w:ind w:left="105" w:leftChars="50"/>
              <w:jc w:val="left"/>
              <w:rPr>
                <w:rFonts w:hint="eastAsia" w:ascii="宋体" w:hAnsi="宋体" w:cs="Tahoma"/>
                <w:color w:val="auto"/>
                <w:sz w:val="22"/>
                <w:szCs w:val="22"/>
                <w:highlight w:val="none"/>
                <w:lang w:val="en-US" w:eastAsia="zh-CN"/>
              </w:rPr>
            </w:pPr>
            <w:r>
              <w:rPr>
                <w:rFonts w:hint="eastAsia" w:ascii="宋体" w:hAnsi="宋体" w:cs="Tahoma"/>
                <w:color w:val="auto"/>
                <w:sz w:val="22"/>
                <w:szCs w:val="22"/>
                <w:highlight w:val="none"/>
                <w:lang w:val="en-US" w:eastAsia="zh-CN"/>
              </w:rPr>
              <w:t>联系人（部门）：工程交易部</w:t>
            </w:r>
          </w:p>
          <w:p w14:paraId="294D397B">
            <w:pPr>
              <w:wordWrap w:val="0"/>
              <w:adjustRightInd w:val="0"/>
              <w:snapToGrid w:val="0"/>
              <w:spacing w:line="400" w:lineRule="exact"/>
              <w:ind w:left="105" w:leftChars="50"/>
              <w:jc w:val="left"/>
              <w:rPr>
                <w:rFonts w:hint="eastAsia" w:ascii="宋体" w:hAnsi="宋体" w:cs="Tahoma"/>
                <w:color w:val="auto"/>
                <w:sz w:val="20"/>
                <w:szCs w:val="22"/>
                <w:highlight w:val="none"/>
              </w:rPr>
            </w:pPr>
            <w:r>
              <w:rPr>
                <w:rFonts w:hint="eastAsia" w:ascii="宋体" w:hAnsi="宋体" w:cs="Tahoma"/>
                <w:color w:val="auto"/>
                <w:sz w:val="22"/>
                <w:szCs w:val="22"/>
                <w:highlight w:val="none"/>
                <w:lang w:val="en-US" w:eastAsia="zh-CN"/>
              </w:rPr>
              <w:t>联系电话：0751-5378231</w:t>
            </w:r>
          </w:p>
        </w:tc>
      </w:tr>
      <w:tr w14:paraId="20ECCD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51" w:hRule="exact"/>
          <w:jc w:val="center"/>
        </w:trPr>
        <w:tc>
          <w:tcPr>
            <w:tcW w:w="9458" w:type="dxa"/>
            <w:gridSpan w:val="3"/>
            <w:tcBorders>
              <w:top w:val="single" w:color="080000" w:sz="4" w:space="0"/>
              <w:left w:val="single" w:color="080000" w:sz="4" w:space="0"/>
              <w:bottom w:val="single" w:color="080000" w:sz="4" w:space="0"/>
              <w:right w:val="single" w:color="080000" w:sz="4" w:space="0"/>
            </w:tcBorders>
            <w:noWrap/>
            <w:vAlign w:val="center"/>
          </w:tcPr>
          <w:p w14:paraId="0D597BD7">
            <w:pPr>
              <w:wordWrap w:val="0"/>
              <w:adjustRightInd w:val="0"/>
              <w:snapToGrid w:val="0"/>
              <w:spacing w:line="400" w:lineRule="exact"/>
              <w:ind w:left="105" w:leftChars="50"/>
              <w:jc w:val="left"/>
              <w:rPr>
                <w:rFonts w:hint="eastAsia" w:ascii="宋体" w:hAnsi="宋体" w:cs="Tahoma"/>
                <w:color w:val="auto"/>
                <w:sz w:val="20"/>
                <w:szCs w:val="22"/>
                <w:highlight w:val="none"/>
              </w:rPr>
            </w:pPr>
            <w:r>
              <w:rPr>
                <w:rFonts w:hint="eastAsia" w:ascii="宋体" w:hAnsi="宋体" w:cs="宋体"/>
                <w:color w:val="auto"/>
                <w:sz w:val="22"/>
                <w:szCs w:val="22"/>
                <w:highlight w:val="none"/>
              </w:rPr>
              <w:t>备注：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061BA07A">
      <w:pPr>
        <w:spacing w:line="228" w:lineRule="auto"/>
        <w:rPr>
          <w:rFonts w:ascii="宋体" w:hAnsi="宋体" w:eastAsia="宋体" w:cs="宋体"/>
          <w:color w:val="auto"/>
          <w:sz w:val="18"/>
          <w:szCs w:val="18"/>
          <w:highlight w:val="none"/>
        </w:rPr>
        <w:sectPr>
          <w:footerReference r:id="rId11" w:type="default"/>
          <w:pgSz w:w="11906" w:h="16839"/>
          <w:pgMar w:top="1416" w:right="1490" w:bottom="1297" w:left="1304" w:header="0" w:footer="1069" w:gutter="0"/>
          <w:pgNumType w:fmt="decimal"/>
          <w:cols w:space="720" w:num="1"/>
        </w:sectPr>
      </w:pPr>
    </w:p>
    <w:p w14:paraId="22DE4BA8">
      <w:pPr>
        <w:spacing w:line="241" w:lineRule="auto"/>
        <w:rPr>
          <w:rFonts w:ascii="Arial"/>
          <w:color w:val="auto"/>
          <w:sz w:val="21"/>
          <w:highlight w:val="none"/>
        </w:rPr>
      </w:pPr>
    </w:p>
    <w:p w14:paraId="1DA33A13">
      <w:pPr>
        <w:spacing w:line="241" w:lineRule="auto"/>
        <w:rPr>
          <w:rFonts w:ascii="Arial"/>
          <w:color w:val="auto"/>
          <w:sz w:val="21"/>
          <w:highlight w:val="none"/>
        </w:rPr>
      </w:pPr>
    </w:p>
    <w:p w14:paraId="0EEDD7EB">
      <w:pPr>
        <w:spacing w:line="242" w:lineRule="auto"/>
        <w:rPr>
          <w:rFonts w:ascii="Arial"/>
          <w:color w:val="auto"/>
          <w:sz w:val="21"/>
          <w:highlight w:val="none"/>
        </w:rPr>
      </w:pPr>
    </w:p>
    <w:p w14:paraId="13BE4C45">
      <w:pPr>
        <w:spacing w:line="242" w:lineRule="auto"/>
        <w:rPr>
          <w:rFonts w:ascii="Arial"/>
          <w:color w:val="auto"/>
          <w:sz w:val="21"/>
          <w:highlight w:val="none"/>
        </w:rPr>
      </w:pPr>
    </w:p>
    <w:p w14:paraId="06F260DF">
      <w:pPr>
        <w:spacing w:line="242" w:lineRule="auto"/>
        <w:rPr>
          <w:rFonts w:ascii="Arial"/>
          <w:color w:val="auto"/>
          <w:sz w:val="21"/>
          <w:highlight w:val="none"/>
        </w:rPr>
      </w:pPr>
    </w:p>
    <w:p w14:paraId="6B399E29">
      <w:pPr>
        <w:spacing w:line="242" w:lineRule="auto"/>
        <w:rPr>
          <w:rFonts w:ascii="Arial"/>
          <w:color w:val="auto"/>
          <w:sz w:val="21"/>
          <w:highlight w:val="none"/>
        </w:rPr>
      </w:pPr>
    </w:p>
    <w:p w14:paraId="431BA1AF">
      <w:pPr>
        <w:spacing w:line="242" w:lineRule="auto"/>
        <w:rPr>
          <w:rFonts w:ascii="Arial"/>
          <w:color w:val="auto"/>
          <w:sz w:val="21"/>
          <w:highlight w:val="none"/>
        </w:rPr>
      </w:pPr>
    </w:p>
    <w:p w14:paraId="575C3BAF">
      <w:pPr>
        <w:spacing w:line="242" w:lineRule="auto"/>
        <w:rPr>
          <w:rFonts w:ascii="Arial"/>
          <w:color w:val="auto"/>
          <w:sz w:val="21"/>
          <w:highlight w:val="none"/>
        </w:rPr>
      </w:pPr>
    </w:p>
    <w:p w14:paraId="34927B86">
      <w:pPr>
        <w:spacing w:line="242" w:lineRule="auto"/>
        <w:rPr>
          <w:rFonts w:ascii="Arial"/>
          <w:color w:val="auto"/>
          <w:sz w:val="21"/>
          <w:highlight w:val="none"/>
        </w:rPr>
      </w:pPr>
    </w:p>
    <w:p w14:paraId="783BD87C">
      <w:pPr>
        <w:spacing w:line="242" w:lineRule="auto"/>
        <w:rPr>
          <w:rFonts w:ascii="Arial"/>
          <w:color w:val="auto"/>
          <w:sz w:val="21"/>
          <w:highlight w:val="none"/>
        </w:rPr>
      </w:pPr>
    </w:p>
    <w:p w14:paraId="49CF7ED3">
      <w:pPr>
        <w:spacing w:line="242" w:lineRule="auto"/>
        <w:rPr>
          <w:rFonts w:ascii="Arial"/>
          <w:color w:val="auto"/>
          <w:sz w:val="21"/>
          <w:highlight w:val="none"/>
        </w:rPr>
      </w:pPr>
    </w:p>
    <w:p w14:paraId="1FCD1075">
      <w:pPr>
        <w:spacing w:line="242" w:lineRule="auto"/>
        <w:rPr>
          <w:rFonts w:ascii="Arial"/>
          <w:color w:val="auto"/>
          <w:sz w:val="21"/>
          <w:highlight w:val="none"/>
        </w:rPr>
      </w:pPr>
    </w:p>
    <w:p w14:paraId="5C3EF03C">
      <w:pPr>
        <w:spacing w:line="242" w:lineRule="auto"/>
        <w:rPr>
          <w:rFonts w:ascii="Arial"/>
          <w:color w:val="auto"/>
          <w:sz w:val="21"/>
          <w:highlight w:val="none"/>
        </w:rPr>
      </w:pPr>
    </w:p>
    <w:p w14:paraId="0BE1CDE5">
      <w:pPr>
        <w:spacing w:line="242" w:lineRule="auto"/>
        <w:rPr>
          <w:rFonts w:ascii="Arial"/>
          <w:color w:val="auto"/>
          <w:sz w:val="21"/>
          <w:highlight w:val="none"/>
        </w:rPr>
      </w:pPr>
    </w:p>
    <w:p w14:paraId="32E4FE27">
      <w:pPr>
        <w:spacing w:line="242" w:lineRule="auto"/>
        <w:rPr>
          <w:rFonts w:ascii="Arial"/>
          <w:color w:val="auto"/>
          <w:sz w:val="21"/>
          <w:highlight w:val="none"/>
        </w:rPr>
      </w:pPr>
    </w:p>
    <w:p w14:paraId="6C5AEA8F">
      <w:pPr>
        <w:spacing w:line="242" w:lineRule="auto"/>
        <w:rPr>
          <w:rFonts w:ascii="Arial"/>
          <w:color w:val="auto"/>
          <w:sz w:val="21"/>
          <w:highlight w:val="none"/>
        </w:rPr>
      </w:pPr>
    </w:p>
    <w:p w14:paraId="21E7A135">
      <w:pPr>
        <w:spacing w:line="242" w:lineRule="auto"/>
        <w:rPr>
          <w:rFonts w:ascii="Arial"/>
          <w:color w:val="auto"/>
          <w:sz w:val="21"/>
          <w:highlight w:val="none"/>
        </w:rPr>
      </w:pPr>
    </w:p>
    <w:p w14:paraId="1F8EA134">
      <w:pPr>
        <w:spacing w:before="169" w:line="219" w:lineRule="auto"/>
        <w:ind w:left="1839"/>
        <w:outlineLvl w:val="0"/>
        <w:rPr>
          <w:rFonts w:ascii="宋体" w:hAnsi="宋体" w:eastAsia="宋体" w:cs="宋体"/>
          <w:color w:val="auto"/>
          <w:sz w:val="52"/>
          <w:szCs w:val="52"/>
          <w:highlight w:val="none"/>
        </w:rPr>
      </w:pPr>
      <w:bookmarkStart w:id="26" w:name="_Toc20121"/>
      <w:r>
        <w:rPr>
          <w:rFonts w:ascii="宋体" w:hAnsi="宋体" w:eastAsia="宋体" w:cs="宋体"/>
          <w:b/>
          <w:bCs/>
          <w:color w:val="auto"/>
          <w:spacing w:val="-5"/>
          <w:sz w:val="52"/>
          <w:szCs w:val="52"/>
          <w:highlight w:val="none"/>
        </w:rPr>
        <w:t>第二章</w:t>
      </w:r>
      <w:r>
        <w:rPr>
          <w:rFonts w:ascii="宋体" w:hAnsi="宋体" w:eastAsia="宋体" w:cs="宋体"/>
          <w:color w:val="auto"/>
          <w:spacing w:val="-5"/>
          <w:sz w:val="52"/>
          <w:szCs w:val="52"/>
          <w:highlight w:val="none"/>
        </w:rPr>
        <w:t xml:space="preserve">  </w:t>
      </w:r>
      <w:r>
        <w:rPr>
          <w:rFonts w:ascii="宋体" w:hAnsi="宋体" w:eastAsia="宋体" w:cs="宋体"/>
          <w:b/>
          <w:bCs/>
          <w:color w:val="auto"/>
          <w:spacing w:val="-5"/>
          <w:sz w:val="52"/>
          <w:szCs w:val="52"/>
          <w:highlight w:val="none"/>
        </w:rPr>
        <w:t>投标人须知</w:t>
      </w:r>
      <w:bookmarkEnd w:id="26"/>
    </w:p>
    <w:p w14:paraId="669FE931">
      <w:pPr>
        <w:spacing w:line="219" w:lineRule="auto"/>
        <w:rPr>
          <w:rFonts w:ascii="宋体" w:hAnsi="宋体" w:eastAsia="宋体" w:cs="宋体"/>
          <w:color w:val="auto"/>
          <w:sz w:val="52"/>
          <w:szCs w:val="52"/>
          <w:highlight w:val="none"/>
        </w:rPr>
        <w:sectPr>
          <w:footerReference r:id="rId12" w:type="default"/>
          <w:pgSz w:w="11906" w:h="16839"/>
          <w:pgMar w:top="1431" w:right="1785" w:bottom="1297" w:left="1785" w:header="0" w:footer="1067" w:gutter="0"/>
          <w:pgNumType w:fmt="decimal"/>
          <w:cols w:space="720" w:num="1"/>
        </w:sectPr>
      </w:pPr>
    </w:p>
    <w:p w14:paraId="4FAA0E6C">
      <w:pPr>
        <w:spacing w:before="84" w:line="223" w:lineRule="auto"/>
        <w:ind w:left="2768"/>
        <w:outlineLvl w:val="0"/>
        <w:rPr>
          <w:rFonts w:ascii="宋体" w:hAnsi="宋体" w:eastAsia="宋体" w:cs="宋体"/>
          <w:color w:val="auto"/>
          <w:sz w:val="41"/>
          <w:szCs w:val="41"/>
          <w:highlight w:val="none"/>
        </w:rPr>
      </w:pPr>
      <w:bookmarkStart w:id="27" w:name="_Toc3600"/>
      <w:r>
        <w:rPr>
          <w:rFonts w:ascii="宋体" w:hAnsi="宋体" w:eastAsia="宋体" w:cs="宋体"/>
          <w:b/>
          <w:bCs/>
          <w:color w:val="auto"/>
          <w:spacing w:val="5"/>
          <w:sz w:val="41"/>
          <w:szCs w:val="41"/>
          <w:highlight w:val="none"/>
        </w:rPr>
        <w:t>第二章</w:t>
      </w:r>
      <w:r>
        <w:rPr>
          <w:rFonts w:ascii="宋体" w:hAnsi="宋体" w:eastAsia="宋体" w:cs="宋体"/>
          <w:color w:val="auto"/>
          <w:spacing w:val="5"/>
          <w:sz w:val="41"/>
          <w:szCs w:val="41"/>
          <w:highlight w:val="none"/>
        </w:rPr>
        <w:t xml:space="preserve">  </w:t>
      </w:r>
      <w:r>
        <w:rPr>
          <w:rFonts w:ascii="宋体" w:hAnsi="宋体" w:eastAsia="宋体" w:cs="宋体"/>
          <w:b/>
          <w:bCs/>
          <w:color w:val="auto"/>
          <w:spacing w:val="5"/>
          <w:sz w:val="41"/>
          <w:szCs w:val="41"/>
          <w:highlight w:val="none"/>
        </w:rPr>
        <w:t>投标人须知</w:t>
      </w:r>
      <w:bookmarkEnd w:id="27"/>
    </w:p>
    <w:p w14:paraId="66121D2F">
      <w:pPr>
        <w:spacing w:line="284" w:lineRule="auto"/>
        <w:rPr>
          <w:rFonts w:ascii="Arial"/>
          <w:color w:val="auto"/>
          <w:sz w:val="21"/>
          <w:highlight w:val="none"/>
        </w:rPr>
      </w:pPr>
    </w:p>
    <w:p w14:paraId="3C51D6CC">
      <w:pPr>
        <w:spacing w:line="284" w:lineRule="auto"/>
        <w:rPr>
          <w:rFonts w:ascii="Arial"/>
          <w:color w:val="auto"/>
          <w:sz w:val="21"/>
          <w:highlight w:val="none"/>
        </w:rPr>
      </w:pPr>
    </w:p>
    <w:p w14:paraId="4B92A0B9">
      <w:pPr>
        <w:spacing w:before="78" w:line="226" w:lineRule="auto"/>
        <w:ind w:left="124"/>
        <w:outlineLvl w:val="0"/>
        <w:rPr>
          <w:rFonts w:ascii="宋体" w:hAnsi="宋体" w:eastAsia="宋体" w:cs="宋体"/>
          <w:color w:val="auto"/>
          <w:sz w:val="12"/>
          <w:szCs w:val="12"/>
          <w:highlight w:val="none"/>
        </w:rPr>
      </w:pPr>
      <w:bookmarkStart w:id="28" w:name="_Toc8356"/>
      <w:r>
        <w:rPr>
          <w:rFonts w:ascii="宋体" w:hAnsi="宋体" w:eastAsia="宋体" w:cs="宋体"/>
          <w:b/>
          <w:bCs/>
          <w:color w:val="auto"/>
          <w:spacing w:val="-3"/>
          <w:sz w:val="24"/>
          <w:szCs w:val="24"/>
          <w:highlight w:val="none"/>
        </w:rPr>
        <w:t>投标人须知前附表</w:t>
      </w:r>
      <w:bookmarkEnd w:id="28"/>
    </w:p>
    <w:tbl>
      <w:tblPr>
        <w:tblStyle w:val="16"/>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2877"/>
        <w:gridCol w:w="4891"/>
      </w:tblGrid>
      <w:tr w14:paraId="3B5E9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3" w:type="dxa"/>
            <w:vAlign w:val="top"/>
          </w:tcPr>
          <w:p w14:paraId="68873E7E">
            <w:pPr>
              <w:pStyle w:val="17"/>
              <w:spacing w:before="145" w:line="228" w:lineRule="auto"/>
              <w:ind w:left="198"/>
              <w:rPr>
                <w:color w:val="auto"/>
                <w:highlight w:val="none"/>
              </w:rPr>
            </w:pPr>
            <w:r>
              <w:rPr>
                <w:b/>
                <w:bCs/>
                <w:color w:val="auto"/>
                <w:spacing w:val="5"/>
                <w:highlight w:val="none"/>
              </w:rPr>
              <w:t>条款号</w:t>
            </w:r>
          </w:p>
        </w:tc>
        <w:tc>
          <w:tcPr>
            <w:tcW w:w="2877" w:type="dxa"/>
            <w:vAlign w:val="top"/>
          </w:tcPr>
          <w:p w14:paraId="3E02812E">
            <w:pPr>
              <w:pStyle w:val="17"/>
              <w:spacing w:before="145" w:line="228" w:lineRule="auto"/>
              <w:ind w:left="706"/>
              <w:rPr>
                <w:color w:val="auto"/>
                <w:highlight w:val="none"/>
              </w:rPr>
            </w:pPr>
            <w:r>
              <w:rPr>
                <w:b/>
                <w:bCs/>
                <w:color w:val="auto"/>
                <w:spacing w:val="-3"/>
                <w:highlight w:val="none"/>
              </w:rPr>
              <w:t>条</w:t>
            </w:r>
            <w:r>
              <w:rPr>
                <w:color w:val="auto"/>
                <w:spacing w:val="10"/>
                <w:highlight w:val="none"/>
              </w:rPr>
              <w:t xml:space="preserve">  </w:t>
            </w:r>
            <w:r>
              <w:rPr>
                <w:b/>
                <w:bCs/>
                <w:color w:val="auto"/>
                <w:spacing w:val="-3"/>
                <w:highlight w:val="none"/>
              </w:rPr>
              <w:t>款</w:t>
            </w:r>
            <w:r>
              <w:rPr>
                <w:color w:val="auto"/>
                <w:spacing w:val="12"/>
                <w:highlight w:val="none"/>
              </w:rPr>
              <w:t xml:space="preserve">  </w:t>
            </w:r>
            <w:r>
              <w:rPr>
                <w:b/>
                <w:bCs/>
                <w:color w:val="auto"/>
                <w:spacing w:val="-3"/>
                <w:highlight w:val="none"/>
              </w:rPr>
              <w:t>名</w:t>
            </w:r>
            <w:r>
              <w:rPr>
                <w:color w:val="auto"/>
                <w:spacing w:val="11"/>
                <w:highlight w:val="none"/>
              </w:rPr>
              <w:t xml:space="preserve">  </w:t>
            </w:r>
            <w:r>
              <w:rPr>
                <w:b/>
                <w:bCs/>
                <w:color w:val="auto"/>
                <w:spacing w:val="-3"/>
                <w:highlight w:val="none"/>
              </w:rPr>
              <w:t>称</w:t>
            </w:r>
          </w:p>
        </w:tc>
        <w:tc>
          <w:tcPr>
            <w:tcW w:w="4891" w:type="dxa"/>
            <w:vAlign w:val="top"/>
          </w:tcPr>
          <w:p w14:paraId="18F6389C">
            <w:pPr>
              <w:pStyle w:val="17"/>
              <w:spacing w:before="145" w:line="228" w:lineRule="auto"/>
              <w:ind w:left="1713"/>
              <w:rPr>
                <w:color w:val="auto"/>
                <w:highlight w:val="none"/>
              </w:rPr>
            </w:pPr>
            <w:r>
              <w:rPr>
                <w:b/>
                <w:bCs/>
                <w:color w:val="auto"/>
                <w:spacing w:val="-10"/>
                <w:highlight w:val="none"/>
              </w:rPr>
              <w:t>编</w:t>
            </w:r>
            <w:r>
              <w:rPr>
                <w:color w:val="auto"/>
                <w:spacing w:val="13"/>
                <w:highlight w:val="none"/>
              </w:rPr>
              <w:t xml:space="preserve">  </w:t>
            </w:r>
            <w:r>
              <w:rPr>
                <w:b/>
                <w:bCs/>
                <w:color w:val="auto"/>
                <w:spacing w:val="-10"/>
                <w:highlight w:val="none"/>
              </w:rPr>
              <w:t>列</w:t>
            </w:r>
            <w:r>
              <w:rPr>
                <w:color w:val="auto"/>
                <w:spacing w:val="23"/>
                <w:highlight w:val="none"/>
              </w:rPr>
              <w:t xml:space="preserve">  </w:t>
            </w:r>
            <w:r>
              <w:rPr>
                <w:b/>
                <w:bCs/>
                <w:color w:val="auto"/>
                <w:spacing w:val="-10"/>
                <w:highlight w:val="none"/>
              </w:rPr>
              <w:t>内</w:t>
            </w:r>
            <w:r>
              <w:rPr>
                <w:color w:val="auto"/>
                <w:spacing w:val="12"/>
                <w:highlight w:val="none"/>
              </w:rPr>
              <w:t xml:space="preserve">  </w:t>
            </w:r>
            <w:r>
              <w:rPr>
                <w:b/>
                <w:bCs/>
                <w:color w:val="auto"/>
                <w:spacing w:val="-10"/>
                <w:highlight w:val="none"/>
              </w:rPr>
              <w:t>容</w:t>
            </w:r>
          </w:p>
        </w:tc>
      </w:tr>
      <w:tr w14:paraId="3E41B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013" w:type="dxa"/>
            <w:vAlign w:val="top"/>
          </w:tcPr>
          <w:p w14:paraId="3DEC60E4">
            <w:pPr>
              <w:spacing w:line="336" w:lineRule="auto"/>
              <w:rPr>
                <w:rFonts w:ascii="Arial"/>
                <w:color w:val="auto"/>
                <w:sz w:val="21"/>
                <w:highlight w:val="none"/>
              </w:rPr>
            </w:pPr>
          </w:p>
          <w:p w14:paraId="2AFC1DD0">
            <w:pPr>
              <w:spacing w:line="337" w:lineRule="auto"/>
              <w:rPr>
                <w:rFonts w:ascii="Arial"/>
                <w:color w:val="auto"/>
                <w:sz w:val="21"/>
                <w:highlight w:val="none"/>
              </w:rPr>
            </w:pPr>
          </w:p>
          <w:p w14:paraId="6BC6AF1B">
            <w:pPr>
              <w:pStyle w:val="17"/>
              <w:spacing w:before="65" w:line="268" w:lineRule="exact"/>
              <w:ind w:left="264"/>
              <w:rPr>
                <w:color w:val="auto"/>
                <w:highlight w:val="none"/>
              </w:rPr>
            </w:pPr>
            <w:r>
              <w:rPr>
                <w:color w:val="auto"/>
                <w:position w:val="1"/>
                <w:highlight w:val="none"/>
              </w:rPr>
              <w:t>1.1.2</w:t>
            </w:r>
          </w:p>
        </w:tc>
        <w:tc>
          <w:tcPr>
            <w:tcW w:w="2877" w:type="dxa"/>
            <w:vAlign w:val="top"/>
          </w:tcPr>
          <w:p w14:paraId="253F1394">
            <w:pPr>
              <w:spacing w:line="336" w:lineRule="auto"/>
              <w:rPr>
                <w:rFonts w:ascii="Arial"/>
                <w:color w:val="auto"/>
                <w:sz w:val="21"/>
                <w:highlight w:val="none"/>
              </w:rPr>
            </w:pPr>
          </w:p>
          <w:p w14:paraId="4813AEA8">
            <w:pPr>
              <w:spacing w:line="337" w:lineRule="auto"/>
              <w:rPr>
                <w:rFonts w:ascii="Arial"/>
                <w:color w:val="auto"/>
                <w:sz w:val="21"/>
                <w:highlight w:val="none"/>
              </w:rPr>
            </w:pPr>
          </w:p>
          <w:p w14:paraId="0B35FFB0">
            <w:pPr>
              <w:pStyle w:val="17"/>
              <w:spacing w:before="65" w:line="228" w:lineRule="auto"/>
              <w:ind w:left="1128"/>
              <w:rPr>
                <w:color w:val="auto"/>
                <w:highlight w:val="none"/>
              </w:rPr>
            </w:pPr>
            <w:r>
              <w:rPr>
                <w:color w:val="auto"/>
                <w:spacing w:val="6"/>
                <w:highlight w:val="none"/>
              </w:rPr>
              <w:t>招标人</w:t>
            </w:r>
          </w:p>
        </w:tc>
        <w:tc>
          <w:tcPr>
            <w:tcW w:w="4891" w:type="dxa"/>
            <w:vAlign w:val="top"/>
          </w:tcPr>
          <w:p w14:paraId="5C3218A1">
            <w:pPr>
              <w:pStyle w:val="17"/>
              <w:spacing w:before="151" w:line="230" w:lineRule="auto"/>
              <w:ind w:left="137"/>
              <w:rPr>
                <w:rFonts w:hint="eastAsia"/>
                <w:color w:val="auto"/>
                <w:highlight w:val="none"/>
                <w:lang w:eastAsia="zh-CN"/>
              </w:rPr>
            </w:pPr>
            <w:r>
              <w:rPr>
                <w:rFonts w:hint="eastAsia"/>
                <w:color w:val="auto"/>
                <w:highlight w:val="none"/>
                <w:lang w:eastAsia="zh-CN"/>
              </w:rPr>
              <w:t>名称：乳源瑶族自治县地方公路事务中心</w:t>
            </w:r>
          </w:p>
          <w:p w14:paraId="42832FC2">
            <w:pPr>
              <w:pStyle w:val="17"/>
              <w:spacing w:before="151" w:line="230" w:lineRule="auto"/>
              <w:ind w:left="137"/>
              <w:rPr>
                <w:rFonts w:hint="eastAsia"/>
                <w:color w:val="auto"/>
                <w:highlight w:val="none"/>
                <w:lang w:eastAsia="zh-CN"/>
              </w:rPr>
            </w:pPr>
            <w:r>
              <w:rPr>
                <w:rFonts w:hint="eastAsia"/>
                <w:color w:val="auto"/>
                <w:highlight w:val="none"/>
                <w:lang w:eastAsia="zh-CN"/>
              </w:rPr>
              <w:t>地址：韶关市乳源瑶族自治县滨江中路县交通运输局3楼</w:t>
            </w:r>
          </w:p>
          <w:p w14:paraId="44118878">
            <w:pPr>
              <w:pStyle w:val="17"/>
              <w:spacing w:before="151" w:line="230" w:lineRule="auto"/>
              <w:ind w:left="137"/>
              <w:rPr>
                <w:rFonts w:hint="default"/>
                <w:color w:val="auto"/>
                <w:highlight w:val="none"/>
                <w:lang w:val="en-US" w:eastAsia="zh-CN"/>
              </w:rPr>
            </w:pPr>
            <w:r>
              <w:rPr>
                <w:rFonts w:hint="eastAsia"/>
                <w:color w:val="auto"/>
                <w:highlight w:val="none"/>
                <w:lang w:eastAsia="zh-CN"/>
              </w:rPr>
              <w:t>联系人：</w:t>
            </w:r>
            <w:r>
              <w:rPr>
                <w:rFonts w:hint="eastAsia"/>
                <w:color w:val="auto"/>
                <w:highlight w:val="none"/>
                <w:lang w:val="en-US" w:eastAsia="zh-CN"/>
              </w:rPr>
              <w:t>李工</w:t>
            </w:r>
          </w:p>
          <w:p w14:paraId="6887DB2A">
            <w:pPr>
              <w:pStyle w:val="17"/>
              <w:spacing w:before="151" w:line="230" w:lineRule="auto"/>
              <w:ind w:left="137"/>
              <w:rPr>
                <w:color w:val="auto"/>
                <w:highlight w:val="none"/>
              </w:rPr>
            </w:pPr>
            <w:r>
              <w:rPr>
                <w:rFonts w:hint="eastAsia"/>
                <w:color w:val="auto"/>
                <w:highlight w:val="none"/>
                <w:lang w:eastAsia="zh-CN"/>
              </w:rPr>
              <w:t>联系电话：0751-8556175</w:t>
            </w:r>
          </w:p>
        </w:tc>
      </w:tr>
      <w:tr w14:paraId="425A1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013" w:type="dxa"/>
            <w:vAlign w:val="top"/>
          </w:tcPr>
          <w:p w14:paraId="65A4D0BF">
            <w:pPr>
              <w:spacing w:line="336" w:lineRule="auto"/>
              <w:rPr>
                <w:rFonts w:ascii="Arial"/>
                <w:color w:val="auto"/>
                <w:sz w:val="21"/>
                <w:highlight w:val="none"/>
              </w:rPr>
            </w:pPr>
          </w:p>
          <w:p w14:paraId="1D44A48B">
            <w:pPr>
              <w:spacing w:line="336" w:lineRule="auto"/>
              <w:rPr>
                <w:rFonts w:ascii="Arial"/>
                <w:color w:val="auto"/>
                <w:sz w:val="21"/>
                <w:highlight w:val="none"/>
              </w:rPr>
            </w:pPr>
          </w:p>
          <w:p w14:paraId="039441C9">
            <w:pPr>
              <w:pStyle w:val="17"/>
              <w:spacing w:before="65" w:line="268" w:lineRule="exact"/>
              <w:ind w:left="264"/>
              <w:rPr>
                <w:color w:val="auto"/>
                <w:highlight w:val="none"/>
              </w:rPr>
            </w:pPr>
            <w:r>
              <w:rPr>
                <w:color w:val="auto"/>
                <w:position w:val="1"/>
                <w:highlight w:val="none"/>
              </w:rPr>
              <w:t>1.1.3</w:t>
            </w:r>
          </w:p>
        </w:tc>
        <w:tc>
          <w:tcPr>
            <w:tcW w:w="2877" w:type="dxa"/>
            <w:vAlign w:val="top"/>
          </w:tcPr>
          <w:p w14:paraId="3786568E">
            <w:pPr>
              <w:spacing w:line="336" w:lineRule="auto"/>
              <w:rPr>
                <w:rFonts w:ascii="Arial"/>
                <w:color w:val="auto"/>
                <w:sz w:val="21"/>
                <w:highlight w:val="none"/>
              </w:rPr>
            </w:pPr>
          </w:p>
          <w:p w14:paraId="224172CE">
            <w:pPr>
              <w:spacing w:line="336" w:lineRule="auto"/>
              <w:rPr>
                <w:rFonts w:ascii="Arial"/>
                <w:color w:val="auto"/>
                <w:sz w:val="21"/>
                <w:highlight w:val="none"/>
              </w:rPr>
            </w:pPr>
          </w:p>
          <w:p w14:paraId="0CE80765">
            <w:pPr>
              <w:pStyle w:val="17"/>
              <w:spacing w:before="65" w:line="227" w:lineRule="auto"/>
              <w:ind w:left="813"/>
              <w:rPr>
                <w:color w:val="auto"/>
                <w:highlight w:val="none"/>
              </w:rPr>
            </w:pPr>
            <w:r>
              <w:rPr>
                <w:color w:val="auto"/>
                <w:spacing w:val="8"/>
                <w:highlight w:val="none"/>
              </w:rPr>
              <w:t>招标代理机构</w:t>
            </w:r>
          </w:p>
        </w:tc>
        <w:tc>
          <w:tcPr>
            <w:tcW w:w="4891" w:type="dxa"/>
            <w:vAlign w:val="top"/>
          </w:tcPr>
          <w:p w14:paraId="300AB4DA">
            <w:pPr>
              <w:pStyle w:val="17"/>
              <w:spacing w:before="149" w:line="230" w:lineRule="auto"/>
              <w:ind w:left="137"/>
              <w:rPr>
                <w:rFonts w:hint="default"/>
                <w:color w:val="auto"/>
                <w:highlight w:val="none"/>
                <w:lang w:val="en-US" w:eastAsia="zh-CN"/>
              </w:rPr>
            </w:pPr>
            <w:r>
              <w:rPr>
                <w:rFonts w:hint="eastAsia"/>
                <w:color w:val="auto"/>
                <w:highlight w:val="none"/>
                <w:lang w:val="en-US" w:eastAsia="zh-CN"/>
              </w:rPr>
              <w:t>招标</w:t>
            </w:r>
            <w:r>
              <w:rPr>
                <w:rFonts w:hint="default"/>
                <w:color w:val="auto"/>
                <w:highlight w:val="none"/>
                <w:lang w:val="en-US" w:eastAsia="zh-CN"/>
              </w:rPr>
              <w:t>代理机构：韶关市中晟项目管理有限公司</w:t>
            </w:r>
          </w:p>
          <w:p w14:paraId="1663D12A">
            <w:pPr>
              <w:pStyle w:val="17"/>
              <w:spacing w:before="149" w:line="230" w:lineRule="auto"/>
              <w:ind w:left="137"/>
              <w:rPr>
                <w:rFonts w:hint="default"/>
                <w:color w:val="auto"/>
                <w:highlight w:val="none"/>
                <w:lang w:val="en-US" w:eastAsia="zh-CN"/>
              </w:rPr>
            </w:pPr>
            <w:r>
              <w:rPr>
                <w:rFonts w:hint="default"/>
                <w:color w:val="auto"/>
                <w:highlight w:val="none"/>
                <w:lang w:val="en-US" w:eastAsia="zh-CN"/>
              </w:rPr>
              <w:t>地址：韶关市武江区芙蓉新村六街4栋A</w:t>
            </w:r>
          </w:p>
          <w:p w14:paraId="023E674A">
            <w:pPr>
              <w:pStyle w:val="17"/>
              <w:spacing w:before="149" w:line="230" w:lineRule="auto"/>
              <w:ind w:left="137"/>
              <w:rPr>
                <w:rFonts w:hint="default"/>
                <w:color w:val="auto"/>
                <w:highlight w:val="none"/>
                <w:lang w:val="en-US" w:eastAsia="zh-CN"/>
              </w:rPr>
            </w:pPr>
            <w:r>
              <w:rPr>
                <w:rFonts w:hint="default"/>
                <w:color w:val="auto"/>
                <w:highlight w:val="none"/>
                <w:lang w:val="en-US" w:eastAsia="zh-CN"/>
              </w:rPr>
              <w:t>联系人：</w:t>
            </w:r>
            <w:r>
              <w:rPr>
                <w:rFonts w:hint="eastAsia"/>
                <w:color w:val="auto"/>
                <w:highlight w:val="none"/>
                <w:lang w:val="en-US" w:eastAsia="zh-CN"/>
              </w:rPr>
              <w:t>付秋芬</w:t>
            </w:r>
          </w:p>
          <w:p w14:paraId="64D6BDA8">
            <w:pPr>
              <w:pStyle w:val="17"/>
              <w:spacing w:before="149" w:line="230" w:lineRule="auto"/>
              <w:ind w:left="137"/>
              <w:rPr>
                <w:color w:val="auto"/>
                <w:highlight w:val="none"/>
              </w:rPr>
            </w:pPr>
            <w:r>
              <w:rPr>
                <w:rFonts w:hint="default"/>
                <w:color w:val="auto"/>
                <w:highlight w:val="none"/>
                <w:lang w:val="en-US" w:eastAsia="zh-CN"/>
              </w:rPr>
              <w:t>联系电话：0751-8288690</w:t>
            </w:r>
          </w:p>
        </w:tc>
      </w:tr>
      <w:tr w14:paraId="3849A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3" w:type="dxa"/>
            <w:vAlign w:val="top"/>
          </w:tcPr>
          <w:p w14:paraId="4B8C2CA5">
            <w:pPr>
              <w:pStyle w:val="17"/>
              <w:spacing w:before="142" w:line="233" w:lineRule="auto"/>
              <w:ind w:left="264"/>
              <w:rPr>
                <w:color w:val="auto"/>
                <w:highlight w:val="none"/>
              </w:rPr>
            </w:pPr>
            <w:r>
              <w:rPr>
                <w:color w:val="auto"/>
                <w:highlight w:val="none"/>
              </w:rPr>
              <w:t>1.1.4</w:t>
            </w:r>
          </w:p>
        </w:tc>
        <w:tc>
          <w:tcPr>
            <w:tcW w:w="2877" w:type="dxa"/>
            <w:vAlign w:val="top"/>
          </w:tcPr>
          <w:p w14:paraId="4091DA10">
            <w:pPr>
              <w:pStyle w:val="17"/>
              <w:spacing w:before="143" w:line="228" w:lineRule="auto"/>
              <w:ind w:left="813"/>
              <w:rPr>
                <w:color w:val="auto"/>
                <w:highlight w:val="none"/>
              </w:rPr>
            </w:pPr>
            <w:r>
              <w:rPr>
                <w:color w:val="auto"/>
                <w:spacing w:val="8"/>
                <w:highlight w:val="none"/>
              </w:rPr>
              <w:t>招标项目名称</w:t>
            </w:r>
          </w:p>
        </w:tc>
        <w:tc>
          <w:tcPr>
            <w:tcW w:w="4891" w:type="dxa"/>
            <w:vAlign w:val="top"/>
          </w:tcPr>
          <w:p w14:paraId="1A7E6298">
            <w:pPr>
              <w:pStyle w:val="17"/>
              <w:spacing w:before="142" w:line="228" w:lineRule="auto"/>
              <w:ind w:left="134"/>
              <w:rPr>
                <w:rFonts w:hint="eastAsia" w:ascii="宋体" w:hAnsi="宋体" w:eastAsia="宋体" w:cs="宋体"/>
                <w:color w:val="auto"/>
                <w:spacing w:val="8"/>
                <w:highlight w:val="none"/>
                <w:lang w:val="en-US" w:eastAsia="zh-CN"/>
              </w:rPr>
            </w:pPr>
            <w:r>
              <w:rPr>
                <w:rFonts w:hint="eastAsia" w:ascii="宋体" w:hAnsi="宋体" w:eastAsia="宋体" w:cs="宋体"/>
                <w:color w:val="auto"/>
                <w:spacing w:val="8"/>
                <w:highlight w:val="none"/>
                <w:lang w:val="en-US" w:eastAsia="zh-CN"/>
              </w:rPr>
              <w:t>乳源瑶族自治县大东至岭溪公路新建工程施工监理</w:t>
            </w:r>
          </w:p>
        </w:tc>
      </w:tr>
      <w:tr w14:paraId="73ED1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3" w:type="dxa"/>
            <w:vAlign w:val="top"/>
          </w:tcPr>
          <w:p w14:paraId="13E83E98">
            <w:pPr>
              <w:pStyle w:val="17"/>
              <w:spacing w:before="143" w:line="232" w:lineRule="auto"/>
              <w:ind w:left="264"/>
              <w:rPr>
                <w:color w:val="auto"/>
                <w:highlight w:val="none"/>
              </w:rPr>
            </w:pPr>
            <w:r>
              <w:rPr>
                <w:color w:val="auto"/>
                <w:highlight w:val="none"/>
              </w:rPr>
              <w:t>1.1.5</w:t>
            </w:r>
          </w:p>
        </w:tc>
        <w:tc>
          <w:tcPr>
            <w:tcW w:w="2877" w:type="dxa"/>
            <w:vAlign w:val="top"/>
          </w:tcPr>
          <w:p w14:paraId="04771C72">
            <w:pPr>
              <w:pStyle w:val="17"/>
              <w:spacing w:before="126" w:line="264" w:lineRule="exact"/>
              <w:ind w:left="761"/>
              <w:rPr>
                <w:color w:val="auto"/>
                <w:sz w:val="10"/>
                <w:szCs w:val="10"/>
                <w:highlight w:val="none"/>
              </w:rPr>
            </w:pPr>
            <w:r>
              <w:rPr>
                <w:color w:val="auto"/>
                <w:spacing w:val="8"/>
                <w:highlight w:val="none"/>
              </w:rPr>
              <w:t>标段建设地点</w:t>
            </w:r>
          </w:p>
        </w:tc>
        <w:tc>
          <w:tcPr>
            <w:tcW w:w="4891" w:type="dxa"/>
            <w:vAlign w:val="top"/>
          </w:tcPr>
          <w:p w14:paraId="204F71F2">
            <w:pPr>
              <w:pStyle w:val="17"/>
              <w:spacing w:before="142" w:line="228" w:lineRule="auto"/>
              <w:ind w:left="134"/>
              <w:rPr>
                <w:rFonts w:hint="eastAsia" w:ascii="宋体" w:hAnsi="宋体" w:eastAsia="宋体" w:cs="宋体"/>
                <w:color w:val="auto"/>
                <w:spacing w:val="8"/>
                <w:highlight w:val="none"/>
                <w:lang w:val="en-US" w:eastAsia="zh-CN"/>
              </w:rPr>
            </w:pPr>
            <w:r>
              <w:rPr>
                <w:rFonts w:hint="eastAsia" w:ascii="宋体" w:hAnsi="宋体" w:eastAsia="宋体" w:cs="宋体"/>
                <w:color w:val="auto"/>
                <w:spacing w:val="8"/>
                <w:highlight w:val="none"/>
                <w:lang w:val="en-US" w:eastAsia="zh-CN"/>
              </w:rPr>
              <w:t>项目建设地点位于韶关市乳源瑶族自治县乳城镇</w:t>
            </w:r>
          </w:p>
        </w:tc>
      </w:tr>
      <w:tr w14:paraId="2C7CB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3" w:type="dxa"/>
            <w:vAlign w:val="center"/>
          </w:tcPr>
          <w:p w14:paraId="3E930E97">
            <w:pPr>
              <w:pStyle w:val="17"/>
              <w:spacing w:before="143" w:line="232" w:lineRule="auto"/>
              <w:ind w:left="264"/>
              <w:jc w:val="center"/>
              <w:rPr>
                <w:color w:val="auto"/>
                <w:highlight w:val="none"/>
              </w:rPr>
            </w:pPr>
            <w:r>
              <w:rPr>
                <w:color w:val="auto"/>
                <w:highlight w:val="none"/>
              </w:rPr>
              <w:t>1.1.6</w:t>
            </w:r>
          </w:p>
        </w:tc>
        <w:tc>
          <w:tcPr>
            <w:tcW w:w="2877" w:type="dxa"/>
            <w:vAlign w:val="center"/>
          </w:tcPr>
          <w:p w14:paraId="7EEA6A39">
            <w:pPr>
              <w:pStyle w:val="17"/>
              <w:spacing w:before="143" w:line="228" w:lineRule="auto"/>
              <w:ind w:left="813"/>
              <w:jc w:val="both"/>
              <w:rPr>
                <w:color w:val="auto"/>
                <w:highlight w:val="none"/>
              </w:rPr>
            </w:pPr>
            <w:r>
              <w:rPr>
                <w:color w:val="auto"/>
                <w:spacing w:val="8"/>
                <w:highlight w:val="none"/>
              </w:rPr>
              <w:t>标段建设规模</w:t>
            </w:r>
          </w:p>
        </w:tc>
        <w:tc>
          <w:tcPr>
            <w:tcW w:w="4891" w:type="dxa"/>
            <w:vAlign w:val="top"/>
          </w:tcPr>
          <w:p w14:paraId="35F43E92">
            <w:pPr>
              <w:pStyle w:val="17"/>
              <w:spacing w:before="149" w:line="230" w:lineRule="auto"/>
              <w:ind w:left="137"/>
              <w:rPr>
                <w:rFonts w:hint="default"/>
                <w:color w:val="auto"/>
                <w:highlight w:val="none"/>
                <w:lang w:val="en-US" w:eastAsia="zh-CN"/>
              </w:rPr>
            </w:pPr>
            <w:r>
              <w:rPr>
                <w:rFonts w:hint="eastAsia"/>
                <w:color w:val="auto"/>
                <w:highlight w:val="none"/>
                <w:lang w:val="en-US" w:eastAsia="zh-CN"/>
              </w:rPr>
              <w:t>1.建设地点：本项目位于韶关市乳源瑶族自治县，路线起于省道S246线肖屋村附近，起点桩号为K0+000，路线往北延伸，沿线途经石寨下、旱坑背、庙湾、陈江、岭溪，终于国道G323线，终点桩号为K9+703.02，路线全长9.703公里。K0+000-K8+660段为新建，K8+660-K9+703.02段尽量利用现有公路进行改建。</w:t>
            </w:r>
          </w:p>
          <w:p w14:paraId="2669E66E">
            <w:pPr>
              <w:pStyle w:val="17"/>
              <w:spacing w:before="149" w:line="230" w:lineRule="auto"/>
              <w:ind w:left="137"/>
              <w:rPr>
                <w:rFonts w:hint="eastAsia"/>
                <w:color w:val="auto"/>
                <w:highlight w:val="none"/>
                <w:lang w:val="en-US" w:eastAsia="zh-CN"/>
              </w:rPr>
            </w:pPr>
            <w:r>
              <w:rPr>
                <w:rFonts w:hint="eastAsia"/>
                <w:color w:val="auto"/>
                <w:highlight w:val="none"/>
                <w:lang w:val="en-US" w:eastAsia="zh-CN"/>
              </w:rPr>
              <w:t>2.建设内容及规模：</w:t>
            </w:r>
          </w:p>
          <w:p w14:paraId="185D5811">
            <w:pPr>
              <w:pStyle w:val="17"/>
              <w:spacing w:before="149" w:line="230" w:lineRule="auto"/>
              <w:ind w:left="137"/>
              <w:rPr>
                <w:rFonts w:ascii="Arial"/>
                <w:color w:val="auto"/>
                <w:sz w:val="21"/>
                <w:highlight w:val="none"/>
              </w:rPr>
            </w:pPr>
            <w:r>
              <w:rPr>
                <w:rFonts w:hint="eastAsia"/>
                <w:color w:val="auto"/>
                <w:highlight w:val="none"/>
                <w:lang w:val="en-US" w:eastAsia="zh-CN"/>
              </w:rPr>
              <w:t>项目采用三级公路的技术标准建设，路线全长9.703公里，主要内容为：路基土石方344165m³,路面工程69330㎡，挡土墙26232.9m³，排水与防护工程9.703公里，新建小桥53.4m/2座，中桥71m/1座，涵洞45道，等级路平面交叉2处，与等外路交叉5处。</w:t>
            </w:r>
          </w:p>
        </w:tc>
      </w:tr>
      <w:tr w14:paraId="629C9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13" w:type="dxa"/>
            <w:vAlign w:val="top"/>
          </w:tcPr>
          <w:p w14:paraId="6B2BDF0C">
            <w:pPr>
              <w:spacing w:line="276" w:lineRule="auto"/>
              <w:rPr>
                <w:rFonts w:ascii="Arial"/>
                <w:color w:val="auto"/>
                <w:sz w:val="21"/>
                <w:highlight w:val="none"/>
              </w:rPr>
            </w:pPr>
          </w:p>
          <w:p w14:paraId="7F31F7AD">
            <w:pPr>
              <w:pStyle w:val="17"/>
              <w:spacing w:before="65" w:line="268" w:lineRule="exact"/>
              <w:ind w:left="264"/>
              <w:rPr>
                <w:color w:val="auto"/>
                <w:highlight w:val="none"/>
              </w:rPr>
            </w:pPr>
            <w:r>
              <w:rPr>
                <w:color w:val="auto"/>
                <w:position w:val="1"/>
                <w:highlight w:val="none"/>
              </w:rPr>
              <w:t>1.1.7</w:t>
            </w:r>
          </w:p>
        </w:tc>
        <w:tc>
          <w:tcPr>
            <w:tcW w:w="2877" w:type="dxa"/>
            <w:vAlign w:val="top"/>
          </w:tcPr>
          <w:p w14:paraId="46630604">
            <w:pPr>
              <w:pStyle w:val="17"/>
              <w:spacing w:before="144" w:line="228" w:lineRule="auto"/>
              <w:ind w:left="182"/>
              <w:rPr>
                <w:color w:val="auto"/>
                <w:highlight w:val="none"/>
              </w:rPr>
            </w:pPr>
            <w:r>
              <w:rPr>
                <w:color w:val="auto"/>
                <w:spacing w:val="9"/>
                <w:highlight w:val="none"/>
              </w:rPr>
              <w:t>招标项目施工预计开工日期</w:t>
            </w:r>
          </w:p>
          <w:p w14:paraId="0F4D2311">
            <w:pPr>
              <w:pStyle w:val="17"/>
              <w:spacing w:before="151" w:line="228" w:lineRule="auto"/>
              <w:ind w:left="919"/>
              <w:rPr>
                <w:color w:val="auto"/>
                <w:highlight w:val="none"/>
              </w:rPr>
            </w:pPr>
            <w:r>
              <w:rPr>
                <w:color w:val="auto"/>
                <w:spacing w:val="7"/>
                <w:highlight w:val="none"/>
              </w:rPr>
              <w:t>和建设周期</w:t>
            </w:r>
          </w:p>
        </w:tc>
        <w:tc>
          <w:tcPr>
            <w:tcW w:w="4891" w:type="dxa"/>
            <w:vAlign w:val="top"/>
          </w:tcPr>
          <w:p w14:paraId="38568501">
            <w:pPr>
              <w:keepNext w:val="0"/>
              <w:keepLines w:val="0"/>
              <w:pageBreakBefore w:val="0"/>
              <w:widowControl w:val="0"/>
              <w:topLinePunct w:val="0"/>
              <w:bidi w:val="0"/>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计划开工日期：</w:t>
            </w:r>
            <w:r>
              <w:rPr>
                <w:rFonts w:hint="eastAsia" w:ascii="宋体" w:hAnsi="宋体" w:eastAsia="宋体" w:cs="宋体"/>
                <w:color w:val="auto"/>
                <w:sz w:val="20"/>
                <w:szCs w:val="20"/>
                <w:highlight w:val="none"/>
                <w:u w:val="single"/>
              </w:rPr>
              <w:t xml:space="preserve"> / </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u w:val="single"/>
              </w:rPr>
              <w:t xml:space="preserve"> / </w:t>
            </w:r>
            <w:r>
              <w:rPr>
                <w:rFonts w:hint="eastAsia" w:ascii="宋体" w:hAnsi="宋体" w:eastAsia="宋体" w:cs="宋体"/>
                <w:color w:val="auto"/>
                <w:sz w:val="20"/>
                <w:szCs w:val="20"/>
                <w:highlight w:val="none"/>
              </w:rPr>
              <w:t>月</w:t>
            </w:r>
            <w:r>
              <w:rPr>
                <w:rFonts w:hint="eastAsia" w:ascii="宋体" w:hAnsi="宋体" w:eastAsia="宋体" w:cs="宋体"/>
                <w:color w:val="auto"/>
                <w:sz w:val="20"/>
                <w:szCs w:val="20"/>
                <w:highlight w:val="none"/>
                <w:u w:val="single"/>
              </w:rPr>
              <w:t xml:space="preserve"> / </w:t>
            </w:r>
            <w:r>
              <w:rPr>
                <w:rFonts w:hint="eastAsia" w:ascii="宋体" w:hAnsi="宋体" w:eastAsia="宋体" w:cs="宋体"/>
                <w:color w:val="auto"/>
                <w:sz w:val="20"/>
                <w:szCs w:val="20"/>
                <w:highlight w:val="none"/>
              </w:rPr>
              <w:t>日</w:t>
            </w:r>
          </w:p>
          <w:p w14:paraId="26AF8A71">
            <w:pPr>
              <w:keepNext w:val="0"/>
              <w:keepLines w:val="0"/>
              <w:pageBreakBefore w:val="0"/>
              <w:widowControl w:val="0"/>
              <w:topLinePunct w:val="0"/>
              <w:autoSpaceDE w:val="0"/>
              <w:autoSpaceDN w:val="0"/>
              <w:bidi w:val="0"/>
              <w:adjustRightInd w:val="0"/>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计划竣工日期：</w:t>
            </w:r>
            <w:r>
              <w:rPr>
                <w:rFonts w:hint="eastAsia" w:ascii="宋体" w:hAnsi="宋体" w:eastAsia="宋体" w:cs="宋体"/>
                <w:color w:val="auto"/>
                <w:sz w:val="20"/>
                <w:szCs w:val="20"/>
                <w:highlight w:val="none"/>
                <w:u w:val="single"/>
              </w:rPr>
              <w:t xml:space="preserve"> / </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u w:val="single"/>
              </w:rPr>
              <w:t xml:space="preserve"> / </w:t>
            </w:r>
            <w:r>
              <w:rPr>
                <w:rFonts w:hint="eastAsia" w:ascii="宋体" w:hAnsi="宋体" w:eastAsia="宋体" w:cs="宋体"/>
                <w:color w:val="auto"/>
                <w:sz w:val="20"/>
                <w:szCs w:val="20"/>
                <w:highlight w:val="none"/>
              </w:rPr>
              <w:t>月</w:t>
            </w:r>
            <w:r>
              <w:rPr>
                <w:rFonts w:hint="eastAsia" w:ascii="宋体" w:hAnsi="宋体" w:eastAsia="宋体" w:cs="宋体"/>
                <w:color w:val="auto"/>
                <w:sz w:val="20"/>
                <w:szCs w:val="20"/>
                <w:highlight w:val="none"/>
                <w:u w:val="single"/>
              </w:rPr>
              <w:t xml:space="preserve"> / </w:t>
            </w:r>
            <w:r>
              <w:rPr>
                <w:rFonts w:hint="eastAsia" w:ascii="宋体" w:hAnsi="宋体" w:eastAsia="宋体" w:cs="宋体"/>
                <w:color w:val="auto"/>
                <w:sz w:val="20"/>
                <w:szCs w:val="20"/>
                <w:highlight w:val="none"/>
              </w:rPr>
              <w:t>日</w:t>
            </w:r>
          </w:p>
          <w:p w14:paraId="260FD83F">
            <w:pPr>
              <w:rPr>
                <w:rFonts w:ascii="Arial"/>
                <w:color w:val="auto"/>
                <w:sz w:val="21"/>
                <w:highlight w:val="none"/>
              </w:rPr>
            </w:pPr>
            <w:r>
              <w:rPr>
                <w:rFonts w:hint="eastAsia" w:ascii="宋体" w:hAnsi="宋体" w:eastAsia="宋体" w:cs="宋体"/>
                <w:color w:val="auto"/>
                <w:sz w:val="20"/>
                <w:szCs w:val="20"/>
                <w:highlight w:val="none"/>
              </w:rPr>
              <w:t>建设周期：建设周期</w:t>
            </w:r>
            <w:r>
              <w:rPr>
                <w:rFonts w:hint="eastAsia" w:ascii="宋体" w:hAnsi="宋体" w:eastAsia="宋体" w:cs="宋体"/>
                <w:color w:val="auto"/>
                <w:sz w:val="20"/>
                <w:szCs w:val="20"/>
                <w:highlight w:val="none"/>
                <w:u w:val="single"/>
                <w:lang w:val="en-US" w:eastAsia="zh-CN"/>
              </w:rPr>
              <w:t xml:space="preserve"> 18 </w:t>
            </w:r>
            <w:r>
              <w:rPr>
                <w:rFonts w:hint="eastAsia" w:ascii="宋体" w:hAnsi="宋体" w:eastAsia="宋体" w:cs="宋体"/>
                <w:color w:val="auto"/>
                <w:sz w:val="20"/>
                <w:szCs w:val="20"/>
                <w:highlight w:val="none"/>
              </w:rPr>
              <w:t>个月</w:t>
            </w:r>
          </w:p>
        </w:tc>
      </w:tr>
      <w:tr w14:paraId="59D24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13" w:type="dxa"/>
            <w:vAlign w:val="top"/>
          </w:tcPr>
          <w:p w14:paraId="7C8C58E5">
            <w:pPr>
              <w:spacing w:line="277" w:lineRule="auto"/>
              <w:rPr>
                <w:rFonts w:ascii="Arial"/>
                <w:color w:val="auto"/>
                <w:sz w:val="21"/>
                <w:highlight w:val="none"/>
              </w:rPr>
            </w:pPr>
          </w:p>
          <w:p w14:paraId="667ED04E">
            <w:pPr>
              <w:pStyle w:val="17"/>
              <w:spacing w:before="65" w:line="268" w:lineRule="exact"/>
              <w:ind w:left="264"/>
              <w:rPr>
                <w:color w:val="auto"/>
                <w:highlight w:val="none"/>
              </w:rPr>
            </w:pPr>
            <w:r>
              <w:rPr>
                <w:color w:val="auto"/>
                <w:position w:val="1"/>
                <w:highlight w:val="none"/>
              </w:rPr>
              <w:t>1.1.8</w:t>
            </w:r>
          </w:p>
        </w:tc>
        <w:tc>
          <w:tcPr>
            <w:tcW w:w="2877" w:type="dxa"/>
            <w:vAlign w:val="top"/>
          </w:tcPr>
          <w:p w14:paraId="0C36AF59">
            <w:pPr>
              <w:pStyle w:val="17"/>
              <w:spacing w:before="142" w:line="228" w:lineRule="auto"/>
              <w:ind w:left="134"/>
              <w:rPr>
                <w:color w:val="auto"/>
                <w:highlight w:val="none"/>
              </w:rPr>
            </w:pPr>
            <w:r>
              <w:rPr>
                <w:color w:val="auto"/>
                <w:spacing w:val="8"/>
                <w:highlight w:val="none"/>
              </w:rPr>
              <w:t>建筑安装工程费/工程概算投</w:t>
            </w:r>
          </w:p>
          <w:p w14:paraId="3D6D95A2">
            <w:pPr>
              <w:pStyle w:val="17"/>
              <w:spacing w:before="153" w:line="228" w:lineRule="auto"/>
              <w:ind w:left="1242"/>
              <w:rPr>
                <w:color w:val="auto"/>
                <w:highlight w:val="none"/>
              </w:rPr>
            </w:pPr>
            <w:r>
              <w:rPr>
                <w:color w:val="auto"/>
                <w:highlight w:val="none"/>
              </w:rPr>
              <w:t>资额</w:t>
            </w:r>
          </w:p>
        </w:tc>
        <w:tc>
          <w:tcPr>
            <w:tcW w:w="4891" w:type="dxa"/>
            <w:vAlign w:val="top"/>
          </w:tcPr>
          <w:p w14:paraId="7155CF71">
            <w:pPr>
              <w:pStyle w:val="17"/>
              <w:spacing w:before="142" w:line="228" w:lineRule="auto"/>
              <w:ind w:left="134"/>
              <w:rPr>
                <w:rFonts w:ascii="Arial"/>
                <w:color w:val="auto"/>
                <w:sz w:val="21"/>
                <w:highlight w:val="none"/>
              </w:rPr>
            </w:pPr>
            <w:r>
              <w:rPr>
                <w:rFonts w:hint="eastAsia" w:ascii="宋体" w:hAnsi="宋体" w:eastAsia="宋体" w:cs="宋体"/>
                <w:color w:val="auto"/>
                <w:spacing w:val="8"/>
                <w:highlight w:val="none"/>
                <w:lang w:val="en-US" w:eastAsia="zh-CN"/>
              </w:rPr>
              <w:t>施工图预算为11967.0702万元，建安费约8314.4158万元</w:t>
            </w:r>
          </w:p>
        </w:tc>
      </w:tr>
      <w:tr w14:paraId="6B811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3" w:type="dxa"/>
            <w:vAlign w:val="top"/>
          </w:tcPr>
          <w:p w14:paraId="38416258">
            <w:pPr>
              <w:pStyle w:val="17"/>
              <w:spacing w:before="143" w:line="232" w:lineRule="auto"/>
              <w:ind w:left="264"/>
              <w:rPr>
                <w:color w:val="auto"/>
                <w:highlight w:val="none"/>
              </w:rPr>
            </w:pPr>
            <w:r>
              <w:rPr>
                <w:color w:val="auto"/>
                <w:highlight w:val="none"/>
              </w:rPr>
              <w:t>1.2.1</w:t>
            </w:r>
          </w:p>
        </w:tc>
        <w:tc>
          <w:tcPr>
            <w:tcW w:w="2877" w:type="dxa"/>
            <w:vAlign w:val="top"/>
          </w:tcPr>
          <w:p w14:paraId="278C6B34">
            <w:pPr>
              <w:pStyle w:val="17"/>
              <w:spacing w:before="143" w:line="228" w:lineRule="auto"/>
              <w:ind w:left="716"/>
              <w:rPr>
                <w:color w:val="auto"/>
                <w:highlight w:val="none"/>
              </w:rPr>
            </w:pPr>
            <w:r>
              <w:rPr>
                <w:color w:val="auto"/>
                <w:spacing w:val="7"/>
                <w:highlight w:val="none"/>
              </w:rPr>
              <w:t>资金来源及比例</w:t>
            </w:r>
          </w:p>
        </w:tc>
        <w:tc>
          <w:tcPr>
            <w:tcW w:w="4891" w:type="dxa"/>
            <w:vAlign w:val="top"/>
          </w:tcPr>
          <w:p w14:paraId="521DD7CC">
            <w:pPr>
              <w:pStyle w:val="17"/>
              <w:spacing w:before="144" w:line="226" w:lineRule="auto"/>
              <w:ind w:left="115"/>
              <w:rPr>
                <w:color w:val="auto"/>
                <w:highlight w:val="none"/>
              </w:rPr>
            </w:pPr>
            <w:r>
              <w:rPr>
                <w:color w:val="auto"/>
                <w:spacing w:val="7"/>
                <w:highlight w:val="none"/>
              </w:rPr>
              <w:t>详见招标公告</w:t>
            </w:r>
          </w:p>
        </w:tc>
      </w:tr>
      <w:tr w14:paraId="1707A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3" w:type="dxa"/>
            <w:vAlign w:val="top"/>
          </w:tcPr>
          <w:p w14:paraId="71A42BDE">
            <w:pPr>
              <w:pStyle w:val="17"/>
              <w:spacing w:before="144" w:line="231" w:lineRule="auto"/>
              <w:ind w:left="264"/>
              <w:rPr>
                <w:color w:val="auto"/>
                <w:highlight w:val="none"/>
              </w:rPr>
            </w:pPr>
            <w:r>
              <w:rPr>
                <w:color w:val="auto"/>
                <w:highlight w:val="none"/>
              </w:rPr>
              <w:t>1.2.2</w:t>
            </w:r>
          </w:p>
        </w:tc>
        <w:tc>
          <w:tcPr>
            <w:tcW w:w="2877" w:type="dxa"/>
            <w:vAlign w:val="top"/>
          </w:tcPr>
          <w:p w14:paraId="3D189BD1">
            <w:pPr>
              <w:pStyle w:val="17"/>
              <w:spacing w:before="144" w:line="228" w:lineRule="auto"/>
              <w:ind w:left="822"/>
              <w:rPr>
                <w:color w:val="auto"/>
                <w:highlight w:val="none"/>
              </w:rPr>
            </w:pPr>
            <w:r>
              <w:rPr>
                <w:color w:val="auto"/>
                <w:spacing w:val="6"/>
                <w:highlight w:val="none"/>
              </w:rPr>
              <w:t>资金落实情况</w:t>
            </w:r>
          </w:p>
        </w:tc>
        <w:tc>
          <w:tcPr>
            <w:tcW w:w="4891" w:type="dxa"/>
            <w:vAlign w:val="top"/>
          </w:tcPr>
          <w:p w14:paraId="7A5101DE">
            <w:pPr>
              <w:pStyle w:val="17"/>
              <w:spacing w:before="144" w:line="226" w:lineRule="auto"/>
              <w:ind w:left="115"/>
              <w:rPr>
                <w:rFonts w:ascii="Arial"/>
                <w:color w:val="auto"/>
                <w:sz w:val="21"/>
                <w:highlight w:val="none"/>
              </w:rPr>
            </w:pPr>
            <w:r>
              <w:rPr>
                <w:rFonts w:hint="eastAsia" w:ascii="宋体" w:hAnsi="宋体" w:eastAsia="宋体" w:cs="宋体"/>
                <w:color w:val="auto"/>
                <w:spacing w:val="7"/>
                <w:highlight w:val="none"/>
              </w:rPr>
              <w:t>资金已落实</w:t>
            </w:r>
          </w:p>
        </w:tc>
      </w:tr>
      <w:tr w14:paraId="64CA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1" w:hRule="atLeast"/>
        </w:trPr>
        <w:tc>
          <w:tcPr>
            <w:tcW w:w="1013" w:type="dxa"/>
            <w:vAlign w:val="top"/>
          </w:tcPr>
          <w:p w14:paraId="117DFFC5">
            <w:pPr>
              <w:spacing w:line="475" w:lineRule="auto"/>
              <w:rPr>
                <w:rFonts w:ascii="Arial"/>
                <w:color w:val="auto"/>
                <w:sz w:val="21"/>
                <w:highlight w:val="none"/>
              </w:rPr>
            </w:pPr>
          </w:p>
          <w:p w14:paraId="4C5991F3">
            <w:pPr>
              <w:pStyle w:val="17"/>
              <w:spacing w:before="65" w:line="268" w:lineRule="exact"/>
              <w:ind w:left="264"/>
              <w:rPr>
                <w:color w:val="auto"/>
                <w:highlight w:val="none"/>
              </w:rPr>
            </w:pPr>
            <w:r>
              <w:rPr>
                <w:color w:val="auto"/>
                <w:position w:val="1"/>
                <w:highlight w:val="none"/>
              </w:rPr>
              <w:t>1.3.1</w:t>
            </w:r>
          </w:p>
        </w:tc>
        <w:tc>
          <w:tcPr>
            <w:tcW w:w="2877" w:type="dxa"/>
            <w:vAlign w:val="top"/>
          </w:tcPr>
          <w:p w14:paraId="51B245BD">
            <w:pPr>
              <w:spacing w:line="458" w:lineRule="auto"/>
              <w:rPr>
                <w:rFonts w:ascii="Arial"/>
                <w:color w:val="auto"/>
                <w:sz w:val="21"/>
                <w:highlight w:val="none"/>
              </w:rPr>
            </w:pPr>
          </w:p>
          <w:p w14:paraId="622EBDFB">
            <w:pPr>
              <w:pStyle w:val="17"/>
              <w:spacing w:before="65" w:line="265" w:lineRule="exact"/>
              <w:ind w:left="972"/>
              <w:rPr>
                <w:color w:val="auto"/>
                <w:sz w:val="10"/>
                <w:szCs w:val="10"/>
                <w:highlight w:val="none"/>
              </w:rPr>
            </w:pPr>
            <w:r>
              <w:rPr>
                <w:color w:val="auto"/>
                <w:spacing w:val="7"/>
                <w:highlight w:val="none"/>
              </w:rPr>
              <w:t>招标范围</w:t>
            </w:r>
          </w:p>
        </w:tc>
        <w:tc>
          <w:tcPr>
            <w:tcW w:w="4891" w:type="dxa"/>
            <w:vAlign w:val="top"/>
          </w:tcPr>
          <w:p w14:paraId="28B72171">
            <w:pPr>
              <w:pStyle w:val="17"/>
              <w:spacing w:before="145" w:line="228" w:lineRule="auto"/>
              <w:ind w:left="134"/>
              <w:rPr>
                <w:color w:val="auto"/>
                <w:highlight w:val="none"/>
              </w:rPr>
            </w:pPr>
            <w:r>
              <w:rPr>
                <w:rFonts w:hint="eastAsia"/>
                <w:color w:val="auto"/>
                <w:spacing w:val="7"/>
                <w:highlight w:val="none"/>
                <w:lang w:eastAsia="zh-CN"/>
              </w:rPr>
              <w:t>□</w:t>
            </w:r>
            <w:r>
              <w:rPr>
                <w:color w:val="auto"/>
                <w:spacing w:val="7"/>
                <w:highlight w:val="none"/>
              </w:rPr>
              <w:t>总监理工程师办公室（含中心试验室）</w:t>
            </w:r>
          </w:p>
          <w:p w14:paraId="074FECBC">
            <w:pPr>
              <w:pStyle w:val="17"/>
              <w:spacing w:before="151" w:line="228" w:lineRule="auto"/>
              <w:ind w:left="134"/>
              <w:rPr>
                <w:color w:val="auto"/>
                <w:highlight w:val="none"/>
              </w:rPr>
            </w:pPr>
            <w:r>
              <w:rPr>
                <w:color w:val="auto"/>
                <w:spacing w:val="7"/>
                <w:highlight w:val="none"/>
              </w:rPr>
              <w:t>□驻地监理工程师办公室（含监理试验室）</w:t>
            </w:r>
          </w:p>
          <w:p w14:paraId="4D7BA2CD">
            <w:pPr>
              <w:pStyle w:val="17"/>
              <w:spacing w:before="154" w:line="228" w:lineRule="auto"/>
              <w:ind w:left="134"/>
              <w:rPr>
                <w:color w:val="auto"/>
                <w:highlight w:val="none"/>
                <w:u w:val="single" w:color="auto"/>
              </w:rPr>
            </w:pPr>
            <w:r>
              <w:rPr>
                <w:rFonts w:hint="eastAsia"/>
                <w:color w:val="auto"/>
                <w:spacing w:val="2"/>
                <w:highlight w:val="none"/>
                <w:lang w:eastAsia="zh-CN"/>
              </w:rPr>
              <w:t>☑</w:t>
            </w:r>
            <w:r>
              <w:rPr>
                <w:color w:val="auto"/>
                <w:spacing w:val="2"/>
                <w:highlight w:val="none"/>
              </w:rPr>
              <w:t>其他：</w:t>
            </w:r>
            <w:r>
              <w:rPr>
                <w:rFonts w:hint="eastAsia"/>
                <w:color w:val="auto"/>
                <w:highlight w:val="none"/>
                <w:u w:val="single" w:color="auto"/>
                <w:lang w:eastAsia="zh-CN"/>
              </w:rPr>
              <w:t>（</w:t>
            </w:r>
            <w:r>
              <w:rPr>
                <w:rFonts w:hint="eastAsia"/>
                <w:color w:val="auto"/>
                <w:highlight w:val="none"/>
                <w:u w:val="single" w:color="auto"/>
                <w:lang w:val="en-US" w:eastAsia="zh-CN"/>
              </w:rPr>
              <w:t>1</w:t>
            </w:r>
            <w:r>
              <w:rPr>
                <w:rFonts w:hint="eastAsia"/>
                <w:color w:val="auto"/>
                <w:highlight w:val="none"/>
                <w:u w:val="single" w:color="auto"/>
                <w:lang w:eastAsia="zh-CN"/>
              </w:rPr>
              <w:t>）</w:t>
            </w:r>
            <w:r>
              <w:rPr>
                <w:color w:val="auto"/>
                <w:highlight w:val="none"/>
                <w:u w:val="single" w:color="auto"/>
              </w:rPr>
              <w:t xml:space="preserve"> 监理人可不自行组建中心试验室，本合同约定的全部试验检测工作，监理人应通过委托具备相应资质的第三方试验检测机构完成。</w:t>
            </w:r>
          </w:p>
          <w:p w14:paraId="45C7833C">
            <w:pPr>
              <w:pStyle w:val="17"/>
              <w:spacing w:before="154" w:line="228" w:lineRule="auto"/>
              <w:ind w:left="134"/>
              <w:rPr>
                <w:color w:val="auto"/>
                <w:highlight w:val="none"/>
                <w:u w:val="single" w:color="auto"/>
              </w:rPr>
            </w:pPr>
            <w:r>
              <w:rPr>
                <w:rFonts w:hint="eastAsia"/>
                <w:color w:val="auto"/>
                <w:highlight w:val="none"/>
                <w:u w:val="single" w:color="auto"/>
                <w:lang w:eastAsia="zh-CN"/>
              </w:rPr>
              <w:t>（</w:t>
            </w:r>
            <w:r>
              <w:rPr>
                <w:rFonts w:hint="eastAsia"/>
                <w:color w:val="auto"/>
                <w:highlight w:val="none"/>
                <w:u w:val="single" w:color="auto"/>
                <w:lang w:val="en-US" w:eastAsia="zh-CN"/>
              </w:rPr>
              <w:t>2</w:t>
            </w:r>
            <w:r>
              <w:rPr>
                <w:rFonts w:hint="eastAsia"/>
                <w:color w:val="auto"/>
                <w:highlight w:val="none"/>
                <w:u w:val="single" w:color="auto"/>
                <w:lang w:eastAsia="zh-CN"/>
              </w:rPr>
              <w:t>）</w:t>
            </w:r>
            <w:r>
              <w:rPr>
                <w:color w:val="auto"/>
                <w:highlight w:val="none"/>
                <w:u w:val="single" w:color="auto"/>
              </w:rPr>
              <w:t>监理人委托的第三方检测机构不得与施工承包人委托的检测机构为同一家机构。</w:t>
            </w:r>
          </w:p>
          <w:p w14:paraId="579836BC">
            <w:pPr>
              <w:pStyle w:val="17"/>
              <w:spacing w:before="154" w:line="228" w:lineRule="auto"/>
              <w:ind w:left="134"/>
              <w:rPr>
                <w:color w:val="auto"/>
                <w:highlight w:val="none"/>
                <w:u w:val="single" w:color="auto"/>
              </w:rPr>
            </w:pPr>
            <w:r>
              <w:rPr>
                <w:rFonts w:hint="eastAsia"/>
                <w:color w:val="auto"/>
                <w:highlight w:val="none"/>
                <w:u w:val="single" w:color="auto"/>
                <w:lang w:eastAsia="zh-CN"/>
              </w:rPr>
              <w:t>（</w:t>
            </w:r>
            <w:r>
              <w:rPr>
                <w:rFonts w:hint="eastAsia"/>
                <w:color w:val="auto"/>
                <w:highlight w:val="none"/>
                <w:u w:val="single" w:color="auto"/>
                <w:lang w:val="en-US" w:eastAsia="zh-CN"/>
              </w:rPr>
              <w:t>3</w:t>
            </w:r>
            <w:r>
              <w:rPr>
                <w:rFonts w:hint="eastAsia"/>
                <w:color w:val="auto"/>
                <w:highlight w:val="none"/>
                <w:u w:val="single" w:color="auto"/>
                <w:lang w:eastAsia="zh-CN"/>
              </w:rPr>
              <w:t>）</w:t>
            </w:r>
            <w:r>
              <w:rPr>
                <w:color w:val="auto"/>
                <w:highlight w:val="none"/>
                <w:u w:val="single" w:color="auto"/>
              </w:rPr>
              <w:t>所有外委检测机构的选定及检测方案必须报经建设单位书面审查同意后方可执行。</w:t>
            </w:r>
          </w:p>
          <w:p w14:paraId="6AA8139F">
            <w:pPr>
              <w:pStyle w:val="17"/>
              <w:spacing w:before="154" w:line="228" w:lineRule="auto"/>
              <w:ind w:left="134"/>
              <w:rPr>
                <w:rFonts w:hint="eastAsia" w:eastAsia="宋体"/>
                <w:color w:val="auto"/>
                <w:highlight w:val="none"/>
                <w:u w:val="single" w:color="auto"/>
                <w:lang w:eastAsia="zh-CN"/>
              </w:rPr>
            </w:pPr>
            <w:r>
              <w:rPr>
                <w:rFonts w:hint="eastAsia"/>
                <w:color w:val="auto"/>
                <w:highlight w:val="none"/>
                <w:u w:val="single" w:color="auto"/>
                <w:lang w:eastAsia="zh-CN"/>
              </w:rPr>
              <w:t>（</w:t>
            </w:r>
            <w:r>
              <w:rPr>
                <w:rFonts w:hint="eastAsia"/>
                <w:color w:val="auto"/>
                <w:highlight w:val="none"/>
                <w:u w:val="single" w:color="auto"/>
                <w:lang w:val="en-US" w:eastAsia="zh-CN"/>
              </w:rPr>
              <w:t>4</w:t>
            </w:r>
            <w:r>
              <w:rPr>
                <w:rFonts w:hint="eastAsia"/>
                <w:color w:val="auto"/>
                <w:highlight w:val="none"/>
                <w:u w:val="single" w:color="auto"/>
                <w:lang w:eastAsia="zh-CN"/>
              </w:rPr>
              <w:t>）</w:t>
            </w:r>
            <w:r>
              <w:rPr>
                <w:color w:val="auto"/>
                <w:highlight w:val="none"/>
                <w:u w:val="single" w:color="auto"/>
              </w:rPr>
              <w:t>外委检测机构资质要求</w:t>
            </w:r>
            <w:r>
              <w:rPr>
                <w:rFonts w:hint="eastAsia"/>
                <w:color w:val="auto"/>
                <w:highlight w:val="none"/>
                <w:u w:val="single" w:color="auto"/>
                <w:lang w:eastAsia="zh-CN"/>
              </w:rPr>
              <w:t>：</w:t>
            </w:r>
          </w:p>
          <w:p w14:paraId="74CEC346">
            <w:pPr>
              <w:pStyle w:val="17"/>
              <w:spacing w:before="154" w:line="228" w:lineRule="auto"/>
              <w:ind w:left="134"/>
              <w:rPr>
                <w:color w:val="auto"/>
                <w:highlight w:val="none"/>
                <w:u w:val="single" w:color="auto"/>
              </w:rPr>
            </w:pPr>
            <w:r>
              <w:rPr>
                <w:rFonts w:hint="eastAsia"/>
                <w:color w:val="auto"/>
                <w:highlight w:val="none"/>
                <w:u w:val="single" w:color="auto"/>
                <w:lang w:eastAsia="zh-CN"/>
              </w:rPr>
              <w:t>（</w:t>
            </w:r>
            <w:r>
              <w:rPr>
                <w:rFonts w:hint="eastAsia"/>
                <w:color w:val="auto"/>
                <w:highlight w:val="none"/>
                <w:u w:val="single" w:color="auto"/>
                <w:lang w:val="en-US" w:eastAsia="zh-CN"/>
              </w:rPr>
              <w:t>4.1</w:t>
            </w:r>
            <w:r>
              <w:rPr>
                <w:rFonts w:hint="eastAsia"/>
                <w:color w:val="auto"/>
                <w:highlight w:val="none"/>
                <w:u w:val="single" w:color="auto"/>
                <w:lang w:eastAsia="zh-CN"/>
              </w:rPr>
              <w:t>）</w:t>
            </w:r>
            <w:r>
              <w:rPr>
                <w:color w:val="auto"/>
                <w:highlight w:val="none"/>
                <w:u w:val="single" w:color="auto"/>
              </w:rPr>
              <w:t>接受委托的检测机构必须同时持有在有效期内的《公路水运工程质量检测机构资质证书》 (公路工程综合</w:t>
            </w:r>
            <w:r>
              <w:rPr>
                <w:rFonts w:hint="eastAsia"/>
                <w:color w:val="auto"/>
                <w:highlight w:val="none"/>
                <w:u w:val="single" w:color="auto"/>
                <w:lang w:val="en-US" w:eastAsia="zh-CN"/>
              </w:rPr>
              <w:t>乙</w:t>
            </w:r>
            <w:r>
              <w:rPr>
                <w:color w:val="auto"/>
                <w:highlight w:val="none"/>
                <w:u w:val="single" w:color="auto"/>
              </w:rPr>
              <w:t>级</w:t>
            </w:r>
            <w:r>
              <w:rPr>
                <w:rFonts w:hint="eastAsia"/>
                <w:color w:val="auto"/>
                <w:highlight w:val="none"/>
                <w:u w:val="single" w:color="auto"/>
                <w:lang w:val="en-US" w:eastAsia="zh-CN"/>
              </w:rPr>
              <w:t>以上（含乙级</w:t>
            </w:r>
            <w:r>
              <w:rPr>
                <w:color w:val="auto"/>
                <w:highlight w:val="none"/>
                <w:u w:val="single" w:color="auto"/>
              </w:rPr>
              <w:t>)或相应专项</w:t>
            </w:r>
            <w:r>
              <w:rPr>
                <w:rFonts w:hint="eastAsia"/>
                <w:color w:val="auto"/>
                <w:highlight w:val="none"/>
                <w:u w:val="single" w:color="auto"/>
                <w:lang w:val="en-US" w:eastAsia="zh-CN"/>
              </w:rPr>
              <w:t>乙</w:t>
            </w:r>
            <w:r>
              <w:rPr>
                <w:color w:val="auto"/>
                <w:highlight w:val="none"/>
                <w:u w:val="single" w:color="auto"/>
              </w:rPr>
              <w:t>级</w:t>
            </w:r>
            <w:r>
              <w:rPr>
                <w:rFonts w:hint="eastAsia"/>
                <w:color w:val="auto"/>
                <w:highlight w:val="none"/>
                <w:u w:val="single" w:color="auto"/>
                <w:lang w:val="en-US" w:eastAsia="zh-CN"/>
              </w:rPr>
              <w:t>以上（含乙级</w:t>
            </w:r>
            <w:r>
              <w:rPr>
                <w:color w:val="auto"/>
                <w:highlight w:val="none"/>
                <w:u w:val="single" w:color="auto"/>
              </w:rPr>
              <w:t>)和《检验检测机构资质认定证书》(CMA)。</w:t>
            </w:r>
          </w:p>
          <w:p w14:paraId="0C8FC0DA">
            <w:pPr>
              <w:pStyle w:val="17"/>
              <w:spacing w:before="154" w:line="228" w:lineRule="auto"/>
              <w:ind w:left="134"/>
              <w:rPr>
                <w:color w:val="auto"/>
                <w:highlight w:val="none"/>
                <w:u w:val="single" w:color="auto"/>
              </w:rPr>
            </w:pPr>
            <w:r>
              <w:rPr>
                <w:rFonts w:hint="eastAsia"/>
                <w:color w:val="auto"/>
                <w:highlight w:val="none"/>
                <w:u w:val="single" w:color="auto"/>
                <w:lang w:eastAsia="zh-CN"/>
              </w:rPr>
              <w:t>（</w:t>
            </w:r>
            <w:r>
              <w:rPr>
                <w:rFonts w:hint="eastAsia"/>
                <w:color w:val="auto"/>
                <w:highlight w:val="none"/>
                <w:u w:val="single" w:color="auto"/>
                <w:lang w:val="en-US" w:eastAsia="zh-CN"/>
              </w:rPr>
              <w:t>4.2</w:t>
            </w:r>
            <w:r>
              <w:rPr>
                <w:rFonts w:hint="eastAsia"/>
                <w:color w:val="auto"/>
                <w:highlight w:val="none"/>
                <w:u w:val="single" w:color="auto"/>
                <w:lang w:eastAsia="zh-CN"/>
              </w:rPr>
              <w:t>）</w:t>
            </w:r>
            <w:r>
              <w:rPr>
                <w:color w:val="auto"/>
                <w:highlight w:val="none"/>
                <w:u w:val="single" w:color="auto"/>
              </w:rPr>
              <w:t>检测机构上年度信用等级应为B 级及以上。</w:t>
            </w:r>
          </w:p>
          <w:p w14:paraId="4673A8EA">
            <w:pPr>
              <w:pStyle w:val="17"/>
              <w:spacing w:before="154" w:line="228" w:lineRule="auto"/>
              <w:ind w:left="134"/>
              <w:rPr>
                <w:color w:val="auto"/>
                <w:highlight w:val="none"/>
              </w:rPr>
            </w:pPr>
            <w:r>
              <w:rPr>
                <w:rFonts w:hint="eastAsia"/>
                <w:color w:val="auto"/>
                <w:highlight w:val="none"/>
                <w:u w:val="single" w:color="auto"/>
                <w:lang w:eastAsia="zh-CN"/>
              </w:rPr>
              <w:t>（</w:t>
            </w:r>
            <w:r>
              <w:rPr>
                <w:rFonts w:hint="eastAsia"/>
                <w:color w:val="auto"/>
                <w:highlight w:val="none"/>
                <w:u w:val="single" w:color="auto"/>
                <w:lang w:val="en-US" w:eastAsia="zh-CN"/>
              </w:rPr>
              <w:t>4.3</w:t>
            </w:r>
            <w:r>
              <w:rPr>
                <w:rFonts w:hint="eastAsia"/>
                <w:color w:val="auto"/>
                <w:highlight w:val="none"/>
                <w:u w:val="single" w:color="auto"/>
                <w:lang w:eastAsia="zh-CN"/>
              </w:rPr>
              <w:t>）</w:t>
            </w:r>
            <w:r>
              <w:rPr>
                <w:color w:val="auto"/>
                <w:highlight w:val="none"/>
                <w:u w:val="single" w:color="auto"/>
              </w:rPr>
              <w:t>检测机构不得与监理人、建设单位或施工承包人存在可能影响公正决策的关联关系(如 母子公司、控股关系等)。</w:t>
            </w:r>
          </w:p>
        </w:tc>
      </w:tr>
      <w:tr w14:paraId="5ED42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013" w:type="dxa"/>
            <w:vAlign w:val="top"/>
          </w:tcPr>
          <w:p w14:paraId="36DE6C7D">
            <w:pPr>
              <w:spacing w:line="476" w:lineRule="auto"/>
              <w:rPr>
                <w:rFonts w:ascii="Arial"/>
                <w:color w:val="auto"/>
                <w:sz w:val="21"/>
                <w:highlight w:val="none"/>
              </w:rPr>
            </w:pPr>
          </w:p>
          <w:p w14:paraId="49468899">
            <w:pPr>
              <w:pStyle w:val="17"/>
              <w:spacing w:before="65" w:line="268" w:lineRule="exact"/>
              <w:ind w:left="264"/>
              <w:rPr>
                <w:color w:val="auto"/>
                <w:highlight w:val="none"/>
              </w:rPr>
            </w:pPr>
            <w:r>
              <w:rPr>
                <w:color w:val="auto"/>
                <w:position w:val="1"/>
                <w:highlight w:val="none"/>
              </w:rPr>
              <w:t>1.3.2</w:t>
            </w:r>
          </w:p>
        </w:tc>
        <w:tc>
          <w:tcPr>
            <w:tcW w:w="2877" w:type="dxa"/>
            <w:vAlign w:val="top"/>
          </w:tcPr>
          <w:p w14:paraId="4E259CB2">
            <w:pPr>
              <w:spacing w:line="476" w:lineRule="auto"/>
              <w:rPr>
                <w:rFonts w:ascii="Arial"/>
                <w:color w:val="auto"/>
                <w:sz w:val="21"/>
                <w:highlight w:val="none"/>
              </w:rPr>
            </w:pPr>
          </w:p>
          <w:p w14:paraId="35CEE6E1">
            <w:pPr>
              <w:pStyle w:val="17"/>
              <w:spacing w:before="65" w:line="228" w:lineRule="auto"/>
              <w:ind w:left="813"/>
              <w:rPr>
                <w:color w:val="auto"/>
                <w:highlight w:val="none"/>
              </w:rPr>
            </w:pPr>
            <w:r>
              <w:rPr>
                <w:color w:val="auto"/>
                <w:spacing w:val="8"/>
                <w:highlight w:val="none"/>
              </w:rPr>
              <w:t>监理服务期限</w:t>
            </w:r>
          </w:p>
        </w:tc>
        <w:tc>
          <w:tcPr>
            <w:tcW w:w="4891" w:type="dxa"/>
            <w:vAlign w:val="top"/>
          </w:tcPr>
          <w:p w14:paraId="4E9CBB02">
            <w:pPr>
              <w:pStyle w:val="17"/>
              <w:spacing w:before="145" w:line="360" w:lineRule="auto"/>
              <w:ind w:left="113" w:right="1212"/>
              <w:rPr>
                <w:color w:val="auto"/>
                <w:highlight w:val="none"/>
              </w:rPr>
            </w:pPr>
            <w:r>
              <w:rPr>
                <w:color w:val="auto"/>
                <w:spacing w:val="7"/>
                <w:highlight w:val="none"/>
              </w:rPr>
              <w:t>监理服务期：</w:t>
            </w:r>
            <w:r>
              <w:rPr>
                <w:rFonts w:hint="eastAsia"/>
                <w:color w:val="auto"/>
                <w:spacing w:val="5"/>
                <w:highlight w:val="none"/>
                <w:u w:val="single" w:color="auto"/>
                <w:lang w:val="en-US" w:eastAsia="zh-CN"/>
              </w:rPr>
              <w:t>31</w:t>
            </w:r>
            <w:r>
              <w:rPr>
                <w:color w:val="auto"/>
                <w:spacing w:val="7"/>
                <w:highlight w:val="none"/>
                <w:u w:val="single" w:color="auto"/>
              </w:rPr>
              <w:t>个</w:t>
            </w:r>
            <w:r>
              <w:rPr>
                <w:color w:val="auto"/>
                <w:spacing w:val="7"/>
                <w:highlight w:val="none"/>
              </w:rPr>
              <w:t>月</w:t>
            </w:r>
            <w:r>
              <w:rPr>
                <w:color w:val="auto"/>
                <w:spacing w:val="2"/>
                <w:highlight w:val="none"/>
              </w:rPr>
              <w:t>其中：</w:t>
            </w:r>
          </w:p>
          <w:p w14:paraId="36E64813">
            <w:pPr>
              <w:pStyle w:val="17"/>
              <w:spacing w:line="360" w:lineRule="auto"/>
              <w:ind w:left="112"/>
              <w:rPr>
                <w:color w:val="auto"/>
                <w:spacing w:val="6"/>
                <w:highlight w:val="none"/>
              </w:rPr>
            </w:pPr>
            <w:r>
              <w:rPr>
                <w:color w:val="auto"/>
                <w:spacing w:val="6"/>
                <w:highlight w:val="none"/>
              </w:rPr>
              <w:t>施工准备阶段：</w:t>
            </w:r>
            <w:r>
              <w:rPr>
                <w:color w:val="auto"/>
                <w:spacing w:val="6"/>
                <w:highlight w:val="none"/>
                <w:u w:val="single" w:color="auto"/>
              </w:rPr>
              <w:t xml:space="preserve"> </w:t>
            </w:r>
            <w:r>
              <w:rPr>
                <w:rFonts w:hint="eastAsia"/>
                <w:color w:val="auto"/>
                <w:spacing w:val="6"/>
                <w:highlight w:val="none"/>
                <w:u w:val="single" w:color="auto"/>
                <w:lang w:val="en-US" w:eastAsia="zh-CN"/>
              </w:rPr>
              <w:t>1</w:t>
            </w:r>
            <w:r>
              <w:rPr>
                <w:color w:val="auto"/>
                <w:spacing w:val="6"/>
                <w:highlight w:val="none"/>
                <w:u w:val="single" w:color="auto"/>
              </w:rPr>
              <w:t xml:space="preserve"> 个</w:t>
            </w:r>
            <w:r>
              <w:rPr>
                <w:color w:val="auto"/>
                <w:spacing w:val="6"/>
                <w:highlight w:val="none"/>
              </w:rPr>
              <w:t>月</w:t>
            </w:r>
          </w:p>
          <w:p w14:paraId="6013E501">
            <w:pPr>
              <w:pStyle w:val="17"/>
              <w:spacing w:before="140" w:line="360" w:lineRule="auto"/>
              <w:ind w:left="112"/>
              <w:rPr>
                <w:color w:val="auto"/>
                <w:highlight w:val="none"/>
              </w:rPr>
            </w:pPr>
            <w:r>
              <w:rPr>
                <w:color w:val="auto"/>
                <w:spacing w:val="7"/>
                <w:highlight w:val="none"/>
              </w:rPr>
              <w:t>施工阶段：</w:t>
            </w:r>
            <w:r>
              <w:rPr>
                <w:color w:val="auto"/>
                <w:highlight w:val="none"/>
                <w:u w:val="single" w:color="auto"/>
              </w:rPr>
              <w:t xml:space="preserve">  </w:t>
            </w:r>
            <w:r>
              <w:rPr>
                <w:rFonts w:hint="eastAsia"/>
                <w:color w:val="auto"/>
                <w:highlight w:val="none"/>
                <w:u w:val="single" w:color="auto"/>
                <w:lang w:val="en-US" w:eastAsia="zh-CN"/>
              </w:rPr>
              <w:t>18</w:t>
            </w:r>
            <w:r>
              <w:rPr>
                <w:color w:val="auto"/>
                <w:highlight w:val="none"/>
                <w:u w:val="single" w:color="auto"/>
              </w:rPr>
              <w:t xml:space="preserve"> </w:t>
            </w:r>
            <w:r>
              <w:rPr>
                <w:color w:val="auto"/>
                <w:spacing w:val="7"/>
                <w:highlight w:val="none"/>
                <w:u w:val="single" w:color="auto"/>
              </w:rPr>
              <w:t>个</w:t>
            </w:r>
            <w:r>
              <w:rPr>
                <w:color w:val="auto"/>
                <w:spacing w:val="7"/>
                <w:highlight w:val="none"/>
              </w:rPr>
              <w:t>月</w:t>
            </w:r>
          </w:p>
          <w:p w14:paraId="05E946F3">
            <w:pPr>
              <w:pStyle w:val="17"/>
              <w:spacing w:line="360" w:lineRule="auto"/>
              <w:ind w:left="112"/>
              <w:rPr>
                <w:color w:val="auto"/>
                <w:spacing w:val="6"/>
                <w:highlight w:val="none"/>
              </w:rPr>
            </w:pPr>
            <w:r>
              <w:rPr>
                <w:color w:val="auto"/>
                <w:spacing w:val="7"/>
                <w:highlight w:val="none"/>
              </w:rPr>
              <w:t>交(竣)工验收及缺陷责任期：</w:t>
            </w:r>
            <w:r>
              <w:rPr>
                <w:color w:val="auto"/>
                <w:spacing w:val="7"/>
                <w:highlight w:val="none"/>
                <w:u w:val="single" w:color="auto"/>
              </w:rPr>
              <w:t xml:space="preserve"> </w:t>
            </w:r>
            <w:r>
              <w:rPr>
                <w:rFonts w:hint="eastAsia"/>
                <w:color w:val="auto"/>
                <w:spacing w:val="7"/>
                <w:highlight w:val="none"/>
                <w:u w:val="single" w:color="auto"/>
                <w:lang w:val="en-US" w:eastAsia="zh-CN"/>
              </w:rPr>
              <w:t>12</w:t>
            </w:r>
            <w:r>
              <w:rPr>
                <w:color w:val="auto"/>
                <w:spacing w:val="7"/>
                <w:highlight w:val="none"/>
                <w:u w:val="single" w:color="auto"/>
              </w:rPr>
              <w:t>个</w:t>
            </w:r>
            <w:r>
              <w:rPr>
                <w:color w:val="auto"/>
                <w:spacing w:val="7"/>
                <w:highlight w:val="none"/>
              </w:rPr>
              <w:t>月</w:t>
            </w:r>
          </w:p>
        </w:tc>
      </w:tr>
    </w:tbl>
    <w:p w14:paraId="5526F0CC">
      <w:pPr>
        <w:spacing w:line="434" w:lineRule="auto"/>
        <w:rPr>
          <w:rFonts w:ascii="Arial"/>
          <w:color w:val="auto"/>
          <w:sz w:val="21"/>
          <w:highlight w:val="none"/>
        </w:rPr>
      </w:pPr>
    </w:p>
    <w:p w14:paraId="482E7BB0">
      <w:pPr>
        <w:spacing w:line="220" w:lineRule="auto"/>
        <w:rPr>
          <w:rFonts w:ascii="宋体" w:hAnsi="宋体" w:eastAsia="宋体" w:cs="宋体"/>
          <w:color w:val="auto"/>
          <w:sz w:val="18"/>
          <w:szCs w:val="18"/>
          <w:highlight w:val="none"/>
        </w:rPr>
        <w:sectPr>
          <w:footerReference r:id="rId13" w:type="default"/>
          <w:pgSz w:w="11906" w:h="16839"/>
          <w:pgMar w:top="1325" w:right="1578" w:bottom="1297" w:left="1304" w:header="0" w:footer="1066" w:gutter="0"/>
          <w:pgNumType w:fmt="decimal"/>
          <w:cols w:space="720" w:num="1"/>
        </w:sectPr>
      </w:pPr>
      <w:bookmarkStart w:id="29" w:name="bookmark47"/>
      <w:bookmarkEnd w:id="29"/>
    </w:p>
    <w:tbl>
      <w:tblPr>
        <w:tblStyle w:val="16"/>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2877"/>
        <w:gridCol w:w="4891"/>
      </w:tblGrid>
      <w:tr w14:paraId="37DC5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3" w:type="dxa"/>
            <w:vAlign w:val="top"/>
          </w:tcPr>
          <w:p w14:paraId="5F003A6F">
            <w:pPr>
              <w:pStyle w:val="17"/>
              <w:spacing w:before="143" w:line="228" w:lineRule="auto"/>
              <w:ind w:left="198"/>
              <w:rPr>
                <w:color w:val="auto"/>
                <w:highlight w:val="none"/>
              </w:rPr>
            </w:pPr>
            <w:r>
              <w:rPr>
                <w:b/>
                <w:bCs/>
                <w:color w:val="auto"/>
                <w:spacing w:val="5"/>
                <w:highlight w:val="none"/>
              </w:rPr>
              <w:t>条款号</w:t>
            </w:r>
          </w:p>
        </w:tc>
        <w:tc>
          <w:tcPr>
            <w:tcW w:w="2877" w:type="dxa"/>
            <w:vAlign w:val="top"/>
          </w:tcPr>
          <w:p w14:paraId="21F41A56">
            <w:pPr>
              <w:pStyle w:val="17"/>
              <w:spacing w:before="143" w:line="228" w:lineRule="auto"/>
              <w:ind w:left="706"/>
              <w:rPr>
                <w:color w:val="auto"/>
                <w:highlight w:val="none"/>
              </w:rPr>
            </w:pPr>
            <w:r>
              <w:rPr>
                <w:b/>
                <w:bCs/>
                <w:color w:val="auto"/>
                <w:spacing w:val="-3"/>
                <w:highlight w:val="none"/>
              </w:rPr>
              <w:t>条</w:t>
            </w:r>
            <w:r>
              <w:rPr>
                <w:color w:val="auto"/>
                <w:spacing w:val="10"/>
                <w:highlight w:val="none"/>
              </w:rPr>
              <w:t xml:space="preserve">  </w:t>
            </w:r>
            <w:r>
              <w:rPr>
                <w:b/>
                <w:bCs/>
                <w:color w:val="auto"/>
                <w:spacing w:val="-3"/>
                <w:highlight w:val="none"/>
              </w:rPr>
              <w:t>款</w:t>
            </w:r>
            <w:r>
              <w:rPr>
                <w:color w:val="auto"/>
                <w:spacing w:val="12"/>
                <w:highlight w:val="none"/>
              </w:rPr>
              <w:t xml:space="preserve">  </w:t>
            </w:r>
            <w:r>
              <w:rPr>
                <w:b/>
                <w:bCs/>
                <w:color w:val="auto"/>
                <w:spacing w:val="-3"/>
                <w:highlight w:val="none"/>
              </w:rPr>
              <w:t>名</w:t>
            </w:r>
            <w:r>
              <w:rPr>
                <w:color w:val="auto"/>
                <w:spacing w:val="11"/>
                <w:highlight w:val="none"/>
              </w:rPr>
              <w:t xml:space="preserve">  </w:t>
            </w:r>
            <w:r>
              <w:rPr>
                <w:b/>
                <w:bCs/>
                <w:color w:val="auto"/>
                <w:spacing w:val="-3"/>
                <w:highlight w:val="none"/>
              </w:rPr>
              <w:t>称</w:t>
            </w:r>
          </w:p>
        </w:tc>
        <w:tc>
          <w:tcPr>
            <w:tcW w:w="4891" w:type="dxa"/>
            <w:vAlign w:val="top"/>
          </w:tcPr>
          <w:p w14:paraId="458C0C17">
            <w:pPr>
              <w:pStyle w:val="17"/>
              <w:spacing w:before="143" w:line="228" w:lineRule="auto"/>
              <w:ind w:left="1713"/>
              <w:rPr>
                <w:color w:val="auto"/>
                <w:highlight w:val="none"/>
              </w:rPr>
            </w:pPr>
            <w:r>
              <w:rPr>
                <w:b/>
                <w:bCs/>
                <w:color w:val="auto"/>
                <w:spacing w:val="-10"/>
                <w:highlight w:val="none"/>
              </w:rPr>
              <w:t>编</w:t>
            </w:r>
            <w:r>
              <w:rPr>
                <w:color w:val="auto"/>
                <w:spacing w:val="13"/>
                <w:highlight w:val="none"/>
              </w:rPr>
              <w:t xml:space="preserve">  </w:t>
            </w:r>
            <w:r>
              <w:rPr>
                <w:b/>
                <w:bCs/>
                <w:color w:val="auto"/>
                <w:spacing w:val="-10"/>
                <w:highlight w:val="none"/>
              </w:rPr>
              <w:t>列</w:t>
            </w:r>
            <w:r>
              <w:rPr>
                <w:color w:val="auto"/>
                <w:spacing w:val="23"/>
                <w:highlight w:val="none"/>
              </w:rPr>
              <w:t xml:space="preserve">  </w:t>
            </w:r>
            <w:r>
              <w:rPr>
                <w:b/>
                <w:bCs/>
                <w:color w:val="auto"/>
                <w:spacing w:val="-10"/>
                <w:highlight w:val="none"/>
              </w:rPr>
              <w:t>内</w:t>
            </w:r>
            <w:r>
              <w:rPr>
                <w:color w:val="auto"/>
                <w:spacing w:val="12"/>
                <w:highlight w:val="none"/>
              </w:rPr>
              <w:t xml:space="preserve">  </w:t>
            </w:r>
            <w:r>
              <w:rPr>
                <w:b/>
                <w:bCs/>
                <w:color w:val="auto"/>
                <w:spacing w:val="-10"/>
                <w:highlight w:val="none"/>
              </w:rPr>
              <w:t>容</w:t>
            </w:r>
          </w:p>
        </w:tc>
      </w:tr>
      <w:tr w14:paraId="4731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3" w:type="dxa"/>
            <w:vAlign w:val="top"/>
          </w:tcPr>
          <w:p w14:paraId="5850F4A5">
            <w:pPr>
              <w:pStyle w:val="17"/>
              <w:spacing w:before="141" w:line="234" w:lineRule="auto"/>
              <w:ind w:left="264"/>
              <w:rPr>
                <w:color w:val="auto"/>
                <w:highlight w:val="none"/>
              </w:rPr>
            </w:pPr>
            <w:r>
              <w:rPr>
                <w:color w:val="auto"/>
                <w:highlight w:val="none"/>
              </w:rPr>
              <w:t>1.3.3</w:t>
            </w:r>
          </w:p>
        </w:tc>
        <w:tc>
          <w:tcPr>
            <w:tcW w:w="2877" w:type="dxa"/>
            <w:vAlign w:val="top"/>
          </w:tcPr>
          <w:p w14:paraId="71E1A707">
            <w:pPr>
              <w:pStyle w:val="17"/>
              <w:spacing w:before="124" w:line="265" w:lineRule="exact"/>
              <w:ind w:left="972"/>
              <w:rPr>
                <w:color w:val="auto"/>
                <w:sz w:val="10"/>
                <w:szCs w:val="10"/>
                <w:highlight w:val="none"/>
              </w:rPr>
            </w:pPr>
            <w:r>
              <w:rPr>
                <w:color w:val="auto"/>
                <w:spacing w:val="7"/>
                <w:highlight w:val="none"/>
              </w:rPr>
              <w:t>质量要求</w:t>
            </w:r>
          </w:p>
        </w:tc>
        <w:tc>
          <w:tcPr>
            <w:tcW w:w="4891" w:type="dxa"/>
            <w:vAlign w:val="top"/>
          </w:tcPr>
          <w:p w14:paraId="5F40E1FC">
            <w:pPr>
              <w:pStyle w:val="17"/>
              <w:spacing w:before="141" w:line="228" w:lineRule="auto"/>
              <w:ind w:left="113"/>
              <w:rPr>
                <w:color w:val="auto"/>
                <w:highlight w:val="none"/>
              </w:rPr>
            </w:pPr>
            <w:r>
              <w:rPr>
                <w:color w:val="auto"/>
                <w:spacing w:val="8"/>
                <w:highlight w:val="none"/>
                <w:u w:val="single" w:color="auto"/>
              </w:rPr>
              <w:t>严格按照施工监理规范开展工作</w:t>
            </w:r>
            <w:r>
              <w:rPr>
                <w:color w:val="auto"/>
                <w:spacing w:val="8"/>
                <w:highlight w:val="none"/>
              </w:rPr>
              <w:t>。</w:t>
            </w:r>
          </w:p>
        </w:tc>
      </w:tr>
      <w:tr w14:paraId="79473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3" w:type="dxa"/>
            <w:vAlign w:val="top"/>
          </w:tcPr>
          <w:p w14:paraId="3FBD1822">
            <w:pPr>
              <w:pStyle w:val="17"/>
              <w:spacing w:before="142" w:line="233" w:lineRule="auto"/>
              <w:ind w:left="264"/>
              <w:rPr>
                <w:color w:val="auto"/>
                <w:highlight w:val="none"/>
              </w:rPr>
            </w:pPr>
            <w:r>
              <w:rPr>
                <w:color w:val="auto"/>
                <w:highlight w:val="none"/>
              </w:rPr>
              <w:t>1.3.4</w:t>
            </w:r>
          </w:p>
        </w:tc>
        <w:tc>
          <w:tcPr>
            <w:tcW w:w="2877" w:type="dxa"/>
            <w:vAlign w:val="top"/>
          </w:tcPr>
          <w:p w14:paraId="43B60F43">
            <w:pPr>
              <w:pStyle w:val="17"/>
              <w:spacing w:before="122" w:line="267" w:lineRule="exact"/>
              <w:ind w:left="975"/>
              <w:rPr>
                <w:color w:val="auto"/>
                <w:sz w:val="10"/>
                <w:szCs w:val="10"/>
                <w:highlight w:val="none"/>
              </w:rPr>
            </w:pPr>
            <w:r>
              <w:rPr>
                <w:color w:val="auto"/>
                <w:spacing w:val="6"/>
                <w:highlight w:val="none"/>
              </w:rPr>
              <w:t>安全目标</w:t>
            </w:r>
          </w:p>
        </w:tc>
        <w:tc>
          <w:tcPr>
            <w:tcW w:w="4891" w:type="dxa"/>
            <w:vAlign w:val="top"/>
          </w:tcPr>
          <w:p w14:paraId="3CCDEABA">
            <w:pPr>
              <w:pStyle w:val="17"/>
              <w:spacing w:before="142" w:line="227" w:lineRule="auto"/>
              <w:ind w:left="113"/>
              <w:rPr>
                <w:color w:val="auto"/>
                <w:highlight w:val="none"/>
              </w:rPr>
            </w:pPr>
            <w:r>
              <w:rPr>
                <w:color w:val="auto"/>
                <w:spacing w:val="9"/>
                <w:highlight w:val="none"/>
                <w:u w:val="single" w:color="auto"/>
              </w:rPr>
              <w:t>严格执行有关安全生产的法律法规和规章制</w:t>
            </w:r>
            <w:r>
              <w:rPr>
                <w:color w:val="auto"/>
                <w:spacing w:val="8"/>
                <w:highlight w:val="none"/>
                <w:u w:val="single" w:color="auto"/>
              </w:rPr>
              <w:t>度</w:t>
            </w:r>
            <w:r>
              <w:rPr>
                <w:color w:val="auto"/>
                <w:spacing w:val="8"/>
                <w:highlight w:val="none"/>
              </w:rPr>
              <w:t>。</w:t>
            </w:r>
          </w:p>
        </w:tc>
      </w:tr>
      <w:tr w14:paraId="121E2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1013" w:type="dxa"/>
            <w:vAlign w:val="top"/>
          </w:tcPr>
          <w:p w14:paraId="4DCBEA41">
            <w:pPr>
              <w:spacing w:line="290" w:lineRule="auto"/>
              <w:rPr>
                <w:rFonts w:ascii="Arial"/>
                <w:color w:val="auto"/>
                <w:sz w:val="21"/>
                <w:highlight w:val="none"/>
              </w:rPr>
            </w:pPr>
          </w:p>
          <w:p w14:paraId="68230756">
            <w:pPr>
              <w:spacing w:line="290" w:lineRule="auto"/>
              <w:rPr>
                <w:rFonts w:ascii="Arial"/>
                <w:color w:val="auto"/>
                <w:sz w:val="21"/>
                <w:highlight w:val="none"/>
              </w:rPr>
            </w:pPr>
          </w:p>
          <w:p w14:paraId="16D5CE59">
            <w:pPr>
              <w:spacing w:line="291" w:lineRule="auto"/>
              <w:rPr>
                <w:rFonts w:ascii="Arial"/>
                <w:color w:val="auto"/>
                <w:sz w:val="21"/>
                <w:highlight w:val="none"/>
              </w:rPr>
            </w:pPr>
          </w:p>
          <w:p w14:paraId="3D443BA1">
            <w:pPr>
              <w:pStyle w:val="17"/>
              <w:spacing w:before="65" w:line="268" w:lineRule="exact"/>
              <w:ind w:left="264"/>
              <w:rPr>
                <w:color w:val="auto"/>
                <w:highlight w:val="none"/>
              </w:rPr>
            </w:pPr>
            <w:r>
              <w:rPr>
                <w:color w:val="auto"/>
                <w:position w:val="1"/>
                <w:highlight w:val="none"/>
              </w:rPr>
              <w:t>1.4.1</w:t>
            </w:r>
          </w:p>
        </w:tc>
        <w:tc>
          <w:tcPr>
            <w:tcW w:w="2877" w:type="dxa"/>
            <w:vAlign w:val="top"/>
          </w:tcPr>
          <w:p w14:paraId="75B61DD2">
            <w:pPr>
              <w:spacing w:line="335" w:lineRule="auto"/>
              <w:rPr>
                <w:rFonts w:ascii="Arial"/>
                <w:color w:val="auto"/>
                <w:sz w:val="21"/>
                <w:highlight w:val="none"/>
              </w:rPr>
            </w:pPr>
          </w:p>
          <w:p w14:paraId="1457E767">
            <w:pPr>
              <w:spacing w:line="335" w:lineRule="auto"/>
              <w:rPr>
                <w:rFonts w:ascii="Arial"/>
                <w:color w:val="auto"/>
                <w:sz w:val="21"/>
                <w:highlight w:val="none"/>
              </w:rPr>
            </w:pPr>
          </w:p>
          <w:p w14:paraId="01CDCC1C">
            <w:pPr>
              <w:pStyle w:val="17"/>
              <w:spacing w:before="65" w:line="228" w:lineRule="auto"/>
              <w:ind w:left="184"/>
              <w:rPr>
                <w:color w:val="auto"/>
                <w:highlight w:val="none"/>
              </w:rPr>
            </w:pPr>
            <w:r>
              <w:rPr>
                <w:color w:val="auto"/>
                <w:spacing w:val="8"/>
                <w:highlight w:val="none"/>
              </w:rPr>
              <w:t>投标人资质条件、能力和信</w:t>
            </w:r>
          </w:p>
          <w:p w14:paraId="2EFA0254">
            <w:pPr>
              <w:pStyle w:val="17"/>
              <w:spacing w:before="154" w:line="227" w:lineRule="auto"/>
              <w:ind w:left="1337"/>
              <w:rPr>
                <w:color w:val="auto"/>
                <w:highlight w:val="none"/>
              </w:rPr>
            </w:pPr>
            <w:r>
              <w:rPr>
                <w:color w:val="auto"/>
                <w:spacing w:val="1"/>
                <w:highlight w:val="none"/>
              </w:rPr>
              <w:t>誉</w:t>
            </w:r>
          </w:p>
        </w:tc>
        <w:tc>
          <w:tcPr>
            <w:tcW w:w="4891" w:type="dxa"/>
            <w:vAlign w:val="top"/>
          </w:tcPr>
          <w:p w14:paraId="06076C79">
            <w:pPr>
              <w:pStyle w:val="17"/>
              <w:spacing w:before="140" w:line="227" w:lineRule="auto"/>
              <w:ind w:left="121"/>
              <w:rPr>
                <w:color w:val="auto"/>
                <w:highlight w:val="none"/>
              </w:rPr>
            </w:pPr>
            <w:r>
              <w:rPr>
                <w:color w:val="auto"/>
                <w:spacing w:val="6"/>
                <w:highlight w:val="none"/>
              </w:rPr>
              <w:t>资质要求：见附录</w:t>
            </w:r>
            <w:r>
              <w:rPr>
                <w:color w:val="auto"/>
                <w:spacing w:val="-16"/>
                <w:highlight w:val="none"/>
              </w:rPr>
              <w:t xml:space="preserve"> </w:t>
            </w:r>
            <w:r>
              <w:rPr>
                <w:color w:val="auto"/>
                <w:spacing w:val="6"/>
                <w:highlight w:val="none"/>
              </w:rPr>
              <w:t>1</w:t>
            </w:r>
          </w:p>
          <w:p w14:paraId="020A955F">
            <w:pPr>
              <w:pStyle w:val="17"/>
              <w:spacing w:before="154" w:line="227" w:lineRule="auto"/>
              <w:ind w:left="112"/>
              <w:rPr>
                <w:color w:val="auto"/>
                <w:highlight w:val="none"/>
              </w:rPr>
            </w:pPr>
            <w:r>
              <w:rPr>
                <w:color w:val="auto"/>
                <w:spacing w:val="7"/>
                <w:highlight w:val="none"/>
              </w:rPr>
              <w:t>业绩要求：见附录</w:t>
            </w:r>
            <w:r>
              <w:rPr>
                <w:color w:val="auto"/>
                <w:spacing w:val="-28"/>
                <w:highlight w:val="none"/>
              </w:rPr>
              <w:t xml:space="preserve"> </w:t>
            </w:r>
            <w:r>
              <w:rPr>
                <w:color w:val="auto"/>
                <w:spacing w:val="7"/>
                <w:highlight w:val="none"/>
              </w:rPr>
              <w:t>2</w:t>
            </w:r>
          </w:p>
          <w:p w14:paraId="1EEA5A8C">
            <w:pPr>
              <w:pStyle w:val="17"/>
              <w:spacing w:before="154" w:line="227" w:lineRule="auto"/>
              <w:ind w:left="112"/>
              <w:rPr>
                <w:color w:val="auto"/>
                <w:highlight w:val="none"/>
              </w:rPr>
            </w:pPr>
            <w:r>
              <w:rPr>
                <w:color w:val="auto"/>
                <w:spacing w:val="7"/>
                <w:highlight w:val="none"/>
              </w:rPr>
              <w:t>信誉要求：见附录</w:t>
            </w:r>
            <w:r>
              <w:rPr>
                <w:color w:val="auto"/>
                <w:spacing w:val="-28"/>
                <w:highlight w:val="none"/>
              </w:rPr>
              <w:t xml:space="preserve"> </w:t>
            </w:r>
            <w:r>
              <w:rPr>
                <w:color w:val="auto"/>
                <w:spacing w:val="7"/>
                <w:highlight w:val="none"/>
              </w:rPr>
              <w:t>3</w:t>
            </w:r>
          </w:p>
          <w:p w14:paraId="2AFF32C2">
            <w:pPr>
              <w:pStyle w:val="17"/>
              <w:spacing w:before="151" w:line="302" w:lineRule="auto"/>
              <w:ind w:left="113" w:right="423" w:firstLine="4"/>
              <w:rPr>
                <w:color w:val="auto"/>
                <w:highlight w:val="none"/>
              </w:rPr>
            </w:pPr>
            <w:r>
              <w:rPr>
                <w:color w:val="auto"/>
                <w:spacing w:val="11"/>
                <w:highlight w:val="none"/>
              </w:rPr>
              <w:t>总监理工程师或驻地监理工程师资格：见附录4</w:t>
            </w:r>
            <w:r>
              <w:rPr>
                <w:color w:val="auto"/>
                <w:spacing w:val="-2"/>
                <w:highlight w:val="none"/>
              </w:rPr>
              <w:t>其他要求:</w:t>
            </w:r>
            <w:r>
              <w:rPr>
                <w:color w:val="auto"/>
                <w:spacing w:val="58"/>
                <w:highlight w:val="none"/>
              </w:rPr>
              <w:t xml:space="preserve"> </w:t>
            </w:r>
            <w:r>
              <w:rPr>
                <w:color w:val="auto"/>
                <w:highlight w:val="none"/>
                <w:u w:val="single" w:color="auto"/>
              </w:rPr>
              <w:t xml:space="preserve">  </w:t>
            </w:r>
            <w:r>
              <w:rPr>
                <w:rFonts w:hint="eastAsia"/>
                <w:color w:val="auto"/>
                <w:highlight w:val="none"/>
                <w:u w:val="single" w:color="auto"/>
                <w:lang w:val="en-US" w:eastAsia="zh-CN"/>
              </w:rPr>
              <w:t>/</w:t>
            </w:r>
            <w:r>
              <w:rPr>
                <w:color w:val="auto"/>
                <w:highlight w:val="none"/>
                <w:u w:val="single" w:color="auto"/>
              </w:rPr>
              <w:t xml:space="preserve">  </w:t>
            </w:r>
          </w:p>
        </w:tc>
      </w:tr>
      <w:tr w14:paraId="26431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013" w:type="dxa"/>
            <w:vAlign w:val="top"/>
          </w:tcPr>
          <w:p w14:paraId="700E5C23">
            <w:pPr>
              <w:spacing w:line="336" w:lineRule="auto"/>
              <w:rPr>
                <w:rFonts w:ascii="Arial"/>
                <w:color w:val="auto"/>
                <w:sz w:val="21"/>
                <w:highlight w:val="none"/>
              </w:rPr>
            </w:pPr>
          </w:p>
          <w:p w14:paraId="554F45BF">
            <w:pPr>
              <w:spacing w:line="337" w:lineRule="auto"/>
              <w:rPr>
                <w:rFonts w:ascii="Arial"/>
                <w:color w:val="auto"/>
                <w:sz w:val="21"/>
                <w:highlight w:val="none"/>
              </w:rPr>
            </w:pPr>
          </w:p>
          <w:p w14:paraId="21512CCA">
            <w:pPr>
              <w:pStyle w:val="17"/>
              <w:spacing w:before="65" w:line="268" w:lineRule="exact"/>
              <w:ind w:left="264"/>
              <w:rPr>
                <w:color w:val="auto"/>
                <w:highlight w:val="none"/>
              </w:rPr>
            </w:pPr>
            <w:r>
              <w:rPr>
                <w:color w:val="auto"/>
                <w:position w:val="1"/>
                <w:highlight w:val="none"/>
              </w:rPr>
              <w:t>1.4.2</w:t>
            </w:r>
          </w:p>
        </w:tc>
        <w:tc>
          <w:tcPr>
            <w:tcW w:w="2877" w:type="dxa"/>
            <w:vAlign w:val="top"/>
          </w:tcPr>
          <w:p w14:paraId="3FC0B73B">
            <w:pPr>
              <w:spacing w:line="336" w:lineRule="auto"/>
              <w:rPr>
                <w:rFonts w:ascii="Arial"/>
                <w:color w:val="auto"/>
                <w:sz w:val="21"/>
                <w:highlight w:val="none"/>
              </w:rPr>
            </w:pPr>
          </w:p>
          <w:p w14:paraId="06F2E381">
            <w:pPr>
              <w:spacing w:line="337" w:lineRule="auto"/>
              <w:rPr>
                <w:rFonts w:ascii="Arial"/>
                <w:color w:val="auto"/>
                <w:sz w:val="21"/>
                <w:highlight w:val="none"/>
              </w:rPr>
            </w:pPr>
          </w:p>
          <w:p w14:paraId="51A9E18D">
            <w:pPr>
              <w:pStyle w:val="17"/>
              <w:spacing w:before="65" w:line="228" w:lineRule="auto"/>
              <w:ind w:left="502"/>
              <w:rPr>
                <w:color w:val="auto"/>
                <w:highlight w:val="none"/>
              </w:rPr>
            </w:pPr>
            <w:r>
              <w:rPr>
                <w:color w:val="auto"/>
                <w:spacing w:val="8"/>
                <w:highlight w:val="none"/>
              </w:rPr>
              <w:t>是否接受联合体投标</w:t>
            </w:r>
          </w:p>
        </w:tc>
        <w:tc>
          <w:tcPr>
            <w:tcW w:w="4891" w:type="dxa"/>
            <w:vAlign w:val="top"/>
          </w:tcPr>
          <w:p w14:paraId="7A3A823A">
            <w:pPr>
              <w:pStyle w:val="17"/>
              <w:spacing w:before="142" w:line="229" w:lineRule="auto"/>
              <w:ind w:left="134"/>
              <w:rPr>
                <w:color w:val="auto"/>
                <w:highlight w:val="none"/>
              </w:rPr>
            </w:pPr>
            <w:r>
              <w:rPr>
                <w:rFonts w:hint="eastAsia"/>
                <w:color w:val="auto"/>
                <w:spacing w:val="2"/>
                <w:highlight w:val="none"/>
                <w:lang w:eastAsia="zh-CN"/>
              </w:rPr>
              <w:t>☑</w:t>
            </w:r>
            <w:r>
              <w:rPr>
                <w:color w:val="auto"/>
                <w:spacing w:val="2"/>
                <w:highlight w:val="none"/>
              </w:rPr>
              <w:t>不接受</w:t>
            </w:r>
          </w:p>
          <w:p w14:paraId="4E371BE2">
            <w:pPr>
              <w:pStyle w:val="17"/>
              <w:spacing w:before="152" w:line="228" w:lineRule="auto"/>
              <w:ind w:left="134"/>
              <w:rPr>
                <w:color w:val="auto"/>
                <w:highlight w:val="none"/>
              </w:rPr>
            </w:pPr>
            <w:r>
              <w:rPr>
                <w:color w:val="auto"/>
                <w:spacing w:val="6"/>
                <w:highlight w:val="none"/>
              </w:rPr>
              <w:t>□接受，应满足下列要求：</w:t>
            </w:r>
          </w:p>
          <w:p w14:paraId="565DA9AA">
            <w:pPr>
              <w:pStyle w:val="17"/>
              <w:spacing w:before="151" w:line="228" w:lineRule="auto"/>
              <w:ind w:left="123"/>
              <w:rPr>
                <w:color w:val="auto"/>
                <w:highlight w:val="none"/>
              </w:rPr>
            </w:pPr>
            <w:r>
              <w:rPr>
                <w:color w:val="auto"/>
                <w:spacing w:val="7"/>
                <w:highlight w:val="none"/>
              </w:rPr>
              <w:t>（1）联合体所有成员数量不得超过</w:t>
            </w:r>
            <w:r>
              <w:rPr>
                <w:color w:val="auto"/>
                <w:spacing w:val="-91"/>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89"/>
                <w:highlight w:val="none"/>
              </w:rPr>
              <w:t xml:space="preserve"> </w:t>
            </w:r>
            <w:r>
              <w:rPr>
                <w:color w:val="auto"/>
                <w:spacing w:val="7"/>
                <w:highlight w:val="none"/>
              </w:rPr>
              <w:t>家；</w:t>
            </w:r>
          </w:p>
          <w:p w14:paraId="2E1B75C1">
            <w:pPr>
              <w:pStyle w:val="17"/>
              <w:spacing w:before="154" w:line="227" w:lineRule="auto"/>
              <w:ind w:left="123"/>
              <w:rPr>
                <w:color w:val="auto"/>
                <w:highlight w:val="none"/>
              </w:rPr>
            </w:pPr>
            <w:r>
              <w:rPr>
                <w:color w:val="auto"/>
                <w:spacing w:val="5"/>
                <w:highlight w:val="none"/>
              </w:rPr>
              <w:t>（2）联合体牵头人应具有</w:t>
            </w:r>
            <w:r>
              <w:rPr>
                <w:color w:val="auto"/>
                <w:spacing w:val="-92"/>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82"/>
                <w:highlight w:val="none"/>
              </w:rPr>
              <w:t xml:space="preserve"> </w:t>
            </w:r>
            <w:r>
              <w:rPr>
                <w:color w:val="auto"/>
                <w:spacing w:val="5"/>
                <w:highlight w:val="none"/>
              </w:rPr>
              <w:t>资质；</w:t>
            </w:r>
            <w:r>
              <w:rPr>
                <w:color w:val="auto"/>
                <w:spacing w:val="-67"/>
                <w:highlight w:val="none"/>
              </w:rPr>
              <w:t xml:space="preserve"> </w:t>
            </w:r>
            <w:r>
              <w:rPr>
                <w:color w:val="auto"/>
                <w:spacing w:val="5"/>
                <w:highlight w:val="none"/>
              </w:rPr>
              <w:t>……</w:t>
            </w:r>
          </w:p>
        </w:tc>
      </w:tr>
      <w:tr w14:paraId="163DC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013" w:type="dxa"/>
            <w:vAlign w:val="top"/>
          </w:tcPr>
          <w:p w14:paraId="4C3363E0">
            <w:pPr>
              <w:pStyle w:val="17"/>
              <w:spacing w:before="65" w:line="268" w:lineRule="exact"/>
              <w:ind w:left="264"/>
              <w:rPr>
                <w:color w:val="auto"/>
                <w:highlight w:val="none"/>
              </w:rPr>
            </w:pPr>
            <w:r>
              <w:rPr>
                <w:color w:val="auto"/>
                <w:position w:val="1"/>
                <w:highlight w:val="none"/>
              </w:rPr>
              <w:t>1.4.3</w:t>
            </w:r>
          </w:p>
        </w:tc>
        <w:tc>
          <w:tcPr>
            <w:tcW w:w="2877" w:type="dxa"/>
            <w:vAlign w:val="top"/>
          </w:tcPr>
          <w:p w14:paraId="709463AF">
            <w:pPr>
              <w:pStyle w:val="17"/>
              <w:spacing w:before="65" w:line="228" w:lineRule="auto"/>
              <w:ind w:left="184"/>
              <w:rPr>
                <w:color w:val="auto"/>
                <w:highlight w:val="none"/>
              </w:rPr>
            </w:pPr>
            <w:r>
              <w:rPr>
                <w:color w:val="auto"/>
                <w:spacing w:val="8"/>
                <w:highlight w:val="none"/>
              </w:rPr>
              <w:t>投标人不得存在的其他关联</w:t>
            </w:r>
          </w:p>
          <w:p w14:paraId="137066AA">
            <w:pPr>
              <w:pStyle w:val="17"/>
              <w:spacing w:before="154" w:line="228" w:lineRule="auto"/>
              <w:ind w:left="1233"/>
              <w:rPr>
                <w:color w:val="auto"/>
                <w:highlight w:val="none"/>
              </w:rPr>
            </w:pPr>
            <w:r>
              <w:rPr>
                <w:color w:val="auto"/>
                <w:spacing w:val="4"/>
                <w:highlight w:val="none"/>
              </w:rPr>
              <w:t>情形</w:t>
            </w:r>
          </w:p>
        </w:tc>
        <w:tc>
          <w:tcPr>
            <w:tcW w:w="4891" w:type="dxa"/>
            <w:vAlign w:val="center"/>
          </w:tcPr>
          <w:p w14:paraId="5AA3FF63">
            <w:pPr>
              <w:pStyle w:val="17"/>
              <w:spacing w:before="144" w:line="323" w:lineRule="auto"/>
              <w:ind w:left="112" w:right="108" w:firstLine="10"/>
              <w:jc w:val="center"/>
              <w:rPr>
                <w:rFonts w:hint="eastAsia" w:eastAsia="宋体"/>
                <w:color w:val="auto"/>
                <w:highlight w:val="none"/>
                <w:lang w:eastAsia="zh-CN"/>
              </w:rPr>
            </w:pPr>
            <w:r>
              <w:rPr>
                <w:rFonts w:hint="eastAsia"/>
                <w:color w:val="auto"/>
                <w:spacing w:val="11"/>
                <w:highlight w:val="none"/>
                <w:lang w:val="en-US" w:eastAsia="zh-CN"/>
              </w:rPr>
              <w:t>/</w:t>
            </w:r>
          </w:p>
        </w:tc>
      </w:tr>
      <w:tr w14:paraId="0906C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13" w:type="dxa"/>
            <w:vAlign w:val="top"/>
          </w:tcPr>
          <w:p w14:paraId="1B11B62D">
            <w:pPr>
              <w:spacing w:line="276" w:lineRule="auto"/>
              <w:rPr>
                <w:rFonts w:ascii="Arial"/>
                <w:color w:val="auto"/>
                <w:sz w:val="21"/>
                <w:highlight w:val="none"/>
              </w:rPr>
            </w:pPr>
          </w:p>
          <w:p w14:paraId="7A0CCCE2">
            <w:pPr>
              <w:pStyle w:val="17"/>
              <w:spacing w:before="65" w:line="268" w:lineRule="exact"/>
              <w:ind w:left="264"/>
              <w:rPr>
                <w:color w:val="auto"/>
                <w:highlight w:val="none"/>
              </w:rPr>
            </w:pPr>
            <w:r>
              <w:rPr>
                <w:color w:val="auto"/>
                <w:position w:val="1"/>
                <w:highlight w:val="none"/>
              </w:rPr>
              <w:t>1.4.4</w:t>
            </w:r>
          </w:p>
        </w:tc>
        <w:tc>
          <w:tcPr>
            <w:tcW w:w="2877" w:type="dxa"/>
            <w:vAlign w:val="center"/>
          </w:tcPr>
          <w:p w14:paraId="134910ED">
            <w:pPr>
              <w:pStyle w:val="17"/>
              <w:spacing w:before="145" w:line="300" w:lineRule="auto"/>
              <w:ind w:left="498" w:right="180" w:hanging="314"/>
              <w:jc w:val="center"/>
              <w:rPr>
                <w:color w:val="auto"/>
                <w:highlight w:val="none"/>
              </w:rPr>
            </w:pPr>
            <w:r>
              <w:rPr>
                <w:color w:val="auto"/>
                <w:spacing w:val="8"/>
                <w:highlight w:val="none"/>
              </w:rPr>
              <w:t>投标人不得存在的其他不良状况或不良信用记录</w:t>
            </w:r>
          </w:p>
        </w:tc>
        <w:tc>
          <w:tcPr>
            <w:tcW w:w="4891" w:type="dxa"/>
            <w:vAlign w:val="center"/>
          </w:tcPr>
          <w:p w14:paraId="0DDBBF11">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w:t>
            </w:r>
          </w:p>
        </w:tc>
      </w:tr>
      <w:tr w14:paraId="696A1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013" w:type="dxa"/>
            <w:vAlign w:val="top"/>
          </w:tcPr>
          <w:p w14:paraId="3ACAFA85">
            <w:pPr>
              <w:spacing w:line="265" w:lineRule="auto"/>
              <w:rPr>
                <w:rFonts w:ascii="Arial"/>
                <w:color w:val="auto"/>
                <w:sz w:val="21"/>
                <w:highlight w:val="none"/>
              </w:rPr>
            </w:pPr>
          </w:p>
          <w:p w14:paraId="78C2647B">
            <w:pPr>
              <w:pStyle w:val="17"/>
              <w:spacing w:before="65" w:line="285" w:lineRule="exact"/>
              <w:ind w:left="159"/>
              <w:rPr>
                <w:color w:val="auto"/>
                <w:sz w:val="10"/>
                <w:szCs w:val="10"/>
                <w:highlight w:val="none"/>
              </w:rPr>
            </w:pPr>
            <w:r>
              <w:rPr>
                <w:color w:val="auto"/>
                <w:spacing w:val="1"/>
                <w:highlight w:val="none"/>
              </w:rPr>
              <w:t>1.10.2</w:t>
            </w:r>
          </w:p>
        </w:tc>
        <w:tc>
          <w:tcPr>
            <w:tcW w:w="2877" w:type="dxa"/>
            <w:vAlign w:val="top"/>
          </w:tcPr>
          <w:p w14:paraId="0020A63B">
            <w:pPr>
              <w:pStyle w:val="17"/>
              <w:spacing w:before="150" w:line="227" w:lineRule="auto"/>
              <w:ind w:left="184"/>
              <w:rPr>
                <w:color w:val="auto"/>
                <w:highlight w:val="none"/>
              </w:rPr>
            </w:pPr>
            <w:r>
              <w:rPr>
                <w:color w:val="auto"/>
                <w:spacing w:val="8"/>
                <w:highlight w:val="none"/>
              </w:rPr>
              <w:t>投标人在投标预备会前提出</w:t>
            </w:r>
          </w:p>
          <w:p w14:paraId="6AC91929">
            <w:pPr>
              <w:pStyle w:val="17"/>
              <w:spacing w:before="152" w:line="230" w:lineRule="auto"/>
              <w:ind w:left="1256"/>
              <w:rPr>
                <w:color w:val="auto"/>
                <w:highlight w:val="none"/>
              </w:rPr>
            </w:pPr>
            <w:r>
              <w:rPr>
                <w:color w:val="auto"/>
                <w:spacing w:val="-7"/>
                <w:highlight w:val="none"/>
              </w:rPr>
              <w:t>问题</w:t>
            </w:r>
          </w:p>
        </w:tc>
        <w:tc>
          <w:tcPr>
            <w:tcW w:w="4891" w:type="dxa"/>
            <w:vAlign w:val="top"/>
          </w:tcPr>
          <w:p w14:paraId="6FB5CEAB">
            <w:pPr>
              <w:pStyle w:val="17"/>
              <w:spacing w:before="150" w:line="227" w:lineRule="auto"/>
              <w:ind w:left="122"/>
              <w:rPr>
                <w:color w:val="auto"/>
                <w:highlight w:val="none"/>
              </w:rPr>
            </w:pPr>
            <w:r>
              <w:rPr>
                <w:color w:val="auto"/>
                <w:spacing w:val="6"/>
                <w:highlight w:val="none"/>
              </w:rPr>
              <w:t>时间：投标预备会召开之日</w:t>
            </w:r>
            <w:r>
              <w:rPr>
                <w:color w:val="auto"/>
                <w:spacing w:val="-27"/>
                <w:highlight w:val="none"/>
              </w:rPr>
              <w:t xml:space="preserve"> </w:t>
            </w:r>
            <w:r>
              <w:rPr>
                <w:rFonts w:hint="eastAsia"/>
                <w:color w:val="auto"/>
                <w:spacing w:val="6"/>
                <w:highlight w:val="none"/>
                <w:u w:val="single" w:color="auto"/>
                <w:lang w:val="en-US" w:eastAsia="zh-CN"/>
              </w:rPr>
              <w:t xml:space="preserve"> /</w:t>
            </w:r>
            <w:r>
              <w:rPr>
                <w:color w:val="auto"/>
                <w:spacing w:val="-33"/>
                <w:highlight w:val="none"/>
                <w:u w:val="single" w:color="auto"/>
              </w:rPr>
              <w:t xml:space="preserve"> </w:t>
            </w:r>
            <w:r>
              <w:rPr>
                <w:color w:val="auto"/>
                <w:spacing w:val="6"/>
                <w:highlight w:val="none"/>
              </w:rPr>
              <w:t>天前</w:t>
            </w:r>
          </w:p>
          <w:p w14:paraId="4FED5C13">
            <w:pPr>
              <w:pStyle w:val="17"/>
              <w:spacing w:before="152" w:line="228" w:lineRule="auto"/>
              <w:ind w:left="115"/>
              <w:rPr>
                <w:color w:val="auto"/>
                <w:highlight w:val="none"/>
              </w:rPr>
            </w:pPr>
            <w:r>
              <w:rPr>
                <w:color w:val="auto"/>
                <w:spacing w:val="5"/>
                <w:highlight w:val="none"/>
              </w:rPr>
              <w:t>形式：</w:t>
            </w:r>
            <w:r>
              <w:rPr>
                <w:color w:val="auto"/>
                <w:spacing w:val="5"/>
                <w:highlight w:val="none"/>
                <w:u w:val="single" w:color="auto"/>
              </w:rPr>
              <w:t>通过“</w:t>
            </w:r>
            <w:r>
              <w:rPr>
                <w:color w:val="auto"/>
                <w:spacing w:val="-68"/>
                <w:highlight w:val="none"/>
                <w:u w:val="single" w:color="auto"/>
              </w:rPr>
              <w:t xml:space="preserve"> </w:t>
            </w:r>
            <w:r>
              <w:rPr>
                <w:color w:val="auto"/>
                <w:spacing w:val="5"/>
                <w:highlight w:val="none"/>
                <w:u w:val="single" w:color="auto"/>
              </w:rPr>
              <w:t>电子交易平台</w:t>
            </w:r>
            <w:r>
              <w:rPr>
                <w:color w:val="auto"/>
                <w:spacing w:val="-70"/>
                <w:highlight w:val="none"/>
                <w:u w:val="single" w:color="auto"/>
              </w:rPr>
              <w:t xml:space="preserve"> </w:t>
            </w:r>
            <w:r>
              <w:rPr>
                <w:color w:val="auto"/>
                <w:spacing w:val="5"/>
                <w:highlight w:val="none"/>
                <w:u w:val="single" w:color="auto"/>
              </w:rPr>
              <w:t>”提出</w:t>
            </w:r>
          </w:p>
        </w:tc>
      </w:tr>
      <w:tr w14:paraId="2251E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13" w:type="dxa"/>
            <w:vAlign w:val="top"/>
          </w:tcPr>
          <w:p w14:paraId="3DA6DB88">
            <w:pPr>
              <w:pStyle w:val="17"/>
              <w:spacing w:before="159" w:line="265" w:lineRule="exact"/>
              <w:ind w:left="357"/>
              <w:rPr>
                <w:color w:val="auto"/>
                <w:highlight w:val="none"/>
              </w:rPr>
            </w:pPr>
            <w:r>
              <w:rPr>
                <w:color w:val="auto"/>
                <w:spacing w:val="1"/>
                <w:position w:val="1"/>
                <w:highlight w:val="none"/>
              </w:rPr>
              <w:t>2.1</w:t>
            </w:r>
          </w:p>
        </w:tc>
        <w:tc>
          <w:tcPr>
            <w:tcW w:w="2877" w:type="dxa"/>
            <w:vAlign w:val="top"/>
          </w:tcPr>
          <w:p w14:paraId="0F5C104A">
            <w:pPr>
              <w:pStyle w:val="17"/>
              <w:spacing w:before="159" w:line="228" w:lineRule="auto"/>
              <w:ind w:left="290"/>
              <w:rPr>
                <w:color w:val="auto"/>
                <w:highlight w:val="none"/>
              </w:rPr>
            </w:pPr>
            <w:r>
              <w:rPr>
                <w:color w:val="auto"/>
                <w:spacing w:val="8"/>
                <w:highlight w:val="none"/>
              </w:rPr>
              <w:t>构成招标文件的其他资料</w:t>
            </w:r>
          </w:p>
        </w:tc>
        <w:tc>
          <w:tcPr>
            <w:tcW w:w="4891" w:type="dxa"/>
            <w:vAlign w:val="center"/>
          </w:tcPr>
          <w:p w14:paraId="6C0D3D70">
            <w:pPr>
              <w:jc w:val="both"/>
              <w:rPr>
                <w:rFonts w:ascii="Arial"/>
                <w:color w:val="auto"/>
                <w:sz w:val="21"/>
                <w:highlight w:val="none"/>
              </w:rPr>
            </w:pPr>
            <w:r>
              <w:rPr>
                <w:rFonts w:hint="eastAsia" w:ascii="Arial"/>
                <w:color w:val="auto"/>
                <w:sz w:val="21"/>
                <w:highlight w:val="none"/>
              </w:rPr>
              <w:t>招标文件所附的其他资料</w:t>
            </w:r>
          </w:p>
        </w:tc>
      </w:tr>
      <w:tr w14:paraId="26572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3" w:type="dxa"/>
            <w:vMerge w:val="restart"/>
            <w:tcBorders>
              <w:bottom w:val="nil"/>
            </w:tcBorders>
            <w:vAlign w:val="top"/>
          </w:tcPr>
          <w:p w14:paraId="6A8C7A2C">
            <w:pPr>
              <w:spacing w:line="282" w:lineRule="auto"/>
              <w:rPr>
                <w:rFonts w:ascii="Arial"/>
                <w:color w:val="auto"/>
                <w:sz w:val="21"/>
                <w:highlight w:val="none"/>
              </w:rPr>
            </w:pPr>
          </w:p>
          <w:p w14:paraId="05C9B9CF">
            <w:pPr>
              <w:pStyle w:val="17"/>
              <w:spacing w:before="65" w:line="268" w:lineRule="exact"/>
              <w:ind w:left="251"/>
              <w:rPr>
                <w:color w:val="auto"/>
                <w:highlight w:val="none"/>
              </w:rPr>
            </w:pPr>
            <w:r>
              <w:rPr>
                <w:color w:val="auto"/>
                <w:spacing w:val="2"/>
                <w:position w:val="1"/>
                <w:highlight w:val="none"/>
              </w:rPr>
              <w:t>2.2.1</w:t>
            </w:r>
          </w:p>
        </w:tc>
        <w:tc>
          <w:tcPr>
            <w:tcW w:w="2877" w:type="dxa"/>
            <w:vMerge w:val="restart"/>
            <w:tcBorders>
              <w:bottom w:val="nil"/>
            </w:tcBorders>
            <w:vAlign w:val="top"/>
          </w:tcPr>
          <w:p w14:paraId="78E3C6A1">
            <w:pPr>
              <w:spacing w:line="282" w:lineRule="auto"/>
              <w:rPr>
                <w:rFonts w:ascii="Arial"/>
                <w:color w:val="auto"/>
                <w:sz w:val="21"/>
                <w:highlight w:val="none"/>
              </w:rPr>
            </w:pPr>
          </w:p>
          <w:p w14:paraId="4BD8D106">
            <w:pPr>
              <w:pStyle w:val="17"/>
              <w:spacing w:before="65" w:line="228" w:lineRule="auto"/>
              <w:ind w:left="290"/>
              <w:rPr>
                <w:color w:val="auto"/>
                <w:highlight w:val="none"/>
              </w:rPr>
            </w:pPr>
            <w:r>
              <w:rPr>
                <w:color w:val="auto"/>
                <w:spacing w:val="8"/>
                <w:highlight w:val="none"/>
              </w:rPr>
              <w:t>投标人要求澄清招标文件</w:t>
            </w:r>
          </w:p>
        </w:tc>
        <w:tc>
          <w:tcPr>
            <w:tcW w:w="4891" w:type="dxa"/>
            <w:vAlign w:val="top"/>
          </w:tcPr>
          <w:p w14:paraId="66C170DB">
            <w:pPr>
              <w:pStyle w:val="17"/>
              <w:spacing w:before="144" w:line="228" w:lineRule="auto"/>
              <w:ind w:left="122"/>
              <w:rPr>
                <w:rFonts w:hint="default" w:eastAsia="宋体"/>
                <w:color w:val="auto"/>
                <w:highlight w:val="none"/>
                <w:lang w:val="en-US" w:eastAsia="zh-CN"/>
              </w:rPr>
            </w:pPr>
            <w:r>
              <w:rPr>
                <w:color w:val="auto"/>
                <w:spacing w:val="7"/>
                <w:highlight w:val="none"/>
              </w:rPr>
              <w:t>时间：投标文件递交截止之日</w:t>
            </w:r>
            <w:r>
              <w:rPr>
                <w:color w:val="auto"/>
                <w:spacing w:val="-88"/>
                <w:highlight w:val="none"/>
              </w:rPr>
              <w:t xml:space="preserve"> </w:t>
            </w:r>
            <w:r>
              <w:rPr>
                <w:color w:val="auto"/>
                <w:spacing w:val="4"/>
                <w:highlight w:val="none"/>
                <w:u w:val="single" w:color="auto"/>
              </w:rPr>
              <w:t xml:space="preserve"> </w:t>
            </w:r>
            <w:r>
              <w:rPr>
                <w:rFonts w:hint="eastAsia"/>
                <w:color w:val="auto"/>
                <w:spacing w:val="4"/>
                <w:highlight w:val="none"/>
                <w:u w:val="single" w:color="auto"/>
                <w:lang w:val="en-US" w:eastAsia="zh-CN"/>
              </w:rPr>
              <w:t>10</w:t>
            </w:r>
            <w:r>
              <w:rPr>
                <w:color w:val="auto"/>
                <w:spacing w:val="4"/>
                <w:highlight w:val="none"/>
                <w:u w:val="single" w:color="auto"/>
              </w:rPr>
              <w:t xml:space="preserve"> </w:t>
            </w:r>
            <w:r>
              <w:rPr>
                <w:color w:val="auto"/>
                <w:spacing w:val="-87"/>
                <w:highlight w:val="none"/>
              </w:rPr>
              <w:t xml:space="preserve"> </w:t>
            </w:r>
            <w:r>
              <w:rPr>
                <w:color w:val="auto"/>
                <w:spacing w:val="7"/>
                <w:highlight w:val="none"/>
              </w:rPr>
              <w:t>天前</w:t>
            </w:r>
            <w:r>
              <w:rPr>
                <w:rFonts w:hint="eastAsia"/>
                <w:color w:val="auto"/>
                <w:spacing w:val="7"/>
                <w:highlight w:val="none"/>
                <w:lang w:eastAsia="zh-CN"/>
              </w:rPr>
              <w:t>，</w:t>
            </w:r>
            <w:r>
              <w:rPr>
                <w:rFonts w:hint="eastAsia"/>
                <w:color w:val="auto"/>
                <w:spacing w:val="7"/>
                <w:highlight w:val="none"/>
                <w:lang w:val="en-US" w:eastAsia="zh-CN"/>
              </w:rPr>
              <w:t>具体详见“重要事项时间地点一览表”。</w:t>
            </w:r>
          </w:p>
        </w:tc>
      </w:tr>
      <w:tr w14:paraId="6AF6C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3" w:type="dxa"/>
            <w:vMerge w:val="continue"/>
            <w:tcBorders>
              <w:top w:val="nil"/>
            </w:tcBorders>
            <w:vAlign w:val="top"/>
          </w:tcPr>
          <w:p w14:paraId="00C47E32">
            <w:pPr>
              <w:rPr>
                <w:rFonts w:ascii="Arial"/>
                <w:color w:val="auto"/>
                <w:sz w:val="21"/>
                <w:highlight w:val="none"/>
              </w:rPr>
            </w:pPr>
          </w:p>
        </w:tc>
        <w:tc>
          <w:tcPr>
            <w:tcW w:w="2877" w:type="dxa"/>
            <w:vMerge w:val="continue"/>
            <w:tcBorders>
              <w:top w:val="nil"/>
            </w:tcBorders>
            <w:vAlign w:val="top"/>
          </w:tcPr>
          <w:p w14:paraId="5F87FC9E">
            <w:pPr>
              <w:rPr>
                <w:rFonts w:ascii="Arial"/>
                <w:color w:val="auto"/>
                <w:sz w:val="21"/>
                <w:highlight w:val="none"/>
              </w:rPr>
            </w:pPr>
          </w:p>
        </w:tc>
        <w:tc>
          <w:tcPr>
            <w:tcW w:w="4891" w:type="dxa"/>
            <w:vAlign w:val="top"/>
          </w:tcPr>
          <w:p w14:paraId="5C4FE074">
            <w:pPr>
              <w:pStyle w:val="17"/>
              <w:spacing w:before="146" w:line="228" w:lineRule="auto"/>
              <w:ind w:left="115"/>
              <w:rPr>
                <w:color w:val="auto"/>
                <w:highlight w:val="none"/>
              </w:rPr>
            </w:pPr>
            <w:r>
              <w:rPr>
                <w:color w:val="auto"/>
                <w:spacing w:val="5"/>
                <w:highlight w:val="none"/>
              </w:rPr>
              <w:t>形式：</w:t>
            </w:r>
            <w:r>
              <w:rPr>
                <w:color w:val="auto"/>
                <w:spacing w:val="5"/>
                <w:highlight w:val="none"/>
                <w:u w:val="single" w:color="auto"/>
              </w:rPr>
              <w:t>通过“</w:t>
            </w:r>
            <w:r>
              <w:rPr>
                <w:color w:val="auto"/>
                <w:spacing w:val="-68"/>
                <w:highlight w:val="none"/>
                <w:u w:val="single" w:color="auto"/>
              </w:rPr>
              <w:t xml:space="preserve"> </w:t>
            </w:r>
            <w:r>
              <w:rPr>
                <w:color w:val="auto"/>
                <w:spacing w:val="5"/>
                <w:highlight w:val="none"/>
                <w:u w:val="single" w:color="auto"/>
              </w:rPr>
              <w:t>电子交易平台</w:t>
            </w:r>
            <w:r>
              <w:rPr>
                <w:color w:val="auto"/>
                <w:spacing w:val="-70"/>
                <w:highlight w:val="none"/>
                <w:u w:val="single" w:color="auto"/>
              </w:rPr>
              <w:t xml:space="preserve"> </w:t>
            </w:r>
            <w:r>
              <w:rPr>
                <w:color w:val="auto"/>
                <w:spacing w:val="5"/>
                <w:highlight w:val="none"/>
                <w:u w:val="single" w:color="auto"/>
              </w:rPr>
              <w:t>”提出</w:t>
            </w:r>
          </w:p>
        </w:tc>
      </w:tr>
      <w:tr w14:paraId="2592A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13" w:type="dxa"/>
            <w:vAlign w:val="top"/>
          </w:tcPr>
          <w:p w14:paraId="0F0176B6">
            <w:pPr>
              <w:pStyle w:val="17"/>
              <w:spacing w:before="172" w:line="268" w:lineRule="exact"/>
              <w:ind w:left="251"/>
              <w:rPr>
                <w:color w:val="auto"/>
                <w:highlight w:val="none"/>
              </w:rPr>
            </w:pPr>
            <w:r>
              <w:rPr>
                <w:color w:val="auto"/>
                <w:spacing w:val="2"/>
                <w:position w:val="1"/>
                <w:highlight w:val="none"/>
              </w:rPr>
              <w:t>2.2.2</w:t>
            </w:r>
          </w:p>
        </w:tc>
        <w:tc>
          <w:tcPr>
            <w:tcW w:w="2877" w:type="dxa"/>
            <w:vAlign w:val="top"/>
          </w:tcPr>
          <w:p w14:paraId="3729E43A">
            <w:pPr>
              <w:pStyle w:val="17"/>
              <w:spacing w:before="172" w:line="228" w:lineRule="auto"/>
              <w:ind w:left="288"/>
              <w:rPr>
                <w:color w:val="auto"/>
                <w:highlight w:val="none"/>
              </w:rPr>
            </w:pPr>
            <w:r>
              <w:rPr>
                <w:color w:val="auto"/>
                <w:spacing w:val="9"/>
                <w:highlight w:val="none"/>
              </w:rPr>
              <w:t>招标文件澄清发出的形式</w:t>
            </w:r>
          </w:p>
        </w:tc>
        <w:tc>
          <w:tcPr>
            <w:tcW w:w="4891" w:type="dxa"/>
            <w:vAlign w:val="top"/>
          </w:tcPr>
          <w:p w14:paraId="3ECF6825">
            <w:pPr>
              <w:pStyle w:val="17"/>
              <w:spacing w:before="172" w:line="228" w:lineRule="auto"/>
              <w:ind w:left="112"/>
              <w:rPr>
                <w:color w:val="auto"/>
                <w:highlight w:val="none"/>
              </w:rPr>
            </w:pPr>
            <w:r>
              <w:rPr>
                <w:color w:val="auto"/>
                <w:spacing w:val="5"/>
                <w:highlight w:val="none"/>
                <w:u w:val="single" w:color="auto"/>
              </w:rPr>
              <w:t>通过“</w:t>
            </w:r>
            <w:r>
              <w:rPr>
                <w:color w:val="auto"/>
                <w:spacing w:val="-57"/>
                <w:highlight w:val="none"/>
                <w:u w:val="single" w:color="auto"/>
              </w:rPr>
              <w:t xml:space="preserve"> </w:t>
            </w:r>
            <w:r>
              <w:rPr>
                <w:color w:val="auto"/>
                <w:spacing w:val="5"/>
                <w:highlight w:val="none"/>
                <w:u w:val="single" w:color="auto"/>
              </w:rPr>
              <w:t>电子交易平台</w:t>
            </w:r>
            <w:r>
              <w:rPr>
                <w:color w:val="auto"/>
                <w:spacing w:val="-70"/>
                <w:highlight w:val="none"/>
                <w:u w:val="single" w:color="auto"/>
              </w:rPr>
              <w:t xml:space="preserve"> </w:t>
            </w:r>
            <w:r>
              <w:rPr>
                <w:color w:val="auto"/>
                <w:spacing w:val="5"/>
                <w:highlight w:val="none"/>
                <w:u w:val="single" w:color="auto"/>
              </w:rPr>
              <w:t>”发出招标文件澄清</w:t>
            </w:r>
            <w:r>
              <w:rPr>
                <w:color w:val="auto"/>
                <w:spacing w:val="5"/>
                <w:highlight w:val="none"/>
              </w:rPr>
              <w:t>。</w:t>
            </w:r>
          </w:p>
        </w:tc>
      </w:tr>
      <w:tr w14:paraId="42770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3" w:type="dxa"/>
            <w:vAlign w:val="top"/>
          </w:tcPr>
          <w:p w14:paraId="428CF932">
            <w:pPr>
              <w:pStyle w:val="17"/>
              <w:spacing w:before="144" w:line="231" w:lineRule="auto"/>
              <w:ind w:left="251"/>
              <w:rPr>
                <w:color w:val="auto"/>
                <w:highlight w:val="none"/>
              </w:rPr>
            </w:pPr>
            <w:r>
              <w:rPr>
                <w:color w:val="auto"/>
                <w:spacing w:val="2"/>
                <w:highlight w:val="none"/>
              </w:rPr>
              <w:t>2.3.1</w:t>
            </w:r>
          </w:p>
        </w:tc>
        <w:tc>
          <w:tcPr>
            <w:tcW w:w="2877" w:type="dxa"/>
            <w:vAlign w:val="top"/>
          </w:tcPr>
          <w:p w14:paraId="1AA7E409">
            <w:pPr>
              <w:pStyle w:val="17"/>
              <w:spacing w:before="144" w:line="228" w:lineRule="auto"/>
              <w:ind w:left="288"/>
              <w:rPr>
                <w:color w:val="auto"/>
                <w:highlight w:val="none"/>
              </w:rPr>
            </w:pPr>
            <w:r>
              <w:rPr>
                <w:color w:val="auto"/>
                <w:spacing w:val="9"/>
                <w:highlight w:val="none"/>
              </w:rPr>
              <w:t>招标文件修改发出的形式</w:t>
            </w:r>
          </w:p>
        </w:tc>
        <w:tc>
          <w:tcPr>
            <w:tcW w:w="4891" w:type="dxa"/>
            <w:vAlign w:val="top"/>
          </w:tcPr>
          <w:p w14:paraId="3B24A132">
            <w:pPr>
              <w:pStyle w:val="17"/>
              <w:spacing w:before="144" w:line="228" w:lineRule="auto"/>
              <w:ind w:left="112"/>
              <w:rPr>
                <w:color w:val="auto"/>
                <w:highlight w:val="none"/>
              </w:rPr>
            </w:pPr>
            <w:r>
              <w:rPr>
                <w:color w:val="auto"/>
                <w:spacing w:val="7"/>
                <w:highlight w:val="none"/>
                <w:u w:val="single" w:color="auto"/>
              </w:rPr>
              <w:t>通过“</w:t>
            </w:r>
            <w:r>
              <w:rPr>
                <w:color w:val="auto"/>
                <w:spacing w:val="-64"/>
                <w:highlight w:val="none"/>
                <w:u w:val="single" w:color="auto"/>
              </w:rPr>
              <w:t xml:space="preserve"> </w:t>
            </w:r>
            <w:r>
              <w:rPr>
                <w:color w:val="auto"/>
                <w:spacing w:val="7"/>
                <w:highlight w:val="none"/>
                <w:u w:val="single" w:color="auto"/>
              </w:rPr>
              <w:t>电子交易平台</w:t>
            </w:r>
            <w:r>
              <w:rPr>
                <w:color w:val="auto"/>
                <w:spacing w:val="-70"/>
                <w:highlight w:val="none"/>
                <w:u w:val="single" w:color="auto"/>
              </w:rPr>
              <w:t xml:space="preserve"> </w:t>
            </w:r>
            <w:r>
              <w:rPr>
                <w:color w:val="auto"/>
                <w:spacing w:val="7"/>
                <w:highlight w:val="none"/>
                <w:u w:val="single" w:color="auto"/>
              </w:rPr>
              <w:t>”发出招标文件修改。</w:t>
            </w:r>
          </w:p>
        </w:tc>
      </w:tr>
      <w:tr w14:paraId="37CF6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13" w:type="dxa"/>
            <w:vAlign w:val="top"/>
          </w:tcPr>
          <w:p w14:paraId="2AF58F0F">
            <w:pPr>
              <w:pStyle w:val="17"/>
              <w:spacing w:before="166" w:line="268" w:lineRule="exact"/>
              <w:ind w:left="253"/>
              <w:rPr>
                <w:color w:val="auto"/>
                <w:highlight w:val="none"/>
              </w:rPr>
            </w:pPr>
            <w:r>
              <w:rPr>
                <w:color w:val="auto"/>
                <w:spacing w:val="2"/>
                <w:position w:val="1"/>
                <w:highlight w:val="none"/>
              </w:rPr>
              <w:t>3.1.1</w:t>
            </w:r>
          </w:p>
        </w:tc>
        <w:tc>
          <w:tcPr>
            <w:tcW w:w="2877" w:type="dxa"/>
            <w:vAlign w:val="top"/>
          </w:tcPr>
          <w:p w14:paraId="2A78A3D7">
            <w:pPr>
              <w:pStyle w:val="17"/>
              <w:spacing w:before="166" w:line="228" w:lineRule="auto"/>
              <w:ind w:left="290"/>
              <w:rPr>
                <w:color w:val="auto"/>
                <w:highlight w:val="none"/>
              </w:rPr>
            </w:pPr>
            <w:r>
              <w:rPr>
                <w:color w:val="auto"/>
                <w:spacing w:val="8"/>
                <w:highlight w:val="none"/>
              </w:rPr>
              <w:t>构成投标文件的其他资料</w:t>
            </w:r>
          </w:p>
        </w:tc>
        <w:tc>
          <w:tcPr>
            <w:tcW w:w="4891" w:type="dxa"/>
            <w:vAlign w:val="center"/>
          </w:tcPr>
          <w:p w14:paraId="1435D4A1">
            <w:pPr>
              <w:jc w:val="center"/>
              <w:rPr>
                <w:rFonts w:ascii="Arial"/>
                <w:color w:val="auto"/>
                <w:sz w:val="21"/>
                <w:highlight w:val="none"/>
              </w:rPr>
            </w:pPr>
            <w:r>
              <w:rPr>
                <w:rFonts w:hint="eastAsia" w:eastAsia="宋体"/>
                <w:color w:val="auto"/>
                <w:sz w:val="21"/>
                <w:highlight w:val="none"/>
                <w:lang w:val="en-US" w:eastAsia="zh-CN"/>
              </w:rPr>
              <w:t>/</w:t>
            </w:r>
          </w:p>
        </w:tc>
      </w:tr>
      <w:tr w14:paraId="67FCE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13" w:type="dxa"/>
            <w:vAlign w:val="top"/>
          </w:tcPr>
          <w:p w14:paraId="2163B146">
            <w:pPr>
              <w:pStyle w:val="17"/>
              <w:spacing w:before="180" w:line="267" w:lineRule="exact"/>
              <w:ind w:left="253"/>
              <w:rPr>
                <w:color w:val="auto"/>
                <w:highlight w:val="none"/>
              </w:rPr>
            </w:pPr>
            <w:r>
              <w:rPr>
                <w:color w:val="auto"/>
                <w:spacing w:val="2"/>
                <w:position w:val="1"/>
                <w:highlight w:val="none"/>
              </w:rPr>
              <w:t>3.2.1</w:t>
            </w:r>
          </w:p>
        </w:tc>
        <w:tc>
          <w:tcPr>
            <w:tcW w:w="2877" w:type="dxa"/>
            <w:vAlign w:val="top"/>
          </w:tcPr>
          <w:p w14:paraId="681BCD45">
            <w:pPr>
              <w:pStyle w:val="17"/>
              <w:spacing w:before="179" w:line="228" w:lineRule="auto"/>
              <w:ind w:left="393"/>
              <w:rPr>
                <w:color w:val="auto"/>
                <w:highlight w:val="none"/>
              </w:rPr>
            </w:pPr>
            <w:r>
              <w:rPr>
                <w:color w:val="auto"/>
                <w:spacing w:val="8"/>
                <w:highlight w:val="none"/>
              </w:rPr>
              <w:t>增值税税金的计算方法</w:t>
            </w:r>
          </w:p>
        </w:tc>
        <w:tc>
          <w:tcPr>
            <w:tcW w:w="4891" w:type="dxa"/>
            <w:vAlign w:val="center"/>
          </w:tcPr>
          <w:p w14:paraId="27D672B6">
            <w:pPr>
              <w:jc w:val="left"/>
              <w:rPr>
                <w:rFonts w:ascii="Arial"/>
                <w:color w:val="auto"/>
                <w:sz w:val="21"/>
                <w:highlight w:val="none"/>
              </w:rPr>
            </w:pPr>
            <w:r>
              <w:rPr>
                <w:rFonts w:hint="eastAsia" w:ascii="Arial"/>
                <w:color w:val="auto"/>
                <w:sz w:val="21"/>
                <w:highlight w:val="none"/>
              </w:rPr>
              <w:t>按国家、省、市规定执行</w:t>
            </w:r>
            <w:r>
              <w:rPr>
                <w:rFonts w:hint="eastAsia" w:ascii="Arial"/>
                <w:color w:val="auto"/>
                <w:sz w:val="21"/>
                <w:highlight w:val="none"/>
                <w:lang w:eastAsia="zh-CN"/>
              </w:rPr>
              <w:t>。</w:t>
            </w:r>
          </w:p>
        </w:tc>
      </w:tr>
      <w:tr w14:paraId="69F05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013" w:type="dxa"/>
            <w:vAlign w:val="top"/>
          </w:tcPr>
          <w:p w14:paraId="5401D6EC">
            <w:pPr>
              <w:pStyle w:val="17"/>
              <w:spacing w:before="145" w:line="232" w:lineRule="auto"/>
              <w:ind w:left="253"/>
              <w:rPr>
                <w:color w:val="auto"/>
                <w:highlight w:val="none"/>
              </w:rPr>
            </w:pPr>
            <w:bookmarkStart w:id="30" w:name="bookmark51"/>
            <w:bookmarkEnd w:id="30"/>
            <w:r>
              <w:rPr>
                <w:color w:val="auto"/>
                <w:spacing w:val="2"/>
                <w:highlight w:val="none"/>
              </w:rPr>
              <w:t>3.2.3</w:t>
            </w:r>
          </w:p>
        </w:tc>
        <w:tc>
          <w:tcPr>
            <w:tcW w:w="2877" w:type="dxa"/>
            <w:vAlign w:val="top"/>
          </w:tcPr>
          <w:p w14:paraId="14D03D2E">
            <w:pPr>
              <w:pStyle w:val="17"/>
              <w:spacing w:before="145" w:line="226" w:lineRule="auto"/>
              <w:ind w:left="1020"/>
              <w:rPr>
                <w:color w:val="auto"/>
                <w:highlight w:val="none"/>
              </w:rPr>
            </w:pPr>
            <w:r>
              <w:rPr>
                <w:color w:val="auto"/>
                <w:spacing w:val="7"/>
                <w:highlight w:val="none"/>
              </w:rPr>
              <w:t>报价方式</w:t>
            </w:r>
          </w:p>
        </w:tc>
        <w:tc>
          <w:tcPr>
            <w:tcW w:w="4891" w:type="dxa"/>
            <w:vAlign w:val="top"/>
          </w:tcPr>
          <w:p w14:paraId="624CC1AD">
            <w:pPr>
              <w:pStyle w:val="17"/>
              <w:spacing w:before="145" w:line="226" w:lineRule="auto"/>
              <w:ind w:left="134"/>
              <w:rPr>
                <w:color w:val="auto"/>
                <w:highlight w:val="none"/>
              </w:rPr>
            </w:pPr>
            <w:r>
              <w:rPr>
                <w:rFonts w:hint="eastAsia"/>
                <w:color w:val="auto"/>
                <w:spacing w:val="-1"/>
                <w:highlight w:val="none"/>
                <w:lang w:eastAsia="zh-CN"/>
              </w:rPr>
              <w:t>☑</w:t>
            </w:r>
            <w:r>
              <w:rPr>
                <w:color w:val="auto"/>
                <w:spacing w:val="-1"/>
                <w:highlight w:val="none"/>
              </w:rPr>
              <w:t>总价</w:t>
            </w:r>
          </w:p>
        </w:tc>
      </w:tr>
    </w:tbl>
    <w:p w14:paraId="16368A9D">
      <w:pPr>
        <w:spacing w:line="290" w:lineRule="auto"/>
        <w:rPr>
          <w:rFonts w:ascii="Arial"/>
          <w:color w:val="auto"/>
          <w:sz w:val="21"/>
          <w:highlight w:val="none"/>
        </w:rPr>
      </w:pPr>
    </w:p>
    <w:p w14:paraId="0F8F3BE3">
      <w:pPr>
        <w:spacing w:line="220" w:lineRule="auto"/>
        <w:rPr>
          <w:rFonts w:ascii="宋体" w:hAnsi="宋体" w:eastAsia="宋体" w:cs="宋体"/>
          <w:color w:val="auto"/>
          <w:sz w:val="18"/>
          <w:szCs w:val="18"/>
          <w:highlight w:val="none"/>
        </w:rPr>
        <w:sectPr>
          <w:footerReference r:id="rId14" w:type="default"/>
          <w:pgSz w:w="11906" w:h="16839"/>
          <w:pgMar w:top="1416" w:right="1588" w:bottom="1297" w:left="1304" w:header="0" w:footer="1067" w:gutter="0"/>
          <w:pgNumType w:fmt="decimal"/>
          <w:cols w:space="720" w:num="1"/>
        </w:sectPr>
      </w:pPr>
    </w:p>
    <w:tbl>
      <w:tblPr>
        <w:tblStyle w:val="16"/>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2877"/>
        <w:gridCol w:w="4891"/>
      </w:tblGrid>
      <w:tr w14:paraId="4C9C3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3" w:type="dxa"/>
            <w:vAlign w:val="top"/>
          </w:tcPr>
          <w:p w14:paraId="246B6B6A">
            <w:pPr>
              <w:pStyle w:val="17"/>
              <w:spacing w:before="143" w:line="228" w:lineRule="auto"/>
              <w:ind w:left="198"/>
              <w:rPr>
                <w:color w:val="auto"/>
                <w:highlight w:val="none"/>
              </w:rPr>
            </w:pPr>
            <w:r>
              <w:rPr>
                <w:b/>
                <w:bCs/>
                <w:color w:val="auto"/>
                <w:spacing w:val="5"/>
                <w:highlight w:val="none"/>
              </w:rPr>
              <w:t>条款号</w:t>
            </w:r>
          </w:p>
        </w:tc>
        <w:tc>
          <w:tcPr>
            <w:tcW w:w="2877" w:type="dxa"/>
            <w:vAlign w:val="top"/>
          </w:tcPr>
          <w:p w14:paraId="00417706">
            <w:pPr>
              <w:pStyle w:val="17"/>
              <w:spacing w:before="143" w:line="228" w:lineRule="auto"/>
              <w:ind w:left="706"/>
              <w:rPr>
                <w:color w:val="auto"/>
                <w:highlight w:val="none"/>
              </w:rPr>
            </w:pPr>
            <w:r>
              <w:rPr>
                <w:b/>
                <w:bCs/>
                <w:color w:val="auto"/>
                <w:spacing w:val="-3"/>
                <w:highlight w:val="none"/>
              </w:rPr>
              <w:t>条</w:t>
            </w:r>
            <w:r>
              <w:rPr>
                <w:color w:val="auto"/>
                <w:spacing w:val="10"/>
                <w:highlight w:val="none"/>
              </w:rPr>
              <w:t xml:space="preserve">  </w:t>
            </w:r>
            <w:r>
              <w:rPr>
                <w:b/>
                <w:bCs/>
                <w:color w:val="auto"/>
                <w:spacing w:val="-3"/>
                <w:highlight w:val="none"/>
              </w:rPr>
              <w:t>款</w:t>
            </w:r>
            <w:r>
              <w:rPr>
                <w:color w:val="auto"/>
                <w:spacing w:val="12"/>
                <w:highlight w:val="none"/>
              </w:rPr>
              <w:t xml:space="preserve">  </w:t>
            </w:r>
            <w:r>
              <w:rPr>
                <w:b/>
                <w:bCs/>
                <w:color w:val="auto"/>
                <w:spacing w:val="-3"/>
                <w:highlight w:val="none"/>
              </w:rPr>
              <w:t>名</w:t>
            </w:r>
            <w:r>
              <w:rPr>
                <w:color w:val="auto"/>
                <w:spacing w:val="11"/>
                <w:highlight w:val="none"/>
              </w:rPr>
              <w:t xml:space="preserve">  </w:t>
            </w:r>
            <w:r>
              <w:rPr>
                <w:b/>
                <w:bCs/>
                <w:color w:val="auto"/>
                <w:spacing w:val="-3"/>
                <w:highlight w:val="none"/>
              </w:rPr>
              <w:t>称</w:t>
            </w:r>
          </w:p>
        </w:tc>
        <w:tc>
          <w:tcPr>
            <w:tcW w:w="4891" w:type="dxa"/>
            <w:vAlign w:val="top"/>
          </w:tcPr>
          <w:p w14:paraId="47A641B2">
            <w:pPr>
              <w:pStyle w:val="17"/>
              <w:spacing w:before="143" w:line="228" w:lineRule="auto"/>
              <w:ind w:left="1713"/>
              <w:rPr>
                <w:color w:val="auto"/>
                <w:highlight w:val="none"/>
              </w:rPr>
            </w:pPr>
            <w:r>
              <w:rPr>
                <w:b/>
                <w:bCs/>
                <w:color w:val="auto"/>
                <w:spacing w:val="-10"/>
                <w:highlight w:val="none"/>
              </w:rPr>
              <w:t>编</w:t>
            </w:r>
            <w:r>
              <w:rPr>
                <w:color w:val="auto"/>
                <w:spacing w:val="13"/>
                <w:highlight w:val="none"/>
              </w:rPr>
              <w:t xml:space="preserve">  </w:t>
            </w:r>
            <w:r>
              <w:rPr>
                <w:b/>
                <w:bCs/>
                <w:color w:val="auto"/>
                <w:spacing w:val="-10"/>
                <w:highlight w:val="none"/>
              </w:rPr>
              <w:t>列</w:t>
            </w:r>
            <w:r>
              <w:rPr>
                <w:color w:val="auto"/>
                <w:spacing w:val="23"/>
                <w:highlight w:val="none"/>
              </w:rPr>
              <w:t xml:space="preserve">  </w:t>
            </w:r>
            <w:r>
              <w:rPr>
                <w:b/>
                <w:bCs/>
                <w:color w:val="auto"/>
                <w:spacing w:val="-10"/>
                <w:highlight w:val="none"/>
              </w:rPr>
              <w:t>内</w:t>
            </w:r>
            <w:r>
              <w:rPr>
                <w:color w:val="auto"/>
                <w:spacing w:val="12"/>
                <w:highlight w:val="none"/>
              </w:rPr>
              <w:t xml:space="preserve">  </w:t>
            </w:r>
            <w:r>
              <w:rPr>
                <w:b/>
                <w:bCs/>
                <w:color w:val="auto"/>
                <w:spacing w:val="-10"/>
                <w:highlight w:val="none"/>
              </w:rPr>
              <w:t>容</w:t>
            </w:r>
          </w:p>
        </w:tc>
      </w:tr>
      <w:tr w14:paraId="6EC69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3" w:type="dxa"/>
            <w:vAlign w:val="top"/>
          </w:tcPr>
          <w:p w14:paraId="770D1B80">
            <w:pPr>
              <w:rPr>
                <w:rFonts w:ascii="Arial"/>
                <w:color w:val="auto"/>
                <w:sz w:val="21"/>
                <w:highlight w:val="none"/>
              </w:rPr>
            </w:pPr>
          </w:p>
        </w:tc>
        <w:tc>
          <w:tcPr>
            <w:tcW w:w="2877" w:type="dxa"/>
            <w:vAlign w:val="top"/>
          </w:tcPr>
          <w:p w14:paraId="707A4F8F">
            <w:pPr>
              <w:rPr>
                <w:rFonts w:ascii="Arial"/>
                <w:color w:val="auto"/>
                <w:sz w:val="21"/>
                <w:highlight w:val="none"/>
              </w:rPr>
            </w:pPr>
          </w:p>
        </w:tc>
        <w:tc>
          <w:tcPr>
            <w:tcW w:w="4891" w:type="dxa"/>
            <w:vAlign w:val="top"/>
          </w:tcPr>
          <w:p w14:paraId="2F0F0F2E">
            <w:pPr>
              <w:pStyle w:val="17"/>
              <w:spacing w:before="140" w:line="226" w:lineRule="auto"/>
              <w:ind w:left="134"/>
              <w:rPr>
                <w:color w:val="auto"/>
                <w:highlight w:val="none"/>
              </w:rPr>
            </w:pPr>
            <w:r>
              <w:rPr>
                <w:color w:val="auto"/>
                <w:spacing w:val="-1"/>
                <w:highlight w:val="none"/>
              </w:rPr>
              <w:t>□单价</w:t>
            </w:r>
          </w:p>
        </w:tc>
      </w:tr>
      <w:tr w14:paraId="2CDE6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3" w:type="dxa"/>
            <w:vAlign w:val="top"/>
          </w:tcPr>
          <w:p w14:paraId="65298C84">
            <w:pPr>
              <w:pStyle w:val="17"/>
              <w:spacing w:before="141" w:line="234" w:lineRule="auto"/>
              <w:ind w:left="253"/>
              <w:rPr>
                <w:color w:val="auto"/>
                <w:highlight w:val="none"/>
              </w:rPr>
            </w:pPr>
            <w:r>
              <w:rPr>
                <w:color w:val="auto"/>
                <w:spacing w:val="2"/>
                <w:highlight w:val="none"/>
              </w:rPr>
              <w:t>3.2.4</w:t>
            </w:r>
          </w:p>
        </w:tc>
        <w:tc>
          <w:tcPr>
            <w:tcW w:w="2877" w:type="dxa"/>
            <w:vAlign w:val="top"/>
          </w:tcPr>
          <w:p w14:paraId="481DD4D3">
            <w:pPr>
              <w:pStyle w:val="17"/>
              <w:spacing w:before="141" w:line="226" w:lineRule="auto"/>
              <w:ind w:left="815"/>
              <w:rPr>
                <w:color w:val="auto"/>
                <w:highlight w:val="none"/>
              </w:rPr>
            </w:pPr>
            <w:r>
              <w:rPr>
                <w:color w:val="auto"/>
                <w:spacing w:val="7"/>
                <w:highlight w:val="none"/>
              </w:rPr>
              <w:t>最高投标限价</w:t>
            </w:r>
          </w:p>
        </w:tc>
        <w:tc>
          <w:tcPr>
            <w:tcW w:w="4891" w:type="dxa"/>
            <w:vAlign w:val="top"/>
          </w:tcPr>
          <w:p w14:paraId="6AD0DB8C">
            <w:pPr>
              <w:pStyle w:val="17"/>
              <w:spacing w:before="141" w:line="360" w:lineRule="auto"/>
              <w:ind w:left="115"/>
              <w:rPr>
                <w:color w:val="auto"/>
                <w:highlight w:val="none"/>
              </w:rPr>
            </w:pPr>
            <w:r>
              <w:rPr>
                <w:color w:val="auto"/>
                <w:spacing w:val="8"/>
                <w:highlight w:val="none"/>
              </w:rPr>
              <w:t>最高投标限价</w:t>
            </w:r>
            <w:r>
              <w:rPr>
                <w:color w:val="auto"/>
                <w:spacing w:val="-94"/>
                <w:highlight w:val="none"/>
              </w:rPr>
              <w:t xml:space="preserve"> </w:t>
            </w:r>
            <w:r>
              <w:rPr>
                <w:rFonts w:hint="eastAsia"/>
                <w:color w:val="auto"/>
                <w:spacing w:val="5"/>
                <w:highlight w:val="none"/>
                <w:u w:val="single" w:color="auto"/>
              </w:rPr>
              <w:t>1032700</w:t>
            </w:r>
            <w:r>
              <w:rPr>
                <w:rFonts w:hint="eastAsia"/>
                <w:color w:val="auto"/>
                <w:spacing w:val="5"/>
                <w:highlight w:val="none"/>
                <w:u w:val="single" w:color="auto"/>
                <w:lang w:val="en-US" w:eastAsia="zh-CN"/>
              </w:rPr>
              <w:t>.00</w:t>
            </w:r>
            <w:r>
              <w:rPr>
                <w:color w:val="auto"/>
                <w:spacing w:val="8"/>
                <w:highlight w:val="none"/>
              </w:rPr>
              <w:t>元</w:t>
            </w:r>
            <w:r>
              <w:rPr>
                <w:color w:val="auto"/>
                <w:spacing w:val="8"/>
                <w:highlight w:val="none"/>
                <w:u w:val="single" w:color="auto"/>
              </w:rPr>
              <w:t>（其中含暂列金额</w:t>
            </w:r>
            <w:r>
              <w:rPr>
                <w:rFonts w:hint="eastAsia"/>
                <w:color w:val="auto"/>
                <w:spacing w:val="8"/>
                <w:highlight w:val="none"/>
                <w:u w:val="single" w:color="auto"/>
                <w:lang w:val="en-US" w:eastAsia="zh-CN"/>
              </w:rPr>
              <w:t>/</w:t>
            </w:r>
            <w:r>
              <w:rPr>
                <w:color w:val="auto"/>
                <w:spacing w:val="8"/>
                <w:highlight w:val="none"/>
                <w:u w:val="single" w:color="auto"/>
              </w:rPr>
              <w:t>元）</w:t>
            </w:r>
          </w:p>
        </w:tc>
      </w:tr>
      <w:tr w14:paraId="6A715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3" w:type="dxa"/>
            <w:vAlign w:val="top"/>
          </w:tcPr>
          <w:p w14:paraId="5A9E91A7">
            <w:pPr>
              <w:pStyle w:val="17"/>
              <w:spacing w:before="141" w:line="234" w:lineRule="auto"/>
              <w:ind w:left="253"/>
              <w:rPr>
                <w:color w:val="auto"/>
                <w:highlight w:val="none"/>
              </w:rPr>
            </w:pPr>
            <w:r>
              <w:rPr>
                <w:color w:val="auto"/>
                <w:spacing w:val="2"/>
                <w:highlight w:val="none"/>
              </w:rPr>
              <w:t>3.2.5</w:t>
            </w:r>
          </w:p>
        </w:tc>
        <w:tc>
          <w:tcPr>
            <w:tcW w:w="2877" w:type="dxa"/>
            <w:vAlign w:val="top"/>
          </w:tcPr>
          <w:p w14:paraId="1CE0F9D3">
            <w:pPr>
              <w:pStyle w:val="17"/>
              <w:spacing w:before="141" w:line="226" w:lineRule="auto"/>
              <w:ind w:left="501"/>
              <w:rPr>
                <w:color w:val="auto"/>
                <w:highlight w:val="none"/>
              </w:rPr>
            </w:pPr>
            <w:r>
              <w:rPr>
                <w:color w:val="auto"/>
                <w:spacing w:val="8"/>
                <w:highlight w:val="none"/>
              </w:rPr>
              <w:t>投标报价的其他要求</w:t>
            </w:r>
          </w:p>
        </w:tc>
        <w:tc>
          <w:tcPr>
            <w:tcW w:w="4891" w:type="dxa"/>
            <w:vAlign w:val="center"/>
          </w:tcPr>
          <w:p w14:paraId="5C9CB16B">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w:t>
            </w:r>
          </w:p>
        </w:tc>
      </w:tr>
      <w:tr w14:paraId="0AA41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3" w:type="dxa"/>
            <w:vAlign w:val="top"/>
          </w:tcPr>
          <w:p w14:paraId="5A4ED140">
            <w:pPr>
              <w:pStyle w:val="17"/>
              <w:spacing w:before="141" w:line="234" w:lineRule="auto"/>
              <w:ind w:left="253"/>
              <w:rPr>
                <w:color w:val="auto"/>
                <w:highlight w:val="none"/>
              </w:rPr>
            </w:pPr>
            <w:r>
              <w:rPr>
                <w:color w:val="auto"/>
                <w:spacing w:val="2"/>
                <w:highlight w:val="none"/>
              </w:rPr>
              <w:t>3.3.1</w:t>
            </w:r>
          </w:p>
        </w:tc>
        <w:tc>
          <w:tcPr>
            <w:tcW w:w="2877" w:type="dxa"/>
            <w:vAlign w:val="top"/>
          </w:tcPr>
          <w:p w14:paraId="5605F194">
            <w:pPr>
              <w:pStyle w:val="17"/>
              <w:spacing w:before="142" w:line="228" w:lineRule="auto"/>
              <w:ind w:left="921"/>
              <w:rPr>
                <w:color w:val="auto"/>
                <w:highlight w:val="none"/>
              </w:rPr>
            </w:pPr>
            <w:r>
              <w:rPr>
                <w:color w:val="auto"/>
                <w:spacing w:val="7"/>
                <w:highlight w:val="none"/>
              </w:rPr>
              <w:t>投标有效期</w:t>
            </w:r>
          </w:p>
        </w:tc>
        <w:tc>
          <w:tcPr>
            <w:tcW w:w="4891" w:type="dxa"/>
            <w:vAlign w:val="top"/>
          </w:tcPr>
          <w:p w14:paraId="5A3D26C1">
            <w:pPr>
              <w:pStyle w:val="17"/>
              <w:spacing w:before="141" w:line="228" w:lineRule="auto"/>
              <w:ind w:left="147"/>
              <w:rPr>
                <w:color w:val="auto"/>
                <w:highlight w:val="none"/>
              </w:rPr>
            </w:pPr>
            <w:r>
              <w:rPr>
                <w:color w:val="auto"/>
                <w:spacing w:val="7"/>
                <w:highlight w:val="none"/>
              </w:rPr>
              <w:t>自投标人提交投标文件截止之日起计算</w:t>
            </w:r>
            <w:r>
              <w:rPr>
                <w:color w:val="auto"/>
                <w:spacing w:val="-98"/>
                <w:highlight w:val="none"/>
              </w:rPr>
              <w:t xml:space="preserve"> </w:t>
            </w:r>
            <w:r>
              <w:rPr>
                <w:color w:val="auto"/>
                <w:spacing w:val="4"/>
                <w:highlight w:val="none"/>
                <w:u w:val="single" w:color="auto"/>
              </w:rPr>
              <w:t xml:space="preserve"> </w:t>
            </w:r>
            <w:r>
              <w:rPr>
                <w:rFonts w:hint="eastAsia"/>
                <w:color w:val="auto"/>
                <w:spacing w:val="4"/>
                <w:highlight w:val="none"/>
                <w:u w:val="single" w:color="auto"/>
                <w:lang w:val="en-US" w:eastAsia="zh-CN"/>
              </w:rPr>
              <w:t>90</w:t>
            </w:r>
            <w:r>
              <w:rPr>
                <w:color w:val="auto"/>
                <w:spacing w:val="4"/>
                <w:highlight w:val="none"/>
                <w:u w:val="single" w:color="auto"/>
              </w:rPr>
              <w:t xml:space="preserve"> </w:t>
            </w:r>
            <w:r>
              <w:rPr>
                <w:color w:val="auto"/>
                <w:spacing w:val="-54"/>
                <w:highlight w:val="none"/>
              </w:rPr>
              <w:t xml:space="preserve"> </w:t>
            </w:r>
            <w:r>
              <w:rPr>
                <w:color w:val="auto"/>
                <w:spacing w:val="7"/>
                <w:highlight w:val="none"/>
              </w:rPr>
              <w:t>日</w:t>
            </w:r>
          </w:p>
        </w:tc>
      </w:tr>
      <w:tr w14:paraId="52958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3" w:hRule="atLeast"/>
        </w:trPr>
        <w:tc>
          <w:tcPr>
            <w:tcW w:w="1013" w:type="dxa"/>
            <w:vAlign w:val="top"/>
          </w:tcPr>
          <w:p w14:paraId="4B4F6CE3">
            <w:pPr>
              <w:spacing w:line="245" w:lineRule="auto"/>
              <w:rPr>
                <w:rFonts w:ascii="Arial"/>
                <w:color w:val="auto"/>
                <w:sz w:val="21"/>
                <w:highlight w:val="none"/>
              </w:rPr>
            </w:pPr>
          </w:p>
          <w:p w14:paraId="37A4BA77">
            <w:pPr>
              <w:spacing w:line="245" w:lineRule="auto"/>
              <w:rPr>
                <w:rFonts w:ascii="Arial"/>
                <w:color w:val="auto"/>
                <w:sz w:val="21"/>
                <w:highlight w:val="none"/>
              </w:rPr>
            </w:pPr>
          </w:p>
          <w:p w14:paraId="1D60886D">
            <w:pPr>
              <w:spacing w:line="245" w:lineRule="auto"/>
              <w:rPr>
                <w:rFonts w:ascii="Arial"/>
                <w:color w:val="auto"/>
                <w:sz w:val="21"/>
                <w:highlight w:val="none"/>
              </w:rPr>
            </w:pPr>
          </w:p>
          <w:p w14:paraId="7C38D492">
            <w:pPr>
              <w:spacing w:line="245" w:lineRule="auto"/>
              <w:rPr>
                <w:rFonts w:ascii="Arial"/>
                <w:color w:val="auto"/>
                <w:sz w:val="21"/>
                <w:highlight w:val="none"/>
              </w:rPr>
            </w:pPr>
          </w:p>
          <w:p w14:paraId="5A6584E9">
            <w:pPr>
              <w:spacing w:line="245" w:lineRule="auto"/>
              <w:rPr>
                <w:rFonts w:ascii="Arial"/>
                <w:color w:val="auto"/>
                <w:sz w:val="21"/>
                <w:highlight w:val="none"/>
              </w:rPr>
            </w:pPr>
          </w:p>
          <w:p w14:paraId="05C031A2">
            <w:pPr>
              <w:spacing w:line="245" w:lineRule="auto"/>
              <w:rPr>
                <w:rFonts w:ascii="Arial"/>
                <w:color w:val="auto"/>
                <w:sz w:val="21"/>
                <w:highlight w:val="none"/>
              </w:rPr>
            </w:pPr>
          </w:p>
          <w:p w14:paraId="4836E10E">
            <w:pPr>
              <w:spacing w:line="246" w:lineRule="auto"/>
              <w:rPr>
                <w:rFonts w:ascii="Arial"/>
                <w:color w:val="auto"/>
                <w:sz w:val="21"/>
                <w:highlight w:val="none"/>
              </w:rPr>
            </w:pPr>
          </w:p>
          <w:p w14:paraId="24A76AF1">
            <w:pPr>
              <w:spacing w:line="246" w:lineRule="auto"/>
              <w:rPr>
                <w:rFonts w:ascii="Arial"/>
                <w:color w:val="auto"/>
                <w:sz w:val="21"/>
                <w:highlight w:val="none"/>
              </w:rPr>
            </w:pPr>
          </w:p>
          <w:p w14:paraId="62E61D2B">
            <w:pPr>
              <w:spacing w:line="246" w:lineRule="auto"/>
              <w:rPr>
                <w:rFonts w:ascii="Arial"/>
                <w:color w:val="auto"/>
                <w:sz w:val="21"/>
                <w:highlight w:val="none"/>
              </w:rPr>
            </w:pPr>
          </w:p>
          <w:p w14:paraId="4D67E652">
            <w:pPr>
              <w:spacing w:line="246" w:lineRule="auto"/>
              <w:rPr>
                <w:rFonts w:ascii="Arial"/>
                <w:color w:val="auto"/>
                <w:sz w:val="21"/>
                <w:highlight w:val="none"/>
              </w:rPr>
            </w:pPr>
          </w:p>
          <w:p w14:paraId="1B12CC5C">
            <w:pPr>
              <w:spacing w:line="246" w:lineRule="auto"/>
              <w:rPr>
                <w:rFonts w:ascii="Arial"/>
                <w:color w:val="auto"/>
                <w:sz w:val="21"/>
                <w:highlight w:val="none"/>
              </w:rPr>
            </w:pPr>
          </w:p>
          <w:p w14:paraId="1BA7D27E">
            <w:pPr>
              <w:spacing w:line="246" w:lineRule="auto"/>
              <w:rPr>
                <w:rFonts w:ascii="Arial"/>
                <w:color w:val="auto"/>
                <w:sz w:val="21"/>
                <w:highlight w:val="none"/>
              </w:rPr>
            </w:pPr>
          </w:p>
          <w:p w14:paraId="5EF4188F">
            <w:pPr>
              <w:spacing w:line="246" w:lineRule="auto"/>
              <w:rPr>
                <w:rFonts w:ascii="Arial"/>
                <w:color w:val="auto"/>
                <w:sz w:val="21"/>
                <w:highlight w:val="none"/>
              </w:rPr>
            </w:pPr>
          </w:p>
          <w:p w14:paraId="74CFA8B2">
            <w:pPr>
              <w:spacing w:line="246" w:lineRule="auto"/>
              <w:rPr>
                <w:rFonts w:ascii="Arial"/>
                <w:color w:val="auto"/>
                <w:sz w:val="21"/>
                <w:highlight w:val="none"/>
              </w:rPr>
            </w:pPr>
          </w:p>
          <w:p w14:paraId="31AD0BB3">
            <w:pPr>
              <w:spacing w:line="246" w:lineRule="auto"/>
              <w:rPr>
                <w:rFonts w:ascii="Arial"/>
                <w:color w:val="auto"/>
                <w:sz w:val="21"/>
                <w:highlight w:val="none"/>
              </w:rPr>
            </w:pPr>
          </w:p>
          <w:p w14:paraId="4D695EE5">
            <w:pPr>
              <w:spacing w:line="246" w:lineRule="auto"/>
              <w:rPr>
                <w:rFonts w:ascii="Arial"/>
                <w:color w:val="auto"/>
                <w:sz w:val="21"/>
                <w:highlight w:val="none"/>
              </w:rPr>
            </w:pPr>
          </w:p>
          <w:p w14:paraId="6A09379B">
            <w:pPr>
              <w:spacing w:line="246" w:lineRule="auto"/>
              <w:rPr>
                <w:rFonts w:ascii="Arial"/>
                <w:color w:val="auto"/>
                <w:sz w:val="21"/>
                <w:highlight w:val="none"/>
              </w:rPr>
            </w:pPr>
          </w:p>
          <w:p w14:paraId="55DCFF06">
            <w:pPr>
              <w:spacing w:line="246" w:lineRule="auto"/>
              <w:rPr>
                <w:rFonts w:ascii="Arial"/>
                <w:color w:val="auto"/>
                <w:sz w:val="21"/>
                <w:highlight w:val="none"/>
              </w:rPr>
            </w:pPr>
          </w:p>
          <w:p w14:paraId="3B2E9182">
            <w:pPr>
              <w:spacing w:line="246" w:lineRule="auto"/>
              <w:rPr>
                <w:rFonts w:ascii="Arial"/>
                <w:color w:val="auto"/>
                <w:sz w:val="21"/>
                <w:highlight w:val="none"/>
              </w:rPr>
            </w:pPr>
          </w:p>
          <w:p w14:paraId="60053BE0">
            <w:pPr>
              <w:pStyle w:val="17"/>
              <w:spacing w:before="65" w:line="268" w:lineRule="exact"/>
              <w:ind w:left="253"/>
              <w:rPr>
                <w:color w:val="auto"/>
                <w:highlight w:val="none"/>
              </w:rPr>
            </w:pPr>
            <w:r>
              <w:rPr>
                <w:color w:val="auto"/>
                <w:spacing w:val="2"/>
                <w:position w:val="1"/>
                <w:highlight w:val="none"/>
              </w:rPr>
              <w:t>3.4.1</w:t>
            </w:r>
          </w:p>
        </w:tc>
        <w:tc>
          <w:tcPr>
            <w:tcW w:w="2877" w:type="dxa"/>
            <w:vAlign w:val="top"/>
          </w:tcPr>
          <w:p w14:paraId="0966F41C">
            <w:pPr>
              <w:spacing w:line="244" w:lineRule="auto"/>
              <w:rPr>
                <w:rFonts w:ascii="Arial"/>
                <w:color w:val="auto"/>
                <w:sz w:val="21"/>
                <w:highlight w:val="none"/>
              </w:rPr>
            </w:pPr>
          </w:p>
          <w:p w14:paraId="3D9F361D">
            <w:pPr>
              <w:spacing w:line="244" w:lineRule="auto"/>
              <w:rPr>
                <w:rFonts w:ascii="Arial"/>
                <w:color w:val="auto"/>
                <w:sz w:val="21"/>
                <w:highlight w:val="none"/>
              </w:rPr>
            </w:pPr>
          </w:p>
          <w:p w14:paraId="1D51E693">
            <w:pPr>
              <w:spacing w:line="244" w:lineRule="auto"/>
              <w:rPr>
                <w:rFonts w:ascii="Arial"/>
                <w:color w:val="auto"/>
                <w:sz w:val="21"/>
                <w:highlight w:val="none"/>
              </w:rPr>
            </w:pPr>
          </w:p>
          <w:p w14:paraId="415C2400">
            <w:pPr>
              <w:spacing w:line="244" w:lineRule="auto"/>
              <w:rPr>
                <w:rFonts w:ascii="Arial"/>
                <w:color w:val="auto"/>
                <w:sz w:val="21"/>
                <w:highlight w:val="none"/>
              </w:rPr>
            </w:pPr>
          </w:p>
          <w:p w14:paraId="3F531419">
            <w:pPr>
              <w:spacing w:line="244" w:lineRule="auto"/>
              <w:rPr>
                <w:rFonts w:ascii="Arial"/>
                <w:color w:val="auto"/>
                <w:sz w:val="21"/>
                <w:highlight w:val="none"/>
              </w:rPr>
            </w:pPr>
          </w:p>
          <w:p w14:paraId="4198EEE5">
            <w:pPr>
              <w:spacing w:line="244" w:lineRule="auto"/>
              <w:rPr>
                <w:rFonts w:ascii="Arial"/>
                <w:color w:val="auto"/>
                <w:sz w:val="21"/>
                <w:highlight w:val="none"/>
              </w:rPr>
            </w:pPr>
          </w:p>
          <w:p w14:paraId="3DD3E057">
            <w:pPr>
              <w:spacing w:line="245" w:lineRule="auto"/>
              <w:rPr>
                <w:rFonts w:ascii="Arial"/>
                <w:color w:val="auto"/>
                <w:sz w:val="21"/>
                <w:highlight w:val="none"/>
              </w:rPr>
            </w:pPr>
          </w:p>
          <w:p w14:paraId="3A70619E">
            <w:pPr>
              <w:spacing w:line="245" w:lineRule="auto"/>
              <w:rPr>
                <w:rFonts w:ascii="Arial"/>
                <w:color w:val="auto"/>
                <w:sz w:val="21"/>
                <w:highlight w:val="none"/>
              </w:rPr>
            </w:pPr>
          </w:p>
          <w:p w14:paraId="4D533CAD">
            <w:pPr>
              <w:spacing w:line="245" w:lineRule="auto"/>
              <w:rPr>
                <w:rFonts w:ascii="Arial"/>
                <w:color w:val="auto"/>
                <w:sz w:val="21"/>
                <w:highlight w:val="none"/>
              </w:rPr>
            </w:pPr>
          </w:p>
          <w:p w14:paraId="495A0B2B">
            <w:pPr>
              <w:spacing w:line="245" w:lineRule="auto"/>
              <w:rPr>
                <w:rFonts w:ascii="Arial"/>
                <w:color w:val="auto"/>
                <w:sz w:val="21"/>
                <w:highlight w:val="none"/>
              </w:rPr>
            </w:pPr>
          </w:p>
          <w:p w14:paraId="46B9A680">
            <w:pPr>
              <w:spacing w:line="245" w:lineRule="auto"/>
              <w:rPr>
                <w:rFonts w:ascii="Arial"/>
                <w:color w:val="auto"/>
                <w:sz w:val="21"/>
                <w:highlight w:val="none"/>
              </w:rPr>
            </w:pPr>
          </w:p>
          <w:p w14:paraId="10AED7D9">
            <w:pPr>
              <w:spacing w:line="245" w:lineRule="auto"/>
              <w:rPr>
                <w:rFonts w:ascii="Arial"/>
                <w:color w:val="auto"/>
                <w:sz w:val="21"/>
                <w:highlight w:val="none"/>
              </w:rPr>
            </w:pPr>
          </w:p>
          <w:p w14:paraId="02106F02">
            <w:pPr>
              <w:spacing w:line="245" w:lineRule="auto"/>
              <w:rPr>
                <w:rFonts w:ascii="Arial"/>
                <w:color w:val="auto"/>
                <w:sz w:val="21"/>
                <w:highlight w:val="none"/>
              </w:rPr>
            </w:pPr>
          </w:p>
          <w:p w14:paraId="65E1EC52">
            <w:pPr>
              <w:spacing w:line="245" w:lineRule="auto"/>
              <w:rPr>
                <w:rFonts w:ascii="Arial"/>
                <w:color w:val="auto"/>
                <w:sz w:val="21"/>
                <w:highlight w:val="none"/>
              </w:rPr>
            </w:pPr>
          </w:p>
          <w:p w14:paraId="38FCCB9E">
            <w:pPr>
              <w:spacing w:line="245" w:lineRule="auto"/>
              <w:rPr>
                <w:rFonts w:ascii="Arial"/>
                <w:color w:val="auto"/>
                <w:sz w:val="21"/>
                <w:highlight w:val="none"/>
              </w:rPr>
            </w:pPr>
          </w:p>
          <w:p w14:paraId="4A43B6B4">
            <w:pPr>
              <w:spacing w:line="245" w:lineRule="auto"/>
              <w:rPr>
                <w:rFonts w:ascii="Arial"/>
                <w:color w:val="auto"/>
                <w:sz w:val="21"/>
                <w:highlight w:val="none"/>
              </w:rPr>
            </w:pPr>
          </w:p>
          <w:p w14:paraId="3CEB39EE">
            <w:pPr>
              <w:spacing w:line="245" w:lineRule="auto"/>
              <w:rPr>
                <w:rFonts w:ascii="Arial"/>
                <w:color w:val="auto"/>
                <w:sz w:val="21"/>
                <w:highlight w:val="none"/>
              </w:rPr>
            </w:pPr>
          </w:p>
          <w:p w14:paraId="17659ACC">
            <w:pPr>
              <w:spacing w:line="245" w:lineRule="auto"/>
              <w:rPr>
                <w:rFonts w:ascii="Arial"/>
                <w:color w:val="auto"/>
                <w:sz w:val="21"/>
                <w:highlight w:val="none"/>
              </w:rPr>
            </w:pPr>
          </w:p>
          <w:p w14:paraId="191C7D9D">
            <w:pPr>
              <w:spacing w:line="245" w:lineRule="auto"/>
              <w:rPr>
                <w:rFonts w:ascii="Arial"/>
                <w:color w:val="auto"/>
                <w:sz w:val="21"/>
                <w:highlight w:val="none"/>
              </w:rPr>
            </w:pPr>
          </w:p>
          <w:p w14:paraId="702FFC94">
            <w:pPr>
              <w:pStyle w:val="17"/>
              <w:spacing w:before="65" w:line="266" w:lineRule="exact"/>
              <w:ind w:left="868"/>
              <w:rPr>
                <w:color w:val="auto"/>
                <w:sz w:val="10"/>
                <w:szCs w:val="10"/>
                <w:highlight w:val="none"/>
              </w:rPr>
            </w:pPr>
            <w:r>
              <w:rPr>
                <w:color w:val="auto"/>
                <w:spacing w:val="7"/>
                <w:highlight w:val="none"/>
              </w:rPr>
              <w:t>投标保证金</w:t>
            </w:r>
          </w:p>
        </w:tc>
        <w:tc>
          <w:tcPr>
            <w:tcW w:w="4891" w:type="dxa"/>
            <w:vAlign w:val="top"/>
          </w:tcPr>
          <w:p w14:paraId="14E4D79D">
            <w:pPr>
              <w:pStyle w:val="17"/>
              <w:spacing w:before="142" w:line="228" w:lineRule="auto"/>
              <w:ind w:left="116"/>
              <w:rPr>
                <w:color w:val="auto"/>
                <w:highlight w:val="none"/>
              </w:rPr>
            </w:pPr>
            <w:r>
              <w:rPr>
                <w:color w:val="auto"/>
                <w:spacing w:val="8"/>
                <w:highlight w:val="none"/>
              </w:rPr>
              <w:t>是否要求投标人递交投标保证金：</w:t>
            </w:r>
          </w:p>
          <w:p w14:paraId="5C6A169D">
            <w:pPr>
              <w:pStyle w:val="17"/>
              <w:spacing w:before="11" w:line="404" w:lineRule="auto"/>
              <w:ind w:left="134"/>
              <w:rPr>
                <w:color w:val="auto"/>
                <w:spacing w:val="6"/>
                <w:position w:val="10"/>
                <w:sz w:val="10"/>
                <w:szCs w:val="10"/>
                <w:highlight w:val="none"/>
              </w:rPr>
            </w:pPr>
            <w:r>
              <w:rPr>
                <w:rFonts w:hint="eastAsia"/>
                <w:color w:val="auto"/>
                <w:spacing w:val="6"/>
                <w:highlight w:val="none"/>
                <w:lang w:eastAsia="zh-CN"/>
              </w:rPr>
              <w:t>☑</w:t>
            </w:r>
            <w:r>
              <w:rPr>
                <w:color w:val="auto"/>
                <w:spacing w:val="6"/>
                <w:highlight w:val="none"/>
              </w:rPr>
              <w:t>要求，投标保证金的金额：</w:t>
            </w:r>
            <w:r>
              <w:rPr>
                <w:b/>
                <w:bCs/>
                <w:color w:val="auto"/>
                <w:spacing w:val="6"/>
                <w:highlight w:val="none"/>
                <w:u w:val="single" w:color="auto"/>
              </w:rPr>
              <w:t xml:space="preserve"> </w:t>
            </w:r>
            <w:r>
              <w:rPr>
                <w:rFonts w:hint="eastAsia"/>
                <w:b/>
                <w:bCs/>
                <w:color w:val="auto"/>
                <w:spacing w:val="6"/>
                <w:highlight w:val="none"/>
                <w:u w:val="single" w:color="auto"/>
                <w:lang w:val="en-US" w:eastAsia="zh-CN"/>
              </w:rPr>
              <w:t>壹万伍仟元整</w:t>
            </w:r>
            <w:r>
              <w:rPr>
                <w:color w:val="auto"/>
                <w:spacing w:val="6"/>
                <w:highlight w:val="none"/>
                <w:u w:val="single" w:color="auto"/>
              </w:rPr>
              <w:t xml:space="preserve"> </w:t>
            </w:r>
          </w:p>
          <w:p w14:paraId="67D922F2">
            <w:pPr>
              <w:pStyle w:val="17"/>
              <w:spacing w:before="11" w:line="404" w:lineRule="auto"/>
              <w:ind w:left="134"/>
              <w:rPr>
                <w:rFonts w:hint="eastAsia"/>
                <w:color w:val="auto"/>
                <w:spacing w:val="6"/>
                <w:position w:val="10"/>
                <w:sz w:val="20"/>
                <w:szCs w:val="20"/>
                <w:highlight w:val="none"/>
              </w:rPr>
            </w:pPr>
            <w:r>
              <w:rPr>
                <w:rFonts w:hint="eastAsia"/>
                <w:color w:val="auto"/>
                <w:spacing w:val="6"/>
                <w:position w:val="10"/>
                <w:sz w:val="20"/>
                <w:szCs w:val="20"/>
                <w:highlight w:val="none"/>
              </w:rPr>
              <w:t>缴纳项目投标保证金截止时间(以资金到账时间或成功上传保函或成功上传保单时间为准)为投标截止时间前24小时，见“重要事项时间地点一览表”。</w:t>
            </w:r>
          </w:p>
          <w:p w14:paraId="14E67EF4">
            <w:pPr>
              <w:pStyle w:val="17"/>
              <w:spacing w:before="11" w:line="404" w:lineRule="auto"/>
              <w:ind w:left="134"/>
              <w:rPr>
                <w:rFonts w:hint="eastAsia"/>
                <w:color w:val="auto"/>
                <w:spacing w:val="6"/>
                <w:position w:val="10"/>
                <w:sz w:val="20"/>
                <w:szCs w:val="20"/>
                <w:highlight w:val="none"/>
              </w:rPr>
            </w:pPr>
            <w:r>
              <w:rPr>
                <w:rFonts w:hint="eastAsia"/>
                <w:color w:val="auto"/>
                <w:spacing w:val="6"/>
                <w:position w:val="10"/>
                <w:sz w:val="20"/>
                <w:szCs w:val="20"/>
                <w:highlight w:val="none"/>
              </w:rPr>
              <w:t>投标保证的形式包括投标保证金、投标保证担保、投标保证保险三种，由投标人自主选择。</w:t>
            </w:r>
          </w:p>
          <w:p w14:paraId="1EF6D378">
            <w:pPr>
              <w:pStyle w:val="17"/>
              <w:spacing w:before="11" w:line="404" w:lineRule="auto"/>
              <w:ind w:left="134"/>
              <w:rPr>
                <w:rFonts w:hint="eastAsia"/>
                <w:color w:val="auto"/>
                <w:spacing w:val="6"/>
                <w:position w:val="10"/>
                <w:sz w:val="20"/>
                <w:szCs w:val="20"/>
                <w:highlight w:val="none"/>
              </w:rPr>
            </w:pPr>
            <w:r>
              <w:rPr>
                <w:rFonts w:hint="eastAsia"/>
                <w:color w:val="auto"/>
                <w:spacing w:val="6"/>
                <w:position w:val="10"/>
                <w:sz w:val="20"/>
                <w:szCs w:val="20"/>
                <w:highlight w:val="none"/>
              </w:rPr>
              <w:t xml:space="preserve">(1)采用投标保证金的，投标人在建设工程交易系统获取招标文件后，即可在系统申请缴纳投标保证金，获取本次招标投标保证金缴纳账号。投标人须于投标保证金到账截止时间(详见“重要事项时间地点一览表”)前，从其基本账户将投标保证金转账到指定的缴纳账号。逾期到账的、从非投标人基本账户转出的，其投标无效。 </w:t>
            </w:r>
          </w:p>
          <w:p w14:paraId="3209DF5B">
            <w:pPr>
              <w:pStyle w:val="17"/>
              <w:spacing w:before="11" w:line="404" w:lineRule="auto"/>
              <w:ind w:left="134"/>
              <w:rPr>
                <w:rFonts w:hint="eastAsia"/>
                <w:color w:val="auto"/>
                <w:spacing w:val="6"/>
                <w:position w:val="10"/>
                <w:sz w:val="20"/>
                <w:szCs w:val="20"/>
                <w:highlight w:val="none"/>
              </w:rPr>
            </w:pPr>
            <w:r>
              <w:rPr>
                <w:rFonts w:hint="eastAsia"/>
                <w:color w:val="auto"/>
                <w:spacing w:val="6"/>
                <w:position w:val="10"/>
                <w:sz w:val="20"/>
                <w:szCs w:val="20"/>
                <w:highlight w:val="none"/>
              </w:rPr>
              <w:t>(2)采用投标保证担保的，投标人应提交有效的银行保函，银行保函的有效期不得短于投标有效期。投标人必须在投标保证担保截止时间（详见“重要事项时间地点一览表”）前，使用工程建设交易系统完成网上办理电子保函。</w:t>
            </w:r>
          </w:p>
          <w:p w14:paraId="34304A29">
            <w:pPr>
              <w:pStyle w:val="17"/>
              <w:spacing w:before="11" w:line="404" w:lineRule="auto"/>
              <w:ind w:left="134"/>
              <w:rPr>
                <w:rFonts w:hint="eastAsia"/>
                <w:color w:val="auto"/>
                <w:spacing w:val="6"/>
                <w:position w:val="10"/>
                <w:sz w:val="20"/>
                <w:szCs w:val="20"/>
                <w:highlight w:val="none"/>
              </w:rPr>
            </w:pPr>
            <w:r>
              <w:rPr>
                <w:rFonts w:hint="eastAsia"/>
                <w:color w:val="auto"/>
                <w:spacing w:val="6"/>
                <w:position w:val="10"/>
                <w:sz w:val="20"/>
                <w:szCs w:val="20"/>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 （广东省 · 韶关市）（https://ygp.gdzwfw.gov.cn/ggzy-portal/#/440200/index），在【服务指南】栏目中下载《韶关市公共资源建设工程交易系统-投标人操作指南》，了解网上投保具体操作流程。逾期投保的，其投标无效。</w:t>
            </w:r>
          </w:p>
          <w:p w14:paraId="7D5404B1">
            <w:pPr>
              <w:pStyle w:val="17"/>
              <w:spacing w:before="11" w:line="404" w:lineRule="auto"/>
              <w:ind w:left="134"/>
              <w:rPr>
                <w:color w:val="auto"/>
                <w:spacing w:val="6"/>
                <w:position w:val="10"/>
                <w:sz w:val="10"/>
                <w:szCs w:val="10"/>
                <w:highlight w:val="none"/>
              </w:rPr>
            </w:pPr>
            <w:r>
              <w:rPr>
                <w:rFonts w:hint="eastAsia"/>
                <w:color w:val="auto"/>
                <w:spacing w:val="6"/>
                <w:position w:val="10"/>
                <w:sz w:val="20"/>
                <w:szCs w:val="20"/>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6A7D99F4">
            <w:pPr>
              <w:pStyle w:val="17"/>
              <w:spacing w:before="103" w:line="321" w:lineRule="auto"/>
              <w:ind w:left="115" w:right="161" w:firstLine="18"/>
              <w:rPr>
                <w:color w:val="auto"/>
                <w:highlight w:val="none"/>
              </w:rPr>
            </w:pPr>
            <w:r>
              <w:rPr>
                <w:color w:val="auto"/>
                <w:spacing w:val="8"/>
                <w:highlight w:val="none"/>
              </w:rPr>
              <w:t>□按投标人在广东省交通运输厅最新年度发布的广</w:t>
            </w:r>
            <w:r>
              <w:rPr>
                <w:color w:val="auto"/>
                <w:spacing w:val="9"/>
                <w:highlight w:val="none"/>
              </w:rPr>
              <w:t>东省公路工程从业单位信用等级（监理单位）减免</w:t>
            </w:r>
            <w:r>
              <w:rPr>
                <w:color w:val="auto"/>
                <w:spacing w:val="8"/>
                <w:highlight w:val="none"/>
              </w:rPr>
              <w:t>投标保证金，减免幅度如下</w:t>
            </w:r>
            <w:r>
              <w:rPr>
                <w:color w:val="auto"/>
                <w:highlight w:val="none"/>
              </w:rPr>
              <w:fldChar w:fldCharType="begin"/>
            </w:r>
            <w:r>
              <w:rPr>
                <w:color w:val="auto"/>
                <w:highlight w:val="none"/>
              </w:rPr>
              <w:instrText xml:space="preserve"> HYPERLINK \l "bookmark58" </w:instrText>
            </w:r>
            <w:r>
              <w:rPr>
                <w:color w:val="auto"/>
                <w:highlight w:val="none"/>
              </w:rPr>
              <w:fldChar w:fldCharType="separate"/>
            </w:r>
            <w:r>
              <w:rPr>
                <w:color w:val="auto"/>
                <w:spacing w:val="8"/>
                <w:position w:val="10"/>
                <w:sz w:val="10"/>
                <w:szCs w:val="10"/>
                <w:highlight w:val="none"/>
              </w:rPr>
              <w:t>③</w:t>
            </w:r>
            <w:r>
              <w:rPr>
                <w:color w:val="auto"/>
                <w:spacing w:val="8"/>
                <w:position w:val="10"/>
                <w:sz w:val="10"/>
                <w:szCs w:val="10"/>
                <w:highlight w:val="none"/>
              </w:rPr>
              <w:fldChar w:fldCharType="end"/>
            </w:r>
            <w:r>
              <w:rPr>
                <w:color w:val="auto"/>
                <w:spacing w:val="8"/>
                <w:highlight w:val="none"/>
              </w:rPr>
              <w:t>:</w:t>
            </w:r>
          </w:p>
          <w:p w14:paraId="3497F788">
            <w:pPr>
              <w:spacing w:line="15" w:lineRule="exact"/>
              <w:rPr>
                <w:color w:val="auto"/>
                <w:highlight w:val="none"/>
              </w:rPr>
            </w:pPr>
          </w:p>
          <w:tbl>
            <w:tblPr>
              <w:tblStyle w:val="16"/>
              <w:tblW w:w="4625"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2"/>
              <w:gridCol w:w="1004"/>
              <w:gridCol w:w="931"/>
              <w:gridCol w:w="610"/>
              <w:gridCol w:w="488"/>
            </w:tblGrid>
            <w:tr w14:paraId="21E4C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592" w:type="dxa"/>
                  <w:vAlign w:val="top"/>
                </w:tcPr>
                <w:p w14:paraId="1ACE9885">
                  <w:pPr>
                    <w:pStyle w:val="17"/>
                    <w:spacing w:before="172" w:line="218" w:lineRule="auto"/>
                    <w:ind w:left="260"/>
                    <w:rPr>
                      <w:color w:val="auto"/>
                      <w:sz w:val="18"/>
                      <w:szCs w:val="18"/>
                      <w:highlight w:val="none"/>
                    </w:rPr>
                  </w:pPr>
                  <w:r>
                    <w:rPr>
                      <w:color w:val="auto"/>
                      <w:spacing w:val="-2"/>
                      <w:sz w:val="18"/>
                      <w:szCs w:val="18"/>
                      <w:highlight w:val="none"/>
                    </w:rPr>
                    <w:t>信用评价等级</w:t>
                  </w:r>
                </w:p>
              </w:tc>
              <w:tc>
                <w:tcPr>
                  <w:tcW w:w="1004" w:type="dxa"/>
                  <w:vAlign w:val="top"/>
                </w:tcPr>
                <w:p w14:paraId="7533E2D3">
                  <w:pPr>
                    <w:pStyle w:val="17"/>
                    <w:spacing w:before="199" w:line="184" w:lineRule="auto"/>
                    <w:ind w:left="409"/>
                    <w:rPr>
                      <w:color w:val="auto"/>
                      <w:sz w:val="18"/>
                      <w:szCs w:val="18"/>
                      <w:highlight w:val="none"/>
                    </w:rPr>
                  </w:pPr>
                  <w:r>
                    <w:rPr>
                      <w:color w:val="auto"/>
                      <w:spacing w:val="-1"/>
                      <w:sz w:val="18"/>
                      <w:szCs w:val="18"/>
                      <w:highlight w:val="none"/>
                    </w:rPr>
                    <w:t>AA</w:t>
                  </w:r>
                </w:p>
              </w:tc>
              <w:tc>
                <w:tcPr>
                  <w:tcW w:w="931" w:type="dxa"/>
                  <w:vAlign w:val="top"/>
                </w:tcPr>
                <w:p w14:paraId="0B7BFC3F">
                  <w:pPr>
                    <w:pStyle w:val="17"/>
                    <w:spacing w:before="199" w:line="184" w:lineRule="auto"/>
                    <w:ind w:left="420"/>
                    <w:rPr>
                      <w:color w:val="auto"/>
                      <w:sz w:val="18"/>
                      <w:szCs w:val="18"/>
                      <w:highlight w:val="none"/>
                    </w:rPr>
                  </w:pPr>
                  <w:r>
                    <w:rPr>
                      <w:color w:val="auto"/>
                      <w:sz w:val="18"/>
                      <w:szCs w:val="18"/>
                      <w:highlight w:val="none"/>
                    </w:rPr>
                    <w:t>A</w:t>
                  </w:r>
                </w:p>
              </w:tc>
              <w:tc>
                <w:tcPr>
                  <w:tcW w:w="610" w:type="dxa"/>
                  <w:vAlign w:val="top"/>
                </w:tcPr>
                <w:p w14:paraId="0906F2A8">
                  <w:pPr>
                    <w:pStyle w:val="17"/>
                    <w:spacing w:before="201" w:line="182" w:lineRule="auto"/>
                    <w:ind w:left="261"/>
                    <w:rPr>
                      <w:color w:val="auto"/>
                      <w:sz w:val="18"/>
                      <w:szCs w:val="18"/>
                      <w:highlight w:val="none"/>
                    </w:rPr>
                  </w:pPr>
                  <w:r>
                    <w:rPr>
                      <w:color w:val="auto"/>
                      <w:sz w:val="18"/>
                      <w:szCs w:val="18"/>
                      <w:highlight w:val="none"/>
                    </w:rPr>
                    <w:t>B</w:t>
                  </w:r>
                </w:p>
              </w:tc>
              <w:tc>
                <w:tcPr>
                  <w:tcW w:w="488" w:type="dxa"/>
                  <w:vAlign w:val="top"/>
                </w:tcPr>
                <w:p w14:paraId="5FCC31E8">
                  <w:pPr>
                    <w:pStyle w:val="17"/>
                    <w:spacing w:before="200" w:line="183" w:lineRule="auto"/>
                    <w:ind w:left="201"/>
                    <w:rPr>
                      <w:color w:val="auto"/>
                      <w:sz w:val="18"/>
                      <w:szCs w:val="18"/>
                      <w:highlight w:val="none"/>
                    </w:rPr>
                  </w:pPr>
                  <w:r>
                    <w:rPr>
                      <w:color w:val="auto"/>
                      <w:sz w:val="18"/>
                      <w:szCs w:val="18"/>
                      <w:highlight w:val="none"/>
                    </w:rPr>
                    <w:t>C</w:t>
                  </w:r>
                </w:p>
              </w:tc>
            </w:tr>
            <w:tr w14:paraId="078C6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92" w:type="dxa"/>
                  <w:vAlign w:val="top"/>
                </w:tcPr>
                <w:p w14:paraId="10071A54">
                  <w:pPr>
                    <w:pStyle w:val="17"/>
                    <w:spacing w:before="167" w:line="321" w:lineRule="auto"/>
                    <w:ind w:left="626" w:right="162" w:hanging="453"/>
                    <w:rPr>
                      <w:color w:val="auto"/>
                      <w:sz w:val="18"/>
                      <w:szCs w:val="18"/>
                      <w:highlight w:val="none"/>
                    </w:rPr>
                  </w:pPr>
                  <w:r>
                    <w:rPr>
                      <w:color w:val="auto"/>
                      <w:spacing w:val="-2"/>
                      <w:sz w:val="18"/>
                      <w:szCs w:val="18"/>
                      <w:highlight w:val="none"/>
                    </w:rPr>
                    <w:t>投标保证金减免</w:t>
                  </w:r>
                  <w:r>
                    <w:rPr>
                      <w:color w:val="auto"/>
                      <w:spacing w:val="-8"/>
                      <w:sz w:val="18"/>
                      <w:szCs w:val="18"/>
                      <w:highlight w:val="none"/>
                    </w:rPr>
                    <w:t>幅度</w:t>
                  </w:r>
                </w:p>
              </w:tc>
              <w:tc>
                <w:tcPr>
                  <w:tcW w:w="1004" w:type="dxa"/>
                  <w:vAlign w:val="top"/>
                </w:tcPr>
                <w:p w14:paraId="28695C44">
                  <w:pPr>
                    <w:pStyle w:val="17"/>
                    <w:spacing w:before="166"/>
                    <w:ind w:left="116"/>
                    <w:rPr>
                      <w:color w:val="auto"/>
                      <w:sz w:val="18"/>
                      <w:szCs w:val="18"/>
                      <w:highlight w:val="none"/>
                    </w:rPr>
                  </w:pPr>
                  <w:r>
                    <w:rPr>
                      <w:color w:val="auto"/>
                      <w:spacing w:val="13"/>
                      <w:sz w:val="18"/>
                      <w:szCs w:val="18"/>
                      <w:highlight w:val="none"/>
                      <w:u w:val="single" w:color="auto"/>
                    </w:rPr>
                    <w:t>50%</w:t>
                  </w:r>
                  <w:r>
                    <w:rPr>
                      <w:color w:val="auto"/>
                      <w:spacing w:val="26"/>
                      <w:sz w:val="18"/>
                      <w:szCs w:val="18"/>
                      <w:highlight w:val="none"/>
                      <w:u w:val="single" w:color="auto"/>
                    </w:rPr>
                    <w:t xml:space="preserve">   </w:t>
                  </w:r>
                  <w:r>
                    <w:rPr>
                      <w:color w:val="auto"/>
                      <w:spacing w:val="13"/>
                      <w:sz w:val="18"/>
                      <w:szCs w:val="18"/>
                      <w:highlight w:val="none"/>
                      <w:u w:val="single" w:color="auto"/>
                    </w:rPr>
                    <w:t>~</w:t>
                  </w:r>
                </w:p>
                <w:p w14:paraId="66C56ABC">
                  <w:pPr>
                    <w:pStyle w:val="17"/>
                    <w:spacing w:before="166" w:line="231" w:lineRule="auto"/>
                    <w:ind w:left="126"/>
                    <w:rPr>
                      <w:color w:val="auto"/>
                      <w:sz w:val="18"/>
                      <w:szCs w:val="18"/>
                      <w:highlight w:val="none"/>
                    </w:rPr>
                  </w:pPr>
                  <w:r>
                    <w:rPr>
                      <w:color w:val="auto"/>
                      <w:spacing w:val="-5"/>
                      <w:sz w:val="18"/>
                      <w:szCs w:val="18"/>
                      <w:highlight w:val="none"/>
                      <w:u w:val="single" w:color="auto"/>
                    </w:rPr>
                    <w:t>100%</w:t>
                  </w:r>
                </w:p>
              </w:tc>
              <w:tc>
                <w:tcPr>
                  <w:tcW w:w="931" w:type="dxa"/>
                  <w:vAlign w:val="top"/>
                </w:tcPr>
                <w:p w14:paraId="1E2AD135">
                  <w:pPr>
                    <w:pStyle w:val="17"/>
                    <w:spacing w:before="166"/>
                    <w:ind w:left="125"/>
                    <w:rPr>
                      <w:color w:val="auto"/>
                      <w:sz w:val="18"/>
                      <w:szCs w:val="18"/>
                      <w:highlight w:val="none"/>
                    </w:rPr>
                  </w:pPr>
                  <w:r>
                    <w:rPr>
                      <w:color w:val="auto"/>
                      <w:spacing w:val="10"/>
                      <w:sz w:val="18"/>
                      <w:szCs w:val="18"/>
                      <w:highlight w:val="none"/>
                      <w:u w:val="single" w:color="auto"/>
                    </w:rPr>
                    <w:t>10%</w:t>
                  </w:r>
                  <w:r>
                    <w:rPr>
                      <w:color w:val="auto"/>
                      <w:spacing w:val="3"/>
                      <w:sz w:val="18"/>
                      <w:szCs w:val="18"/>
                      <w:highlight w:val="none"/>
                      <w:u w:val="single" w:color="auto"/>
                    </w:rPr>
                    <w:t xml:space="preserve">   </w:t>
                  </w:r>
                  <w:r>
                    <w:rPr>
                      <w:color w:val="auto"/>
                      <w:spacing w:val="10"/>
                      <w:sz w:val="18"/>
                      <w:szCs w:val="18"/>
                      <w:highlight w:val="none"/>
                      <w:u w:val="single" w:color="auto"/>
                    </w:rPr>
                    <w:t>~</w:t>
                  </w:r>
                </w:p>
                <w:p w14:paraId="6BDADAEF">
                  <w:pPr>
                    <w:pStyle w:val="17"/>
                    <w:spacing w:before="166" w:line="231" w:lineRule="auto"/>
                    <w:ind w:left="115"/>
                    <w:rPr>
                      <w:color w:val="auto"/>
                      <w:sz w:val="18"/>
                      <w:szCs w:val="18"/>
                      <w:highlight w:val="none"/>
                    </w:rPr>
                  </w:pPr>
                  <w:r>
                    <w:rPr>
                      <w:color w:val="auto"/>
                      <w:spacing w:val="-4"/>
                      <w:sz w:val="18"/>
                      <w:szCs w:val="18"/>
                      <w:highlight w:val="none"/>
                      <w:u w:val="single" w:color="auto"/>
                    </w:rPr>
                    <w:t>50%</w:t>
                  </w:r>
                </w:p>
              </w:tc>
              <w:tc>
                <w:tcPr>
                  <w:tcW w:w="610" w:type="dxa"/>
                  <w:vAlign w:val="top"/>
                </w:tcPr>
                <w:p w14:paraId="69FC31D4">
                  <w:pPr>
                    <w:spacing w:line="308" w:lineRule="auto"/>
                    <w:rPr>
                      <w:rFonts w:ascii="Arial"/>
                      <w:color w:val="auto"/>
                      <w:sz w:val="21"/>
                      <w:highlight w:val="none"/>
                    </w:rPr>
                  </w:pPr>
                </w:p>
                <w:p w14:paraId="13D79EAC">
                  <w:pPr>
                    <w:pStyle w:val="17"/>
                    <w:spacing w:before="58"/>
                    <w:ind w:left="116"/>
                    <w:rPr>
                      <w:color w:val="auto"/>
                      <w:sz w:val="18"/>
                      <w:szCs w:val="18"/>
                      <w:highlight w:val="none"/>
                    </w:rPr>
                  </w:pPr>
                  <w:r>
                    <w:rPr>
                      <w:color w:val="auto"/>
                      <w:spacing w:val="-4"/>
                      <w:sz w:val="18"/>
                      <w:szCs w:val="18"/>
                      <w:highlight w:val="none"/>
                    </w:rPr>
                    <w:t>0%</w:t>
                  </w:r>
                </w:p>
              </w:tc>
              <w:tc>
                <w:tcPr>
                  <w:tcW w:w="488" w:type="dxa"/>
                  <w:vAlign w:val="top"/>
                </w:tcPr>
                <w:p w14:paraId="0A892503">
                  <w:pPr>
                    <w:spacing w:line="308" w:lineRule="auto"/>
                    <w:rPr>
                      <w:rFonts w:ascii="Arial"/>
                      <w:color w:val="auto"/>
                      <w:sz w:val="21"/>
                      <w:highlight w:val="none"/>
                    </w:rPr>
                  </w:pPr>
                </w:p>
                <w:p w14:paraId="575181EE">
                  <w:pPr>
                    <w:pStyle w:val="17"/>
                    <w:spacing w:before="58"/>
                    <w:ind w:left="115"/>
                    <w:rPr>
                      <w:color w:val="auto"/>
                      <w:sz w:val="18"/>
                      <w:szCs w:val="18"/>
                      <w:highlight w:val="none"/>
                    </w:rPr>
                  </w:pPr>
                  <w:r>
                    <w:rPr>
                      <w:color w:val="auto"/>
                      <w:spacing w:val="-4"/>
                      <w:sz w:val="18"/>
                      <w:szCs w:val="18"/>
                      <w:highlight w:val="none"/>
                    </w:rPr>
                    <w:t>0%</w:t>
                  </w:r>
                </w:p>
              </w:tc>
            </w:tr>
            <w:tr w14:paraId="463C2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592" w:type="dxa"/>
                  <w:vAlign w:val="top"/>
                </w:tcPr>
                <w:p w14:paraId="687ED9CF">
                  <w:pPr>
                    <w:pStyle w:val="17"/>
                    <w:spacing w:before="170" w:line="322" w:lineRule="auto"/>
                    <w:ind w:left="439" w:right="162" w:hanging="268"/>
                    <w:rPr>
                      <w:color w:val="auto"/>
                      <w:sz w:val="18"/>
                      <w:szCs w:val="18"/>
                      <w:highlight w:val="none"/>
                    </w:rPr>
                  </w:pPr>
                  <w:r>
                    <w:rPr>
                      <w:color w:val="auto"/>
                      <w:spacing w:val="-2"/>
                      <w:sz w:val="18"/>
                      <w:szCs w:val="18"/>
                      <w:highlight w:val="none"/>
                    </w:rPr>
                    <w:t>减免后的投标保证金金额</w:t>
                  </w:r>
                </w:p>
              </w:tc>
              <w:tc>
                <w:tcPr>
                  <w:tcW w:w="1004" w:type="dxa"/>
                  <w:vAlign w:val="top"/>
                </w:tcPr>
                <w:p w14:paraId="623C1A38">
                  <w:pPr>
                    <w:rPr>
                      <w:rFonts w:ascii="Arial"/>
                      <w:color w:val="auto"/>
                      <w:sz w:val="21"/>
                      <w:highlight w:val="none"/>
                    </w:rPr>
                  </w:pPr>
                </w:p>
              </w:tc>
              <w:tc>
                <w:tcPr>
                  <w:tcW w:w="931" w:type="dxa"/>
                  <w:vAlign w:val="top"/>
                </w:tcPr>
                <w:p w14:paraId="6B33F2DA">
                  <w:pPr>
                    <w:rPr>
                      <w:rFonts w:ascii="Arial"/>
                      <w:color w:val="auto"/>
                      <w:sz w:val="21"/>
                      <w:highlight w:val="none"/>
                    </w:rPr>
                  </w:pPr>
                </w:p>
              </w:tc>
              <w:tc>
                <w:tcPr>
                  <w:tcW w:w="610" w:type="dxa"/>
                  <w:vAlign w:val="top"/>
                </w:tcPr>
                <w:p w14:paraId="63FE598E">
                  <w:pPr>
                    <w:rPr>
                      <w:rFonts w:ascii="Arial"/>
                      <w:color w:val="auto"/>
                      <w:sz w:val="21"/>
                      <w:highlight w:val="none"/>
                    </w:rPr>
                  </w:pPr>
                </w:p>
              </w:tc>
              <w:tc>
                <w:tcPr>
                  <w:tcW w:w="488" w:type="dxa"/>
                  <w:vAlign w:val="top"/>
                </w:tcPr>
                <w:p w14:paraId="43E0354F">
                  <w:pPr>
                    <w:rPr>
                      <w:rFonts w:ascii="Arial"/>
                      <w:color w:val="auto"/>
                      <w:sz w:val="21"/>
                      <w:highlight w:val="none"/>
                    </w:rPr>
                  </w:pPr>
                </w:p>
              </w:tc>
            </w:tr>
          </w:tbl>
          <w:p w14:paraId="26804C88">
            <w:pPr>
              <w:pStyle w:val="17"/>
              <w:spacing w:line="399" w:lineRule="auto"/>
              <w:ind w:left="114" w:right="108" w:firstLine="19"/>
              <w:rPr>
                <w:color w:val="auto"/>
                <w:highlight w:val="none"/>
              </w:rPr>
            </w:pPr>
            <w:r>
              <w:rPr>
                <w:rFonts w:hint="eastAsia"/>
                <w:color w:val="auto"/>
                <w:spacing w:val="11"/>
                <w:highlight w:val="none"/>
                <w:lang w:eastAsia="zh-CN"/>
              </w:rPr>
              <w:t>□</w:t>
            </w:r>
            <w:r>
              <w:rPr>
                <w:color w:val="auto"/>
                <w:spacing w:val="11"/>
                <w:highlight w:val="none"/>
              </w:rPr>
              <w:t>无失信记录的中小微企业</w:t>
            </w:r>
            <w:r>
              <w:rPr>
                <w:color w:val="auto"/>
                <w:spacing w:val="-17"/>
                <w:position w:val="10"/>
                <w:sz w:val="10"/>
                <w:szCs w:val="10"/>
                <w:highlight w:val="none"/>
              </w:rPr>
              <w:t xml:space="preserve"> </w:t>
            </w:r>
            <w:r>
              <w:rPr>
                <w:color w:val="auto"/>
                <w:spacing w:val="11"/>
                <w:highlight w:val="none"/>
              </w:rPr>
              <w:t>,</w:t>
            </w:r>
            <w:r>
              <w:rPr>
                <w:color w:val="auto"/>
                <w:spacing w:val="69"/>
                <w:highlight w:val="none"/>
              </w:rPr>
              <w:t xml:space="preserve"> </w:t>
            </w:r>
            <w:r>
              <w:rPr>
                <w:color w:val="auto"/>
                <w:spacing w:val="11"/>
                <w:highlight w:val="none"/>
              </w:rPr>
              <w:t>给予减免投标</w:t>
            </w:r>
            <w:r>
              <w:rPr>
                <w:color w:val="auto"/>
                <w:spacing w:val="10"/>
                <w:highlight w:val="none"/>
              </w:rPr>
              <w:t>保证金，减免</w:t>
            </w:r>
            <w:r>
              <w:rPr>
                <w:color w:val="auto"/>
                <w:spacing w:val="-83"/>
                <w:highlight w:val="none"/>
              </w:rPr>
              <w:t xml:space="preserve"> </w:t>
            </w:r>
            <w:r>
              <w:rPr>
                <w:color w:val="auto"/>
                <w:spacing w:val="7"/>
                <w:highlight w:val="none"/>
                <w:u w:val="single" w:color="auto"/>
              </w:rPr>
              <w:t xml:space="preserve"> </w:t>
            </w:r>
            <w:r>
              <w:rPr>
                <w:rFonts w:hint="eastAsia"/>
                <w:color w:val="auto"/>
                <w:spacing w:val="7"/>
                <w:highlight w:val="none"/>
                <w:u w:val="single" w:color="auto"/>
                <w:lang w:val="en-US" w:eastAsia="zh-CN"/>
              </w:rPr>
              <w:t xml:space="preserve">/ </w:t>
            </w:r>
            <w:r>
              <w:rPr>
                <w:color w:val="auto"/>
                <w:spacing w:val="7"/>
                <w:highlight w:val="none"/>
                <w:u w:val="single" w:color="auto"/>
              </w:rPr>
              <w:t xml:space="preserve"> </w:t>
            </w:r>
            <w:r>
              <w:rPr>
                <w:color w:val="auto"/>
                <w:spacing w:val="-96"/>
                <w:highlight w:val="none"/>
              </w:rPr>
              <w:t xml:space="preserve"> </w:t>
            </w:r>
            <w:r>
              <w:rPr>
                <w:color w:val="auto"/>
                <w:spacing w:val="10"/>
                <w:highlight w:val="none"/>
              </w:rPr>
              <w:t>%缴纳投标保证金，减免后投标保证</w:t>
            </w:r>
          </w:p>
          <w:p w14:paraId="377DE1A2">
            <w:pPr>
              <w:pStyle w:val="17"/>
              <w:spacing w:before="77" w:line="369" w:lineRule="auto"/>
              <w:ind w:left="114" w:right="108"/>
              <w:jc w:val="both"/>
              <w:rPr>
                <w:color w:val="auto"/>
                <w:highlight w:val="none"/>
              </w:rPr>
            </w:pPr>
            <w:r>
              <w:rPr>
                <w:color w:val="auto"/>
                <w:spacing w:val="9"/>
                <w:highlight w:val="none"/>
              </w:rPr>
              <w:t>金金额：</w:t>
            </w:r>
            <w:r>
              <w:rPr>
                <w:color w:val="auto"/>
                <w:spacing w:val="9"/>
                <w:highlight w:val="none"/>
                <w:u w:val="single" w:color="auto"/>
              </w:rPr>
              <w:t xml:space="preserve">  </w:t>
            </w:r>
            <w:r>
              <w:rPr>
                <w:rFonts w:hint="eastAsia"/>
                <w:color w:val="auto"/>
                <w:spacing w:val="9"/>
                <w:highlight w:val="none"/>
                <w:u w:val="single" w:color="auto"/>
                <w:lang w:val="en-US" w:eastAsia="zh-CN"/>
              </w:rPr>
              <w:t>/</w:t>
            </w:r>
            <w:r>
              <w:rPr>
                <w:color w:val="auto"/>
                <w:spacing w:val="9"/>
                <w:highlight w:val="none"/>
                <w:u w:val="single" w:color="auto"/>
              </w:rPr>
              <w:t xml:space="preserve">  </w:t>
            </w:r>
            <w:r>
              <w:rPr>
                <w:color w:val="auto"/>
                <w:spacing w:val="-54"/>
                <w:highlight w:val="none"/>
              </w:rPr>
              <w:t xml:space="preserve"> </w:t>
            </w:r>
            <w:r>
              <w:rPr>
                <w:color w:val="auto"/>
                <w:spacing w:val="9"/>
                <w:highlight w:val="none"/>
              </w:rPr>
              <w:t>。如同时满足以上信用等级和中小微</w:t>
            </w:r>
            <w:r>
              <w:rPr>
                <w:color w:val="auto"/>
                <w:spacing w:val="12"/>
                <w:highlight w:val="none"/>
              </w:rPr>
              <w:t>企业减免投标保证金的情形，则以减免后投</w:t>
            </w:r>
            <w:r>
              <w:rPr>
                <w:color w:val="auto"/>
                <w:spacing w:val="11"/>
                <w:highlight w:val="none"/>
              </w:rPr>
              <w:t>标保证</w:t>
            </w:r>
            <w:r>
              <w:rPr>
                <w:color w:val="auto"/>
                <w:spacing w:val="8"/>
                <w:highlight w:val="none"/>
              </w:rPr>
              <w:t>金金额较少的为准。</w:t>
            </w:r>
            <w:r>
              <w:rPr>
                <w:color w:val="auto"/>
                <w:spacing w:val="-57"/>
                <w:highlight w:val="none"/>
              </w:rPr>
              <w:t xml:space="preserve"> </w:t>
            </w:r>
            <w:r>
              <w:rPr>
                <w:color w:val="auto"/>
                <w:spacing w:val="8"/>
                <w:highlight w:val="none"/>
              </w:rPr>
              <w:t>以联合体形式参加投标的，</w:t>
            </w:r>
            <w:r>
              <w:rPr>
                <w:color w:val="auto"/>
                <w:spacing w:val="-57"/>
                <w:highlight w:val="none"/>
              </w:rPr>
              <w:t xml:space="preserve"> </w:t>
            </w:r>
            <w:r>
              <w:rPr>
                <w:color w:val="auto"/>
                <w:spacing w:val="8"/>
                <w:highlight w:val="none"/>
              </w:rPr>
              <w:t>以上情形以联合体牵头人的企业性质为准。</w:t>
            </w:r>
          </w:p>
          <w:p w14:paraId="3F810D6C">
            <w:pPr>
              <w:pStyle w:val="17"/>
              <w:tabs>
                <w:tab w:val="left" w:pos="4776"/>
              </w:tabs>
              <w:spacing w:before="1" w:line="369" w:lineRule="auto"/>
              <w:ind w:left="113" w:right="108" w:firstLine="220"/>
              <w:jc w:val="both"/>
              <w:rPr>
                <w:rFonts w:hint="default" w:eastAsia="宋体"/>
                <w:color w:val="auto"/>
                <w:highlight w:val="none"/>
                <w:lang w:val="en-US" w:eastAsia="zh-CN"/>
              </w:rPr>
            </w:pPr>
            <w:r>
              <w:rPr>
                <w:color w:val="auto"/>
                <w:spacing w:val="5"/>
                <w:highlight w:val="none"/>
              </w:rPr>
              <w:t>投标保证金可采用的其他形式：</w:t>
            </w:r>
            <w:r>
              <w:rPr>
                <w:rFonts w:hint="eastAsia"/>
                <w:color w:val="auto"/>
                <w:spacing w:val="8"/>
                <w:highlight w:val="none"/>
                <w:u w:val="single"/>
                <w:lang w:val="en-US" w:eastAsia="zh-CN"/>
              </w:rPr>
              <w:t>以韶关市公共资源交易中心</w:t>
            </w:r>
            <w:r>
              <w:rPr>
                <w:rFonts w:hint="eastAsia"/>
                <w:color w:val="auto"/>
                <w:spacing w:val="8"/>
                <w:highlight w:val="none"/>
                <w:u w:val="single"/>
                <w:lang w:eastAsia="zh-CN"/>
              </w:rPr>
              <w:t>建设工程交易系统</w:t>
            </w:r>
            <w:r>
              <w:rPr>
                <w:rFonts w:hint="eastAsia"/>
                <w:color w:val="auto"/>
                <w:spacing w:val="8"/>
                <w:highlight w:val="none"/>
                <w:u w:val="single"/>
                <w:lang w:val="en-US" w:eastAsia="zh-CN"/>
              </w:rPr>
              <w:t>的</w:t>
            </w:r>
            <w:r>
              <w:rPr>
                <w:color w:val="auto"/>
                <w:spacing w:val="8"/>
                <w:highlight w:val="none"/>
                <w:u w:val="single" w:color="auto"/>
              </w:rPr>
              <w:t>形式</w:t>
            </w:r>
            <w:r>
              <w:rPr>
                <w:rFonts w:hint="eastAsia"/>
                <w:color w:val="auto"/>
                <w:spacing w:val="8"/>
                <w:highlight w:val="none"/>
                <w:u w:val="single" w:color="auto"/>
                <w:lang w:val="en-US" w:eastAsia="zh-CN"/>
              </w:rPr>
              <w:t>为准。</w:t>
            </w:r>
          </w:p>
          <w:p w14:paraId="14E2B01D">
            <w:pPr>
              <w:pStyle w:val="17"/>
              <w:spacing w:before="152" w:line="360" w:lineRule="auto"/>
              <w:ind w:firstLine="432" w:firstLineChars="200"/>
              <w:rPr>
                <w:color w:val="auto"/>
                <w:highlight w:val="none"/>
              </w:rPr>
            </w:pPr>
            <w:r>
              <w:rPr>
                <w:color w:val="auto"/>
                <w:spacing w:val="8"/>
                <w:highlight w:val="none"/>
              </w:rPr>
              <w:t>招标人指定的开户银行及账号如下：</w:t>
            </w:r>
            <w:r>
              <w:rPr>
                <w:rFonts w:hint="eastAsia"/>
                <w:color w:val="auto"/>
                <w:spacing w:val="8"/>
                <w:highlight w:val="none"/>
                <w:u w:val="single"/>
                <w:lang w:eastAsia="zh-CN"/>
              </w:rPr>
              <w:t>在建设工程交易系统获取本次招标投标保证金缴纳账号。</w:t>
            </w:r>
          </w:p>
        </w:tc>
      </w:tr>
    </w:tbl>
    <w:p w14:paraId="3B44147D">
      <w:pPr>
        <w:spacing w:line="303" w:lineRule="auto"/>
        <w:rPr>
          <w:rFonts w:ascii="Arial"/>
          <w:color w:val="auto"/>
          <w:sz w:val="21"/>
          <w:highlight w:val="none"/>
        </w:rPr>
      </w:pPr>
    </w:p>
    <w:p w14:paraId="6B68CFCD">
      <w:pPr>
        <w:spacing w:line="303" w:lineRule="auto"/>
        <w:rPr>
          <w:rFonts w:ascii="Arial"/>
          <w:color w:val="auto"/>
          <w:sz w:val="21"/>
          <w:highlight w:val="none"/>
        </w:rPr>
      </w:pPr>
    </w:p>
    <w:p w14:paraId="72ECCEDD">
      <w:pPr>
        <w:spacing w:line="220" w:lineRule="auto"/>
        <w:rPr>
          <w:rFonts w:ascii="宋体" w:hAnsi="宋体" w:eastAsia="宋体" w:cs="宋体"/>
          <w:color w:val="auto"/>
          <w:sz w:val="18"/>
          <w:szCs w:val="18"/>
          <w:highlight w:val="none"/>
        </w:rPr>
        <w:sectPr>
          <w:footerReference r:id="rId15" w:type="default"/>
          <w:pgSz w:w="11906" w:h="16839"/>
          <w:pgMar w:top="1416" w:right="1444" w:bottom="1297" w:left="1304" w:header="0" w:footer="1069" w:gutter="0"/>
          <w:pgNumType w:fmt="decimal"/>
          <w:cols w:space="720" w:num="1"/>
        </w:sectPr>
      </w:pPr>
      <w:bookmarkStart w:id="31" w:name="bookmark56"/>
      <w:bookmarkEnd w:id="31"/>
    </w:p>
    <w:tbl>
      <w:tblPr>
        <w:tblStyle w:val="16"/>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2877"/>
        <w:gridCol w:w="4891"/>
      </w:tblGrid>
      <w:tr w14:paraId="4ABC2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3" w:type="dxa"/>
            <w:vAlign w:val="top"/>
          </w:tcPr>
          <w:p w14:paraId="1F48D832">
            <w:pPr>
              <w:pStyle w:val="17"/>
              <w:spacing w:before="143" w:line="228" w:lineRule="auto"/>
              <w:ind w:left="198"/>
              <w:rPr>
                <w:color w:val="auto"/>
                <w:highlight w:val="none"/>
              </w:rPr>
            </w:pPr>
            <w:r>
              <w:rPr>
                <w:b/>
                <w:bCs/>
                <w:color w:val="auto"/>
                <w:spacing w:val="5"/>
                <w:highlight w:val="none"/>
              </w:rPr>
              <w:t>条款号</w:t>
            </w:r>
          </w:p>
        </w:tc>
        <w:tc>
          <w:tcPr>
            <w:tcW w:w="2877" w:type="dxa"/>
            <w:vAlign w:val="top"/>
          </w:tcPr>
          <w:p w14:paraId="0E062BFE">
            <w:pPr>
              <w:pStyle w:val="17"/>
              <w:spacing w:before="143" w:line="228" w:lineRule="auto"/>
              <w:ind w:left="706"/>
              <w:rPr>
                <w:color w:val="auto"/>
                <w:highlight w:val="none"/>
              </w:rPr>
            </w:pPr>
            <w:r>
              <w:rPr>
                <w:b/>
                <w:bCs/>
                <w:color w:val="auto"/>
                <w:spacing w:val="-3"/>
                <w:highlight w:val="none"/>
              </w:rPr>
              <w:t>条</w:t>
            </w:r>
            <w:r>
              <w:rPr>
                <w:color w:val="auto"/>
                <w:spacing w:val="10"/>
                <w:highlight w:val="none"/>
              </w:rPr>
              <w:t xml:space="preserve">  </w:t>
            </w:r>
            <w:r>
              <w:rPr>
                <w:b/>
                <w:bCs/>
                <w:color w:val="auto"/>
                <w:spacing w:val="-3"/>
                <w:highlight w:val="none"/>
              </w:rPr>
              <w:t>款</w:t>
            </w:r>
            <w:r>
              <w:rPr>
                <w:color w:val="auto"/>
                <w:spacing w:val="12"/>
                <w:highlight w:val="none"/>
              </w:rPr>
              <w:t xml:space="preserve">  </w:t>
            </w:r>
            <w:r>
              <w:rPr>
                <w:b/>
                <w:bCs/>
                <w:color w:val="auto"/>
                <w:spacing w:val="-3"/>
                <w:highlight w:val="none"/>
              </w:rPr>
              <w:t>名</w:t>
            </w:r>
            <w:r>
              <w:rPr>
                <w:color w:val="auto"/>
                <w:spacing w:val="11"/>
                <w:highlight w:val="none"/>
              </w:rPr>
              <w:t xml:space="preserve">  </w:t>
            </w:r>
            <w:r>
              <w:rPr>
                <w:b/>
                <w:bCs/>
                <w:color w:val="auto"/>
                <w:spacing w:val="-3"/>
                <w:highlight w:val="none"/>
              </w:rPr>
              <w:t>称</w:t>
            </w:r>
          </w:p>
        </w:tc>
        <w:tc>
          <w:tcPr>
            <w:tcW w:w="4891" w:type="dxa"/>
            <w:vAlign w:val="top"/>
          </w:tcPr>
          <w:p w14:paraId="2450A1C4">
            <w:pPr>
              <w:pStyle w:val="17"/>
              <w:spacing w:before="143" w:line="228" w:lineRule="auto"/>
              <w:ind w:left="1713"/>
              <w:rPr>
                <w:color w:val="auto"/>
                <w:highlight w:val="none"/>
              </w:rPr>
            </w:pPr>
            <w:r>
              <w:rPr>
                <w:b/>
                <w:bCs/>
                <w:color w:val="auto"/>
                <w:spacing w:val="-10"/>
                <w:highlight w:val="none"/>
              </w:rPr>
              <w:t>编</w:t>
            </w:r>
            <w:r>
              <w:rPr>
                <w:color w:val="auto"/>
                <w:spacing w:val="13"/>
                <w:highlight w:val="none"/>
              </w:rPr>
              <w:t xml:space="preserve">  </w:t>
            </w:r>
            <w:r>
              <w:rPr>
                <w:b/>
                <w:bCs/>
                <w:color w:val="auto"/>
                <w:spacing w:val="-10"/>
                <w:highlight w:val="none"/>
              </w:rPr>
              <w:t>列</w:t>
            </w:r>
            <w:r>
              <w:rPr>
                <w:color w:val="auto"/>
                <w:spacing w:val="23"/>
                <w:highlight w:val="none"/>
              </w:rPr>
              <w:t xml:space="preserve">  </w:t>
            </w:r>
            <w:r>
              <w:rPr>
                <w:b/>
                <w:bCs/>
                <w:color w:val="auto"/>
                <w:spacing w:val="-10"/>
                <w:highlight w:val="none"/>
              </w:rPr>
              <w:t>内</w:t>
            </w:r>
            <w:r>
              <w:rPr>
                <w:color w:val="auto"/>
                <w:spacing w:val="12"/>
                <w:highlight w:val="none"/>
              </w:rPr>
              <w:t xml:space="preserve">  </w:t>
            </w:r>
            <w:r>
              <w:rPr>
                <w:b/>
                <w:bCs/>
                <w:color w:val="auto"/>
                <w:spacing w:val="-10"/>
                <w:highlight w:val="none"/>
              </w:rPr>
              <w:t>容</w:t>
            </w:r>
          </w:p>
        </w:tc>
      </w:tr>
      <w:tr w14:paraId="67D6F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013" w:type="dxa"/>
            <w:vAlign w:val="top"/>
          </w:tcPr>
          <w:p w14:paraId="7551C45C">
            <w:pPr>
              <w:rPr>
                <w:rFonts w:ascii="Arial"/>
                <w:color w:val="auto"/>
                <w:sz w:val="21"/>
                <w:highlight w:val="none"/>
              </w:rPr>
            </w:pPr>
          </w:p>
        </w:tc>
        <w:tc>
          <w:tcPr>
            <w:tcW w:w="2877" w:type="dxa"/>
            <w:vAlign w:val="top"/>
          </w:tcPr>
          <w:p w14:paraId="166D2D99">
            <w:pPr>
              <w:rPr>
                <w:rFonts w:ascii="Arial"/>
                <w:color w:val="auto"/>
                <w:sz w:val="21"/>
                <w:highlight w:val="none"/>
              </w:rPr>
            </w:pPr>
          </w:p>
        </w:tc>
        <w:tc>
          <w:tcPr>
            <w:tcW w:w="4891" w:type="dxa"/>
            <w:vAlign w:val="top"/>
          </w:tcPr>
          <w:p w14:paraId="0312FEAE">
            <w:pPr>
              <w:pStyle w:val="17"/>
              <w:spacing w:before="65" w:line="227" w:lineRule="auto"/>
              <w:ind w:left="330"/>
              <w:rPr>
                <w:color w:val="auto"/>
                <w:highlight w:val="none"/>
              </w:rPr>
            </w:pPr>
            <w:r>
              <w:rPr>
                <w:color w:val="auto"/>
                <w:spacing w:val="9"/>
                <w:highlight w:val="none"/>
              </w:rPr>
              <w:t>采用其他形式时：</w:t>
            </w:r>
            <w:r>
              <w:rPr>
                <w:color w:val="auto"/>
                <w:highlight w:val="none"/>
                <w:u w:val="single" w:color="auto"/>
              </w:rPr>
              <w:t xml:space="preserve">       </w:t>
            </w:r>
            <w:r>
              <w:rPr>
                <w:rFonts w:hint="eastAsia"/>
                <w:color w:val="auto"/>
                <w:highlight w:val="none"/>
                <w:u w:val="single" w:color="auto"/>
                <w:lang w:val="en-US" w:eastAsia="zh-CN"/>
              </w:rPr>
              <w:t>/</w:t>
            </w:r>
            <w:r>
              <w:rPr>
                <w:color w:val="auto"/>
                <w:highlight w:val="none"/>
                <w:u w:val="single" w:color="auto"/>
              </w:rPr>
              <w:t xml:space="preserve">             </w:t>
            </w:r>
          </w:p>
          <w:p w14:paraId="18298794">
            <w:pPr>
              <w:pStyle w:val="17"/>
              <w:spacing w:before="155" w:line="229" w:lineRule="auto"/>
              <w:ind w:left="134"/>
              <w:rPr>
                <w:color w:val="auto"/>
                <w:highlight w:val="none"/>
              </w:rPr>
            </w:pPr>
            <w:r>
              <w:rPr>
                <w:color w:val="auto"/>
                <w:spacing w:val="2"/>
                <w:highlight w:val="none"/>
              </w:rPr>
              <w:t>□不要求</w:t>
            </w:r>
          </w:p>
        </w:tc>
      </w:tr>
      <w:tr w14:paraId="0A7DB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1013" w:type="dxa"/>
            <w:vAlign w:val="top"/>
          </w:tcPr>
          <w:p w14:paraId="22C8F8A9">
            <w:pPr>
              <w:spacing w:line="260" w:lineRule="auto"/>
              <w:rPr>
                <w:rFonts w:ascii="Arial"/>
                <w:color w:val="auto"/>
                <w:sz w:val="21"/>
                <w:highlight w:val="none"/>
              </w:rPr>
            </w:pPr>
          </w:p>
          <w:p w14:paraId="16D257E2">
            <w:pPr>
              <w:pStyle w:val="17"/>
              <w:spacing w:before="65" w:line="268" w:lineRule="exact"/>
              <w:ind w:left="253"/>
              <w:rPr>
                <w:color w:val="auto"/>
                <w:highlight w:val="none"/>
              </w:rPr>
            </w:pPr>
            <w:r>
              <w:rPr>
                <w:color w:val="auto"/>
                <w:spacing w:val="2"/>
                <w:position w:val="1"/>
                <w:highlight w:val="none"/>
              </w:rPr>
              <w:t>3.4.3</w:t>
            </w:r>
          </w:p>
        </w:tc>
        <w:tc>
          <w:tcPr>
            <w:tcW w:w="2877" w:type="dxa"/>
            <w:vAlign w:val="top"/>
          </w:tcPr>
          <w:p w14:paraId="7D5C7F00">
            <w:pPr>
              <w:spacing w:line="260" w:lineRule="auto"/>
              <w:rPr>
                <w:rFonts w:ascii="Arial"/>
                <w:color w:val="auto"/>
                <w:sz w:val="21"/>
                <w:highlight w:val="none"/>
              </w:rPr>
            </w:pPr>
          </w:p>
          <w:p w14:paraId="5238F396">
            <w:pPr>
              <w:pStyle w:val="17"/>
              <w:spacing w:before="65" w:line="228" w:lineRule="auto"/>
              <w:ind w:left="184"/>
              <w:rPr>
                <w:color w:val="auto"/>
                <w:highlight w:val="none"/>
              </w:rPr>
            </w:pPr>
            <w:r>
              <w:rPr>
                <w:color w:val="auto"/>
                <w:spacing w:val="8"/>
                <w:highlight w:val="none"/>
              </w:rPr>
              <w:t>投标保证金的利息计算原则</w:t>
            </w:r>
          </w:p>
        </w:tc>
        <w:tc>
          <w:tcPr>
            <w:tcW w:w="4891" w:type="dxa"/>
            <w:vAlign w:val="top"/>
          </w:tcPr>
          <w:p w14:paraId="262F3FA8">
            <w:pPr>
              <w:pStyle w:val="17"/>
              <w:spacing w:before="139" w:line="301" w:lineRule="auto"/>
              <w:ind w:left="114" w:right="108" w:hanging="1"/>
              <w:rPr>
                <w:color w:val="auto"/>
                <w:highlight w:val="none"/>
              </w:rPr>
            </w:pPr>
            <w:r>
              <w:rPr>
                <w:color w:val="auto"/>
                <w:spacing w:val="18"/>
                <w:highlight w:val="none"/>
              </w:rPr>
              <w:t>利息退还方式按</w:t>
            </w:r>
            <w:r>
              <w:rPr>
                <w:color w:val="auto"/>
                <w:spacing w:val="-75"/>
                <w:highlight w:val="none"/>
              </w:rPr>
              <w:t xml:space="preserve"> </w:t>
            </w:r>
            <w:r>
              <w:rPr>
                <w:color w:val="auto"/>
                <w:spacing w:val="16"/>
                <w:highlight w:val="none"/>
                <w:u w:val="single" w:color="auto"/>
              </w:rPr>
              <w:t xml:space="preserve"> </w:t>
            </w:r>
            <w:r>
              <w:rPr>
                <w:rFonts w:hint="eastAsia"/>
                <w:color w:val="auto"/>
                <w:spacing w:val="16"/>
                <w:highlight w:val="none"/>
                <w:u w:val="single" w:color="auto"/>
                <w:lang w:val="en-US" w:eastAsia="zh-CN"/>
              </w:rPr>
              <w:t>韶关市</w:t>
            </w:r>
            <w:r>
              <w:rPr>
                <w:color w:val="auto"/>
                <w:spacing w:val="16"/>
                <w:highlight w:val="none"/>
                <w:u w:val="single" w:color="auto"/>
              </w:rPr>
              <w:t xml:space="preserve"> </w:t>
            </w:r>
            <w:r>
              <w:rPr>
                <w:color w:val="auto"/>
                <w:spacing w:val="-83"/>
                <w:highlight w:val="none"/>
              </w:rPr>
              <w:t xml:space="preserve"> </w:t>
            </w:r>
            <w:r>
              <w:rPr>
                <w:color w:val="auto"/>
                <w:spacing w:val="18"/>
                <w:highlight w:val="none"/>
              </w:rPr>
              <w:t>公共资源交易中心规定办</w:t>
            </w:r>
            <w:r>
              <w:rPr>
                <w:color w:val="auto"/>
                <w:spacing w:val="-1"/>
                <w:highlight w:val="none"/>
              </w:rPr>
              <w:t>理。</w:t>
            </w:r>
          </w:p>
        </w:tc>
      </w:tr>
      <w:tr w14:paraId="73BB7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4" w:hRule="atLeast"/>
        </w:trPr>
        <w:tc>
          <w:tcPr>
            <w:tcW w:w="1013" w:type="dxa"/>
            <w:vAlign w:val="top"/>
          </w:tcPr>
          <w:p w14:paraId="1872E949">
            <w:pPr>
              <w:spacing w:line="272" w:lineRule="auto"/>
              <w:rPr>
                <w:rFonts w:ascii="Arial"/>
                <w:color w:val="auto"/>
                <w:sz w:val="21"/>
                <w:highlight w:val="none"/>
              </w:rPr>
            </w:pPr>
          </w:p>
          <w:p w14:paraId="2EDF1ECD">
            <w:pPr>
              <w:spacing w:line="272" w:lineRule="auto"/>
              <w:rPr>
                <w:rFonts w:ascii="Arial"/>
                <w:color w:val="auto"/>
                <w:sz w:val="21"/>
                <w:highlight w:val="none"/>
              </w:rPr>
            </w:pPr>
          </w:p>
          <w:p w14:paraId="45B9A884">
            <w:pPr>
              <w:spacing w:line="273" w:lineRule="auto"/>
              <w:rPr>
                <w:rFonts w:ascii="Arial"/>
                <w:color w:val="auto"/>
                <w:sz w:val="21"/>
                <w:highlight w:val="none"/>
              </w:rPr>
            </w:pPr>
          </w:p>
          <w:p w14:paraId="26239331">
            <w:pPr>
              <w:spacing w:line="273" w:lineRule="auto"/>
              <w:rPr>
                <w:rFonts w:ascii="Arial"/>
                <w:color w:val="auto"/>
                <w:sz w:val="21"/>
                <w:highlight w:val="none"/>
              </w:rPr>
            </w:pPr>
          </w:p>
          <w:p w14:paraId="77B6737B">
            <w:pPr>
              <w:spacing w:line="273" w:lineRule="auto"/>
              <w:rPr>
                <w:rFonts w:ascii="Arial"/>
                <w:color w:val="auto"/>
                <w:sz w:val="21"/>
                <w:highlight w:val="none"/>
              </w:rPr>
            </w:pPr>
          </w:p>
          <w:p w14:paraId="14091E64">
            <w:pPr>
              <w:pStyle w:val="17"/>
              <w:spacing w:before="65" w:line="267" w:lineRule="exact"/>
              <w:ind w:left="253"/>
              <w:rPr>
                <w:color w:val="auto"/>
                <w:highlight w:val="none"/>
              </w:rPr>
            </w:pPr>
            <w:r>
              <w:rPr>
                <w:color w:val="auto"/>
                <w:spacing w:val="2"/>
                <w:position w:val="1"/>
                <w:highlight w:val="none"/>
              </w:rPr>
              <w:t>3.4.4</w:t>
            </w:r>
          </w:p>
        </w:tc>
        <w:tc>
          <w:tcPr>
            <w:tcW w:w="2877" w:type="dxa"/>
            <w:vAlign w:val="top"/>
          </w:tcPr>
          <w:p w14:paraId="6CB0A4E9">
            <w:pPr>
              <w:spacing w:line="291" w:lineRule="auto"/>
              <w:rPr>
                <w:rFonts w:ascii="Arial"/>
                <w:color w:val="auto"/>
                <w:sz w:val="21"/>
                <w:highlight w:val="none"/>
              </w:rPr>
            </w:pPr>
          </w:p>
          <w:p w14:paraId="422FAD97">
            <w:pPr>
              <w:spacing w:line="291" w:lineRule="auto"/>
              <w:rPr>
                <w:rFonts w:ascii="Arial"/>
                <w:color w:val="auto"/>
                <w:sz w:val="21"/>
                <w:highlight w:val="none"/>
              </w:rPr>
            </w:pPr>
          </w:p>
          <w:p w14:paraId="27E73C27">
            <w:pPr>
              <w:spacing w:line="291" w:lineRule="auto"/>
              <w:rPr>
                <w:rFonts w:ascii="Arial"/>
                <w:color w:val="auto"/>
                <w:sz w:val="21"/>
                <w:highlight w:val="none"/>
              </w:rPr>
            </w:pPr>
          </w:p>
          <w:p w14:paraId="67595A16">
            <w:pPr>
              <w:spacing w:line="292" w:lineRule="auto"/>
              <w:rPr>
                <w:rFonts w:ascii="Arial"/>
                <w:color w:val="auto"/>
                <w:sz w:val="21"/>
                <w:highlight w:val="none"/>
              </w:rPr>
            </w:pPr>
          </w:p>
          <w:p w14:paraId="396AF5B3">
            <w:pPr>
              <w:pStyle w:val="17"/>
              <w:spacing w:before="65" w:line="228" w:lineRule="auto"/>
              <w:ind w:left="182"/>
              <w:rPr>
                <w:color w:val="auto"/>
                <w:highlight w:val="none"/>
              </w:rPr>
            </w:pPr>
            <w:r>
              <w:rPr>
                <w:color w:val="auto"/>
                <w:spacing w:val="9"/>
                <w:highlight w:val="none"/>
              </w:rPr>
              <w:t>其他可以不予退还投标保证</w:t>
            </w:r>
          </w:p>
          <w:p w14:paraId="7183ADB3">
            <w:pPr>
              <w:pStyle w:val="17"/>
              <w:spacing w:before="151" w:line="228" w:lineRule="auto"/>
              <w:ind w:left="1023"/>
              <w:rPr>
                <w:color w:val="auto"/>
                <w:highlight w:val="none"/>
              </w:rPr>
            </w:pPr>
            <w:r>
              <w:rPr>
                <w:color w:val="auto"/>
                <w:spacing w:val="6"/>
                <w:highlight w:val="none"/>
              </w:rPr>
              <w:t>金的情形</w:t>
            </w:r>
          </w:p>
        </w:tc>
        <w:tc>
          <w:tcPr>
            <w:tcW w:w="4891" w:type="dxa"/>
            <w:vAlign w:val="top"/>
          </w:tcPr>
          <w:p w14:paraId="6CB1F267">
            <w:pPr>
              <w:pStyle w:val="17"/>
              <w:spacing w:before="237" w:line="228" w:lineRule="auto"/>
              <w:ind w:left="123"/>
              <w:rPr>
                <w:color w:val="auto"/>
                <w:highlight w:val="none"/>
              </w:rPr>
            </w:pPr>
            <w:r>
              <w:rPr>
                <w:color w:val="auto"/>
                <w:spacing w:val="7"/>
                <w:highlight w:val="none"/>
              </w:rPr>
              <w:t>（4）串通投标；或</w:t>
            </w:r>
          </w:p>
          <w:p w14:paraId="3E96DC0D">
            <w:pPr>
              <w:pStyle w:val="17"/>
              <w:spacing w:before="154" w:line="297" w:lineRule="auto"/>
              <w:ind w:left="129" w:right="110" w:hanging="6"/>
              <w:rPr>
                <w:color w:val="auto"/>
                <w:highlight w:val="none"/>
              </w:rPr>
            </w:pPr>
            <w:r>
              <w:rPr>
                <w:color w:val="auto"/>
                <w:spacing w:val="14"/>
                <w:highlight w:val="none"/>
              </w:rPr>
              <w:t>（5）评标、</w:t>
            </w:r>
            <w:r>
              <w:rPr>
                <w:color w:val="auto"/>
                <w:spacing w:val="-57"/>
                <w:highlight w:val="none"/>
              </w:rPr>
              <w:t xml:space="preserve"> </w:t>
            </w:r>
            <w:r>
              <w:rPr>
                <w:color w:val="auto"/>
                <w:spacing w:val="14"/>
                <w:highlight w:val="none"/>
              </w:rPr>
              <w:t>中标候选人公示、签订合同前等环节</w:t>
            </w:r>
            <w:r>
              <w:rPr>
                <w:color w:val="auto"/>
                <w:spacing w:val="8"/>
                <w:highlight w:val="none"/>
              </w:rPr>
              <w:t>因作假而被取消中标资格；或</w:t>
            </w:r>
          </w:p>
          <w:p w14:paraId="51DF65DF">
            <w:pPr>
              <w:pStyle w:val="17"/>
              <w:spacing w:before="154" w:line="228" w:lineRule="auto"/>
              <w:ind w:left="123"/>
              <w:rPr>
                <w:color w:val="auto"/>
                <w:highlight w:val="none"/>
              </w:rPr>
            </w:pPr>
            <w:r>
              <w:rPr>
                <w:color w:val="auto"/>
                <w:spacing w:val="8"/>
                <w:highlight w:val="none"/>
              </w:rPr>
              <w:t>（6）因投诉属实取消投标资格的；或</w:t>
            </w:r>
          </w:p>
          <w:p w14:paraId="631C6AD3">
            <w:pPr>
              <w:pStyle w:val="17"/>
              <w:spacing w:before="155" w:line="299" w:lineRule="auto"/>
              <w:ind w:left="115" w:right="161" w:firstLine="7"/>
              <w:rPr>
                <w:color w:val="auto"/>
                <w:highlight w:val="none"/>
              </w:rPr>
            </w:pPr>
            <w:r>
              <w:rPr>
                <w:color w:val="auto"/>
                <w:spacing w:val="13"/>
                <w:highlight w:val="none"/>
              </w:rPr>
              <w:t>（7）其他违反规定、妨碍公平竞争准则的行为；</w:t>
            </w:r>
            <w:r>
              <w:rPr>
                <w:color w:val="auto"/>
                <w:highlight w:val="none"/>
              </w:rPr>
              <w:t>或</w:t>
            </w:r>
          </w:p>
          <w:p w14:paraId="5051EF7C">
            <w:pPr>
              <w:pStyle w:val="17"/>
              <w:spacing w:before="150"/>
              <w:ind w:left="123"/>
              <w:rPr>
                <w:color w:val="auto"/>
                <w:highlight w:val="none"/>
              </w:rPr>
            </w:pPr>
            <w:r>
              <w:rPr>
                <w:color w:val="auto"/>
                <w:spacing w:val="2"/>
                <w:highlight w:val="none"/>
              </w:rPr>
              <w:t>（8）</w:t>
            </w:r>
            <w:r>
              <w:rPr>
                <w:color w:val="auto"/>
                <w:highlight w:val="none"/>
                <w:u w:val="single" w:color="auto"/>
              </w:rPr>
              <w:t xml:space="preserve">    </w:t>
            </w:r>
            <w:r>
              <w:rPr>
                <w:rFonts w:hint="eastAsia"/>
                <w:color w:val="auto"/>
                <w:highlight w:val="none"/>
                <w:u w:val="single" w:color="auto"/>
                <w:lang w:val="en-US" w:eastAsia="zh-CN"/>
              </w:rPr>
              <w:t>/</w:t>
            </w:r>
            <w:r>
              <w:rPr>
                <w:color w:val="auto"/>
                <w:highlight w:val="none"/>
                <w:u w:val="single" w:color="auto"/>
              </w:rPr>
              <w:t xml:space="preserve">      </w:t>
            </w:r>
          </w:p>
        </w:tc>
      </w:tr>
      <w:tr w14:paraId="61B4B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13" w:type="dxa"/>
            <w:vAlign w:val="top"/>
          </w:tcPr>
          <w:p w14:paraId="21BFFE12">
            <w:pPr>
              <w:spacing w:line="276" w:lineRule="auto"/>
              <w:rPr>
                <w:rFonts w:ascii="Arial"/>
                <w:color w:val="auto"/>
                <w:sz w:val="21"/>
                <w:highlight w:val="none"/>
              </w:rPr>
            </w:pPr>
          </w:p>
          <w:p w14:paraId="49303985">
            <w:pPr>
              <w:pStyle w:val="17"/>
              <w:spacing w:before="65" w:line="268" w:lineRule="exact"/>
              <w:ind w:left="359"/>
              <w:rPr>
                <w:color w:val="auto"/>
                <w:highlight w:val="none"/>
              </w:rPr>
            </w:pPr>
            <w:r>
              <w:rPr>
                <w:color w:val="auto"/>
                <w:spacing w:val="1"/>
                <w:position w:val="1"/>
                <w:highlight w:val="none"/>
              </w:rPr>
              <w:t>3.5</w:t>
            </w:r>
          </w:p>
        </w:tc>
        <w:tc>
          <w:tcPr>
            <w:tcW w:w="2877" w:type="dxa"/>
            <w:vAlign w:val="top"/>
          </w:tcPr>
          <w:p w14:paraId="0B8DE3C2">
            <w:pPr>
              <w:spacing w:line="276" w:lineRule="auto"/>
              <w:rPr>
                <w:rFonts w:ascii="Arial"/>
                <w:color w:val="auto"/>
                <w:sz w:val="21"/>
                <w:highlight w:val="none"/>
              </w:rPr>
            </w:pPr>
          </w:p>
          <w:p w14:paraId="5851F285">
            <w:pPr>
              <w:pStyle w:val="17"/>
              <w:spacing w:before="65" w:line="228" w:lineRule="auto"/>
              <w:ind w:left="296"/>
              <w:rPr>
                <w:color w:val="auto"/>
                <w:highlight w:val="none"/>
              </w:rPr>
            </w:pPr>
            <w:r>
              <w:rPr>
                <w:color w:val="auto"/>
                <w:spacing w:val="8"/>
                <w:highlight w:val="none"/>
              </w:rPr>
              <w:t>资格审查资料的特殊要求</w:t>
            </w:r>
          </w:p>
        </w:tc>
        <w:tc>
          <w:tcPr>
            <w:tcW w:w="4891" w:type="dxa"/>
            <w:vAlign w:val="top"/>
          </w:tcPr>
          <w:p w14:paraId="16303193">
            <w:pPr>
              <w:pStyle w:val="17"/>
              <w:spacing w:before="142" w:line="228" w:lineRule="auto"/>
              <w:ind w:left="134"/>
              <w:rPr>
                <w:color w:val="auto"/>
                <w:highlight w:val="none"/>
              </w:rPr>
            </w:pPr>
            <w:r>
              <w:rPr>
                <w:rFonts w:hint="eastAsia"/>
                <w:color w:val="auto"/>
                <w:spacing w:val="-5"/>
                <w:highlight w:val="none"/>
                <w:lang w:eastAsia="zh-CN"/>
              </w:rPr>
              <w:t>☑</w:t>
            </w:r>
            <w:r>
              <w:rPr>
                <w:color w:val="auto"/>
                <w:spacing w:val="-5"/>
                <w:highlight w:val="none"/>
              </w:rPr>
              <w:t>无</w:t>
            </w:r>
          </w:p>
          <w:p w14:paraId="50236DD7">
            <w:pPr>
              <w:pStyle w:val="17"/>
              <w:spacing w:before="153" w:line="228" w:lineRule="auto"/>
              <w:ind w:left="134"/>
              <w:rPr>
                <w:color w:val="auto"/>
                <w:highlight w:val="none"/>
              </w:rPr>
            </w:pPr>
            <w:r>
              <w:rPr>
                <w:color w:val="auto"/>
                <w:spacing w:val="6"/>
                <w:highlight w:val="none"/>
              </w:rPr>
              <w:t>□有，具体要求：</w:t>
            </w:r>
            <w:r>
              <w:rPr>
                <w:color w:val="auto"/>
                <w:highlight w:val="none"/>
                <w:u w:val="single" w:color="auto"/>
              </w:rPr>
              <w:t xml:space="preserve">     </w:t>
            </w:r>
            <w:r>
              <w:rPr>
                <w:rFonts w:hint="eastAsia"/>
                <w:color w:val="auto"/>
                <w:highlight w:val="none"/>
                <w:u w:val="single" w:color="auto"/>
                <w:lang w:val="en-US" w:eastAsia="zh-CN"/>
              </w:rPr>
              <w:t>/</w:t>
            </w:r>
            <w:r>
              <w:rPr>
                <w:color w:val="auto"/>
                <w:highlight w:val="none"/>
                <w:u w:val="single" w:color="auto"/>
              </w:rPr>
              <w:t xml:space="preserve">    </w:t>
            </w:r>
          </w:p>
        </w:tc>
      </w:tr>
      <w:tr w14:paraId="4E438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1013" w:type="dxa"/>
            <w:vAlign w:val="top"/>
          </w:tcPr>
          <w:p w14:paraId="6C854F6E">
            <w:pPr>
              <w:spacing w:line="277" w:lineRule="auto"/>
              <w:rPr>
                <w:rFonts w:ascii="Arial"/>
                <w:color w:val="auto"/>
                <w:sz w:val="21"/>
                <w:highlight w:val="none"/>
              </w:rPr>
            </w:pPr>
          </w:p>
          <w:p w14:paraId="56240684">
            <w:pPr>
              <w:spacing w:line="277" w:lineRule="auto"/>
              <w:rPr>
                <w:rFonts w:ascii="Arial"/>
                <w:color w:val="auto"/>
                <w:sz w:val="21"/>
                <w:highlight w:val="none"/>
              </w:rPr>
            </w:pPr>
          </w:p>
          <w:p w14:paraId="0B3422D8">
            <w:pPr>
              <w:spacing w:line="277" w:lineRule="auto"/>
              <w:rPr>
                <w:rFonts w:ascii="Arial"/>
                <w:color w:val="auto"/>
                <w:sz w:val="21"/>
                <w:highlight w:val="none"/>
              </w:rPr>
            </w:pPr>
          </w:p>
          <w:p w14:paraId="6404FBA9">
            <w:pPr>
              <w:spacing w:line="278" w:lineRule="auto"/>
              <w:rPr>
                <w:rFonts w:ascii="Arial"/>
                <w:color w:val="auto"/>
                <w:sz w:val="21"/>
                <w:highlight w:val="none"/>
              </w:rPr>
            </w:pPr>
          </w:p>
          <w:p w14:paraId="34A129F4">
            <w:pPr>
              <w:spacing w:line="278" w:lineRule="auto"/>
              <w:rPr>
                <w:rFonts w:ascii="Arial"/>
                <w:color w:val="auto"/>
                <w:sz w:val="21"/>
                <w:highlight w:val="none"/>
              </w:rPr>
            </w:pPr>
          </w:p>
          <w:p w14:paraId="7744E49E">
            <w:pPr>
              <w:spacing w:line="278" w:lineRule="auto"/>
              <w:rPr>
                <w:rFonts w:ascii="Arial"/>
                <w:color w:val="auto"/>
                <w:sz w:val="21"/>
                <w:highlight w:val="none"/>
              </w:rPr>
            </w:pPr>
          </w:p>
          <w:p w14:paraId="51FE4062">
            <w:pPr>
              <w:pStyle w:val="17"/>
              <w:spacing w:before="66" w:line="267" w:lineRule="exact"/>
              <w:ind w:left="253"/>
              <w:rPr>
                <w:color w:val="auto"/>
                <w:highlight w:val="none"/>
              </w:rPr>
            </w:pPr>
            <w:r>
              <w:rPr>
                <w:color w:val="auto"/>
                <w:spacing w:val="2"/>
                <w:position w:val="1"/>
                <w:highlight w:val="none"/>
              </w:rPr>
              <w:t>3.5.2</w:t>
            </w:r>
          </w:p>
        </w:tc>
        <w:tc>
          <w:tcPr>
            <w:tcW w:w="2877" w:type="dxa"/>
            <w:vAlign w:val="top"/>
          </w:tcPr>
          <w:p w14:paraId="5A9CB084">
            <w:pPr>
              <w:spacing w:line="244" w:lineRule="auto"/>
              <w:rPr>
                <w:rFonts w:ascii="Arial"/>
                <w:color w:val="auto"/>
                <w:sz w:val="21"/>
                <w:highlight w:val="none"/>
              </w:rPr>
            </w:pPr>
          </w:p>
          <w:p w14:paraId="244244E5">
            <w:pPr>
              <w:spacing w:line="244" w:lineRule="auto"/>
              <w:rPr>
                <w:rFonts w:ascii="Arial"/>
                <w:color w:val="auto"/>
                <w:sz w:val="21"/>
                <w:highlight w:val="none"/>
              </w:rPr>
            </w:pPr>
          </w:p>
          <w:p w14:paraId="2CB21F08">
            <w:pPr>
              <w:spacing w:line="244" w:lineRule="auto"/>
              <w:rPr>
                <w:rFonts w:ascii="Arial"/>
                <w:color w:val="auto"/>
                <w:sz w:val="21"/>
                <w:highlight w:val="none"/>
              </w:rPr>
            </w:pPr>
          </w:p>
          <w:p w14:paraId="3CCA1107">
            <w:pPr>
              <w:spacing w:line="245" w:lineRule="auto"/>
              <w:rPr>
                <w:rFonts w:ascii="Arial"/>
                <w:color w:val="auto"/>
                <w:sz w:val="21"/>
                <w:highlight w:val="none"/>
              </w:rPr>
            </w:pPr>
          </w:p>
          <w:p w14:paraId="167F8513">
            <w:pPr>
              <w:spacing w:line="245" w:lineRule="auto"/>
              <w:rPr>
                <w:rFonts w:ascii="Arial"/>
                <w:color w:val="auto"/>
                <w:sz w:val="21"/>
                <w:highlight w:val="none"/>
              </w:rPr>
            </w:pPr>
          </w:p>
          <w:p w14:paraId="71FC7995">
            <w:pPr>
              <w:spacing w:line="245" w:lineRule="auto"/>
              <w:rPr>
                <w:rFonts w:ascii="Arial"/>
                <w:color w:val="auto"/>
                <w:sz w:val="21"/>
                <w:highlight w:val="none"/>
              </w:rPr>
            </w:pPr>
          </w:p>
          <w:p w14:paraId="323C4011">
            <w:pPr>
              <w:pStyle w:val="17"/>
              <w:spacing w:before="65" w:line="228" w:lineRule="auto"/>
              <w:ind w:left="181"/>
              <w:rPr>
                <w:color w:val="auto"/>
                <w:highlight w:val="none"/>
              </w:rPr>
            </w:pPr>
            <w:r>
              <w:rPr>
                <w:color w:val="auto"/>
                <w:spacing w:val="9"/>
                <w:highlight w:val="none"/>
              </w:rPr>
              <w:t>近年完成的类似项目情况的</w:t>
            </w:r>
          </w:p>
          <w:p w14:paraId="6605572E">
            <w:pPr>
              <w:pStyle w:val="17"/>
              <w:spacing w:before="154" w:line="229" w:lineRule="auto"/>
              <w:ind w:left="1031"/>
              <w:rPr>
                <w:color w:val="auto"/>
                <w:highlight w:val="none"/>
              </w:rPr>
            </w:pPr>
            <w:r>
              <w:rPr>
                <w:color w:val="auto"/>
                <w:spacing w:val="4"/>
                <w:highlight w:val="none"/>
              </w:rPr>
              <w:t>时间要求</w:t>
            </w:r>
          </w:p>
        </w:tc>
        <w:tc>
          <w:tcPr>
            <w:tcW w:w="4891" w:type="dxa"/>
            <w:vAlign w:val="top"/>
          </w:tcPr>
          <w:p w14:paraId="326F1394">
            <w:pPr>
              <w:pStyle w:val="17"/>
              <w:tabs>
                <w:tab w:val="left" w:pos="840"/>
              </w:tabs>
              <w:spacing w:before="142" w:line="369" w:lineRule="auto"/>
              <w:ind w:left="113" w:right="109" w:firstLine="411"/>
              <w:rPr>
                <w:color w:val="auto"/>
                <w:highlight w:val="none"/>
              </w:rPr>
            </w:pPr>
            <w:r>
              <w:rPr>
                <w:rFonts w:hint="eastAsia"/>
                <w:color w:val="auto"/>
                <w:highlight w:val="none"/>
                <w:u w:val="single" w:color="auto"/>
                <w:lang w:val="en-US" w:eastAsia="zh-CN"/>
              </w:rPr>
              <w:t>2021</w:t>
            </w:r>
            <w:r>
              <w:rPr>
                <w:color w:val="auto"/>
                <w:spacing w:val="-80"/>
                <w:highlight w:val="none"/>
              </w:rPr>
              <w:t xml:space="preserve"> </w:t>
            </w:r>
            <w:r>
              <w:rPr>
                <w:color w:val="auto"/>
                <w:spacing w:val="4"/>
                <w:highlight w:val="none"/>
              </w:rPr>
              <w:t>年</w:t>
            </w:r>
            <w:r>
              <w:rPr>
                <w:color w:val="auto"/>
                <w:spacing w:val="4"/>
                <w:highlight w:val="none"/>
                <w:u w:val="single" w:color="auto"/>
              </w:rPr>
              <w:t xml:space="preserve"> </w:t>
            </w:r>
            <w:r>
              <w:rPr>
                <w:rFonts w:hint="eastAsia"/>
                <w:color w:val="auto"/>
                <w:spacing w:val="4"/>
                <w:highlight w:val="none"/>
                <w:u w:val="single" w:color="auto"/>
                <w:lang w:val="en-US" w:eastAsia="zh-CN"/>
              </w:rPr>
              <w:t>1</w:t>
            </w:r>
            <w:r>
              <w:rPr>
                <w:color w:val="auto"/>
                <w:spacing w:val="4"/>
                <w:highlight w:val="none"/>
                <w:u w:val="single" w:color="auto"/>
              </w:rPr>
              <w:t xml:space="preserve"> </w:t>
            </w:r>
            <w:r>
              <w:rPr>
                <w:color w:val="auto"/>
                <w:spacing w:val="4"/>
                <w:highlight w:val="none"/>
              </w:rPr>
              <w:t>月</w:t>
            </w:r>
            <w:r>
              <w:rPr>
                <w:color w:val="auto"/>
                <w:spacing w:val="-98"/>
                <w:highlight w:val="none"/>
              </w:rPr>
              <w:t xml:space="preserve"> </w:t>
            </w:r>
            <w:r>
              <w:rPr>
                <w:color w:val="auto"/>
                <w:spacing w:val="4"/>
                <w:highlight w:val="none"/>
                <w:u w:val="single" w:color="auto"/>
              </w:rPr>
              <w:t xml:space="preserve"> </w:t>
            </w:r>
            <w:r>
              <w:rPr>
                <w:rFonts w:hint="eastAsia"/>
                <w:color w:val="auto"/>
                <w:spacing w:val="4"/>
                <w:highlight w:val="none"/>
                <w:u w:val="single" w:color="auto"/>
                <w:lang w:val="en-US" w:eastAsia="zh-CN"/>
              </w:rPr>
              <w:t>1</w:t>
            </w:r>
            <w:r>
              <w:rPr>
                <w:color w:val="auto"/>
                <w:spacing w:val="4"/>
                <w:highlight w:val="none"/>
                <w:u w:val="single" w:color="auto"/>
              </w:rPr>
              <w:t xml:space="preserve"> </w:t>
            </w:r>
            <w:r>
              <w:rPr>
                <w:color w:val="auto"/>
                <w:spacing w:val="-53"/>
                <w:highlight w:val="none"/>
              </w:rPr>
              <w:t xml:space="preserve"> </w:t>
            </w:r>
            <w:r>
              <w:rPr>
                <w:color w:val="auto"/>
                <w:spacing w:val="4"/>
                <w:highlight w:val="none"/>
              </w:rPr>
              <w:t>日至投标文件递交截止日（近</w:t>
            </w:r>
            <w:r>
              <w:rPr>
                <w:color w:val="auto"/>
                <w:spacing w:val="-35"/>
                <w:highlight w:val="none"/>
              </w:rPr>
              <w:t xml:space="preserve"> </w:t>
            </w:r>
            <w:r>
              <w:rPr>
                <w:color w:val="auto"/>
                <w:spacing w:val="4"/>
                <w:highlight w:val="none"/>
              </w:rPr>
              <w:t>5</w:t>
            </w:r>
            <w:r>
              <w:rPr>
                <w:color w:val="auto"/>
                <w:highlight w:val="none"/>
              </w:rPr>
              <w:t>年</w:t>
            </w:r>
            <w:r>
              <w:rPr>
                <w:color w:val="auto"/>
                <w:spacing w:val="6"/>
                <w:highlight w:val="none"/>
              </w:rPr>
              <w:t>），</w:t>
            </w:r>
            <w:r>
              <w:rPr>
                <w:color w:val="auto"/>
                <w:spacing w:val="-60"/>
                <w:highlight w:val="none"/>
              </w:rPr>
              <w:t xml:space="preserve"> </w:t>
            </w:r>
            <w:r>
              <w:rPr>
                <w:color w:val="auto"/>
                <w:highlight w:val="none"/>
              </w:rPr>
              <w:t>以</w:t>
            </w:r>
          </w:p>
          <w:p w14:paraId="74CF59B6">
            <w:pPr>
              <w:pStyle w:val="17"/>
              <w:spacing w:before="1" w:line="298" w:lineRule="auto"/>
              <w:ind w:left="115" w:right="161" w:firstLine="438"/>
              <w:rPr>
                <w:color w:val="auto"/>
                <w:highlight w:val="none"/>
              </w:rPr>
            </w:pPr>
            <w:r>
              <w:rPr>
                <w:rFonts w:hint="eastAsia"/>
                <w:color w:val="auto"/>
                <w:spacing w:val="7"/>
                <w:highlight w:val="none"/>
                <w:lang w:eastAsia="zh-CN"/>
              </w:rPr>
              <w:t>□</w:t>
            </w:r>
            <w:r>
              <w:rPr>
                <w:color w:val="auto"/>
                <w:spacing w:val="7"/>
                <w:highlight w:val="none"/>
                <w:u w:val="single" w:color="auto"/>
              </w:rPr>
              <w:t>“全国公路建设市场监督管理系统</w:t>
            </w:r>
            <w:r>
              <w:rPr>
                <w:color w:val="auto"/>
                <w:spacing w:val="-70"/>
                <w:highlight w:val="none"/>
                <w:u w:val="single" w:color="auto"/>
              </w:rPr>
              <w:t xml:space="preserve"> </w:t>
            </w:r>
            <w:r>
              <w:rPr>
                <w:color w:val="auto"/>
                <w:spacing w:val="7"/>
                <w:highlight w:val="none"/>
                <w:u w:val="single" w:color="auto"/>
              </w:rPr>
              <w:t>”上的交</w:t>
            </w:r>
            <w:r>
              <w:rPr>
                <w:color w:val="auto"/>
                <w:spacing w:val="9"/>
                <w:highlight w:val="none"/>
                <w:u w:val="single" w:color="auto"/>
              </w:rPr>
              <w:t>工验收或未交工验收一次性竣工验收的时间为准。</w:t>
            </w:r>
          </w:p>
          <w:p w14:paraId="7B7D556F">
            <w:pPr>
              <w:pStyle w:val="17"/>
              <w:spacing w:before="152" w:line="334" w:lineRule="auto"/>
              <w:ind w:left="114" w:right="8" w:firstLine="439"/>
              <w:rPr>
                <w:color w:val="auto"/>
                <w:highlight w:val="none"/>
              </w:rPr>
            </w:pPr>
            <w:r>
              <w:rPr>
                <w:rFonts w:hint="eastAsia"/>
                <w:color w:val="auto"/>
                <w:spacing w:val="9"/>
                <w:highlight w:val="none"/>
                <w:lang w:eastAsia="zh-CN"/>
              </w:rPr>
              <w:t>☑</w:t>
            </w:r>
            <w:r>
              <w:rPr>
                <w:color w:val="auto"/>
                <w:spacing w:val="9"/>
                <w:highlight w:val="none"/>
                <w:u w:val="single" w:color="auto"/>
              </w:rPr>
              <w:t>“全国公路建设市场监督管理系统</w:t>
            </w:r>
            <w:r>
              <w:rPr>
                <w:color w:val="auto"/>
                <w:spacing w:val="-58"/>
                <w:highlight w:val="none"/>
                <w:u w:val="single" w:color="auto"/>
              </w:rPr>
              <w:t xml:space="preserve"> </w:t>
            </w:r>
            <w:r>
              <w:rPr>
                <w:color w:val="auto"/>
                <w:spacing w:val="9"/>
                <w:highlight w:val="none"/>
                <w:u w:val="single" w:color="auto"/>
              </w:rPr>
              <w:t>”或省级</w:t>
            </w:r>
            <w:r>
              <w:rPr>
                <w:color w:val="auto"/>
                <w:spacing w:val="15"/>
                <w:highlight w:val="none"/>
                <w:u w:val="single" w:color="auto"/>
              </w:rPr>
              <w:t>交通运输主管部门“公路建设市场监督管理系统</w:t>
            </w:r>
            <w:r>
              <w:rPr>
                <w:color w:val="auto"/>
                <w:spacing w:val="-68"/>
                <w:highlight w:val="none"/>
                <w:u w:val="single" w:color="auto"/>
              </w:rPr>
              <w:t xml:space="preserve"> </w:t>
            </w:r>
            <w:r>
              <w:rPr>
                <w:color w:val="auto"/>
                <w:spacing w:val="15"/>
                <w:highlight w:val="none"/>
                <w:u w:val="single" w:color="auto"/>
              </w:rPr>
              <w:t>”</w:t>
            </w:r>
            <w:r>
              <w:rPr>
                <w:color w:val="auto"/>
                <w:spacing w:val="12"/>
                <w:highlight w:val="none"/>
                <w:u w:val="single" w:color="auto"/>
              </w:rPr>
              <w:t>上的交工验收或未交工验收一次性竣工验收</w:t>
            </w:r>
            <w:r>
              <w:rPr>
                <w:color w:val="auto"/>
                <w:spacing w:val="11"/>
                <w:highlight w:val="none"/>
                <w:u w:val="single" w:color="auto"/>
              </w:rPr>
              <w:t>的时间</w:t>
            </w:r>
            <w:r>
              <w:rPr>
                <w:color w:val="auto"/>
                <w:spacing w:val="2"/>
                <w:highlight w:val="none"/>
                <w:u w:val="single" w:color="auto"/>
              </w:rPr>
              <w:t>为准</w:t>
            </w:r>
            <w:r>
              <w:rPr>
                <w:color w:val="auto"/>
                <w:spacing w:val="2"/>
                <w:highlight w:val="none"/>
              </w:rPr>
              <w:t>。</w:t>
            </w:r>
          </w:p>
          <w:p w14:paraId="6EE53A4D">
            <w:pPr>
              <w:pStyle w:val="17"/>
              <w:spacing w:before="152" w:line="221" w:lineRule="auto"/>
              <w:ind w:left="554"/>
              <w:rPr>
                <w:color w:val="auto"/>
                <w:highlight w:val="none"/>
              </w:rPr>
            </w:pPr>
            <w:r>
              <w:rPr>
                <w:color w:val="auto"/>
                <w:spacing w:val="6"/>
                <w:highlight w:val="none"/>
              </w:rPr>
              <w:t>□</w:t>
            </w:r>
            <w:r>
              <w:rPr>
                <w:rFonts w:ascii="MingLiU-ExtB" w:hAnsi="MingLiU-ExtB" w:eastAsia="MingLiU-ExtB" w:cs="MingLiU-ExtB"/>
                <w:color w:val="auto"/>
                <w:highlight w:val="none"/>
                <w:u w:val="single" w:color="auto"/>
              </w:rPr>
              <w:t>XX</w:t>
            </w:r>
            <w:r>
              <w:rPr>
                <w:rFonts w:ascii="MingLiU-ExtB" w:hAnsi="MingLiU-ExtB" w:eastAsia="MingLiU-ExtB" w:cs="MingLiU-ExtB"/>
                <w:color w:val="auto"/>
                <w:spacing w:val="-32"/>
                <w:highlight w:val="none"/>
                <w:u w:val="single" w:color="auto"/>
              </w:rPr>
              <w:t xml:space="preserve"> </w:t>
            </w:r>
            <w:r>
              <w:rPr>
                <w:color w:val="auto"/>
                <w:spacing w:val="6"/>
                <w:highlight w:val="none"/>
                <w:u w:val="single" w:color="auto"/>
              </w:rPr>
              <w:t>证明材料签发时间为准</w:t>
            </w:r>
            <w:r>
              <w:rPr>
                <w:color w:val="auto"/>
                <w:spacing w:val="6"/>
                <w:highlight w:val="none"/>
              </w:rPr>
              <w:t>。</w:t>
            </w:r>
          </w:p>
        </w:tc>
      </w:tr>
      <w:tr w14:paraId="7EA13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13" w:type="dxa"/>
            <w:vAlign w:val="top"/>
          </w:tcPr>
          <w:p w14:paraId="431ADEFB">
            <w:pPr>
              <w:spacing w:line="276" w:lineRule="auto"/>
              <w:rPr>
                <w:rFonts w:ascii="Arial"/>
                <w:color w:val="auto"/>
                <w:sz w:val="21"/>
                <w:highlight w:val="none"/>
              </w:rPr>
            </w:pPr>
          </w:p>
          <w:p w14:paraId="46D778AE">
            <w:pPr>
              <w:pStyle w:val="17"/>
              <w:spacing w:before="65" w:line="268" w:lineRule="exact"/>
              <w:ind w:left="253"/>
              <w:rPr>
                <w:color w:val="auto"/>
                <w:highlight w:val="none"/>
              </w:rPr>
            </w:pPr>
            <w:r>
              <w:rPr>
                <w:color w:val="auto"/>
                <w:spacing w:val="2"/>
                <w:position w:val="1"/>
                <w:highlight w:val="none"/>
              </w:rPr>
              <w:t>3.6.1</w:t>
            </w:r>
          </w:p>
        </w:tc>
        <w:tc>
          <w:tcPr>
            <w:tcW w:w="2877" w:type="dxa"/>
            <w:vAlign w:val="top"/>
          </w:tcPr>
          <w:p w14:paraId="2A1E4B2C">
            <w:pPr>
              <w:spacing w:line="276" w:lineRule="auto"/>
              <w:rPr>
                <w:rFonts w:ascii="Arial"/>
                <w:color w:val="auto"/>
                <w:sz w:val="21"/>
                <w:highlight w:val="none"/>
              </w:rPr>
            </w:pPr>
          </w:p>
          <w:p w14:paraId="03DC47D8">
            <w:pPr>
              <w:pStyle w:val="17"/>
              <w:spacing w:before="65" w:line="228" w:lineRule="auto"/>
              <w:ind w:left="185"/>
              <w:rPr>
                <w:color w:val="auto"/>
                <w:highlight w:val="none"/>
              </w:rPr>
            </w:pPr>
            <w:r>
              <w:rPr>
                <w:color w:val="auto"/>
                <w:spacing w:val="8"/>
                <w:highlight w:val="none"/>
              </w:rPr>
              <w:t>是否允许递交备选投标方案</w:t>
            </w:r>
          </w:p>
        </w:tc>
        <w:tc>
          <w:tcPr>
            <w:tcW w:w="4891" w:type="dxa"/>
            <w:vAlign w:val="top"/>
          </w:tcPr>
          <w:p w14:paraId="4867E1D5">
            <w:pPr>
              <w:pStyle w:val="17"/>
              <w:spacing w:before="145" w:line="300" w:lineRule="auto"/>
              <w:ind w:left="134" w:right="3941"/>
              <w:rPr>
                <w:color w:val="auto"/>
                <w:highlight w:val="none"/>
              </w:rPr>
            </w:pPr>
            <w:r>
              <w:rPr>
                <w:rFonts w:hint="eastAsia"/>
                <w:color w:val="auto"/>
                <w:spacing w:val="2"/>
                <w:highlight w:val="none"/>
                <w:lang w:eastAsia="zh-CN"/>
              </w:rPr>
              <w:t>☑</w:t>
            </w:r>
            <w:r>
              <w:rPr>
                <w:color w:val="auto"/>
                <w:spacing w:val="2"/>
                <w:highlight w:val="none"/>
              </w:rPr>
              <w:t>不允许</w:t>
            </w:r>
            <w:r>
              <w:rPr>
                <w:color w:val="auto"/>
                <w:spacing w:val="-1"/>
                <w:highlight w:val="none"/>
              </w:rPr>
              <w:t>□允许</w:t>
            </w:r>
          </w:p>
        </w:tc>
      </w:tr>
      <w:tr w14:paraId="55673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1013" w:type="dxa"/>
            <w:vAlign w:val="top"/>
          </w:tcPr>
          <w:p w14:paraId="02668C29">
            <w:pPr>
              <w:spacing w:line="247" w:lineRule="auto"/>
              <w:rPr>
                <w:rFonts w:ascii="Arial"/>
                <w:color w:val="auto"/>
                <w:sz w:val="21"/>
                <w:highlight w:val="none"/>
              </w:rPr>
            </w:pPr>
          </w:p>
          <w:p w14:paraId="4A4A86A2">
            <w:pPr>
              <w:pStyle w:val="17"/>
              <w:spacing w:before="65" w:line="267" w:lineRule="exact"/>
              <w:ind w:left="253"/>
              <w:rPr>
                <w:color w:val="auto"/>
                <w:highlight w:val="none"/>
              </w:rPr>
            </w:pPr>
            <w:r>
              <w:rPr>
                <w:color w:val="auto"/>
                <w:spacing w:val="2"/>
                <w:position w:val="1"/>
                <w:highlight w:val="none"/>
              </w:rPr>
              <w:t>3.7.4</w:t>
            </w:r>
          </w:p>
        </w:tc>
        <w:tc>
          <w:tcPr>
            <w:tcW w:w="2877" w:type="dxa"/>
            <w:vAlign w:val="top"/>
          </w:tcPr>
          <w:p w14:paraId="5663038C">
            <w:pPr>
              <w:spacing w:line="247" w:lineRule="auto"/>
              <w:rPr>
                <w:rFonts w:ascii="Arial"/>
                <w:color w:val="auto"/>
                <w:sz w:val="21"/>
                <w:highlight w:val="none"/>
              </w:rPr>
            </w:pPr>
          </w:p>
          <w:p w14:paraId="5FEDDD87">
            <w:pPr>
              <w:pStyle w:val="17"/>
              <w:spacing w:before="65" w:line="228" w:lineRule="auto"/>
              <w:ind w:left="604"/>
              <w:rPr>
                <w:color w:val="auto"/>
                <w:highlight w:val="none"/>
              </w:rPr>
            </w:pPr>
            <w:r>
              <w:rPr>
                <w:color w:val="auto"/>
                <w:spacing w:val="8"/>
                <w:highlight w:val="none"/>
              </w:rPr>
              <w:t>投标文件其他要求</w:t>
            </w:r>
          </w:p>
        </w:tc>
        <w:tc>
          <w:tcPr>
            <w:tcW w:w="4891" w:type="dxa"/>
            <w:vAlign w:val="center"/>
          </w:tcPr>
          <w:p w14:paraId="0023CB37">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投标文件包括盖有电子公章的加密电子投标文件。</w:t>
            </w:r>
          </w:p>
          <w:p w14:paraId="469D214D">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（1）投标文件的页码起始从封面开始。</w:t>
            </w:r>
          </w:p>
          <w:p w14:paraId="00C8ACD6">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（2）电子投标解密失败及突发情况的补救</w:t>
            </w:r>
          </w:p>
          <w:p w14:paraId="70EF49BC">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 xml:space="preserve">按照交易平台关于全流程电子化项目的相关指引进行操作。详见：全国公共资源交易平台（广东省·韶关市）（https://ygp.gdzwfw.gov.cn/ggzy-portal/#/440200/index）交易指引栏目发布的最新版操作指引。  </w:t>
            </w:r>
          </w:p>
          <w:p w14:paraId="33BA1D18">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在规定时间内，因投标人之外原因(指网络瘫痪、服务器损坏、交易系统故障短期无法恢复)等导致的电子投标文件解密失败，在开标现场解密环节由代理授权后，解密失败投标人可在交易平台在规定时间（代理机构授权后30分钟内）内重新提交投标文件继续开标程序。</w:t>
            </w:r>
          </w:p>
          <w:p w14:paraId="66339E17">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0DC6D996">
            <w:pPr>
              <w:pStyle w:val="17"/>
              <w:tabs>
                <w:tab w:val="left" w:pos="4840"/>
              </w:tabs>
              <w:spacing w:before="1" w:line="300" w:lineRule="auto"/>
              <w:ind w:left="132" w:right="47" w:rightChars="0" w:hanging="17"/>
              <w:rPr>
                <w:color w:val="auto"/>
                <w:spacing w:val="11"/>
                <w:highlight w:val="none"/>
              </w:rPr>
            </w:pPr>
            <w:r>
              <w:rPr>
                <w:rFonts w:hint="eastAsia" w:ascii="宋体" w:hAnsi="宋体" w:eastAsia="宋体" w:cs="宋体"/>
                <w:color w:val="auto"/>
                <w:highlight w:val="none"/>
              </w:rPr>
              <w:t>（3）除发生上述情况外，开标评标均以投标人通过交易平台网上递交的电子投标文件为准。</w:t>
            </w:r>
          </w:p>
        </w:tc>
      </w:tr>
      <w:tr w14:paraId="139E5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8" w:hRule="atLeast"/>
        </w:trPr>
        <w:tc>
          <w:tcPr>
            <w:tcW w:w="1013" w:type="dxa"/>
            <w:vAlign w:val="center"/>
          </w:tcPr>
          <w:p w14:paraId="4E67D3FD">
            <w:pPr>
              <w:pStyle w:val="17"/>
              <w:spacing w:before="65" w:line="268" w:lineRule="exact"/>
              <w:ind w:left="359"/>
              <w:jc w:val="center"/>
              <w:rPr>
                <w:color w:val="auto"/>
                <w:highlight w:val="none"/>
              </w:rPr>
            </w:pPr>
            <w:r>
              <w:rPr>
                <w:color w:val="auto"/>
                <w:spacing w:val="1"/>
                <w:position w:val="1"/>
                <w:highlight w:val="none"/>
              </w:rPr>
              <w:t>5.1</w:t>
            </w:r>
          </w:p>
        </w:tc>
        <w:tc>
          <w:tcPr>
            <w:tcW w:w="2877" w:type="dxa"/>
            <w:vAlign w:val="center"/>
          </w:tcPr>
          <w:p w14:paraId="20CA9943">
            <w:pPr>
              <w:pStyle w:val="17"/>
              <w:spacing w:before="65" w:line="228" w:lineRule="auto"/>
              <w:ind w:left="708"/>
              <w:jc w:val="both"/>
              <w:rPr>
                <w:color w:val="auto"/>
                <w:highlight w:val="none"/>
              </w:rPr>
            </w:pPr>
            <w:r>
              <w:rPr>
                <w:color w:val="auto"/>
                <w:spacing w:val="8"/>
                <w:highlight w:val="none"/>
              </w:rPr>
              <w:t>开标时间和地点</w:t>
            </w:r>
          </w:p>
        </w:tc>
        <w:tc>
          <w:tcPr>
            <w:tcW w:w="4891" w:type="dxa"/>
            <w:vAlign w:val="top"/>
          </w:tcPr>
          <w:p w14:paraId="041600FF">
            <w:pPr>
              <w:pStyle w:val="17"/>
              <w:spacing w:before="1" w:line="300" w:lineRule="auto"/>
              <w:ind w:left="132" w:right="636" w:hanging="17"/>
              <w:rPr>
                <w:rFonts w:hint="eastAsia"/>
                <w:color w:val="auto"/>
                <w:highlight w:val="none"/>
              </w:rPr>
            </w:pPr>
            <w:r>
              <w:rPr>
                <w:rFonts w:hint="eastAsia"/>
                <w:color w:val="auto"/>
                <w:highlight w:val="none"/>
              </w:rPr>
              <w:t>投标人须知正文 5.1 项修改如下：</w:t>
            </w:r>
          </w:p>
          <w:p w14:paraId="7134FDE9">
            <w:pPr>
              <w:pStyle w:val="17"/>
              <w:tabs>
                <w:tab w:val="left" w:pos="4840"/>
              </w:tabs>
              <w:spacing w:before="1" w:line="300" w:lineRule="auto"/>
              <w:ind w:left="132" w:right="47" w:rightChars="0" w:hanging="17"/>
              <w:rPr>
                <w:rFonts w:hint="eastAsia"/>
                <w:color w:val="auto"/>
                <w:highlight w:val="none"/>
              </w:rPr>
            </w:pPr>
            <w:r>
              <w:rPr>
                <w:rFonts w:hint="eastAsia"/>
                <w:color w:val="auto"/>
                <w:highlight w:val="none"/>
              </w:rPr>
              <w:t>投标人无须进行现场签到，可登录交易平台及时观看开标实况、提出异议或进行澄清、确认等操作，对开标事项的异议未在开标期间提出的，招标人不予受理。具体详见招标文件和系统操作手册为准。</w:t>
            </w:r>
          </w:p>
          <w:p w14:paraId="2E9E5EAF">
            <w:pPr>
              <w:pStyle w:val="17"/>
              <w:tabs>
                <w:tab w:val="left" w:pos="4840"/>
              </w:tabs>
              <w:spacing w:before="1" w:line="300" w:lineRule="auto"/>
              <w:ind w:left="132" w:right="47" w:rightChars="0" w:hanging="17"/>
              <w:rPr>
                <w:rFonts w:hint="eastAsia"/>
                <w:color w:val="auto"/>
                <w:highlight w:val="none"/>
              </w:rPr>
            </w:pPr>
            <w:r>
              <w:rPr>
                <w:rFonts w:hint="eastAsia"/>
                <w:color w:val="auto"/>
                <w:highlight w:val="none"/>
              </w:rPr>
              <w:t>投标文件第一个信封（商务及技术文件）开标时间：</w:t>
            </w:r>
          </w:p>
          <w:p w14:paraId="5C9F525C">
            <w:pPr>
              <w:pStyle w:val="17"/>
              <w:tabs>
                <w:tab w:val="left" w:pos="4840"/>
              </w:tabs>
              <w:spacing w:before="1" w:line="300" w:lineRule="auto"/>
              <w:ind w:left="132" w:right="47" w:rightChars="0" w:hanging="17"/>
              <w:rPr>
                <w:rFonts w:hint="eastAsia"/>
                <w:color w:val="auto"/>
                <w:highlight w:val="none"/>
              </w:rPr>
            </w:pPr>
            <w:r>
              <w:rPr>
                <w:rFonts w:hint="eastAsia"/>
                <w:color w:val="auto"/>
                <w:highlight w:val="none"/>
              </w:rPr>
              <w:t>详见“重要事项时间地点一览表”。</w:t>
            </w:r>
          </w:p>
          <w:p w14:paraId="03D18996">
            <w:pPr>
              <w:pStyle w:val="17"/>
              <w:tabs>
                <w:tab w:val="left" w:pos="4840"/>
              </w:tabs>
              <w:spacing w:before="1" w:line="300" w:lineRule="auto"/>
              <w:ind w:left="132" w:right="47" w:rightChars="0" w:hanging="17"/>
              <w:rPr>
                <w:rFonts w:hint="eastAsia"/>
                <w:color w:val="auto"/>
                <w:highlight w:val="none"/>
              </w:rPr>
            </w:pPr>
            <w:r>
              <w:rPr>
                <w:rFonts w:hint="eastAsia"/>
                <w:color w:val="auto"/>
                <w:highlight w:val="none"/>
              </w:rPr>
              <w:t>投标文件第一个信封（商务及技术文件）开标地点：</w:t>
            </w:r>
          </w:p>
          <w:p w14:paraId="4C6C32A2">
            <w:pPr>
              <w:pStyle w:val="17"/>
              <w:tabs>
                <w:tab w:val="left" w:pos="4840"/>
              </w:tabs>
              <w:spacing w:before="1" w:line="300" w:lineRule="auto"/>
              <w:ind w:left="132" w:right="47" w:rightChars="0" w:hanging="17"/>
              <w:rPr>
                <w:rFonts w:hint="eastAsia"/>
                <w:color w:val="auto"/>
                <w:highlight w:val="none"/>
              </w:rPr>
            </w:pPr>
            <w:r>
              <w:rPr>
                <w:rFonts w:hint="eastAsia"/>
                <w:color w:val="auto"/>
                <w:highlight w:val="none"/>
              </w:rPr>
              <w:t>详见“重要事项时间地点一览表”。</w:t>
            </w:r>
          </w:p>
          <w:p w14:paraId="3994B889">
            <w:pPr>
              <w:pStyle w:val="17"/>
              <w:tabs>
                <w:tab w:val="left" w:pos="4840"/>
              </w:tabs>
              <w:spacing w:before="1" w:line="300" w:lineRule="auto"/>
              <w:ind w:left="132" w:right="47" w:rightChars="0" w:hanging="17"/>
              <w:rPr>
                <w:rFonts w:hint="eastAsia"/>
                <w:color w:val="auto"/>
                <w:highlight w:val="none"/>
              </w:rPr>
            </w:pPr>
            <w:r>
              <w:rPr>
                <w:rFonts w:hint="eastAsia"/>
                <w:color w:val="auto"/>
                <w:highlight w:val="none"/>
              </w:rPr>
              <w:t>投标文件第二个信封（报价文件）开标时间：</w:t>
            </w:r>
          </w:p>
          <w:p w14:paraId="58185070">
            <w:pPr>
              <w:pStyle w:val="17"/>
              <w:tabs>
                <w:tab w:val="left" w:pos="4840"/>
              </w:tabs>
              <w:spacing w:before="1" w:line="300" w:lineRule="auto"/>
              <w:ind w:left="132" w:right="47" w:rightChars="0" w:hanging="17"/>
              <w:rPr>
                <w:rFonts w:hint="eastAsia"/>
                <w:color w:val="auto"/>
                <w:highlight w:val="none"/>
              </w:rPr>
            </w:pPr>
            <w:r>
              <w:rPr>
                <w:rFonts w:hint="eastAsia"/>
                <w:color w:val="auto"/>
                <w:highlight w:val="none"/>
              </w:rPr>
              <w:t>只有投标文件第一信封通过详细评审的投标人才能继续参加第二信封（报价文件）的评审。</w:t>
            </w:r>
          </w:p>
          <w:p w14:paraId="1BF21108">
            <w:pPr>
              <w:pStyle w:val="17"/>
              <w:tabs>
                <w:tab w:val="left" w:pos="4840"/>
              </w:tabs>
              <w:spacing w:before="1" w:line="300" w:lineRule="auto"/>
              <w:ind w:left="132" w:right="47" w:rightChars="0" w:hanging="17"/>
              <w:rPr>
                <w:rFonts w:hint="eastAsia"/>
                <w:color w:val="auto"/>
                <w:highlight w:val="none"/>
              </w:rPr>
            </w:pPr>
            <w:r>
              <w:rPr>
                <w:rFonts w:hint="eastAsia"/>
                <w:color w:val="auto"/>
                <w:highlight w:val="none"/>
              </w:rPr>
              <w:t>投标文件第二个信封（报价文件）开标地点：</w:t>
            </w:r>
          </w:p>
          <w:p w14:paraId="1C6CE826">
            <w:pPr>
              <w:pStyle w:val="17"/>
              <w:tabs>
                <w:tab w:val="left" w:pos="4840"/>
              </w:tabs>
              <w:spacing w:before="1" w:line="300" w:lineRule="auto"/>
              <w:ind w:left="132" w:right="47" w:rightChars="0" w:hanging="17"/>
              <w:rPr>
                <w:rFonts w:hint="eastAsia"/>
                <w:color w:val="auto"/>
                <w:highlight w:val="none"/>
              </w:rPr>
            </w:pPr>
            <w:r>
              <w:rPr>
                <w:rFonts w:hint="eastAsia"/>
                <w:color w:val="auto"/>
                <w:highlight w:val="none"/>
              </w:rPr>
              <w:t>详见“重要事项时间地点一览表”。</w:t>
            </w:r>
          </w:p>
        </w:tc>
      </w:tr>
      <w:tr w14:paraId="0039B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013" w:type="dxa"/>
            <w:vAlign w:val="center"/>
          </w:tcPr>
          <w:p w14:paraId="7C4A5643">
            <w:pPr>
              <w:pStyle w:val="17"/>
              <w:spacing w:before="65" w:line="268" w:lineRule="exact"/>
              <w:ind w:left="253"/>
              <w:jc w:val="center"/>
              <w:rPr>
                <w:color w:val="auto"/>
                <w:highlight w:val="none"/>
              </w:rPr>
            </w:pPr>
            <w:r>
              <w:rPr>
                <w:color w:val="auto"/>
                <w:spacing w:val="2"/>
                <w:position w:val="1"/>
                <w:highlight w:val="none"/>
              </w:rPr>
              <w:t>5.2.1</w:t>
            </w:r>
          </w:p>
        </w:tc>
        <w:tc>
          <w:tcPr>
            <w:tcW w:w="2877" w:type="dxa"/>
            <w:vAlign w:val="center"/>
          </w:tcPr>
          <w:p w14:paraId="08624BFA">
            <w:pPr>
              <w:pStyle w:val="17"/>
              <w:spacing w:before="65" w:line="371" w:lineRule="auto"/>
              <w:ind w:left="600" w:right="180" w:hanging="416"/>
              <w:jc w:val="both"/>
              <w:rPr>
                <w:color w:val="auto"/>
                <w:highlight w:val="none"/>
              </w:rPr>
            </w:pPr>
            <w:r>
              <w:rPr>
                <w:color w:val="auto"/>
                <w:spacing w:val="8"/>
                <w:highlight w:val="none"/>
              </w:rPr>
              <w:t>投标文件第一个信封（商务及技术文件）开标</w:t>
            </w:r>
          </w:p>
        </w:tc>
        <w:tc>
          <w:tcPr>
            <w:tcW w:w="4891" w:type="dxa"/>
            <w:vAlign w:val="top"/>
          </w:tcPr>
          <w:p w14:paraId="4AE65C3A">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投标人须知正文第5.2.1项修改为：</w:t>
            </w:r>
          </w:p>
          <w:p w14:paraId="46B13C2D">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（1）宣布开标纪律；</w:t>
            </w:r>
          </w:p>
          <w:p w14:paraId="48604C19">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（2）宣布开标人、唱标人、记录人等有关人员姓名；</w:t>
            </w:r>
          </w:p>
          <w:p w14:paraId="46BE671B">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（3）在交易场所工作人员的见证下，招标代理机构对投标人的电子投标信息进行解密，解密成功后查看各投标人投标保证金缴纳情况及第一个信封（商务及技术文件）开标一览表。</w:t>
            </w:r>
          </w:p>
          <w:p w14:paraId="47CF4D42">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（4）公布在投标截止时间前递交投标文件的投标人数量；</w:t>
            </w:r>
          </w:p>
          <w:p w14:paraId="08C0E357">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（5）招标人代表、记录人等有关人员在开标记录上签字确认；</w:t>
            </w:r>
          </w:p>
          <w:p w14:paraId="34F1EEF9">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（6）异议环节；</w:t>
            </w:r>
          </w:p>
          <w:p w14:paraId="79284323">
            <w:pPr>
              <w:pStyle w:val="17"/>
              <w:tabs>
                <w:tab w:val="left" w:pos="4840"/>
              </w:tabs>
              <w:spacing w:before="1" w:line="300" w:lineRule="auto"/>
              <w:ind w:left="132" w:right="47" w:rightChars="0" w:hanging="17"/>
              <w:rPr>
                <w:color w:val="auto"/>
                <w:highlight w:val="none"/>
              </w:rPr>
            </w:pPr>
            <w:r>
              <w:rPr>
                <w:rFonts w:hint="eastAsia" w:ascii="宋体" w:hAnsi="宋体" w:eastAsia="宋体" w:cs="宋体"/>
                <w:color w:val="auto"/>
                <w:highlight w:val="none"/>
              </w:rPr>
              <w:t>（7）开标结束。</w:t>
            </w:r>
          </w:p>
        </w:tc>
      </w:tr>
      <w:tr w14:paraId="2D105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1013" w:type="dxa"/>
            <w:vAlign w:val="top"/>
          </w:tcPr>
          <w:p w14:paraId="1544A3DD">
            <w:pPr>
              <w:spacing w:line="290" w:lineRule="auto"/>
              <w:rPr>
                <w:rFonts w:ascii="Arial"/>
                <w:color w:val="auto"/>
                <w:sz w:val="21"/>
                <w:highlight w:val="none"/>
              </w:rPr>
            </w:pPr>
          </w:p>
          <w:p w14:paraId="4A079E84">
            <w:pPr>
              <w:spacing w:line="291" w:lineRule="auto"/>
              <w:rPr>
                <w:rFonts w:ascii="Arial"/>
                <w:color w:val="auto"/>
                <w:sz w:val="21"/>
                <w:highlight w:val="none"/>
              </w:rPr>
            </w:pPr>
          </w:p>
          <w:p w14:paraId="548571BB">
            <w:pPr>
              <w:spacing w:line="291" w:lineRule="auto"/>
              <w:rPr>
                <w:rFonts w:ascii="Arial"/>
                <w:color w:val="auto"/>
                <w:sz w:val="21"/>
                <w:highlight w:val="none"/>
              </w:rPr>
            </w:pPr>
          </w:p>
          <w:p w14:paraId="2947D3DF">
            <w:pPr>
              <w:pStyle w:val="17"/>
              <w:spacing w:before="65" w:line="268" w:lineRule="exact"/>
              <w:ind w:left="253"/>
              <w:rPr>
                <w:color w:val="auto"/>
                <w:highlight w:val="none"/>
              </w:rPr>
            </w:pPr>
            <w:r>
              <w:rPr>
                <w:color w:val="auto"/>
                <w:spacing w:val="2"/>
                <w:position w:val="1"/>
                <w:highlight w:val="none"/>
              </w:rPr>
              <w:t>5.2.3</w:t>
            </w:r>
          </w:p>
        </w:tc>
        <w:tc>
          <w:tcPr>
            <w:tcW w:w="2877" w:type="dxa"/>
            <w:vAlign w:val="top"/>
          </w:tcPr>
          <w:p w14:paraId="6E82C15B">
            <w:pPr>
              <w:spacing w:line="337" w:lineRule="auto"/>
              <w:rPr>
                <w:rFonts w:ascii="Arial"/>
                <w:color w:val="auto"/>
                <w:sz w:val="21"/>
                <w:highlight w:val="none"/>
              </w:rPr>
            </w:pPr>
          </w:p>
          <w:p w14:paraId="79A001C7">
            <w:pPr>
              <w:spacing w:line="338" w:lineRule="auto"/>
              <w:rPr>
                <w:rFonts w:ascii="Arial"/>
                <w:color w:val="auto"/>
                <w:sz w:val="21"/>
                <w:highlight w:val="none"/>
              </w:rPr>
            </w:pPr>
          </w:p>
          <w:p w14:paraId="5B0ED21C">
            <w:pPr>
              <w:pStyle w:val="17"/>
              <w:spacing w:before="65" w:line="226" w:lineRule="auto"/>
              <w:ind w:left="184"/>
              <w:rPr>
                <w:color w:val="auto"/>
                <w:highlight w:val="none"/>
              </w:rPr>
            </w:pPr>
            <w:r>
              <w:rPr>
                <w:color w:val="auto"/>
                <w:spacing w:val="8"/>
                <w:highlight w:val="none"/>
              </w:rPr>
              <w:t>投标文件第二个信封（报价</w:t>
            </w:r>
          </w:p>
          <w:p w14:paraId="1CF1EB2D">
            <w:pPr>
              <w:pStyle w:val="17"/>
              <w:spacing w:before="155" w:line="228" w:lineRule="auto"/>
              <w:ind w:left="920"/>
              <w:rPr>
                <w:color w:val="auto"/>
                <w:highlight w:val="none"/>
              </w:rPr>
            </w:pPr>
            <w:r>
              <w:rPr>
                <w:color w:val="auto"/>
                <w:spacing w:val="7"/>
                <w:highlight w:val="none"/>
              </w:rPr>
              <w:t>文件）开标</w:t>
            </w:r>
          </w:p>
        </w:tc>
        <w:tc>
          <w:tcPr>
            <w:tcW w:w="4891" w:type="dxa"/>
            <w:vAlign w:val="top"/>
          </w:tcPr>
          <w:p w14:paraId="53526D79">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投标人须知正文第5.2.3项修改为：</w:t>
            </w:r>
          </w:p>
          <w:p w14:paraId="010679F3">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（1）宣布开标纪律；</w:t>
            </w:r>
          </w:p>
          <w:p w14:paraId="4977AD37">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（2）宣布开标人、唱标人、记录人等有关人员姓名；</w:t>
            </w:r>
          </w:p>
          <w:p w14:paraId="386EA395">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在交易场所工作人员的见证下，招标代理机构对投标人的电子投标信息进行解密，解密成功后查看各投标人的投标文件第二个信封（报价文件），公布标段名称、投标人名称、投标报价及其他内容，并记录在案；</w:t>
            </w:r>
          </w:p>
          <w:p w14:paraId="6310496C">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）摇取下浮率，下浮率在开标现场采取逐标段摇珠方式确定。摇珠操作办法详见评标办法；</w:t>
            </w:r>
          </w:p>
          <w:p w14:paraId="6AF26186">
            <w:pPr>
              <w:pStyle w:val="17"/>
              <w:tabs>
                <w:tab w:val="left" w:pos="4840"/>
              </w:tabs>
              <w:spacing w:before="1" w:line="300" w:lineRule="auto"/>
              <w:ind w:left="132" w:right="47" w:rightChars="0" w:hanging="17"/>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）招标人代表、记录人等有关人员在开标记录上签字确认；</w:t>
            </w:r>
          </w:p>
          <w:p w14:paraId="09A7CBEA">
            <w:pPr>
              <w:pStyle w:val="17"/>
              <w:tabs>
                <w:tab w:val="left" w:pos="4840"/>
              </w:tabs>
              <w:spacing w:before="1" w:line="300" w:lineRule="auto"/>
              <w:ind w:left="132" w:right="47" w:rightChars="0" w:hanging="17"/>
              <w:rPr>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）开标结束。</w:t>
            </w:r>
          </w:p>
        </w:tc>
      </w:tr>
      <w:tr w14:paraId="0C7B2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1013" w:type="dxa"/>
            <w:vAlign w:val="top"/>
          </w:tcPr>
          <w:p w14:paraId="55002B3C">
            <w:pPr>
              <w:spacing w:line="338" w:lineRule="auto"/>
              <w:rPr>
                <w:rFonts w:ascii="Arial"/>
                <w:color w:val="auto"/>
                <w:sz w:val="21"/>
                <w:highlight w:val="none"/>
              </w:rPr>
            </w:pPr>
          </w:p>
          <w:p w14:paraId="040AB82E">
            <w:pPr>
              <w:spacing w:line="339" w:lineRule="auto"/>
              <w:rPr>
                <w:rFonts w:ascii="Arial"/>
                <w:color w:val="auto"/>
                <w:sz w:val="21"/>
                <w:highlight w:val="none"/>
              </w:rPr>
            </w:pPr>
          </w:p>
          <w:p w14:paraId="625D0B5C">
            <w:pPr>
              <w:pStyle w:val="17"/>
              <w:spacing w:before="65" w:line="267" w:lineRule="exact"/>
              <w:ind w:left="251"/>
              <w:rPr>
                <w:color w:val="auto"/>
                <w:highlight w:val="none"/>
              </w:rPr>
            </w:pPr>
            <w:r>
              <w:rPr>
                <w:color w:val="auto"/>
                <w:spacing w:val="2"/>
                <w:position w:val="1"/>
                <w:highlight w:val="none"/>
              </w:rPr>
              <w:t>6.1.1</w:t>
            </w:r>
          </w:p>
        </w:tc>
        <w:tc>
          <w:tcPr>
            <w:tcW w:w="2877" w:type="dxa"/>
            <w:vAlign w:val="top"/>
          </w:tcPr>
          <w:p w14:paraId="7A2A332E">
            <w:pPr>
              <w:spacing w:line="328" w:lineRule="auto"/>
              <w:rPr>
                <w:rFonts w:ascii="Arial"/>
                <w:color w:val="auto"/>
                <w:sz w:val="21"/>
                <w:highlight w:val="none"/>
              </w:rPr>
            </w:pPr>
          </w:p>
          <w:p w14:paraId="701CEA82">
            <w:pPr>
              <w:spacing w:line="329" w:lineRule="auto"/>
              <w:rPr>
                <w:rFonts w:ascii="Arial"/>
                <w:color w:val="auto"/>
                <w:sz w:val="21"/>
                <w:highlight w:val="none"/>
              </w:rPr>
            </w:pPr>
          </w:p>
          <w:p w14:paraId="7D5CF618">
            <w:pPr>
              <w:pStyle w:val="17"/>
              <w:spacing w:before="65" w:line="266" w:lineRule="exact"/>
              <w:ind w:left="550"/>
              <w:rPr>
                <w:color w:val="auto"/>
                <w:sz w:val="10"/>
                <w:szCs w:val="10"/>
                <w:highlight w:val="none"/>
              </w:rPr>
            </w:pPr>
            <w:r>
              <w:rPr>
                <w:color w:val="auto"/>
                <w:spacing w:val="8"/>
                <w:highlight w:val="none"/>
              </w:rPr>
              <w:t>评标委员会的组建</w:t>
            </w:r>
          </w:p>
        </w:tc>
        <w:tc>
          <w:tcPr>
            <w:tcW w:w="4891" w:type="dxa"/>
            <w:vAlign w:val="top"/>
          </w:tcPr>
          <w:p w14:paraId="3E1A6A60">
            <w:pPr>
              <w:pStyle w:val="17"/>
              <w:spacing w:before="147" w:line="369" w:lineRule="auto"/>
              <w:ind w:left="112" w:right="108"/>
              <w:jc w:val="both"/>
              <w:rPr>
                <w:color w:val="auto"/>
                <w:spacing w:val="12"/>
                <w:sz w:val="20"/>
                <w:szCs w:val="20"/>
                <w:highlight w:val="none"/>
              </w:rPr>
            </w:pPr>
            <w:r>
              <w:rPr>
                <w:color w:val="auto"/>
                <w:spacing w:val="14"/>
                <w:highlight w:val="none"/>
              </w:rPr>
              <w:t>评标委员会构成：</w:t>
            </w:r>
            <w:r>
              <w:rPr>
                <w:color w:val="auto"/>
                <w:spacing w:val="-65"/>
                <w:highlight w:val="none"/>
              </w:rPr>
              <w:t xml:space="preserve"> </w:t>
            </w:r>
            <w:r>
              <w:rPr>
                <w:color w:val="auto"/>
                <w:spacing w:val="12"/>
                <w:highlight w:val="none"/>
                <w:u w:val="single" w:color="auto"/>
              </w:rPr>
              <w:t xml:space="preserve"> </w:t>
            </w:r>
            <w:r>
              <w:rPr>
                <w:rFonts w:hint="eastAsia"/>
                <w:color w:val="auto"/>
                <w:spacing w:val="12"/>
                <w:highlight w:val="none"/>
                <w:u w:val="single" w:color="auto"/>
                <w:lang w:val="en-US" w:eastAsia="zh-CN"/>
              </w:rPr>
              <w:t>7</w:t>
            </w:r>
            <w:r>
              <w:rPr>
                <w:color w:val="auto"/>
                <w:spacing w:val="12"/>
                <w:highlight w:val="none"/>
                <w:u w:val="single" w:color="auto"/>
              </w:rPr>
              <w:t xml:space="preserve"> </w:t>
            </w:r>
            <w:r>
              <w:rPr>
                <w:color w:val="auto"/>
                <w:spacing w:val="-89"/>
                <w:highlight w:val="none"/>
              </w:rPr>
              <w:t xml:space="preserve"> </w:t>
            </w:r>
            <w:r>
              <w:rPr>
                <w:color w:val="auto"/>
                <w:spacing w:val="14"/>
                <w:highlight w:val="none"/>
              </w:rPr>
              <w:t>人，</w:t>
            </w:r>
            <w:r>
              <w:rPr>
                <w:color w:val="auto"/>
                <w:spacing w:val="14"/>
                <w:sz w:val="20"/>
                <w:szCs w:val="20"/>
                <w:highlight w:val="none"/>
              </w:rPr>
              <w:t>评标委员会由招标人代</w:t>
            </w:r>
            <w:r>
              <w:rPr>
                <w:color w:val="auto"/>
                <w:spacing w:val="12"/>
                <w:sz w:val="20"/>
                <w:szCs w:val="20"/>
                <w:highlight w:val="none"/>
              </w:rPr>
              <w:t>表和有关专家组成，</w:t>
            </w:r>
            <w:r>
              <w:rPr>
                <w:rFonts w:hint="eastAsia" w:ascii="宋体" w:hAnsi="宋体" w:cs="宋体"/>
                <w:color w:val="auto"/>
                <w:sz w:val="20"/>
                <w:szCs w:val="20"/>
                <w:highlight w:val="none"/>
              </w:rPr>
              <w:t>其中招标人代表</w:t>
            </w:r>
            <w:r>
              <w:rPr>
                <w:rFonts w:hint="eastAsia" w:cs="宋体"/>
                <w:color w:val="auto"/>
                <w:sz w:val="20"/>
                <w:szCs w:val="20"/>
                <w:highlight w:val="none"/>
                <w:u w:val="single"/>
                <w:lang w:val="en-US" w:eastAsia="zh-CN"/>
              </w:rPr>
              <w:t>2</w:t>
            </w:r>
            <w:r>
              <w:rPr>
                <w:rFonts w:hint="eastAsia" w:ascii="宋体" w:hAnsi="宋体" w:cs="宋体"/>
                <w:color w:val="auto"/>
                <w:sz w:val="20"/>
                <w:szCs w:val="20"/>
                <w:highlight w:val="none"/>
              </w:rPr>
              <w:t>人，评标专家</w:t>
            </w:r>
            <w:r>
              <w:rPr>
                <w:rFonts w:hint="eastAsia" w:cs="宋体"/>
                <w:color w:val="auto"/>
                <w:sz w:val="20"/>
                <w:szCs w:val="20"/>
                <w:highlight w:val="none"/>
                <w:u w:val="single"/>
                <w:lang w:val="en-US" w:eastAsia="zh-CN"/>
              </w:rPr>
              <w:t>5</w:t>
            </w:r>
            <w:r>
              <w:rPr>
                <w:rFonts w:hint="eastAsia" w:ascii="宋体" w:hAnsi="宋体" w:cs="宋体"/>
                <w:color w:val="auto"/>
                <w:sz w:val="20"/>
                <w:szCs w:val="20"/>
                <w:highlight w:val="none"/>
              </w:rPr>
              <w:t>人；其中技术、经济等方面的专家不得少于成员总数的三分之二。</w:t>
            </w:r>
          </w:p>
          <w:p w14:paraId="2919D1BD">
            <w:pPr>
              <w:pStyle w:val="17"/>
              <w:spacing w:before="147" w:line="369" w:lineRule="auto"/>
              <w:ind w:left="112" w:right="108"/>
              <w:jc w:val="both"/>
              <w:rPr>
                <w:rFonts w:hint="eastAsia" w:eastAsia="宋体"/>
                <w:color w:val="auto"/>
                <w:highlight w:val="none"/>
                <w:lang w:eastAsia="zh-CN"/>
              </w:rPr>
            </w:pPr>
            <w:r>
              <w:rPr>
                <w:color w:val="auto"/>
                <w:spacing w:val="12"/>
                <w:sz w:val="20"/>
                <w:szCs w:val="20"/>
                <w:highlight w:val="none"/>
              </w:rPr>
              <w:t>评标专家确定方式：依法从</w:t>
            </w:r>
            <w:r>
              <w:rPr>
                <w:rFonts w:hint="eastAsia"/>
                <w:color w:val="auto"/>
                <w:spacing w:val="12"/>
                <w:sz w:val="20"/>
                <w:szCs w:val="20"/>
                <w:highlight w:val="none"/>
              </w:rPr>
              <w:t>广东省综合评标评审专家库</w:t>
            </w:r>
            <w:r>
              <w:rPr>
                <w:color w:val="auto"/>
                <w:spacing w:val="12"/>
                <w:sz w:val="20"/>
                <w:szCs w:val="20"/>
                <w:highlight w:val="none"/>
              </w:rPr>
              <w:t>中随机抽取</w:t>
            </w:r>
            <w:r>
              <w:rPr>
                <w:rFonts w:hint="eastAsia"/>
                <w:color w:val="auto"/>
                <w:spacing w:val="12"/>
                <w:sz w:val="20"/>
                <w:szCs w:val="20"/>
                <w:highlight w:val="none"/>
                <w:lang w:eastAsia="zh-CN"/>
              </w:rPr>
              <w:t>。</w:t>
            </w:r>
          </w:p>
        </w:tc>
      </w:tr>
    </w:tbl>
    <w:p w14:paraId="2D3B36DA">
      <w:pPr>
        <w:spacing w:line="467" w:lineRule="auto"/>
        <w:rPr>
          <w:rFonts w:ascii="Arial"/>
          <w:color w:val="auto"/>
          <w:sz w:val="21"/>
          <w:highlight w:val="none"/>
        </w:rPr>
      </w:pPr>
    </w:p>
    <w:p w14:paraId="46F18DD5">
      <w:pPr>
        <w:spacing w:line="220" w:lineRule="auto"/>
        <w:rPr>
          <w:rFonts w:ascii="宋体" w:hAnsi="宋体" w:eastAsia="宋体" w:cs="宋体"/>
          <w:color w:val="auto"/>
          <w:sz w:val="18"/>
          <w:szCs w:val="18"/>
          <w:highlight w:val="none"/>
        </w:rPr>
        <w:sectPr>
          <w:footerReference r:id="rId16" w:type="default"/>
          <w:pgSz w:w="11906" w:h="16839"/>
          <w:pgMar w:top="1416" w:right="1785" w:bottom="1297" w:left="1304" w:header="0" w:footer="1065" w:gutter="0"/>
          <w:pgNumType w:fmt="decimal"/>
          <w:cols w:space="720" w:num="1"/>
        </w:sectPr>
      </w:pPr>
      <w:bookmarkStart w:id="32" w:name="bookmark63"/>
      <w:bookmarkEnd w:id="32"/>
    </w:p>
    <w:tbl>
      <w:tblPr>
        <w:tblStyle w:val="16"/>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2877"/>
        <w:gridCol w:w="4891"/>
      </w:tblGrid>
      <w:tr w14:paraId="299F6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3" w:type="dxa"/>
            <w:vAlign w:val="top"/>
          </w:tcPr>
          <w:p w14:paraId="5706550B">
            <w:pPr>
              <w:pStyle w:val="17"/>
              <w:spacing w:before="143" w:line="228" w:lineRule="auto"/>
              <w:ind w:left="198"/>
              <w:rPr>
                <w:color w:val="auto"/>
                <w:highlight w:val="none"/>
              </w:rPr>
            </w:pPr>
            <w:r>
              <w:rPr>
                <w:b/>
                <w:bCs/>
                <w:color w:val="auto"/>
                <w:spacing w:val="5"/>
                <w:highlight w:val="none"/>
              </w:rPr>
              <w:t>条款号</w:t>
            </w:r>
          </w:p>
        </w:tc>
        <w:tc>
          <w:tcPr>
            <w:tcW w:w="2877" w:type="dxa"/>
            <w:vAlign w:val="top"/>
          </w:tcPr>
          <w:p w14:paraId="1B26D65D">
            <w:pPr>
              <w:pStyle w:val="17"/>
              <w:spacing w:before="143" w:line="228" w:lineRule="auto"/>
              <w:ind w:left="706"/>
              <w:rPr>
                <w:color w:val="auto"/>
                <w:highlight w:val="none"/>
              </w:rPr>
            </w:pPr>
            <w:r>
              <w:rPr>
                <w:b/>
                <w:bCs/>
                <w:color w:val="auto"/>
                <w:spacing w:val="-3"/>
                <w:highlight w:val="none"/>
              </w:rPr>
              <w:t>条</w:t>
            </w:r>
            <w:r>
              <w:rPr>
                <w:color w:val="auto"/>
                <w:spacing w:val="10"/>
                <w:highlight w:val="none"/>
              </w:rPr>
              <w:t xml:space="preserve">  </w:t>
            </w:r>
            <w:r>
              <w:rPr>
                <w:b/>
                <w:bCs/>
                <w:color w:val="auto"/>
                <w:spacing w:val="-3"/>
                <w:highlight w:val="none"/>
              </w:rPr>
              <w:t>款</w:t>
            </w:r>
            <w:r>
              <w:rPr>
                <w:color w:val="auto"/>
                <w:spacing w:val="12"/>
                <w:highlight w:val="none"/>
              </w:rPr>
              <w:t xml:space="preserve">  </w:t>
            </w:r>
            <w:r>
              <w:rPr>
                <w:b/>
                <w:bCs/>
                <w:color w:val="auto"/>
                <w:spacing w:val="-3"/>
                <w:highlight w:val="none"/>
              </w:rPr>
              <w:t>名</w:t>
            </w:r>
            <w:r>
              <w:rPr>
                <w:color w:val="auto"/>
                <w:spacing w:val="11"/>
                <w:highlight w:val="none"/>
              </w:rPr>
              <w:t xml:space="preserve">  </w:t>
            </w:r>
            <w:r>
              <w:rPr>
                <w:b/>
                <w:bCs/>
                <w:color w:val="auto"/>
                <w:spacing w:val="-3"/>
                <w:highlight w:val="none"/>
              </w:rPr>
              <w:t>称</w:t>
            </w:r>
          </w:p>
        </w:tc>
        <w:tc>
          <w:tcPr>
            <w:tcW w:w="4891" w:type="dxa"/>
            <w:vAlign w:val="top"/>
          </w:tcPr>
          <w:p w14:paraId="7DCD06E2">
            <w:pPr>
              <w:pStyle w:val="17"/>
              <w:spacing w:before="143" w:line="228" w:lineRule="auto"/>
              <w:ind w:left="1713"/>
              <w:rPr>
                <w:color w:val="auto"/>
                <w:highlight w:val="none"/>
              </w:rPr>
            </w:pPr>
            <w:r>
              <w:rPr>
                <w:b/>
                <w:bCs/>
                <w:color w:val="auto"/>
                <w:spacing w:val="-10"/>
                <w:highlight w:val="none"/>
              </w:rPr>
              <w:t>编</w:t>
            </w:r>
            <w:r>
              <w:rPr>
                <w:color w:val="auto"/>
                <w:spacing w:val="13"/>
                <w:highlight w:val="none"/>
              </w:rPr>
              <w:t xml:space="preserve">  </w:t>
            </w:r>
            <w:r>
              <w:rPr>
                <w:b/>
                <w:bCs/>
                <w:color w:val="auto"/>
                <w:spacing w:val="-10"/>
                <w:highlight w:val="none"/>
              </w:rPr>
              <w:t>列</w:t>
            </w:r>
            <w:r>
              <w:rPr>
                <w:color w:val="auto"/>
                <w:spacing w:val="23"/>
                <w:highlight w:val="none"/>
              </w:rPr>
              <w:t xml:space="preserve">  </w:t>
            </w:r>
            <w:r>
              <w:rPr>
                <w:b/>
                <w:bCs/>
                <w:color w:val="auto"/>
                <w:spacing w:val="-10"/>
                <w:highlight w:val="none"/>
              </w:rPr>
              <w:t>内</w:t>
            </w:r>
            <w:r>
              <w:rPr>
                <w:color w:val="auto"/>
                <w:spacing w:val="12"/>
                <w:highlight w:val="none"/>
              </w:rPr>
              <w:t xml:space="preserve">  </w:t>
            </w:r>
            <w:r>
              <w:rPr>
                <w:b/>
                <w:bCs/>
                <w:color w:val="auto"/>
                <w:spacing w:val="-10"/>
                <w:highlight w:val="none"/>
              </w:rPr>
              <w:t>容</w:t>
            </w:r>
          </w:p>
        </w:tc>
      </w:tr>
      <w:tr w14:paraId="698EF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013" w:type="dxa"/>
            <w:vAlign w:val="top"/>
          </w:tcPr>
          <w:p w14:paraId="2270B454">
            <w:pPr>
              <w:spacing w:line="272" w:lineRule="auto"/>
              <w:rPr>
                <w:rFonts w:ascii="Arial"/>
                <w:color w:val="auto"/>
                <w:sz w:val="21"/>
                <w:highlight w:val="none"/>
              </w:rPr>
            </w:pPr>
          </w:p>
          <w:p w14:paraId="17306BC7">
            <w:pPr>
              <w:pStyle w:val="17"/>
              <w:spacing w:before="65" w:line="268" w:lineRule="exact"/>
              <w:ind w:left="251"/>
              <w:rPr>
                <w:color w:val="auto"/>
                <w:highlight w:val="none"/>
              </w:rPr>
            </w:pPr>
            <w:r>
              <w:rPr>
                <w:color w:val="auto"/>
                <w:spacing w:val="2"/>
                <w:position w:val="1"/>
                <w:highlight w:val="none"/>
              </w:rPr>
              <w:t>6.3.2</w:t>
            </w:r>
          </w:p>
        </w:tc>
        <w:tc>
          <w:tcPr>
            <w:tcW w:w="2877" w:type="dxa"/>
            <w:vAlign w:val="top"/>
          </w:tcPr>
          <w:p w14:paraId="1B77CCF9">
            <w:pPr>
              <w:pStyle w:val="17"/>
              <w:spacing w:before="139" w:line="227" w:lineRule="auto"/>
              <w:ind w:left="181"/>
              <w:rPr>
                <w:color w:val="auto"/>
                <w:highlight w:val="none"/>
              </w:rPr>
            </w:pPr>
            <w:r>
              <w:rPr>
                <w:color w:val="auto"/>
                <w:spacing w:val="9"/>
                <w:highlight w:val="none"/>
              </w:rPr>
              <w:t>评标委员会推荐中标候选人</w:t>
            </w:r>
          </w:p>
          <w:p w14:paraId="30E5DA3D">
            <w:pPr>
              <w:pStyle w:val="17"/>
              <w:spacing w:before="154" w:line="228" w:lineRule="auto"/>
              <w:ind w:left="1144"/>
              <w:rPr>
                <w:color w:val="auto"/>
                <w:highlight w:val="none"/>
              </w:rPr>
            </w:pPr>
            <w:r>
              <w:rPr>
                <w:color w:val="auto"/>
                <w:spacing w:val="1"/>
                <w:highlight w:val="none"/>
              </w:rPr>
              <w:t>的人数</w:t>
            </w:r>
          </w:p>
        </w:tc>
        <w:tc>
          <w:tcPr>
            <w:tcW w:w="4891" w:type="dxa"/>
            <w:vAlign w:val="top"/>
          </w:tcPr>
          <w:p w14:paraId="0219D452">
            <w:pPr>
              <w:pStyle w:val="17"/>
              <w:spacing w:before="1" w:line="366" w:lineRule="auto"/>
              <w:ind w:left="112" w:right="108" w:firstLine="5"/>
              <w:rPr>
                <w:color w:val="auto"/>
                <w:highlight w:val="none"/>
              </w:rPr>
            </w:pPr>
            <w:r>
              <w:rPr>
                <w:color w:val="auto"/>
                <w:spacing w:val="14"/>
                <w:highlight w:val="none"/>
              </w:rPr>
              <w:t>原则上</w:t>
            </w:r>
            <w:r>
              <w:rPr>
                <w:color w:val="auto"/>
                <w:spacing w:val="-21"/>
                <w:highlight w:val="none"/>
              </w:rPr>
              <w:t xml:space="preserve"> </w:t>
            </w:r>
            <w:r>
              <w:rPr>
                <w:color w:val="auto"/>
                <w:spacing w:val="14"/>
                <w:highlight w:val="none"/>
              </w:rPr>
              <w:t>3</w:t>
            </w:r>
            <w:r>
              <w:rPr>
                <w:color w:val="auto"/>
                <w:spacing w:val="-29"/>
                <w:highlight w:val="none"/>
              </w:rPr>
              <w:t xml:space="preserve"> </w:t>
            </w:r>
            <w:r>
              <w:rPr>
                <w:color w:val="auto"/>
                <w:spacing w:val="14"/>
                <w:highlight w:val="none"/>
              </w:rPr>
              <w:t>名（评标办法规定的特殊情况按实际数</w:t>
            </w:r>
            <w:r>
              <w:rPr>
                <w:color w:val="auto"/>
                <w:spacing w:val="5"/>
                <w:highlight w:val="none"/>
              </w:rPr>
              <w:t>量推荐）</w:t>
            </w:r>
          </w:p>
        </w:tc>
      </w:tr>
      <w:tr w14:paraId="03CAC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1013" w:type="dxa"/>
            <w:vAlign w:val="top"/>
          </w:tcPr>
          <w:p w14:paraId="48197FC6">
            <w:pPr>
              <w:spacing w:line="253" w:lineRule="auto"/>
              <w:rPr>
                <w:rFonts w:ascii="Arial"/>
                <w:color w:val="auto"/>
                <w:sz w:val="21"/>
                <w:highlight w:val="none"/>
              </w:rPr>
            </w:pPr>
          </w:p>
          <w:p w14:paraId="29BCE690">
            <w:pPr>
              <w:spacing w:line="254" w:lineRule="auto"/>
              <w:rPr>
                <w:rFonts w:ascii="Arial"/>
                <w:color w:val="auto"/>
                <w:sz w:val="21"/>
                <w:highlight w:val="none"/>
              </w:rPr>
            </w:pPr>
          </w:p>
          <w:p w14:paraId="4039258A">
            <w:pPr>
              <w:spacing w:line="254" w:lineRule="auto"/>
              <w:rPr>
                <w:rFonts w:ascii="Arial"/>
                <w:color w:val="auto"/>
                <w:sz w:val="21"/>
                <w:highlight w:val="none"/>
              </w:rPr>
            </w:pPr>
          </w:p>
          <w:p w14:paraId="48485B16">
            <w:pPr>
              <w:spacing w:line="254" w:lineRule="auto"/>
              <w:rPr>
                <w:rFonts w:ascii="Arial"/>
                <w:color w:val="auto"/>
                <w:sz w:val="21"/>
                <w:highlight w:val="none"/>
              </w:rPr>
            </w:pPr>
          </w:p>
          <w:p w14:paraId="6873DD60">
            <w:pPr>
              <w:spacing w:line="254" w:lineRule="auto"/>
              <w:rPr>
                <w:rFonts w:ascii="Arial"/>
                <w:color w:val="auto"/>
                <w:sz w:val="21"/>
                <w:highlight w:val="none"/>
              </w:rPr>
            </w:pPr>
          </w:p>
          <w:p w14:paraId="0F4C7C57">
            <w:pPr>
              <w:pStyle w:val="17"/>
              <w:spacing w:before="65" w:line="268" w:lineRule="exact"/>
              <w:ind w:left="359"/>
              <w:rPr>
                <w:color w:val="auto"/>
                <w:highlight w:val="none"/>
              </w:rPr>
            </w:pPr>
            <w:r>
              <w:rPr>
                <w:color w:val="auto"/>
                <w:position w:val="1"/>
                <w:highlight w:val="none"/>
              </w:rPr>
              <w:t>7.1</w:t>
            </w:r>
          </w:p>
        </w:tc>
        <w:tc>
          <w:tcPr>
            <w:tcW w:w="2877" w:type="dxa"/>
            <w:vAlign w:val="top"/>
          </w:tcPr>
          <w:p w14:paraId="42343916">
            <w:pPr>
              <w:spacing w:line="253" w:lineRule="auto"/>
              <w:rPr>
                <w:rFonts w:ascii="Arial"/>
                <w:color w:val="auto"/>
                <w:sz w:val="21"/>
                <w:highlight w:val="none"/>
              </w:rPr>
            </w:pPr>
          </w:p>
          <w:p w14:paraId="2753E14F">
            <w:pPr>
              <w:spacing w:line="254" w:lineRule="auto"/>
              <w:rPr>
                <w:rFonts w:ascii="Arial"/>
                <w:color w:val="auto"/>
                <w:sz w:val="21"/>
                <w:highlight w:val="none"/>
              </w:rPr>
            </w:pPr>
          </w:p>
          <w:p w14:paraId="392FA53F">
            <w:pPr>
              <w:spacing w:line="254" w:lineRule="auto"/>
              <w:rPr>
                <w:rFonts w:ascii="Arial"/>
                <w:color w:val="auto"/>
                <w:sz w:val="21"/>
                <w:highlight w:val="none"/>
              </w:rPr>
            </w:pPr>
          </w:p>
          <w:p w14:paraId="51EED15F">
            <w:pPr>
              <w:spacing w:line="254" w:lineRule="auto"/>
              <w:rPr>
                <w:rFonts w:ascii="Arial"/>
                <w:color w:val="auto"/>
                <w:sz w:val="21"/>
                <w:highlight w:val="none"/>
              </w:rPr>
            </w:pPr>
          </w:p>
          <w:p w14:paraId="39C16E13">
            <w:pPr>
              <w:spacing w:line="254" w:lineRule="auto"/>
              <w:rPr>
                <w:rFonts w:ascii="Arial"/>
                <w:color w:val="auto"/>
                <w:sz w:val="21"/>
                <w:highlight w:val="none"/>
              </w:rPr>
            </w:pPr>
          </w:p>
          <w:p w14:paraId="655EDDE5">
            <w:pPr>
              <w:pStyle w:val="17"/>
              <w:spacing w:before="65" w:line="227" w:lineRule="auto"/>
              <w:ind w:left="201"/>
              <w:rPr>
                <w:color w:val="auto"/>
                <w:highlight w:val="none"/>
              </w:rPr>
            </w:pPr>
            <w:r>
              <w:rPr>
                <w:color w:val="auto"/>
                <w:spacing w:val="7"/>
                <w:highlight w:val="none"/>
              </w:rPr>
              <w:t>中标候选人公示媒介及期限</w:t>
            </w:r>
          </w:p>
        </w:tc>
        <w:tc>
          <w:tcPr>
            <w:tcW w:w="4891" w:type="dxa"/>
            <w:vAlign w:val="top"/>
          </w:tcPr>
          <w:p w14:paraId="1B79BAF4">
            <w:pPr>
              <w:pStyle w:val="17"/>
              <w:spacing w:before="142" w:line="361" w:lineRule="auto"/>
              <w:ind w:left="112" w:right="108" w:firstLine="7"/>
              <w:rPr>
                <w:color w:val="auto"/>
                <w:highlight w:val="none"/>
              </w:rPr>
            </w:pPr>
            <w:r>
              <w:rPr>
                <w:color w:val="auto"/>
                <w:spacing w:val="15"/>
                <w:highlight w:val="none"/>
              </w:rPr>
              <w:t>公示媒介：广东省招标投标监管网、</w:t>
            </w:r>
            <w:r>
              <w:rPr>
                <w:rFonts w:hint="eastAsia"/>
                <w:color w:val="auto"/>
                <w:spacing w:val="15"/>
                <w:highlight w:val="none"/>
              </w:rPr>
              <w:t>全国公共资源交易平台（广东省·韶关市）</w:t>
            </w:r>
            <w:r>
              <w:rPr>
                <w:color w:val="auto"/>
                <w:spacing w:val="8"/>
                <w:highlight w:val="none"/>
                <w:u w:val="none" w:color="auto"/>
              </w:rPr>
              <w:t>网站</w:t>
            </w:r>
          </w:p>
          <w:p w14:paraId="6E30FC42">
            <w:pPr>
              <w:pStyle w:val="17"/>
              <w:spacing w:line="208" w:lineRule="auto"/>
              <w:ind w:left="119"/>
              <w:rPr>
                <w:color w:val="auto"/>
                <w:sz w:val="10"/>
                <w:szCs w:val="10"/>
                <w:highlight w:val="none"/>
              </w:rPr>
            </w:pPr>
            <w:r>
              <w:rPr>
                <w:color w:val="auto"/>
                <w:highlight w:val="none"/>
              </w:rPr>
              <w:t>公示期限：</w:t>
            </w:r>
            <w:r>
              <w:rPr>
                <w:color w:val="auto"/>
                <w:spacing w:val="18"/>
                <w:highlight w:val="none"/>
                <w:u w:val="single" w:color="auto"/>
              </w:rPr>
              <w:t xml:space="preserve"> </w:t>
            </w:r>
            <w:r>
              <w:rPr>
                <w:color w:val="auto"/>
                <w:highlight w:val="none"/>
                <w:u w:val="single" w:color="auto"/>
              </w:rPr>
              <w:t>3</w:t>
            </w:r>
            <w:r>
              <w:rPr>
                <w:color w:val="auto"/>
                <w:spacing w:val="-49"/>
                <w:highlight w:val="none"/>
                <w:u w:val="single" w:color="auto"/>
              </w:rPr>
              <w:t xml:space="preserve"> </w:t>
            </w:r>
            <w:r>
              <w:rPr>
                <w:color w:val="auto"/>
                <w:spacing w:val="-55"/>
                <w:highlight w:val="none"/>
              </w:rPr>
              <w:t xml:space="preserve"> </w:t>
            </w:r>
            <w:r>
              <w:rPr>
                <w:color w:val="auto"/>
                <w:highlight w:val="none"/>
              </w:rPr>
              <w:t>日</w:t>
            </w:r>
          </w:p>
          <w:p w14:paraId="1335EA12">
            <w:pPr>
              <w:pStyle w:val="17"/>
              <w:spacing w:before="173" w:line="339" w:lineRule="auto"/>
              <w:ind w:left="106" w:right="108" w:firstLine="12"/>
              <w:jc w:val="both"/>
              <w:rPr>
                <w:color w:val="auto"/>
                <w:highlight w:val="none"/>
              </w:rPr>
            </w:pPr>
            <w:r>
              <w:rPr>
                <w:color w:val="auto"/>
                <w:spacing w:val="14"/>
                <w:highlight w:val="none"/>
              </w:rPr>
              <w:t>公示的其他内容：</w:t>
            </w:r>
            <w:r>
              <w:rPr>
                <w:color w:val="auto"/>
                <w:spacing w:val="-49"/>
                <w:highlight w:val="none"/>
              </w:rPr>
              <w:t xml:space="preserve"> </w:t>
            </w:r>
            <w:r>
              <w:rPr>
                <w:color w:val="auto"/>
                <w:spacing w:val="14"/>
                <w:highlight w:val="none"/>
                <w:u w:val="single" w:color="auto"/>
              </w:rPr>
              <w:t>中标候选人的投标文件、</w:t>
            </w:r>
            <w:r>
              <w:rPr>
                <w:color w:val="auto"/>
                <w:spacing w:val="13"/>
                <w:highlight w:val="none"/>
                <w:u w:val="single" w:color="auto"/>
              </w:rPr>
              <w:t>评标</w:t>
            </w:r>
            <w:r>
              <w:rPr>
                <w:color w:val="auto"/>
                <w:spacing w:val="11"/>
                <w:highlight w:val="none"/>
                <w:u w:val="single" w:color="auto"/>
              </w:rPr>
              <w:t>报告（含资审结果）、最新一年度</w:t>
            </w:r>
            <w:r>
              <w:rPr>
                <w:color w:val="auto"/>
                <w:spacing w:val="-29"/>
                <w:highlight w:val="none"/>
                <w:u w:val="single" w:color="auto"/>
              </w:rPr>
              <w:t xml:space="preserve"> </w:t>
            </w:r>
            <w:r>
              <w:rPr>
                <w:color w:val="auto"/>
                <w:highlight w:val="none"/>
                <w:u w:val="single" w:color="auto"/>
              </w:rPr>
              <w:t>AA</w:t>
            </w:r>
            <w:r>
              <w:rPr>
                <w:color w:val="auto"/>
                <w:spacing w:val="11"/>
                <w:highlight w:val="none"/>
                <w:u w:val="single" w:color="auto"/>
              </w:rPr>
              <w:t>、A</w:t>
            </w:r>
            <w:r>
              <w:rPr>
                <w:color w:val="auto"/>
                <w:spacing w:val="-32"/>
                <w:highlight w:val="none"/>
                <w:u w:val="single" w:color="auto"/>
              </w:rPr>
              <w:t xml:space="preserve"> </w:t>
            </w:r>
            <w:r>
              <w:rPr>
                <w:color w:val="auto"/>
                <w:spacing w:val="11"/>
                <w:highlight w:val="none"/>
                <w:u w:val="single" w:color="auto"/>
              </w:rPr>
              <w:t>级投标人</w:t>
            </w:r>
            <w:r>
              <w:rPr>
                <w:color w:val="auto"/>
                <w:spacing w:val="22"/>
                <w:highlight w:val="none"/>
                <w:u w:val="single" w:color="auto"/>
              </w:rPr>
              <w:t>的信用等级使用情况及所有承诺使用最新一年度</w:t>
            </w:r>
            <w:r>
              <w:rPr>
                <w:color w:val="auto"/>
                <w:highlight w:val="none"/>
                <w:u w:val="single" w:color="auto"/>
              </w:rPr>
              <w:t>AA</w:t>
            </w:r>
            <w:r>
              <w:rPr>
                <w:color w:val="auto"/>
                <w:spacing w:val="8"/>
                <w:highlight w:val="none"/>
                <w:u w:val="single" w:color="auto"/>
              </w:rPr>
              <w:t>、A</w:t>
            </w:r>
            <w:r>
              <w:rPr>
                <w:color w:val="auto"/>
                <w:spacing w:val="-20"/>
                <w:highlight w:val="none"/>
                <w:u w:val="single" w:color="auto"/>
              </w:rPr>
              <w:t xml:space="preserve"> </w:t>
            </w:r>
            <w:r>
              <w:rPr>
                <w:color w:val="auto"/>
                <w:spacing w:val="8"/>
                <w:highlight w:val="none"/>
                <w:u w:val="single" w:color="auto"/>
              </w:rPr>
              <w:t>级投标人的年度信用等级使用情况</w:t>
            </w:r>
            <w:r>
              <w:rPr>
                <w:color w:val="auto"/>
                <w:spacing w:val="8"/>
                <w:highlight w:val="none"/>
              </w:rPr>
              <w:t>。</w:t>
            </w:r>
          </w:p>
        </w:tc>
      </w:tr>
      <w:tr w14:paraId="1144B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013" w:type="dxa"/>
            <w:vAlign w:val="top"/>
          </w:tcPr>
          <w:p w14:paraId="052C4483">
            <w:pPr>
              <w:spacing w:line="277" w:lineRule="auto"/>
              <w:rPr>
                <w:rFonts w:ascii="Arial"/>
                <w:color w:val="auto"/>
                <w:sz w:val="21"/>
                <w:highlight w:val="none"/>
              </w:rPr>
            </w:pPr>
          </w:p>
          <w:p w14:paraId="482DD703">
            <w:pPr>
              <w:pStyle w:val="17"/>
              <w:spacing w:before="65" w:line="267" w:lineRule="exact"/>
              <w:ind w:left="359"/>
              <w:rPr>
                <w:color w:val="auto"/>
                <w:highlight w:val="none"/>
              </w:rPr>
            </w:pPr>
            <w:r>
              <w:rPr>
                <w:color w:val="auto"/>
                <w:position w:val="1"/>
                <w:highlight w:val="none"/>
              </w:rPr>
              <w:t>7.4</w:t>
            </w:r>
          </w:p>
        </w:tc>
        <w:tc>
          <w:tcPr>
            <w:tcW w:w="2877" w:type="dxa"/>
            <w:vAlign w:val="top"/>
          </w:tcPr>
          <w:p w14:paraId="58BFD67F">
            <w:pPr>
              <w:pStyle w:val="17"/>
              <w:spacing w:before="142" w:line="227" w:lineRule="auto"/>
              <w:ind w:left="185"/>
              <w:rPr>
                <w:color w:val="auto"/>
                <w:highlight w:val="none"/>
              </w:rPr>
            </w:pPr>
            <w:r>
              <w:rPr>
                <w:color w:val="auto"/>
                <w:spacing w:val="8"/>
                <w:highlight w:val="none"/>
              </w:rPr>
              <w:t>是否授权评标委员会确定中</w:t>
            </w:r>
          </w:p>
          <w:p w14:paraId="063F6943">
            <w:pPr>
              <w:pStyle w:val="17"/>
              <w:spacing w:before="155" w:line="228" w:lineRule="auto"/>
              <w:ind w:left="1233"/>
              <w:rPr>
                <w:color w:val="auto"/>
                <w:highlight w:val="none"/>
              </w:rPr>
            </w:pPr>
            <w:r>
              <w:rPr>
                <w:color w:val="auto"/>
                <w:spacing w:val="4"/>
                <w:highlight w:val="none"/>
              </w:rPr>
              <w:t>标人</w:t>
            </w:r>
          </w:p>
        </w:tc>
        <w:tc>
          <w:tcPr>
            <w:tcW w:w="4891" w:type="dxa"/>
            <w:vAlign w:val="top"/>
          </w:tcPr>
          <w:p w14:paraId="33C02FE0">
            <w:pPr>
              <w:pStyle w:val="17"/>
              <w:spacing w:before="142" w:line="231" w:lineRule="auto"/>
              <w:ind w:left="134"/>
              <w:rPr>
                <w:color w:val="auto"/>
                <w:highlight w:val="none"/>
              </w:rPr>
            </w:pPr>
            <w:r>
              <w:rPr>
                <w:color w:val="auto"/>
                <w:spacing w:val="-5"/>
                <w:highlight w:val="none"/>
              </w:rPr>
              <w:t>□是</w:t>
            </w:r>
          </w:p>
          <w:p w14:paraId="0BC5BA5E">
            <w:pPr>
              <w:pStyle w:val="17"/>
              <w:spacing w:before="150" w:line="228" w:lineRule="auto"/>
              <w:ind w:left="134"/>
              <w:rPr>
                <w:color w:val="auto"/>
                <w:highlight w:val="none"/>
              </w:rPr>
            </w:pPr>
            <w:r>
              <w:rPr>
                <w:rFonts w:hint="eastAsia"/>
                <w:color w:val="auto"/>
                <w:spacing w:val="-5"/>
                <w:highlight w:val="none"/>
                <w:lang w:eastAsia="zh-CN"/>
              </w:rPr>
              <w:t>☑</w:t>
            </w:r>
            <w:r>
              <w:rPr>
                <w:color w:val="auto"/>
                <w:spacing w:val="-5"/>
                <w:highlight w:val="none"/>
              </w:rPr>
              <w:t>否</w:t>
            </w:r>
          </w:p>
        </w:tc>
      </w:tr>
      <w:tr w14:paraId="34657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13" w:type="dxa"/>
            <w:vAlign w:val="top"/>
          </w:tcPr>
          <w:p w14:paraId="0FA1B4AC">
            <w:pPr>
              <w:spacing w:line="477" w:lineRule="auto"/>
              <w:rPr>
                <w:rFonts w:ascii="Arial"/>
                <w:color w:val="auto"/>
                <w:sz w:val="21"/>
                <w:highlight w:val="none"/>
              </w:rPr>
            </w:pPr>
          </w:p>
          <w:p w14:paraId="3CBDC62F">
            <w:pPr>
              <w:pStyle w:val="17"/>
              <w:spacing w:before="65" w:line="268" w:lineRule="exact"/>
              <w:ind w:left="359"/>
              <w:rPr>
                <w:color w:val="auto"/>
                <w:highlight w:val="none"/>
              </w:rPr>
            </w:pPr>
            <w:r>
              <w:rPr>
                <w:color w:val="auto"/>
                <w:position w:val="1"/>
                <w:highlight w:val="none"/>
              </w:rPr>
              <w:t>7.5</w:t>
            </w:r>
          </w:p>
        </w:tc>
        <w:tc>
          <w:tcPr>
            <w:tcW w:w="2877" w:type="dxa"/>
            <w:vAlign w:val="top"/>
          </w:tcPr>
          <w:p w14:paraId="5E03BE37">
            <w:pPr>
              <w:spacing w:line="276" w:lineRule="auto"/>
              <w:rPr>
                <w:rFonts w:ascii="Arial"/>
                <w:color w:val="auto"/>
                <w:sz w:val="21"/>
                <w:highlight w:val="none"/>
              </w:rPr>
            </w:pPr>
          </w:p>
          <w:p w14:paraId="130BDFA3">
            <w:pPr>
              <w:pStyle w:val="17"/>
              <w:spacing w:before="65" w:line="372" w:lineRule="auto"/>
              <w:ind w:left="921" w:right="180" w:hanging="720"/>
              <w:rPr>
                <w:color w:val="auto"/>
                <w:highlight w:val="none"/>
              </w:rPr>
            </w:pPr>
            <w:r>
              <w:rPr>
                <w:color w:val="auto"/>
                <w:spacing w:val="7"/>
                <w:highlight w:val="none"/>
              </w:rPr>
              <w:t>中标通知书和中标结果通知发出的形式</w:t>
            </w:r>
          </w:p>
        </w:tc>
        <w:tc>
          <w:tcPr>
            <w:tcW w:w="4891" w:type="dxa"/>
            <w:vAlign w:val="top"/>
          </w:tcPr>
          <w:p w14:paraId="6EC40E17">
            <w:pPr>
              <w:pStyle w:val="17"/>
              <w:spacing w:before="144" w:line="323" w:lineRule="auto"/>
              <w:ind w:left="113" w:right="108" w:firstLine="18"/>
              <w:jc w:val="both"/>
              <w:rPr>
                <w:color w:val="auto"/>
                <w:highlight w:val="none"/>
              </w:rPr>
            </w:pPr>
            <w:r>
              <w:rPr>
                <w:color w:val="auto"/>
                <w:spacing w:val="9"/>
                <w:highlight w:val="none"/>
              </w:rPr>
              <w:t>中标通知书以书</w:t>
            </w:r>
            <w:r>
              <w:rPr>
                <w:rFonts w:ascii="宋体" w:hAnsi="宋体" w:eastAsia="宋体" w:cs="宋体"/>
                <w:color w:val="auto"/>
                <w:spacing w:val="14"/>
                <w:highlight w:val="none"/>
              </w:rPr>
              <w:t xml:space="preserve">面或电子形式发出； 中标结果在广东省招标投标监管网及 </w:t>
            </w:r>
            <w:r>
              <w:rPr>
                <w:rFonts w:hint="eastAsia" w:ascii="宋体" w:hAnsi="宋体" w:eastAsia="宋体" w:cs="宋体"/>
                <w:color w:val="auto"/>
                <w:spacing w:val="14"/>
                <w:highlight w:val="none"/>
              </w:rPr>
              <w:t>全国公共资源交易平台（广东省·韶关市）</w:t>
            </w:r>
            <w:r>
              <w:rPr>
                <w:rFonts w:ascii="宋体" w:hAnsi="宋体" w:eastAsia="宋体" w:cs="宋体"/>
                <w:color w:val="auto"/>
                <w:spacing w:val="14"/>
                <w:highlight w:val="none"/>
              </w:rPr>
              <w:t>网站发布。</w:t>
            </w:r>
          </w:p>
        </w:tc>
      </w:tr>
      <w:tr w14:paraId="6D12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1013" w:type="dxa"/>
            <w:vAlign w:val="top"/>
          </w:tcPr>
          <w:p w14:paraId="60DFBFCF">
            <w:pPr>
              <w:spacing w:line="477" w:lineRule="auto"/>
              <w:rPr>
                <w:rFonts w:ascii="Arial"/>
                <w:color w:val="auto"/>
                <w:sz w:val="21"/>
                <w:highlight w:val="none"/>
              </w:rPr>
            </w:pPr>
          </w:p>
          <w:p w14:paraId="2961447A">
            <w:pPr>
              <w:pStyle w:val="17"/>
              <w:spacing w:before="65" w:line="268" w:lineRule="exact"/>
              <w:ind w:left="359"/>
              <w:rPr>
                <w:color w:val="auto"/>
                <w:highlight w:val="none"/>
              </w:rPr>
            </w:pPr>
            <w:r>
              <w:rPr>
                <w:color w:val="auto"/>
                <w:position w:val="1"/>
                <w:highlight w:val="none"/>
              </w:rPr>
              <w:t>7.6</w:t>
            </w:r>
          </w:p>
        </w:tc>
        <w:tc>
          <w:tcPr>
            <w:tcW w:w="2877" w:type="dxa"/>
            <w:vAlign w:val="top"/>
          </w:tcPr>
          <w:p w14:paraId="7A317E34">
            <w:pPr>
              <w:spacing w:line="478" w:lineRule="auto"/>
              <w:rPr>
                <w:rFonts w:ascii="Arial"/>
                <w:color w:val="auto"/>
                <w:sz w:val="21"/>
                <w:highlight w:val="none"/>
              </w:rPr>
            </w:pPr>
          </w:p>
          <w:p w14:paraId="705F5C08">
            <w:pPr>
              <w:pStyle w:val="17"/>
              <w:spacing w:before="65" w:line="226" w:lineRule="auto"/>
              <w:ind w:left="307"/>
              <w:rPr>
                <w:color w:val="auto"/>
                <w:highlight w:val="none"/>
              </w:rPr>
            </w:pPr>
            <w:r>
              <w:rPr>
                <w:color w:val="auto"/>
                <w:spacing w:val="7"/>
                <w:highlight w:val="none"/>
              </w:rPr>
              <w:t>中标结果公告媒介及期限</w:t>
            </w:r>
          </w:p>
        </w:tc>
        <w:tc>
          <w:tcPr>
            <w:tcW w:w="4891" w:type="dxa"/>
            <w:vAlign w:val="top"/>
          </w:tcPr>
          <w:p w14:paraId="45F20374">
            <w:pPr>
              <w:pStyle w:val="17"/>
              <w:spacing w:before="144" w:line="369" w:lineRule="auto"/>
              <w:ind w:left="112" w:right="108" w:firstLine="7"/>
              <w:rPr>
                <w:color w:val="auto"/>
                <w:highlight w:val="none"/>
              </w:rPr>
            </w:pPr>
            <w:r>
              <w:rPr>
                <w:color w:val="auto"/>
                <w:spacing w:val="15"/>
                <w:highlight w:val="none"/>
              </w:rPr>
              <w:t>公告媒介：广东省招标投标监管网、</w:t>
            </w:r>
            <w:r>
              <w:rPr>
                <w:rFonts w:hint="eastAsia" w:ascii="宋体" w:hAnsi="宋体" w:eastAsia="宋体" w:cs="宋体"/>
                <w:color w:val="auto"/>
                <w:spacing w:val="14"/>
                <w:highlight w:val="none"/>
              </w:rPr>
              <w:t>全国公共资源交易平台（广东省·韶关市）</w:t>
            </w:r>
            <w:r>
              <w:rPr>
                <w:rFonts w:ascii="宋体" w:hAnsi="宋体" w:eastAsia="宋体" w:cs="宋体"/>
                <w:color w:val="auto"/>
                <w:spacing w:val="14"/>
                <w:highlight w:val="none"/>
              </w:rPr>
              <w:t>网站</w:t>
            </w:r>
          </w:p>
          <w:p w14:paraId="16106F02">
            <w:pPr>
              <w:pStyle w:val="17"/>
              <w:spacing w:line="226" w:lineRule="auto"/>
              <w:ind w:left="119"/>
              <w:rPr>
                <w:color w:val="auto"/>
                <w:highlight w:val="none"/>
              </w:rPr>
            </w:pPr>
            <w:r>
              <w:rPr>
                <w:color w:val="auto"/>
                <w:spacing w:val="5"/>
                <w:highlight w:val="none"/>
              </w:rPr>
              <w:t>公告期限：</w:t>
            </w:r>
            <w:r>
              <w:rPr>
                <w:color w:val="auto"/>
                <w:spacing w:val="5"/>
                <w:highlight w:val="none"/>
                <w:u w:val="single" w:color="auto"/>
              </w:rPr>
              <w:t xml:space="preserve"> </w:t>
            </w:r>
            <w:r>
              <w:rPr>
                <w:rFonts w:hint="eastAsia"/>
                <w:color w:val="auto"/>
                <w:spacing w:val="5"/>
                <w:highlight w:val="none"/>
                <w:u w:val="single" w:color="auto"/>
                <w:lang w:val="en-US" w:eastAsia="zh-CN"/>
              </w:rPr>
              <w:t>3</w:t>
            </w:r>
            <w:r>
              <w:rPr>
                <w:color w:val="auto"/>
                <w:spacing w:val="5"/>
                <w:highlight w:val="none"/>
                <w:u w:val="single" w:color="auto"/>
              </w:rPr>
              <w:t xml:space="preserve"> </w:t>
            </w:r>
            <w:r>
              <w:rPr>
                <w:color w:val="auto"/>
                <w:spacing w:val="-51"/>
                <w:highlight w:val="none"/>
              </w:rPr>
              <w:t xml:space="preserve"> </w:t>
            </w:r>
            <w:r>
              <w:rPr>
                <w:color w:val="auto"/>
                <w:spacing w:val="5"/>
                <w:highlight w:val="none"/>
              </w:rPr>
              <w:t>日</w:t>
            </w:r>
          </w:p>
        </w:tc>
      </w:tr>
    </w:tbl>
    <w:p w14:paraId="07DFB46D">
      <w:pPr>
        <w:spacing w:line="243" w:lineRule="auto"/>
        <w:rPr>
          <w:rFonts w:ascii="Arial"/>
          <w:color w:val="auto"/>
          <w:sz w:val="21"/>
          <w:highlight w:val="none"/>
        </w:rPr>
      </w:pPr>
    </w:p>
    <w:p w14:paraId="45500969">
      <w:pPr>
        <w:spacing w:line="243" w:lineRule="auto"/>
        <w:rPr>
          <w:rFonts w:ascii="Arial"/>
          <w:color w:val="auto"/>
          <w:sz w:val="21"/>
          <w:highlight w:val="none"/>
        </w:rPr>
      </w:pPr>
    </w:p>
    <w:p w14:paraId="38F9E2DD">
      <w:pPr>
        <w:spacing w:line="243" w:lineRule="auto"/>
        <w:rPr>
          <w:rFonts w:ascii="Arial"/>
          <w:color w:val="auto"/>
          <w:sz w:val="21"/>
          <w:highlight w:val="none"/>
        </w:rPr>
      </w:pPr>
    </w:p>
    <w:p w14:paraId="2E3EBAE3">
      <w:pPr>
        <w:spacing w:line="243" w:lineRule="auto"/>
        <w:rPr>
          <w:rFonts w:ascii="Arial"/>
          <w:color w:val="auto"/>
          <w:sz w:val="21"/>
          <w:highlight w:val="none"/>
        </w:rPr>
      </w:pPr>
    </w:p>
    <w:p w14:paraId="38EC3574">
      <w:pPr>
        <w:spacing w:line="243" w:lineRule="auto"/>
        <w:rPr>
          <w:rFonts w:ascii="Arial"/>
          <w:color w:val="auto"/>
          <w:sz w:val="21"/>
          <w:highlight w:val="none"/>
        </w:rPr>
      </w:pPr>
    </w:p>
    <w:p w14:paraId="5A8FF5CB">
      <w:pPr>
        <w:spacing w:line="243" w:lineRule="auto"/>
        <w:rPr>
          <w:rFonts w:ascii="Arial"/>
          <w:color w:val="auto"/>
          <w:sz w:val="21"/>
          <w:highlight w:val="none"/>
        </w:rPr>
      </w:pPr>
    </w:p>
    <w:p w14:paraId="5D10DD16">
      <w:pPr>
        <w:spacing w:line="243" w:lineRule="auto"/>
        <w:rPr>
          <w:rFonts w:ascii="Arial"/>
          <w:color w:val="auto"/>
          <w:sz w:val="21"/>
          <w:highlight w:val="none"/>
        </w:rPr>
      </w:pPr>
    </w:p>
    <w:p w14:paraId="65DDDEDC">
      <w:pPr>
        <w:spacing w:line="244" w:lineRule="auto"/>
        <w:rPr>
          <w:rFonts w:ascii="Arial"/>
          <w:color w:val="auto"/>
          <w:sz w:val="21"/>
          <w:highlight w:val="none"/>
        </w:rPr>
      </w:pPr>
    </w:p>
    <w:p w14:paraId="1A29B497">
      <w:pPr>
        <w:spacing w:line="244" w:lineRule="auto"/>
        <w:rPr>
          <w:rFonts w:ascii="Arial"/>
          <w:color w:val="auto"/>
          <w:sz w:val="21"/>
          <w:highlight w:val="none"/>
        </w:rPr>
      </w:pPr>
    </w:p>
    <w:p w14:paraId="2F3F5F2F">
      <w:pPr>
        <w:spacing w:line="229" w:lineRule="auto"/>
        <w:rPr>
          <w:rFonts w:ascii="宋体" w:hAnsi="宋体" w:eastAsia="宋体" w:cs="宋体"/>
          <w:color w:val="auto"/>
          <w:sz w:val="18"/>
          <w:szCs w:val="18"/>
          <w:highlight w:val="none"/>
        </w:rPr>
        <w:sectPr>
          <w:footerReference r:id="rId17" w:type="default"/>
          <w:pgSz w:w="11906" w:h="16839"/>
          <w:pgMar w:top="1416" w:right="1295" w:bottom="1297" w:left="1304" w:header="0" w:footer="1067" w:gutter="0"/>
          <w:pgNumType w:fmt="decimal"/>
          <w:cols w:space="720" w:num="1"/>
        </w:sectPr>
      </w:pPr>
      <w:bookmarkStart w:id="33" w:name="bookmark65"/>
      <w:bookmarkEnd w:id="33"/>
      <w:bookmarkStart w:id="34" w:name="bookmark64"/>
      <w:bookmarkEnd w:id="34"/>
    </w:p>
    <w:tbl>
      <w:tblPr>
        <w:tblStyle w:val="16"/>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2877"/>
        <w:gridCol w:w="4891"/>
      </w:tblGrid>
      <w:tr w14:paraId="6AD4E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7" w:hRule="atLeast"/>
        </w:trPr>
        <w:tc>
          <w:tcPr>
            <w:tcW w:w="1013" w:type="dxa"/>
            <w:vAlign w:val="top"/>
          </w:tcPr>
          <w:p w14:paraId="76CCBED3">
            <w:pPr>
              <w:spacing w:line="260" w:lineRule="auto"/>
              <w:rPr>
                <w:rFonts w:ascii="Arial"/>
                <w:color w:val="auto"/>
                <w:sz w:val="21"/>
                <w:highlight w:val="none"/>
              </w:rPr>
            </w:pPr>
          </w:p>
          <w:p w14:paraId="786640E3">
            <w:pPr>
              <w:spacing w:line="260" w:lineRule="auto"/>
              <w:rPr>
                <w:rFonts w:ascii="Arial"/>
                <w:color w:val="auto"/>
                <w:sz w:val="21"/>
                <w:highlight w:val="none"/>
              </w:rPr>
            </w:pPr>
          </w:p>
          <w:p w14:paraId="3308CFCD">
            <w:pPr>
              <w:spacing w:line="260" w:lineRule="auto"/>
              <w:rPr>
                <w:rFonts w:ascii="Arial"/>
                <w:color w:val="auto"/>
                <w:sz w:val="21"/>
                <w:highlight w:val="none"/>
              </w:rPr>
            </w:pPr>
          </w:p>
          <w:p w14:paraId="276160B1">
            <w:pPr>
              <w:spacing w:line="260" w:lineRule="auto"/>
              <w:rPr>
                <w:rFonts w:ascii="Arial"/>
                <w:color w:val="auto"/>
                <w:sz w:val="21"/>
                <w:highlight w:val="none"/>
              </w:rPr>
            </w:pPr>
          </w:p>
          <w:p w14:paraId="5560E2F6">
            <w:pPr>
              <w:spacing w:line="260" w:lineRule="auto"/>
              <w:rPr>
                <w:rFonts w:ascii="Arial"/>
                <w:color w:val="auto"/>
                <w:sz w:val="21"/>
                <w:highlight w:val="none"/>
              </w:rPr>
            </w:pPr>
          </w:p>
          <w:p w14:paraId="63CE0698">
            <w:pPr>
              <w:spacing w:line="260" w:lineRule="auto"/>
              <w:rPr>
                <w:rFonts w:ascii="Arial"/>
                <w:color w:val="auto"/>
                <w:sz w:val="21"/>
                <w:highlight w:val="none"/>
              </w:rPr>
            </w:pPr>
          </w:p>
          <w:p w14:paraId="362815F8">
            <w:pPr>
              <w:spacing w:line="260" w:lineRule="auto"/>
              <w:rPr>
                <w:rFonts w:ascii="Arial"/>
                <w:color w:val="auto"/>
                <w:sz w:val="21"/>
                <w:highlight w:val="none"/>
              </w:rPr>
            </w:pPr>
          </w:p>
          <w:p w14:paraId="5C8E28F7">
            <w:pPr>
              <w:spacing w:line="260" w:lineRule="auto"/>
              <w:rPr>
                <w:rFonts w:ascii="Arial"/>
                <w:color w:val="auto"/>
                <w:sz w:val="21"/>
                <w:highlight w:val="none"/>
              </w:rPr>
            </w:pPr>
          </w:p>
          <w:p w14:paraId="4A38FA69">
            <w:pPr>
              <w:spacing w:line="260" w:lineRule="auto"/>
              <w:rPr>
                <w:rFonts w:ascii="Arial"/>
                <w:color w:val="auto"/>
                <w:sz w:val="21"/>
                <w:highlight w:val="none"/>
              </w:rPr>
            </w:pPr>
          </w:p>
          <w:p w14:paraId="6B2A808E">
            <w:pPr>
              <w:spacing w:line="261" w:lineRule="auto"/>
              <w:rPr>
                <w:rFonts w:ascii="Arial"/>
                <w:color w:val="auto"/>
                <w:sz w:val="21"/>
                <w:highlight w:val="none"/>
              </w:rPr>
            </w:pPr>
          </w:p>
          <w:p w14:paraId="4E17578D">
            <w:pPr>
              <w:spacing w:line="261" w:lineRule="auto"/>
              <w:rPr>
                <w:rFonts w:ascii="Arial"/>
                <w:color w:val="auto"/>
                <w:sz w:val="21"/>
                <w:highlight w:val="none"/>
              </w:rPr>
            </w:pPr>
          </w:p>
          <w:p w14:paraId="0C49B5A2">
            <w:pPr>
              <w:pStyle w:val="17"/>
              <w:spacing w:before="65" w:line="268" w:lineRule="exact"/>
              <w:ind w:left="254"/>
              <w:rPr>
                <w:color w:val="auto"/>
                <w:highlight w:val="none"/>
              </w:rPr>
            </w:pPr>
            <w:r>
              <w:rPr>
                <w:color w:val="auto"/>
                <w:spacing w:val="2"/>
                <w:position w:val="1"/>
                <w:highlight w:val="none"/>
              </w:rPr>
              <w:t>7.7.1</w:t>
            </w:r>
          </w:p>
        </w:tc>
        <w:tc>
          <w:tcPr>
            <w:tcW w:w="2877" w:type="dxa"/>
            <w:vAlign w:val="top"/>
          </w:tcPr>
          <w:p w14:paraId="47334EBB">
            <w:pPr>
              <w:spacing w:line="260" w:lineRule="auto"/>
              <w:rPr>
                <w:rFonts w:ascii="Arial"/>
                <w:color w:val="auto"/>
                <w:sz w:val="21"/>
                <w:highlight w:val="none"/>
              </w:rPr>
            </w:pPr>
          </w:p>
          <w:p w14:paraId="0413096E">
            <w:pPr>
              <w:spacing w:line="260" w:lineRule="auto"/>
              <w:rPr>
                <w:rFonts w:ascii="Arial"/>
                <w:color w:val="auto"/>
                <w:sz w:val="21"/>
                <w:highlight w:val="none"/>
              </w:rPr>
            </w:pPr>
          </w:p>
          <w:p w14:paraId="3EB65161">
            <w:pPr>
              <w:spacing w:line="260" w:lineRule="auto"/>
              <w:rPr>
                <w:rFonts w:ascii="Arial"/>
                <w:color w:val="auto"/>
                <w:sz w:val="21"/>
                <w:highlight w:val="none"/>
              </w:rPr>
            </w:pPr>
          </w:p>
          <w:p w14:paraId="6E020B31">
            <w:pPr>
              <w:spacing w:line="260" w:lineRule="auto"/>
              <w:rPr>
                <w:rFonts w:ascii="Arial"/>
                <w:color w:val="auto"/>
                <w:sz w:val="21"/>
                <w:highlight w:val="none"/>
              </w:rPr>
            </w:pPr>
          </w:p>
          <w:p w14:paraId="4B8F1635">
            <w:pPr>
              <w:spacing w:line="260" w:lineRule="auto"/>
              <w:rPr>
                <w:rFonts w:ascii="Arial"/>
                <w:color w:val="auto"/>
                <w:sz w:val="21"/>
                <w:highlight w:val="none"/>
              </w:rPr>
            </w:pPr>
          </w:p>
          <w:p w14:paraId="7D1D35DC">
            <w:pPr>
              <w:spacing w:line="260" w:lineRule="auto"/>
              <w:rPr>
                <w:rFonts w:ascii="Arial"/>
                <w:color w:val="auto"/>
                <w:sz w:val="21"/>
                <w:highlight w:val="none"/>
              </w:rPr>
            </w:pPr>
          </w:p>
          <w:p w14:paraId="773D665F">
            <w:pPr>
              <w:spacing w:line="260" w:lineRule="auto"/>
              <w:rPr>
                <w:rFonts w:ascii="Arial"/>
                <w:color w:val="auto"/>
                <w:sz w:val="21"/>
                <w:highlight w:val="none"/>
              </w:rPr>
            </w:pPr>
          </w:p>
          <w:p w14:paraId="561E5774">
            <w:pPr>
              <w:spacing w:line="260" w:lineRule="auto"/>
              <w:rPr>
                <w:rFonts w:ascii="Arial"/>
                <w:color w:val="auto"/>
                <w:sz w:val="21"/>
                <w:highlight w:val="none"/>
              </w:rPr>
            </w:pPr>
          </w:p>
          <w:p w14:paraId="4B727F76">
            <w:pPr>
              <w:spacing w:line="260" w:lineRule="auto"/>
              <w:rPr>
                <w:rFonts w:ascii="Arial"/>
                <w:color w:val="auto"/>
                <w:sz w:val="21"/>
                <w:highlight w:val="none"/>
              </w:rPr>
            </w:pPr>
          </w:p>
          <w:p w14:paraId="174F18F5">
            <w:pPr>
              <w:spacing w:line="261" w:lineRule="auto"/>
              <w:rPr>
                <w:rFonts w:ascii="Arial"/>
                <w:color w:val="auto"/>
                <w:sz w:val="21"/>
                <w:highlight w:val="none"/>
              </w:rPr>
            </w:pPr>
          </w:p>
          <w:p w14:paraId="75ED0979">
            <w:pPr>
              <w:spacing w:line="261" w:lineRule="auto"/>
              <w:rPr>
                <w:rFonts w:ascii="Arial"/>
                <w:color w:val="auto"/>
                <w:sz w:val="21"/>
                <w:highlight w:val="none"/>
              </w:rPr>
            </w:pPr>
          </w:p>
          <w:p w14:paraId="79DCD405">
            <w:pPr>
              <w:pStyle w:val="17"/>
              <w:spacing w:before="65" w:line="228" w:lineRule="auto"/>
              <w:ind w:left="922"/>
              <w:rPr>
                <w:color w:val="auto"/>
                <w:highlight w:val="none"/>
              </w:rPr>
            </w:pPr>
            <w:r>
              <w:rPr>
                <w:color w:val="auto"/>
                <w:spacing w:val="7"/>
                <w:highlight w:val="none"/>
              </w:rPr>
              <w:t>履约保证金</w:t>
            </w:r>
          </w:p>
        </w:tc>
        <w:tc>
          <w:tcPr>
            <w:tcW w:w="4891" w:type="dxa"/>
            <w:vAlign w:val="top"/>
          </w:tcPr>
          <w:p w14:paraId="7565993C">
            <w:pPr>
              <w:pStyle w:val="17"/>
              <w:spacing w:before="144" w:line="228" w:lineRule="auto"/>
              <w:ind w:left="116"/>
              <w:rPr>
                <w:color w:val="auto"/>
                <w:highlight w:val="none"/>
              </w:rPr>
            </w:pPr>
            <w:r>
              <w:rPr>
                <w:color w:val="auto"/>
                <w:spacing w:val="8"/>
                <w:highlight w:val="none"/>
              </w:rPr>
              <w:t>是否要求中标人提交履约保证金：</w:t>
            </w:r>
          </w:p>
          <w:p w14:paraId="2AD20BA9">
            <w:pPr>
              <w:pStyle w:val="17"/>
              <w:spacing w:before="154" w:line="337" w:lineRule="auto"/>
              <w:ind w:left="114" w:right="108" w:firstLine="19"/>
              <w:rPr>
                <w:color w:val="auto"/>
                <w:spacing w:val="9"/>
                <w:highlight w:val="none"/>
                <w:u w:val="single" w:color="auto"/>
              </w:rPr>
            </w:pPr>
            <w:r>
              <w:rPr>
                <w:rFonts w:hint="eastAsia"/>
                <w:color w:val="auto"/>
                <w:spacing w:val="8"/>
                <w:highlight w:val="none"/>
                <w:lang w:eastAsia="zh-CN"/>
              </w:rPr>
              <w:t>☑</w:t>
            </w:r>
            <w:r>
              <w:rPr>
                <w:color w:val="auto"/>
                <w:spacing w:val="8"/>
                <w:highlight w:val="none"/>
              </w:rPr>
              <w:t>要求，履约保证金的形式：</w:t>
            </w:r>
            <w:r>
              <w:rPr>
                <w:color w:val="auto"/>
                <w:spacing w:val="-34"/>
                <w:highlight w:val="none"/>
              </w:rPr>
              <w:t xml:space="preserve"> </w:t>
            </w:r>
            <w:r>
              <w:rPr>
                <w:color w:val="auto"/>
                <w:spacing w:val="8"/>
                <w:highlight w:val="none"/>
              </w:rPr>
              <w:t>由投标人自主选择</w:t>
            </w:r>
            <w:r>
              <w:rPr>
                <w:color w:val="auto"/>
                <w:spacing w:val="8"/>
                <w:highlight w:val="none"/>
                <w:u w:val="single" w:color="auto"/>
              </w:rPr>
              <w:t>采</w:t>
            </w:r>
            <w:r>
              <w:rPr>
                <w:color w:val="auto"/>
                <w:spacing w:val="9"/>
                <w:highlight w:val="none"/>
                <w:u w:val="single" w:color="auto"/>
              </w:rPr>
              <w:t>用现金（或支票）或银行保函、或其他合法形式</w:t>
            </w:r>
          </w:p>
          <w:p w14:paraId="166B1436">
            <w:pPr>
              <w:pStyle w:val="17"/>
              <w:spacing w:before="154" w:line="337" w:lineRule="auto"/>
              <w:ind w:left="114" w:right="108" w:firstLine="19"/>
              <w:rPr>
                <w:color w:val="auto"/>
                <w:highlight w:val="none"/>
              </w:rPr>
            </w:pPr>
            <w:r>
              <w:rPr>
                <w:color w:val="auto"/>
                <w:spacing w:val="11"/>
                <w:highlight w:val="none"/>
              </w:rPr>
              <w:t>履约保证金的金额：</w:t>
            </w:r>
            <w:r>
              <w:rPr>
                <w:color w:val="auto"/>
                <w:spacing w:val="8"/>
                <w:highlight w:val="none"/>
                <w:u w:val="single" w:color="auto"/>
              </w:rPr>
              <w:t xml:space="preserve"> </w:t>
            </w:r>
            <w:r>
              <w:rPr>
                <w:rFonts w:hint="eastAsia"/>
                <w:color w:val="auto"/>
                <w:spacing w:val="8"/>
                <w:highlight w:val="none"/>
                <w:u w:val="single" w:color="auto"/>
                <w:lang w:val="en-US" w:eastAsia="zh-CN"/>
              </w:rPr>
              <w:t>10</w:t>
            </w:r>
            <w:r>
              <w:rPr>
                <w:color w:val="auto"/>
                <w:spacing w:val="8"/>
                <w:highlight w:val="none"/>
                <w:u w:val="single" w:color="auto"/>
              </w:rPr>
              <w:t xml:space="preserve"> </w:t>
            </w:r>
            <w:r>
              <w:rPr>
                <w:color w:val="auto"/>
                <w:spacing w:val="-67"/>
                <w:highlight w:val="none"/>
              </w:rPr>
              <w:t xml:space="preserve"> </w:t>
            </w:r>
            <w:r>
              <w:rPr>
                <w:color w:val="auto"/>
                <w:spacing w:val="11"/>
                <w:highlight w:val="none"/>
              </w:rPr>
              <w:t>%</w:t>
            </w:r>
            <w:r>
              <w:rPr>
                <w:color w:val="auto"/>
                <w:spacing w:val="-71"/>
                <w:highlight w:val="none"/>
              </w:rPr>
              <w:t xml:space="preserve"> </w:t>
            </w:r>
            <w:r>
              <w:rPr>
                <w:color w:val="auto"/>
                <w:spacing w:val="11"/>
                <w:highlight w:val="none"/>
              </w:rPr>
              <w:t>签约合同价</w:t>
            </w:r>
          </w:p>
          <w:p w14:paraId="74CA2BFB">
            <w:pPr>
              <w:pStyle w:val="17"/>
              <w:spacing w:before="103" w:line="299" w:lineRule="auto"/>
              <w:ind w:left="115" w:right="120" w:firstLine="18"/>
              <w:rPr>
                <w:color w:val="auto"/>
                <w:highlight w:val="none"/>
              </w:rPr>
            </w:pPr>
            <w:r>
              <w:rPr>
                <w:rFonts w:hint="eastAsia"/>
                <w:color w:val="auto"/>
                <w:spacing w:val="1"/>
                <w:highlight w:val="none"/>
                <w:lang w:eastAsia="zh-CN"/>
              </w:rPr>
              <w:t>☑</w:t>
            </w:r>
            <w:r>
              <w:rPr>
                <w:color w:val="auto"/>
                <w:spacing w:val="1"/>
                <w:highlight w:val="none"/>
              </w:rPr>
              <w:t>最新年度在广东省公路工程从业单位信用评价（监理单位）等级</w:t>
            </w:r>
            <w:r>
              <w:rPr>
                <w:color w:val="auto"/>
                <w:spacing w:val="-44"/>
                <w:highlight w:val="none"/>
              </w:rPr>
              <w:t xml:space="preserve"> </w:t>
            </w:r>
            <w:r>
              <w:rPr>
                <w:color w:val="auto"/>
                <w:highlight w:val="none"/>
              </w:rPr>
              <w:t>AA</w:t>
            </w:r>
            <w:r>
              <w:rPr>
                <w:color w:val="auto"/>
                <w:spacing w:val="-49"/>
                <w:highlight w:val="none"/>
              </w:rPr>
              <w:t xml:space="preserve"> </w:t>
            </w:r>
            <w:r>
              <w:rPr>
                <w:color w:val="auto"/>
                <w:spacing w:val="1"/>
                <w:highlight w:val="none"/>
              </w:rPr>
              <w:t>级的投标人，给予减少履约保证</w:t>
            </w:r>
          </w:p>
          <w:p w14:paraId="79D704F4">
            <w:pPr>
              <w:pStyle w:val="17"/>
              <w:spacing w:before="135" w:line="243" w:lineRule="auto"/>
              <w:ind w:left="114"/>
              <w:rPr>
                <w:color w:val="auto"/>
                <w:highlight w:val="none"/>
              </w:rPr>
            </w:pPr>
            <w:r>
              <w:rPr>
                <w:color w:val="auto"/>
                <w:spacing w:val="-3"/>
                <w:highlight w:val="none"/>
              </w:rPr>
              <w:t>金，履约保证金金额:</w:t>
            </w:r>
            <w:r>
              <w:rPr>
                <w:color w:val="auto"/>
                <w:spacing w:val="55"/>
                <w:highlight w:val="none"/>
              </w:rPr>
              <w:t xml:space="preserve"> </w:t>
            </w:r>
            <w:r>
              <w:rPr>
                <w:color w:val="auto"/>
                <w:highlight w:val="none"/>
                <w:u w:val="single" w:color="auto"/>
              </w:rPr>
              <w:t xml:space="preserve">  </w:t>
            </w:r>
            <w:r>
              <w:rPr>
                <w:rFonts w:hint="eastAsia"/>
                <w:color w:val="auto"/>
                <w:highlight w:val="none"/>
                <w:u w:val="single" w:color="auto"/>
                <w:lang w:val="en-US" w:eastAsia="zh-CN"/>
              </w:rPr>
              <w:t>5%</w:t>
            </w:r>
            <w:r>
              <w:rPr>
                <w:color w:val="auto"/>
                <w:highlight w:val="none"/>
                <w:u w:val="single" w:color="auto"/>
              </w:rPr>
              <w:t xml:space="preserve">  </w:t>
            </w:r>
            <w:r>
              <w:rPr>
                <w:color w:val="auto"/>
                <w:spacing w:val="11"/>
                <w:highlight w:val="none"/>
              </w:rPr>
              <w:t>签约合同价</w:t>
            </w:r>
          </w:p>
          <w:p w14:paraId="627893A3">
            <w:pPr>
              <w:pStyle w:val="17"/>
              <w:spacing w:before="153" w:line="322" w:lineRule="auto"/>
              <w:ind w:left="113" w:right="120" w:firstLine="20"/>
              <w:rPr>
                <w:color w:val="auto"/>
                <w:highlight w:val="none"/>
              </w:rPr>
            </w:pPr>
            <w:r>
              <w:rPr>
                <w:rFonts w:hint="eastAsia"/>
                <w:color w:val="auto"/>
                <w:spacing w:val="1"/>
                <w:highlight w:val="none"/>
                <w:lang w:eastAsia="zh-CN"/>
              </w:rPr>
              <w:t>☑</w:t>
            </w:r>
            <w:r>
              <w:rPr>
                <w:color w:val="auto"/>
                <w:spacing w:val="1"/>
                <w:highlight w:val="none"/>
              </w:rPr>
              <w:t>最新年度在广东省公路工程从业单位信用评价（监理单位）A</w:t>
            </w:r>
            <w:r>
              <w:rPr>
                <w:color w:val="auto"/>
                <w:spacing w:val="-37"/>
                <w:highlight w:val="none"/>
              </w:rPr>
              <w:t xml:space="preserve"> </w:t>
            </w:r>
            <w:r>
              <w:rPr>
                <w:color w:val="auto"/>
                <w:spacing w:val="1"/>
                <w:highlight w:val="none"/>
              </w:rPr>
              <w:t>级的投标人，给予减少履约保证金，履约</w:t>
            </w: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color w:val="auto"/>
                <w:spacing w:val="1"/>
                <w:highlight w:val="none"/>
              </w:rPr>
              <w:t>保证金金额</w:t>
            </w:r>
            <w:r>
              <w:rPr>
                <w:color w:val="auto"/>
                <w:spacing w:val="1"/>
                <w:position w:val="10"/>
                <w:sz w:val="10"/>
                <w:szCs w:val="10"/>
                <w:highlight w:val="none"/>
              </w:rPr>
              <w:fldChar w:fldCharType="end"/>
            </w:r>
            <w:r>
              <w:rPr>
                <w:color w:val="auto"/>
                <w:spacing w:val="-24"/>
                <w:position w:val="10"/>
                <w:sz w:val="10"/>
                <w:szCs w:val="10"/>
                <w:highlight w:val="none"/>
              </w:rPr>
              <w:t xml:space="preserve"> </w:t>
            </w:r>
            <w:r>
              <w:rPr>
                <w:color w:val="auto"/>
                <w:spacing w:val="-70"/>
                <w:highlight w:val="none"/>
              </w:rPr>
              <w:t>:</w:t>
            </w:r>
            <w:r>
              <w:rPr>
                <w:color w:val="auto"/>
                <w:spacing w:val="52"/>
                <w:highlight w:val="none"/>
              </w:rPr>
              <w:t xml:space="preserve"> </w:t>
            </w:r>
            <w:r>
              <w:rPr>
                <w:color w:val="auto"/>
                <w:highlight w:val="none"/>
                <w:u w:val="single" w:color="auto"/>
              </w:rPr>
              <w:t xml:space="preserve"> </w:t>
            </w:r>
            <w:r>
              <w:rPr>
                <w:rFonts w:hint="eastAsia"/>
                <w:color w:val="auto"/>
                <w:highlight w:val="none"/>
                <w:u w:val="single" w:color="auto"/>
                <w:lang w:val="en-US" w:eastAsia="zh-CN"/>
              </w:rPr>
              <w:t>10%</w:t>
            </w:r>
            <w:r>
              <w:rPr>
                <w:color w:val="auto"/>
                <w:highlight w:val="none"/>
                <w:u w:val="single" w:color="auto"/>
              </w:rPr>
              <w:t xml:space="preserve"> </w:t>
            </w:r>
            <w:r>
              <w:rPr>
                <w:color w:val="auto"/>
                <w:spacing w:val="11"/>
                <w:highlight w:val="none"/>
              </w:rPr>
              <w:t>签约合同价</w:t>
            </w:r>
          </w:p>
          <w:p w14:paraId="0C1C6EE8">
            <w:pPr>
              <w:pStyle w:val="17"/>
              <w:spacing w:before="156" w:line="369" w:lineRule="auto"/>
              <w:ind w:left="114" w:right="108" w:firstLine="403"/>
              <w:jc w:val="both"/>
              <w:rPr>
                <w:color w:val="auto"/>
                <w:highlight w:val="none"/>
              </w:rPr>
            </w:pPr>
            <w:r>
              <w:rPr>
                <w:color w:val="auto"/>
                <w:spacing w:val="13"/>
                <w:highlight w:val="none"/>
              </w:rPr>
              <w:t>采用银行保函时，出具保函的银行级别：</w:t>
            </w:r>
            <w:r>
              <w:rPr>
                <w:color w:val="auto"/>
                <w:spacing w:val="13"/>
                <w:highlight w:val="none"/>
                <w:u w:val="single" w:color="auto"/>
              </w:rPr>
              <w:t>投标</w:t>
            </w:r>
            <w:r>
              <w:rPr>
                <w:color w:val="auto"/>
                <w:spacing w:val="11"/>
                <w:highlight w:val="none"/>
                <w:u w:val="single" w:color="auto"/>
              </w:rPr>
              <w:t>人公司注册所在地的股份制商业银行或城市商业银</w:t>
            </w:r>
            <w:r>
              <w:rPr>
                <w:color w:val="auto"/>
                <w:spacing w:val="12"/>
                <w:highlight w:val="none"/>
                <w:u w:val="single" w:color="auto"/>
              </w:rPr>
              <w:t>行或农村商业银行或全国性国有商业银行的分</w:t>
            </w:r>
            <w:r>
              <w:rPr>
                <w:color w:val="auto"/>
                <w:spacing w:val="11"/>
                <w:highlight w:val="none"/>
                <w:u w:val="single" w:color="auto"/>
              </w:rPr>
              <w:t>支机</w:t>
            </w:r>
            <w:r>
              <w:rPr>
                <w:color w:val="auto"/>
                <w:spacing w:val="13"/>
                <w:highlight w:val="none"/>
                <w:u w:val="single" w:color="auto"/>
              </w:rPr>
              <w:t>构。</w:t>
            </w:r>
          </w:p>
          <w:p w14:paraId="6F904475">
            <w:pPr>
              <w:pStyle w:val="17"/>
              <w:spacing w:line="229" w:lineRule="auto"/>
              <w:ind w:left="134"/>
              <w:rPr>
                <w:color w:val="auto"/>
                <w:highlight w:val="none"/>
              </w:rPr>
            </w:pPr>
            <w:r>
              <w:rPr>
                <w:color w:val="auto"/>
                <w:spacing w:val="2"/>
                <w:highlight w:val="none"/>
              </w:rPr>
              <w:t>□不要求</w:t>
            </w:r>
          </w:p>
        </w:tc>
      </w:tr>
      <w:tr w14:paraId="00301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5" w:hRule="atLeast"/>
        </w:trPr>
        <w:tc>
          <w:tcPr>
            <w:tcW w:w="1013" w:type="dxa"/>
            <w:vAlign w:val="top"/>
          </w:tcPr>
          <w:p w14:paraId="526FA3C3">
            <w:pPr>
              <w:spacing w:line="242" w:lineRule="auto"/>
              <w:rPr>
                <w:rFonts w:ascii="Arial"/>
                <w:color w:val="auto"/>
                <w:sz w:val="21"/>
                <w:highlight w:val="none"/>
              </w:rPr>
            </w:pPr>
          </w:p>
          <w:p w14:paraId="5A82A939">
            <w:pPr>
              <w:spacing w:line="242" w:lineRule="auto"/>
              <w:rPr>
                <w:rFonts w:ascii="Arial"/>
                <w:color w:val="auto"/>
                <w:sz w:val="21"/>
                <w:highlight w:val="none"/>
              </w:rPr>
            </w:pPr>
          </w:p>
          <w:p w14:paraId="01806CEC">
            <w:pPr>
              <w:spacing w:line="242" w:lineRule="auto"/>
              <w:rPr>
                <w:rFonts w:ascii="Arial"/>
                <w:color w:val="auto"/>
                <w:sz w:val="21"/>
                <w:highlight w:val="none"/>
              </w:rPr>
            </w:pPr>
          </w:p>
          <w:p w14:paraId="6C154C94">
            <w:pPr>
              <w:spacing w:line="242" w:lineRule="auto"/>
              <w:rPr>
                <w:rFonts w:ascii="Arial"/>
                <w:color w:val="auto"/>
                <w:sz w:val="21"/>
                <w:highlight w:val="none"/>
              </w:rPr>
            </w:pPr>
          </w:p>
          <w:p w14:paraId="07878580">
            <w:pPr>
              <w:spacing w:line="242" w:lineRule="auto"/>
              <w:rPr>
                <w:rFonts w:ascii="Arial"/>
                <w:color w:val="auto"/>
                <w:sz w:val="21"/>
                <w:highlight w:val="none"/>
              </w:rPr>
            </w:pPr>
          </w:p>
          <w:p w14:paraId="6031725E">
            <w:pPr>
              <w:spacing w:line="242" w:lineRule="auto"/>
              <w:rPr>
                <w:rFonts w:ascii="Arial"/>
                <w:color w:val="auto"/>
                <w:sz w:val="21"/>
                <w:highlight w:val="none"/>
              </w:rPr>
            </w:pPr>
          </w:p>
          <w:p w14:paraId="03131EFE">
            <w:pPr>
              <w:spacing w:line="242" w:lineRule="auto"/>
              <w:rPr>
                <w:rFonts w:ascii="Arial"/>
                <w:color w:val="auto"/>
                <w:sz w:val="21"/>
                <w:highlight w:val="none"/>
              </w:rPr>
            </w:pPr>
          </w:p>
          <w:p w14:paraId="7F0209C8">
            <w:pPr>
              <w:spacing w:line="242" w:lineRule="auto"/>
              <w:rPr>
                <w:rFonts w:ascii="Arial"/>
                <w:color w:val="auto"/>
                <w:sz w:val="21"/>
                <w:highlight w:val="none"/>
              </w:rPr>
            </w:pPr>
          </w:p>
          <w:p w14:paraId="2F3CCA80">
            <w:pPr>
              <w:spacing w:line="242" w:lineRule="auto"/>
              <w:rPr>
                <w:rFonts w:ascii="Arial"/>
                <w:color w:val="auto"/>
                <w:sz w:val="21"/>
                <w:highlight w:val="none"/>
              </w:rPr>
            </w:pPr>
          </w:p>
          <w:p w14:paraId="5F476EC3">
            <w:pPr>
              <w:spacing w:line="242" w:lineRule="auto"/>
              <w:rPr>
                <w:rFonts w:ascii="Arial"/>
                <w:color w:val="auto"/>
                <w:sz w:val="21"/>
                <w:highlight w:val="none"/>
              </w:rPr>
            </w:pPr>
          </w:p>
          <w:p w14:paraId="4F01541C">
            <w:pPr>
              <w:spacing w:line="242" w:lineRule="auto"/>
              <w:rPr>
                <w:rFonts w:ascii="Arial"/>
                <w:color w:val="auto"/>
                <w:sz w:val="21"/>
                <w:highlight w:val="none"/>
              </w:rPr>
            </w:pPr>
          </w:p>
          <w:p w14:paraId="7BDA25D7">
            <w:pPr>
              <w:pStyle w:val="17"/>
              <w:spacing w:before="65" w:line="267" w:lineRule="exact"/>
              <w:ind w:left="250"/>
              <w:rPr>
                <w:color w:val="auto"/>
                <w:highlight w:val="none"/>
              </w:rPr>
            </w:pPr>
            <w:r>
              <w:rPr>
                <w:color w:val="auto"/>
                <w:spacing w:val="3"/>
                <w:position w:val="1"/>
                <w:highlight w:val="none"/>
              </w:rPr>
              <w:t>8.5.1</w:t>
            </w:r>
          </w:p>
        </w:tc>
        <w:tc>
          <w:tcPr>
            <w:tcW w:w="2877" w:type="dxa"/>
            <w:vAlign w:val="top"/>
          </w:tcPr>
          <w:p w14:paraId="3BDCB82B">
            <w:pPr>
              <w:spacing w:line="241" w:lineRule="auto"/>
              <w:rPr>
                <w:rFonts w:ascii="Arial"/>
                <w:color w:val="auto"/>
                <w:sz w:val="21"/>
                <w:highlight w:val="none"/>
              </w:rPr>
            </w:pPr>
          </w:p>
          <w:p w14:paraId="04FF4E94">
            <w:pPr>
              <w:spacing w:line="242" w:lineRule="auto"/>
              <w:rPr>
                <w:rFonts w:ascii="Arial"/>
                <w:color w:val="auto"/>
                <w:sz w:val="21"/>
                <w:highlight w:val="none"/>
              </w:rPr>
            </w:pPr>
          </w:p>
          <w:p w14:paraId="1550686C">
            <w:pPr>
              <w:spacing w:line="242" w:lineRule="auto"/>
              <w:rPr>
                <w:rFonts w:ascii="Arial"/>
                <w:color w:val="auto"/>
                <w:sz w:val="21"/>
                <w:highlight w:val="none"/>
              </w:rPr>
            </w:pPr>
          </w:p>
          <w:p w14:paraId="460F4F68">
            <w:pPr>
              <w:spacing w:line="242" w:lineRule="auto"/>
              <w:rPr>
                <w:rFonts w:ascii="Arial"/>
                <w:color w:val="auto"/>
                <w:sz w:val="21"/>
                <w:highlight w:val="none"/>
              </w:rPr>
            </w:pPr>
          </w:p>
          <w:p w14:paraId="53562171">
            <w:pPr>
              <w:spacing w:line="242" w:lineRule="auto"/>
              <w:rPr>
                <w:rFonts w:ascii="Arial"/>
                <w:color w:val="auto"/>
                <w:sz w:val="21"/>
                <w:highlight w:val="none"/>
              </w:rPr>
            </w:pPr>
          </w:p>
          <w:p w14:paraId="3EE42BDB">
            <w:pPr>
              <w:spacing w:line="242" w:lineRule="auto"/>
              <w:rPr>
                <w:rFonts w:ascii="Arial"/>
                <w:color w:val="auto"/>
                <w:sz w:val="21"/>
                <w:highlight w:val="none"/>
              </w:rPr>
            </w:pPr>
          </w:p>
          <w:p w14:paraId="7BB19F9D">
            <w:pPr>
              <w:spacing w:line="242" w:lineRule="auto"/>
              <w:rPr>
                <w:rFonts w:ascii="Arial"/>
                <w:color w:val="auto"/>
                <w:sz w:val="21"/>
                <w:highlight w:val="none"/>
              </w:rPr>
            </w:pPr>
          </w:p>
          <w:p w14:paraId="3D727EA5">
            <w:pPr>
              <w:spacing w:line="242" w:lineRule="auto"/>
              <w:rPr>
                <w:rFonts w:ascii="Arial"/>
                <w:color w:val="auto"/>
                <w:sz w:val="21"/>
                <w:highlight w:val="none"/>
              </w:rPr>
            </w:pPr>
          </w:p>
          <w:p w14:paraId="12A3F771">
            <w:pPr>
              <w:spacing w:line="242" w:lineRule="auto"/>
              <w:rPr>
                <w:rFonts w:ascii="Arial"/>
                <w:color w:val="auto"/>
                <w:sz w:val="21"/>
                <w:highlight w:val="none"/>
              </w:rPr>
            </w:pPr>
          </w:p>
          <w:p w14:paraId="0AD54E50">
            <w:pPr>
              <w:spacing w:line="242" w:lineRule="auto"/>
              <w:rPr>
                <w:rFonts w:ascii="Arial"/>
                <w:color w:val="auto"/>
                <w:sz w:val="21"/>
                <w:highlight w:val="none"/>
              </w:rPr>
            </w:pPr>
          </w:p>
          <w:p w14:paraId="4572164A">
            <w:pPr>
              <w:spacing w:line="242" w:lineRule="auto"/>
              <w:rPr>
                <w:rFonts w:ascii="Arial"/>
                <w:color w:val="auto"/>
                <w:sz w:val="21"/>
                <w:highlight w:val="none"/>
              </w:rPr>
            </w:pPr>
          </w:p>
          <w:p w14:paraId="2D901CD7">
            <w:pPr>
              <w:pStyle w:val="17"/>
              <w:spacing w:before="65" w:line="228" w:lineRule="auto"/>
              <w:ind w:left="1022"/>
              <w:rPr>
                <w:color w:val="auto"/>
                <w:highlight w:val="none"/>
              </w:rPr>
            </w:pPr>
            <w:r>
              <w:rPr>
                <w:color w:val="auto"/>
                <w:spacing w:val="7"/>
                <w:highlight w:val="none"/>
              </w:rPr>
              <w:t>监督部门</w:t>
            </w:r>
          </w:p>
        </w:tc>
        <w:tc>
          <w:tcPr>
            <w:tcW w:w="4891" w:type="dxa"/>
            <w:vAlign w:val="top"/>
          </w:tcPr>
          <w:p w14:paraId="2A4153E3">
            <w:pPr>
              <w:pStyle w:val="17"/>
              <w:spacing w:before="124" w:line="246" w:lineRule="auto"/>
              <w:ind w:left="219"/>
              <w:rPr>
                <w:color w:val="auto"/>
                <w:highlight w:val="none"/>
              </w:rPr>
            </w:pPr>
            <w:r>
              <w:rPr>
                <w:color w:val="auto"/>
                <w:spacing w:val="-2"/>
                <w:highlight w:val="none"/>
              </w:rPr>
              <w:t>监督部门:</w:t>
            </w:r>
            <w:r>
              <w:rPr>
                <w:color w:val="auto"/>
                <w:spacing w:val="56"/>
                <w:highlight w:val="none"/>
              </w:rPr>
              <w:t xml:space="preserve"> </w:t>
            </w:r>
            <w:r>
              <w:rPr>
                <w:color w:val="auto"/>
                <w:highlight w:val="none"/>
                <w:u w:val="single" w:color="auto"/>
              </w:rPr>
              <w:t xml:space="preserve"> </w:t>
            </w:r>
            <w:r>
              <w:rPr>
                <w:rFonts w:hint="eastAsia"/>
                <w:color w:val="auto"/>
                <w:highlight w:val="none"/>
                <w:u w:val="single" w:color="auto"/>
                <w:lang w:val="en-US" w:eastAsia="zh-CN"/>
              </w:rPr>
              <w:t>乳源瑶族自治县交通运输局</w:t>
            </w:r>
            <w:r>
              <w:rPr>
                <w:color w:val="auto"/>
                <w:highlight w:val="none"/>
                <w:u w:val="single" w:color="auto"/>
              </w:rPr>
              <w:t xml:space="preserve"> </w:t>
            </w:r>
          </w:p>
          <w:p w14:paraId="0300B3FF">
            <w:pPr>
              <w:pStyle w:val="17"/>
              <w:spacing w:before="151" w:line="230" w:lineRule="auto"/>
              <w:ind w:left="243"/>
              <w:rPr>
                <w:color w:val="auto"/>
                <w:highlight w:val="none"/>
              </w:rPr>
            </w:pPr>
            <w:r>
              <w:rPr>
                <w:color w:val="auto"/>
                <w:spacing w:val="-1"/>
                <w:highlight w:val="none"/>
              </w:rPr>
              <w:t>电话：</w:t>
            </w:r>
            <w:r>
              <w:rPr>
                <w:color w:val="auto"/>
                <w:highlight w:val="none"/>
                <w:u w:val="single" w:color="auto"/>
              </w:rPr>
              <w:t xml:space="preserve"> </w:t>
            </w:r>
            <w:r>
              <w:rPr>
                <w:rFonts w:hint="eastAsia"/>
                <w:color w:val="auto"/>
                <w:highlight w:val="none"/>
                <w:u w:val="single" w:color="auto"/>
                <w:lang w:val="en-US" w:eastAsia="zh-CN"/>
              </w:rPr>
              <w:t>0751-8556180</w:t>
            </w:r>
            <w:r>
              <w:rPr>
                <w:color w:val="auto"/>
                <w:highlight w:val="none"/>
                <w:u w:val="single" w:color="auto"/>
              </w:rPr>
              <w:t xml:space="preserve"> </w:t>
            </w:r>
            <w:r>
              <w:rPr>
                <w:rFonts w:hint="eastAsia"/>
                <w:color w:val="auto"/>
                <w:highlight w:val="none"/>
                <w:u w:val="single" w:color="auto"/>
                <w:lang w:val="en-US" w:eastAsia="zh-CN"/>
              </w:rPr>
              <w:t xml:space="preserve">  </w:t>
            </w:r>
            <w:r>
              <w:rPr>
                <w:color w:val="auto"/>
                <w:spacing w:val="7"/>
                <w:highlight w:val="none"/>
              </w:rPr>
              <w:t>传真：</w:t>
            </w:r>
            <w:r>
              <w:rPr>
                <w:color w:val="auto"/>
                <w:highlight w:val="none"/>
                <w:u w:val="single" w:color="auto"/>
              </w:rPr>
              <w:t xml:space="preserve">  </w:t>
            </w:r>
            <w:r>
              <w:rPr>
                <w:rFonts w:hint="eastAsia"/>
                <w:color w:val="auto"/>
                <w:highlight w:val="none"/>
                <w:u w:val="single" w:color="auto"/>
                <w:lang w:val="en-US" w:eastAsia="zh-CN"/>
              </w:rPr>
              <w:t>/</w:t>
            </w:r>
            <w:r>
              <w:rPr>
                <w:color w:val="auto"/>
                <w:highlight w:val="none"/>
                <w:u w:val="single" w:color="auto"/>
              </w:rPr>
              <w:t xml:space="preserve"> </w:t>
            </w:r>
          </w:p>
          <w:p w14:paraId="4498B265">
            <w:pPr>
              <w:pStyle w:val="17"/>
              <w:spacing w:before="154" w:line="228" w:lineRule="auto"/>
              <w:ind w:left="218"/>
              <w:rPr>
                <w:color w:val="auto"/>
                <w:highlight w:val="none"/>
              </w:rPr>
            </w:pPr>
            <w:r>
              <w:rPr>
                <w:color w:val="auto"/>
                <w:spacing w:val="5"/>
                <w:highlight w:val="none"/>
              </w:rPr>
              <w:t>通信地址：</w:t>
            </w:r>
            <w:r>
              <w:rPr>
                <w:rFonts w:hint="eastAsia"/>
                <w:color w:val="auto"/>
                <w:spacing w:val="20"/>
                <w:highlight w:val="none"/>
                <w:u w:val="single"/>
                <w:lang w:val="en-US" w:eastAsia="zh-CN"/>
              </w:rPr>
              <w:t xml:space="preserve">韶关市乳源瑶族自治县滨江中路县交通运输局 </w:t>
            </w:r>
            <w:r>
              <w:rPr>
                <w:rFonts w:hint="eastAsia"/>
                <w:color w:val="auto"/>
                <w:spacing w:val="20"/>
                <w:highlight w:val="none"/>
                <w:u w:val="none"/>
                <w:lang w:val="en-US" w:eastAsia="zh-CN"/>
              </w:rPr>
              <w:t xml:space="preserve">   </w:t>
            </w:r>
            <w:r>
              <w:rPr>
                <w:color w:val="auto"/>
                <w:spacing w:val="5"/>
                <w:highlight w:val="none"/>
              </w:rPr>
              <w:t>邮政编码：</w:t>
            </w:r>
            <w:r>
              <w:rPr>
                <w:color w:val="auto"/>
                <w:highlight w:val="none"/>
                <w:u w:val="single" w:color="auto"/>
              </w:rPr>
              <w:t xml:space="preserve"> </w:t>
            </w:r>
            <w:r>
              <w:rPr>
                <w:rFonts w:hint="eastAsia"/>
                <w:color w:val="auto"/>
                <w:highlight w:val="none"/>
                <w:u w:val="single" w:color="auto"/>
                <w:lang w:val="en-US" w:eastAsia="zh-CN"/>
              </w:rPr>
              <w:t>512700</w:t>
            </w:r>
            <w:r>
              <w:rPr>
                <w:color w:val="auto"/>
                <w:highlight w:val="none"/>
                <w:u w:val="single" w:color="auto"/>
              </w:rPr>
              <w:t xml:space="preserve"> </w:t>
            </w:r>
          </w:p>
          <w:p w14:paraId="15AEC751">
            <w:pPr>
              <w:spacing w:line="243" w:lineRule="auto"/>
              <w:rPr>
                <w:rFonts w:ascii="Arial"/>
                <w:color w:val="auto"/>
                <w:sz w:val="21"/>
                <w:highlight w:val="none"/>
              </w:rPr>
            </w:pPr>
          </w:p>
          <w:p w14:paraId="47010BFD">
            <w:pPr>
              <w:pStyle w:val="17"/>
              <w:tabs>
                <w:tab w:val="left" w:pos="629"/>
              </w:tabs>
              <w:spacing w:before="66" w:line="228" w:lineRule="auto"/>
              <w:ind w:left="209"/>
              <w:rPr>
                <w:color w:val="auto"/>
                <w:highlight w:val="none"/>
              </w:rPr>
            </w:pPr>
            <w:r>
              <w:rPr>
                <w:color w:val="auto"/>
                <w:spacing w:val="6"/>
                <w:highlight w:val="none"/>
              </w:rPr>
              <w:t>交通运输</w:t>
            </w:r>
            <w:r>
              <w:rPr>
                <w:color w:val="auto"/>
                <w:spacing w:val="-59"/>
                <w:highlight w:val="none"/>
              </w:rPr>
              <w:t xml:space="preserve"> </w:t>
            </w:r>
            <w:r>
              <w:rPr>
                <w:color w:val="auto"/>
                <w:spacing w:val="6"/>
                <w:highlight w:val="none"/>
              </w:rPr>
              <w:t>主</w:t>
            </w:r>
            <w:r>
              <w:rPr>
                <w:color w:val="auto"/>
                <w:spacing w:val="-56"/>
                <w:highlight w:val="none"/>
              </w:rPr>
              <w:t xml:space="preserve"> </w:t>
            </w:r>
            <w:r>
              <w:rPr>
                <w:color w:val="auto"/>
                <w:spacing w:val="6"/>
                <w:highlight w:val="none"/>
              </w:rPr>
              <w:t>管</w:t>
            </w:r>
            <w:r>
              <w:rPr>
                <w:color w:val="auto"/>
                <w:spacing w:val="-58"/>
                <w:highlight w:val="none"/>
              </w:rPr>
              <w:t xml:space="preserve"> </w:t>
            </w:r>
            <w:r>
              <w:rPr>
                <w:color w:val="auto"/>
                <w:spacing w:val="6"/>
                <w:highlight w:val="none"/>
              </w:rPr>
              <w:t>部</w:t>
            </w:r>
            <w:r>
              <w:rPr>
                <w:color w:val="auto"/>
                <w:spacing w:val="-38"/>
                <w:highlight w:val="none"/>
              </w:rPr>
              <w:t xml:space="preserve"> </w:t>
            </w:r>
            <w:r>
              <w:rPr>
                <w:color w:val="auto"/>
                <w:spacing w:val="6"/>
                <w:highlight w:val="none"/>
              </w:rPr>
              <w:t>门（或</w:t>
            </w:r>
            <w:r>
              <w:rPr>
                <w:color w:val="auto"/>
                <w:spacing w:val="-57"/>
                <w:highlight w:val="none"/>
              </w:rPr>
              <w:t xml:space="preserve"> </w:t>
            </w:r>
            <w:r>
              <w:rPr>
                <w:color w:val="auto"/>
                <w:spacing w:val="6"/>
                <w:highlight w:val="none"/>
              </w:rPr>
              <w:t>项</w:t>
            </w:r>
            <w:r>
              <w:rPr>
                <w:color w:val="auto"/>
                <w:spacing w:val="-21"/>
                <w:highlight w:val="none"/>
              </w:rPr>
              <w:t xml:space="preserve"> </w:t>
            </w:r>
            <w:r>
              <w:rPr>
                <w:color w:val="auto"/>
                <w:spacing w:val="6"/>
                <w:highlight w:val="none"/>
              </w:rPr>
              <w:t>目</w:t>
            </w:r>
            <w:r>
              <w:rPr>
                <w:color w:val="auto"/>
                <w:spacing w:val="-59"/>
                <w:highlight w:val="none"/>
              </w:rPr>
              <w:t xml:space="preserve"> </w:t>
            </w:r>
            <w:r>
              <w:rPr>
                <w:color w:val="auto"/>
                <w:spacing w:val="6"/>
                <w:highlight w:val="none"/>
              </w:rPr>
              <w:t>上</w:t>
            </w:r>
            <w:r>
              <w:rPr>
                <w:color w:val="auto"/>
                <w:spacing w:val="-58"/>
                <w:highlight w:val="none"/>
              </w:rPr>
              <w:t xml:space="preserve"> </w:t>
            </w:r>
            <w:r>
              <w:rPr>
                <w:color w:val="auto"/>
                <w:spacing w:val="6"/>
                <w:highlight w:val="none"/>
              </w:rPr>
              <w:t>级</w:t>
            </w:r>
            <w:r>
              <w:rPr>
                <w:color w:val="auto"/>
                <w:spacing w:val="-58"/>
                <w:highlight w:val="none"/>
              </w:rPr>
              <w:t xml:space="preserve"> </w:t>
            </w:r>
            <w:r>
              <w:rPr>
                <w:color w:val="auto"/>
                <w:spacing w:val="6"/>
                <w:highlight w:val="none"/>
              </w:rPr>
              <w:t>管</w:t>
            </w:r>
            <w:r>
              <w:rPr>
                <w:color w:val="auto"/>
                <w:spacing w:val="-58"/>
                <w:highlight w:val="none"/>
              </w:rPr>
              <w:t xml:space="preserve"> </w:t>
            </w:r>
            <w:r>
              <w:rPr>
                <w:color w:val="auto"/>
                <w:spacing w:val="6"/>
                <w:highlight w:val="none"/>
              </w:rPr>
              <w:t>理</w:t>
            </w:r>
            <w:r>
              <w:rPr>
                <w:color w:val="auto"/>
                <w:spacing w:val="-59"/>
                <w:highlight w:val="none"/>
              </w:rPr>
              <w:t xml:space="preserve"> </w:t>
            </w:r>
            <w:r>
              <w:rPr>
                <w:color w:val="auto"/>
                <w:spacing w:val="6"/>
                <w:highlight w:val="none"/>
              </w:rPr>
              <w:t>单</w:t>
            </w:r>
          </w:p>
          <w:p w14:paraId="0BE7E823">
            <w:pPr>
              <w:pStyle w:val="17"/>
              <w:spacing w:before="11" w:line="406" w:lineRule="auto"/>
              <w:ind w:left="218"/>
              <w:rPr>
                <w:color w:val="auto"/>
                <w:sz w:val="10"/>
                <w:szCs w:val="10"/>
                <w:highlight w:val="none"/>
              </w:rPr>
            </w:pPr>
            <w:r>
              <w:rPr>
                <w:color w:val="auto"/>
                <w:spacing w:val="2"/>
                <w:highlight w:val="none"/>
              </w:rPr>
              <w:t>位</w:t>
            </w:r>
            <w:r>
              <w:rPr>
                <w:color w:val="auto"/>
                <w:spacing w:val="11"/>
                <w:highlight w:val="none"/>
              </w:rPr>
              <w:t>）：</w:t>
            </w:r>
            <w:r>
              <w:rPr>
                <w:rFonts w:hint="eastAsia" w:ascii="宋体" w:hAnsi="宋体" w:eastAsia="宋体" w:cs="宋体"/>
                <w:color w:val="auto"/>
                <w:highlight w:val="none"/>
                <w:u w:val="single" w:color="auto"/>
              </w:rPr>
              <w:t>乳源瑶族自治县交通运输局</w:t>
            </w:r>
          </w:p>
          <w:p w14:paraId="12CECD9F">
            <w:pPr>
              <w:pStyle w:val="17"/>
              <w:spacing w:before="101" w:line="230" w:lineRule="auto"/>
              <w:ind w:left="243"/>
              <w:rPr>
                <w:color w:val="auto"/>
                <w:highlight w:val="none"/>
              </w:rPr>
            </w:pPr>
            <w:r>
              <w:rPr>
                <w:color w:val="auto"/>
                <w:spacing w:val="-5"/>
                <w:highlight w:val="none"/>
              </w:rPr>
              <w:t>电话：</w:t>
            </w:r>
            <w:r>
              <w:rPr>
                <w:rFonts w:hint="eastAsia"/>
                <w:color w:val="auto"/>
                <w:spacing w:val="-5"/>
                <w:highlight w:val="none"/>
                <w:u w:val="single"/>
              </w:rPr>
              <w:t>0751-8556180</w:t>
            </w:r>
            <w:r>
              <w:rPr>
                <w:rFonts w:hint="eastAsia"/>
                <w:color w:val="auto"/>
                <w:spacing w:val="-5"/>
                <w:highlight w:val="none"/>
                <w:u w:val="single"/>
                <w:lang w:val="en-US" w:eastAsia="zh-CN"/>
              </w:rPr>
              <w:t xml:space="preserve"> </w:t>
            </w:r>
            <w:r>
              <w:rPr>
                <w:rFonts w:hint="eastAsia"/>
                <w:color w:val="auto"/>
                <w:spacing w:val="-5"/>
                <w:highlight w:val="none"/>
                <w:lang w:val="en-US" w:eastAsia="zh-CN"/>
              </w:rPr>
              <w:t xml:space="preserve"> </w:t>
            </w:r>
            <w:r>
              <w:rPr>
                <w:color w:val="auto"/>
                <w:spacing w:val="7"/>
                <w:highlight w:val="none"/>
              </w:rPr>
              <w:t>传真：</w:t>
            </w:r>
            <w:r>
              <w:rPr>
                <w:color w:val="auto"/>
                <w:highlight w:val="none"/>
                <w:u w:val="single" w:color="auto"/>
              </w:rPr>
              <w:t xml:space="preserve">     </w:t>
            </w:r>
            <w:r>
              <w:rPr>
                <w:rFonts w:hint="eastAsia"/>
                <w:color w:val="auto"/>
                <w:highlight w:val="none"/>
                <w:u w:val="single" w:color="auto"/>
                <w:lang w:val="en-US" w:eastAsia="zh-CN"/>
              </w:rPr>
              <w:t>/</w:t>
            </w:r>
            <w:r>
              <w:rPr>
                <w:color w:val="auto"/>
                <w:highlight w:val="none"/>
                <w:u w:val="single" w:color="auto"/>
              </w:rPr>
              <w:t xml:space="preserve">   </w:t>
            </w:r>
          </w:p>
          <w:p w14:paraId="59202B7D">
            <w:pPr>
              <w:pStyle w:val="17"/>
              <w:spacing w:before="152" w:line="228" w:lineRule="auto"/>
              <w:ind w:left="218"/>
              <w:rPr>
                <w:color w:val="auto"/>
                <w:highlight w:val="none"/>
              </w:rPr>
            </w:pPr>
            <w:r>
              <w:rPr>
                <w:color w:val="auto"/>
                <w:spacing w:val="5"/>
                <w:highlight w:val="none"/>
              </w:rPr>
              <w:t>通信地址：</w:t>
            </w:r>
            <w:r>
              <w:rPr>
                <w:color w:val="auto"/>
                <w:highlight w:val="none"/>
                <w:u w:val="single" w:color="auto"/>
              </w:rPr>
              <w:t xml:space="preserve"> </w:t>
            </w:r>
            <w:r>
              <w:rPr>
                <w:rFonts w:hint="eastAsia"/>
                <w:color w:val="auto"/>
                <w:highlight w:val="none"/>
                <w:u w:val="single" w:color="auto"/>
              </w:rPr>
              <w:t>韶关市乳源瑶族自治县滨江中路县交通运输局</w:t>
            </w:r>
            <w:r>
              <w:rPr>
                <w:color w:val="auto"/>
                <w:highlight w:val="none"/>
                <w:u w:val="single" w:color="auto"/>
              </w:rPr>
              <w:t xml:space="preserve"> </w:t>
            </w:r>
            <w:r>
              <w:rPr>
                <w:rFonts w:hint="eastAsia"/>
                <w:color w:val="auto"/>
                <w:highlight w:val="none"/>
                <w:u w:val="single" w:color="auto"/>
                <w:lang w:val="en-US" w:eastAsia="zh-CN"/>
              </w:rPr>
              <w:t xml:space="preserve">   </w:t>
            </w:r>
            <w:r>
              <w:rPr>
                <w:color w:val="auto"/>
                <w:spacing w:val="2"/>
                <w:highlight w:val="none"/>
              </w:rPr>
              <w:t>邮政编码：</w:t>
            </w:r>
            <w:r>
              <w:rPr>
                <w:rFonts w:hint="eastAsia"/>
                <w:color w:val="auto"/>
                <w:highlight w:val="none"/>
                <w:u w:val="single" w:color="auto"/>
                <w:lang w:val="en-US" w:eastAsia="zh-CN"/>
              </w:rPr>
              <w:t>512700</w:t>
            </w:r>
          </w:p>
          <w:p w14:paraId="48DBDE96">
            <w:pPr>
              <w:pStyle w:val="17"/>
              <w:spacing w:before="65" w:line="243" w:lineRule="auto"/>
              <w:ind w:left="221"/>
              <w:rPr>
                <w:color w:val="auto"/>
                <w:spacing w:val="10"/>
                <w:highlight w:val="none"/>
              </w:rPr>
            </w:pPr>
          </w:p>
          <w:p w14:paraId="72AC95D0">
            <w:pPr>
              <w:pStyle w:val="17"/>
              <w:spacing w:before="65" w:line="243" w:lineRule="auto"/>
              <w:ind w:left="221"/>
              <w:rPr>
                <w:rFonts w:hint="eastAsia"/>
                <w:color w:val="auto"/>
                <w:spacing w:val="1"/>
                <w:highlight w:val="none"/>
              </w:rPr>
            </w:pPr>
            <w:r>
              <w:rPr>
                <w:color w:val="auto"/>
                <w:spacing w:val="10"/>
                <w:highlight w:val="none"/>
              </w:rPr>
              <w:t>项目管理单位</w:t>
            </w:r>
            <w:r>
              <w:rPr>
                <w:color w:val="auto"/>
                <w:spacing w:val="1"/>
                <w:highlight w:val="none"/>
              </w:rPr>
              <w:t>：</w:t>
            </w:r>
            <w:r>
              <w:rPr>
                <w:rFonts w:hint="eastAsia"/>
                <w:color w:val="auto"/>
                <w:spacing w:val="1"/>
                <w:highlight w:val="none"/>
                <w:u w:val="single"/>
              </w:rPr>
              <w:t>乳源瑶族自治县地方公路事务中心</w:t>
            </w:r>
          </w:p>
          <w:p w14:paraId="676E47EF">
            <w:pPr>
              <w:pStyle w:val="17"/>
              <w:spacing w:before="65" w:line="243" w:lineRule="auto"/>
              <w:ind w:left="221"/>
              <w:rPr>
                <w:rFonts w:hint="eastAsia" w:eastAsia="宋体"/>
                <w:color w:val="auto"/>
                <w:spacing w:val="1"/>
                <w:highlight w:val="none"/>
                <w:lang w:eastAsia="zh-CN"/>
              </w:rPr>
            </w:pPr>
            <w:r>
              <w:rPr>
                <w:rFonts w:hint="eastAsia"/>
                <w:color w:val="auto"/>
                <w:spacing w:val="1"/>
                <w:highlight w:val="none"/>
              </w:rPr>
              <w:t>电    话：</w:t>
            </w:r>
            <w:r>
              <w:rPr>
                <w:rFonts w:hint="eastAsia"/>
                <w:color w:val="auto"/>
                <w:spacing w:val="1"/>
                <w:highlight w:val="none"/>
                <w:u w:val="single"/>
                <w:lang w:eastAsia="zh-CN"/>
              </w:rPr>
              <w:t>0751-8556175</w:t>
            </w:r>
          </w:p>
          <w:p w14:paraId="042A3CA7">
            <w:pPr>
              <w:pStyle w:val="17"/>
              <w:spacing w:before="65" w:line="243" w:lineRule="auto"/>
              <w:ind w:left="221"/>
              <w:rPr>
                <w:rFonts w:hint="eastAsia"/>
                <w:color w:val="auto"/>
                <w:spacing w:val="1"/>
                <w:highlight w:val="none"/>
              </w:rPr>
            </w:pPr>
            <w:r>
              <w:rPr>
                <w:rFonts w:hint="eastAsia"/>
                <w:color w:val="auto"/>
                <w:spacing w:val="1"/>
                <w:highlight w:val="none"/>
              </w:rPr>
              <w:t>通信地址：</w:t>
            </w:r>
            <w:r>
              <w:rPr>
                <w:rFonts w:hint="eastAsia"/>
                <w:color w:val="auto"/>
                <w:spacing w:val="1"/>
                <w:highlight w:val="none"/>
                <w:u w:val="single"/>
              </w:rPr>
              <w:t>韶关市乳源瑶族自治县滨江中路县交通运输局3楼</w:t>
            </w:r>
          </w:p>
          <w:p w14:paraId="5943B985">
            <w:pPr>
              <w:pStyle w:val="17"/>
              <w:spacing w:before="65" w:line="243" w:lineRule="auto"/>
              <w:ind w:left="221"/>
              <w:rPr>
                <w:color w:val="auto"/>
                <w:highlight w:val="none"/>
              </w:rPr>
            </w:pPr>
            <w:r>
              <w:rPr>
                <w:color w:val="auto"/>
                <w:spacing w:val="1"/>
                <w:highlight w:val="none"/>
              </w:rPr>
              <w:t>邮政编码：</w:t>
            </w:r>
            <w:r>
              <w:rPr>
                <w:color w:val="auto"/>
                <w:spacing w:val="1"/>
                <w:highlight w:val="none"/>
                <w:u w:val="single"/>
              </w:rPr>
              <w:t>512700</w:t>
            </w:r>
          </w:p>
        </w:tc>
      </w:tr>
    </w:tbl>
    <w:p w14:paraId="4913965E">
      <w:pPr>
        <w:spacing w:line="474" w:lineRule="auto"/>
        <w:rPr>
          <w:rFonts w:ascii="Arial"/>
          <w:color w:val="auto"/>
          <w:sz w:val="21"/>
          <w:highlight w:val="none"/>
        </w:rPr>
      </w:pPr>
    </w:p>
    <w:p w14:paraId="15025FD1">
      <w:pPr>
        <w:spacing w:line="220" w:lineRule="auto"/>
        <w:rPr>
          <w:rFonts w:ascii="宋体" w:hAnsi="宋体" w:eastAsia="宋体" w:cs="宋体"/>
          <w:color w:val="auto"/>
          <w:sz w:val="18"/>
          <w:szCs w:val="18"/>
          <w:highlight w:val="none"/>
        </w:rPr>
        <w:sectPr>
          <w:footerReference r:id="rId18" w:type="default"/>
          <w:pgSz w:w="11906" w:h="16839"/>
          <w:pgMar w:top="1416" w:right="1578" w:bottom="1297" w:left="1304" w:header="0" w:footer="1065" w:gutter="0"/>
          <w:pgNumType w:fmt="decimal"/>
          <w:cols w:space="720" w:num="1"/>
        </w:sectPr>
      </w:pPr>
    </w:p>
    <w:tbl>
      <w:tblPr>
        <w:tblStyle w:val="16"/>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2877"/>
        <w:gridCol w:w="4891"/>
      </w:tblGrid>
      <w:tr w14:paraId="4E89D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013" w:type="dxa"/>
            <w:vAlign w:val="top"/>
          </w:tcPr>
          <w:p w14:paraId="158B416B">
            <w:pPr>
              <w:spacing w:line="275" w:lineRule="auto"/>
              <w:rPr>
                <w:rFonts w:ascii="Arial"/>
                <w:color w:val="auto"/>
                <w:sz w:val="21"/>
                <w:highlight w:val="none"/>
              </w:rPr>
            </w:pPr>
          </w:p>
          <w:p w14:paraId="007DAA03">
            <w:pPr>
              <w:pStyle w:val="17"/>
              <w:spacing w:before="65" w:line="269" w:lineRule="exact"/>
              <w:ind w:left="461"/>
              <w:rPr>
                <w:color w:val="auto"/>
                <w:highlight w:val="none"/>
              </w:rPr>
            </w:pPr>
            <w:r>
              <w:rPr>
                <w:color w:val="auto"/>
                <w:position w:val="1"/>
                <w:highlight w:val="none"/>
              </w:rPr>
              <w:t>9</w:t>
            </w:r>
          </w:p>
        </w:tc>
        <w:tc>
          <w:tcPr>
            <w:tcW w:w="2877" w:type="dxa"/>
            <w:vAlign w:val="top"/>
          </w:tcPr>
          <w:p w14:paraId="792897F9">
            <w:pPr>
              <w:spacing w:line="275" w:lineRule="auto"/>
              <w:rPr>
                <w:rFonts w:ascii="Arial"/>
                <w:color w:val="auto"/>
                <w:sz w:val="21"/>
                <w:highlight w:val="none"/>
              </w:rPr>
            </w:pPr>
          </w:p>
          <w:p w14:paraId="5261B40D">
            <w:pPr>
              <w:pStyle w:val="17"/>
              <w:spacing w:before="65" w:line="227" w:lineRule="auto"/>
              <w:ind w:left="396"/>
              <w:rPr>
                <w:color w:val="auto"/>
                <w:highlight w:val="none"/>
              </w:rPr>
            </w:pPr>
            <w:r>
              <w:rPr>
                <w:color w:val="auto"/>
                <w:spacing w:val="8"/>
                <w:highlight w:val="none"/>
              </w:rPr>
              <w:t>是否采用电子招标投标</w:t>
            </w:r>
          </w:p>
        </w:tc>
        <w:tc>
          <w:tcPr>
            <w:tcW w:w="4891" w:type="dxa"/>
            <w:vAlign w:val="top"/>
          </w:tcPr>
          <w:p w14:paraId="4E51B153">
            <w:pPr>
              <w:pStyle w:val="17"/>
              <w:spacing w:before="141" w:line="228" w:lineRule="auto"/>
              <w:ind w:left="134"/>
              <w:rPr>
                <w:color w:val="auto"/>
                <w:highlight w:val="none"/>
              </w:rPr>
            </w:pPr>
            <w:r>
              <w:rPr>
                <w:color w:val="auto"/>
                <w:spacing w:val="-5"/>
                <w:highlight w:val="none"/>
              </w:rPr>
              <w:t>□否</w:t>
            </w:r>
          </w:p>
          <w:p w14:paraId="04972984">
            <w:pPr>
              <w:pStyle w:val="17"/>
              <w:spacing w:before="153" w:line="228" w:lineRule="auto"/>
              <w:ind w:left="121"/>
              <w:rPr>
                <w:color w:val="auto"/>
                <w:highlight w:val="none"/>
              </w:rPr>
            </w:pPr>
            <w:r>
              <w:rPr>
                <w:rFonts w:ascii="MS Gothic" w:hAnsi="MS Gothic" w:eastAsia="MS Gothic" w:cs="MS Gothic"/>
                <w:color w:val="auto"/>
                <w:spacing w:val="6"/>
                <w:highlight w:val="none"/>
              </w:rPr>
              <w:t>☑</w:t>
            </w:r>
            <w:r>
              <w:rPr>
                <w:color w:val="auto"/>
                <w:spacing w:val="6"/>
                <w:highlight w:val="none"/>
              </w:rPr>
              <w:t>是，</w:t>
            </w:r>
            <w:r>
              <w:rPr>
                <w:color w:val="auto"/>
                <w:spacing w:val="-57"/>
                <w:highlight w:val="none"/>
              </w:rPr>
              <w:t xml:space="preserve"> </w:t>
            </w:r>
            <w:r>
              <w:rPr>
                <w:color w:val="auto"/>
                <w:spacing w:val="6"/>
                <w:highlight w:val="none"/>
              </w:rPr>
              <w:t>电子招标投标的其他要求：</w:t>
            </w:r>
            <w:r>
              <w:rPr>
                <w:rFonts w:hint="eastAsia" w:ascii="宋体" w:hAnsi="宋体" w:eastAsia="宋体" w:cs="宋体"/>
                <w:b/>
                <w:color w:val="auto"/>
                <w:sz w:val="20"/>
                <w:szCs w:val="20"/>
                <w:highlight w:val="none"/>
                <w:u w:val="double"/>
              </w:rPr>
              <w:t>投标人必须在规定的截止时间前使用建设工程交易系统完成电子投标(包括缴纳投标保证金)，只有满足以上所有条件，方为有效投标。</w:t>
            </w:r>
          </w:p>
        </w:tc>
      </w:tr>
      <w:tr w14:paraId="6316E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781" w:type="dxa"/>
            <w:gridSpan w:val="3"/>
            <w:vAlign w:val="top"/>
          </w:tcPr>
          <w:p w14:paraId="25A7DFF6">
            <w:pPr>
              <w:pStyle w:val="17"/>
              <w:spacing w:before="142" w:line="228" w:lineRule="auto"/>
              <w:ind w:left="126"/>
              <w:rPr>
                <w:color w:val="auto"/>
                <w:highlight w:val="none"/>
              </w:rPr>
            </w:pPr>
            <w:r>
              <w:rPr>
                <w:b/>
                <w:bCs/>
                <w:color w:val="auto"/>
                <w:spacing w:val="6"/>
                <w:highlight w:val="none"/>
              </w:rPr>
              <w:t>需要补充的其他内容</w:t>
            </w:r>
          </w:p>
        </w:tc>
      </w:tr>
      <w:tr w14:paraId="4168A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13" w:type="dxa"/>
            <w:vAlign w:val="top"/>
          </w:tcPr>
          <w:p w14:paraId="6CB4F34A">
            <w:pPr>
              <w:pStyle w:val="17"/>
              <w:spacing w:before="256" w:line="267" w:lineRule="exact"/>
              <w:ind w:left="264"/>
              <w:rPr>
                <w:color w:val="auto"/>
                <w:highlight w:val="none"/>
              </w:rPr>
            </w:pPr>
            <w:r>
              <w:rPr>
                <w:color w:val="auto"/>
                <w:position w:val="1"/>
                <w:highlight w:val="none"/>
              </w:rPr>
              <w:t>1.4.4</w:t>
            </w:r>
          </w:p>
        </w:tc>
        <w:tc>
          <w:tcPr>
            <w:tcW w:w="7768" w:type="dxa"/>
            <w:gridSpan w:val="2"/>
            <w:vAlign w:val="top"/>
          </w:tcPr>
          <w:p w14:paraId="3D732467">
            <w:pPr>
              <w:pStyle w:val="17"/>
              <w:spacing w:before="255" w:line="228" w:lineRule="auto"/>
              <w:ind w:left="112"/>
              <w:rPr>
                <w:color w:val="auto"/>
                <w:highlight w:val="none"/>
              </w:rPr>
            </w:pPr>
            <w:r>
              <w:rPr>
                <w:color w:val="auto"/>
                <w:spacing w:val="4"/>
                <w:highlight w:val="none"/>
              </w:rPr>
              <w:t>第</w:t>
            </w:r>
            <w:r>
              <w:rPr>
                <w:color w:val="auto"/>
                <w:spacing w:val="-14"/>
                <w:highlight w:val="none"/>
              </w:rPr>
              <w:t xml:space="preserve"> </w:t>
            </w:r>
            <w:r>
              <w:rPr>
                <w:color w:val="auto"/>
                <w:spacing w:val="4"/>
                <w:highlight w:val="none"/>
              </w:rPr>
              <w:t>1.4.4</w:t>
            </w:r>
            <w:r>
              <w:rPr>
                <w:color w:val="auto"/>
                <w:spacing w:val="-35"/>
                <w:highlight w:val="none"/>
              </w:rPr>
              <w:t xml:space="preserve"> </w:t>
            </w:r>
            <w:r>
              <w:rPr>
                <w:color w:val="auto"/>
                <w:spacing w:val="4"/>
                <w:highlight w:val="none"/>
              </w:rPr>
              <w:t>项中（1）</w:t>
            </w:r>
            <w:r>
              <w:rPr>
                <w:color w:val="auto"/>
                <w:spacing w:val="-42"/>
                <w:highlight w:val="none"/>
              </w:rPr>
              <w:t xml:space="preserve"> </w:t>
            </w:r>
            <w:r>
              <w:rPr>
                <w:color w:val="auto"/>
                <w:spacing w:val="4"/>
                <w:highlight w:val="none"/>
              </w:rPr>
              <w:t>目中的“招标项目所在地</w:t>
            </w:r>
            <w:r>
              <w:rPr>
                <w:color w:val="auto"/>
                <w:spacing w:val="-72"/>
                <w:highlight w:val="none"/>
              </w:rPr>
              <w:t xml:space="preserve"> </w:t>
            </w:r>
            <w:r>
              <w:rPr>
                <w:color w:val="auto"/>
                <w:spacing w:val="4"/>
                <w:highlight w:val="none"/>
              </w:rPr>
              <w:t>”指“广东省</w:t>
            </w:r>
            <w:r>
              <w:rPr>
                <w:color w:val="auto"/>
                <w:spacing w:val="-72"/>
                <w:highlight w:val="none"/>
              </w:rPr>
              <w:t xml:space="preserve"> </w:t>
            </w:r>
            <w:r>
              <w:rPr>
                <w:color w:val="auto"/>
                <w:spacing w:val="4"/>
                <w:highlight w:val="none"/>
              </w:rPr>
              <w:t>”。</w:t>
            </w:r>
          </w:p>
        </w:tc>
      </w:tr>
      <w:tr w14:paraId="1C093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13" w:type="dxa"/>
            <w:vAlign w:val="top"/>
          </w:tcPr>
          <w:p w14:paraId="55CDF429">
            <w:pPr>
              <w:pStyle w:val="17"/>
              <w:spacing w:before="256" w:line="267" w:lineRule="exact"/>
              <w:ind w:left="253"/>
              <w:rPr>
                <w:color w:val="auto"/>
                <w:highlight w:val="none"/>
              </w:rPr>
            </w:pPr>
            <w:r>
              <w:rPr>
                <w:color w:val="auto"/>
                <w:spacing w:val="2"/>
                <w:position w:val="1"/>
                <w:highlight w:val="none"/>
              </w:rPr>
              <w:t>3.5.2</w:t>
            </w:r>
          </w:p>
        </w:tc>
        <w:tc>
          <w:tcPr>
            <w:tcW w:w="7768" w:type="dxa"/>
            <w:gridSpan w:val="2"/>
            <w:vAlign w:val="top"/>
          </w:tcPr>
          <w:p w14:paraId="1C407964">
            <w:pPr>
              <w:pStyle w:val="17"/>
              <w:spacing w:before="149" w:line="370" w:lineRule="auto"/>
              <w:ind w:left="111" w:right="108" w:firstLine="16"/>
              <w:jc w:val="both"/>
              <w:rPr>
                <w:rFonts w:hint="default"/>
                <w:color w:val="auto"/>
                <w:spacing w:val="4"/>
                <w:position w:val="4"/>
                <w:highlight w:val="none"/>
                <w:lang w:val="en-US" w:eastAsia="zh-CN"/>
              </w:rPr>
            </w:pPr>
            <w:r>
              <w:rPr>
                <w:color w:val="auto"/>
                <w:spacing w:val="4"/>
                <w:position w:val="4"/>
                <w:highlight w:val="none"/>
              </w:rPr>
              <w:t>本项目使用投标人须知</w:t>
            </w:r>
            <w:r>
              <w:rPr>
                <w:color w:val="auto"/>
                <w:spacing w:val="-27"/>
                <w:position w:val="4"/>
                <w:highlight w:val="none"/>
              </w:rPr>
              <w:t xml:space="preserve"> </w:t>
            </w:r>
            <w:r>
              <w:rPr>
                <w:color w:val="auto"/>
                <w:spacing w:val="4"/>
                <w:position w:val="4"/>
                <w:highlight w:val="none"/>
              </w:rPr>
              <w:t>3.5.2 (</w:t>
            </w:r>
            <w:r>
              <w:rPr>
                <w:rFonts w:hint="eastAsia"/>
                <w:color w:val="auto"/>
                <w:spacing w:val="4"/>
                <w:position w:val="4"/>
                <w:highlight w:val="none"/>
                <w:lang w:val="en-US" w:eastAsia="zh-CN"/>
              </w:rPr>
              <w:t xml:space="preserve"> </w:t>
            </w:r>
            <w:r>
              <w:rPr>
                <w:rFonts w:hint="eastAsia"/>
                <w:color w:val="auto"/>
                <w:spacing w:val="-68"/>
                <w:position w:val="4"/>
                <w:highlight w:val="none"/>
                <w:lang w:val="en-US" w:eastAsia="zh-CN"/>
              </w:rPr>
              <w:t xml:space="preserve">B  </w:t>
            </w:r>
            <w:r>
              <w:rPr>
                <w:rFonts w:hint="eastAsia"/>
                <w:color w:val="auto"/>
                <w:spacing w:val="-69"/>
                <w:position w:val="4"/>
                <w:highlight w:val="none"/>
                <w:lang w:val="en-US" w:eastAsia="zh-CN"/>
              </w:rPr>
              <w:t xml:space="preserve"> </w:t>
            </w:r>
            <w:r>
              <w:rPr>
                <w:color w:val="auto"/>
                <w:spacing w:val="4"/>
                <w:position w:val="4"/>
                <w:highlight w:val="none"/>
              </w:rPr>
              <w:t>) 款正文内容。</w:t>
            </w:r>
          </w:p>
        </w:tc>
      </w:tr>
      <w:tr w14:paraId="48D3F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13" w:type="dxa"/>
            <w:vAlign w:val="top"/>
          </w:tcPr>
          <w:p w14:paraId="37A0EEC4">
            <w:pPr>
              <w:pStyle w:val="17"/>
              <w:spacing w:before="256" w:line="267" w:lineRule="exact"/>
              <w:ind w:left="253"/>
              <w:rPr>
                <w:color w:val="auto"/>
                <w:highlight w:val="none"/>
              </w:rPr>
            </w:pPr>
            <w:r>
              <w:rPr>
                <w:color w:val="auto"/>
                <w:spacing w:val="2"/>
                <w:position w:val="1"/>
                <w:highlight w:val="none"/>
              </w:rPr>
              <w:t>3.5.4</w:t>
            </w:r>
          </w:p>
        </w:tc>
        <w:tc>
          <w:tcPr>
            <w:tcW w:w="7768" w:type="dxa"/>
            <w:gridSpan w:val="2"/>
            <w:vAlign w:val="top"/>
          </w:tcPr>
          <w:p w14:paraId="3BFBEACA">
            <w:pPr>
              <w:pStyle w:val="17"/>
              <w:spacing w:before="115" w:line="400" w:lineRule="exact"/>
              <w:ind w:left="113"/>
              <w:rPr>
                <w:color w:val="auto"/>
                <w:highlight w:val="none"/>
              </w:rPr>
            </w:pPr>
            <w:r>
              <w:rPr>
                <w:color w:val="auto"/>
                <w:spacing w:val="4"/>
                <w:position w:val="4"/>
                <w:highlight w:val="none"/>
              </w:rPr>
              <w:t>本项目使用投标人须知</w:t>
            </w:r>
            <w:r>
              <w:rPr>
                <w:color w:val="auto"/>
                <w:spacing w:val="-27"/>
                <w:position w:val="4"/>
                <w:highlight w:val="none"/>
              </w:rPr>
              <w:t xml:space="preserve"> </w:t>
            </w:r>
            <w:r>
              <w:rPr>
                <w:color w:val="auto"/>
                <w:spacing w:val="4"/>
                <w:position w:val="4"/>
                <w:highlight w:val="none"/>
              </w:rPr>
              <w:t>3.5.4</w:t>
            </w:r>
            <w:r>
              <w:rPr>
                <w:rFonts w:hint="eastAsia"/>
                <w:color w:val="auto"/>
                <w:spacing w:val="4"/>
                <w:position w:val="4"/>
                <w:highlight w:val="none"/>
                <w:lang w:val="en-US" w:eastAsia="zh-CN"/>
              </w:rPr>
              <w:t xml:space="preserve"> </w:t>
            </w:r>
            <w:r>
              <w:rPr>
                <w:color w:val="auto"/>
                <w:spacing w:val="4"/>
                <w:position w:val="4"/>
                <w:highlight w:val="none"/>
              </w:rPr>
              <w:t>(</w:t>
            </w:r>
            <w:r>
              <w:rPr>
                <w:color w:val="auto"/>
                <w:spacing w:val="-68"/>
                <w:position w:val="4"/>
                <w:highlight w:val="none"/>
              </w:rPr>
              <w:t xml:space="preserve"> </w:t>
            </w:r>
            <w:r>
              <w:rPr>
                <w:rFonts w:hint="eastAsia"/>
                <w:color w:val="auto"/>
                <w:spacing w:val="-68"/>
                <w:position w:val="4"/>
                <w:highlight w:val="none"/>
                <w:lang w:val="en-US" w:eastAsia="zh-CN"/>
              </w:rPr>
              <w:t>A</w:t>
            </w:r>
            <w:r>
              <w:rPr>
                <w:color w:val="auto"/>
                <w:spacing w:val="-69"/>
                <w:position w:val="4"/>
                <w:highlight w:val="none"/>
              </w:rPr>
              <w:t xml:space="preserve"> </w:t>
            </w:r>
            <w:r>
              <w:rPr>
                <w:rFonts w:hint="eastAsia"/>
                <w:color w:val="auto"/>
                <w:spacing w:val="-69"/>
                <w:position w:val="4"/>
                <w:highlight w:val="none"/>
                <w:lang w:val="en-US" w:eastAsia="zh-CN"/>
              </w:rPr>
              <w:t xml:space="preserve">  </w:t>
            </w:r>
            <w:r>
              <w:rPr>
                <w:color w:val="auto"/>
                <w:spacing w:val="4"/>
                <w:position w:val="4"/>
                <w:highlight w:val="none"/>
              </w:rPr>
              <w:t>) 款正文内容。</w:t>
            </w:r>
          </w:p>
        </w:tc>
      </w:tr>
      <w:tr w14:paraId="66DA4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13" w:type="dxa"/>
            <w:vAlign w:val="top"/>
          </w:tcPr>
          <w:p w14:paraId="35A1E00C">
            <w:pPr>
              <w:pStyle w:val="17"/>
              <w:spacing w:before="238" w:line="285" w:lineRule="exact"/>
              <w:ind w:left="200"/>
              <w:rPr>
                <w:color w:val="auto"/>
                <w:sz w:val="10"/>
                <w:szCs w:val="10"/>
                <w:highlight w:val="none"/>
              </w:rPr>
            </w:pPr>
            <w:r>
              <w:rPr>
                <w:color w:val="auto"/>
                <w:spacing w:val="3"/>
                <w:highlight w:val="none"/>
              </w:rPr>
              <w:t>3.5.5</w:t>
            </w:r>
          </w:p>
        </w:tc>
        <w:tc>
          <w:tcPr>
            <w:tcW w:w="7768" w:type="dxa"/>
            <w:gridSpan w:val="2"/>
            <w:vAlign w:val="top"/>
          </w:tcPr>
          <w:p w14:paraId="1443573B">
            <w:pPr>
              <w:pStyle w:val="17"/>
              <w:spacing w:before="255" w:line="228" w:lineRule="auto"/>
              <w:ind w:left="111"/>
              <w:rPr>
                <w:color w:val="auto"/>
                <w:highlight w:val="none"/>
              </w:rPr>
            </w:pPr>
            <w:r>
              <w:rPr>
                <w:color w:val="auto"/>
                <w:spacing w:val="4"/>
                <w:highlight w:val="none"/>
              </w:rPr>
              <w:t>删除原</w:t>
            </w:r>
            <w:r>
              <w:rPr>
                <w:color w:val="auto"/>
                <w:spacing w:val="-27"/>
                <w:highlight w:val="none"/>
              </w:rPr>
              <w:t xml:space="preserve"> </w:t>
            </w:r>
            <w:r>
              <w:rPr>
                <w:color w:val="auto"/>
                <w:spacing w:val="4"/>
                <w:highlight w:val="none"/>
              </w:rPr>
              <w:t>3.5.5</w:t>
            </w:r>
            <w:r>
              <w:rPr>
                <w:color w:val="auto"/>
                <w:spacing w:val="-36"/>
                <w:highlight w:val="none"/>
              </w:rPr>
              <w:t xml:space="preserve"> </w:t>
            </w:r>
            <w:r>
              <w:rPr>
                <w:color w:val="auto"/>
                <w:spacing w:val="4"/>
                <w:highlight w:val="none"/>
              </w:rPr>
              <w:t>条款内容。</w:t>
            </w:r>
          </w:p>
        </w:tc>
      </w:tr>
      <w:tr w14:paraId="329A5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1" w:hRule="atLeast"/>
        </w:trPr>
        <w:tc>
          <w:tcPr>
            <w:tcW w:w="1013" w:type="dxa"/>
            <w:vAlign w:val="top"/>
          </w:tcPr>
          <w:p w14:paraId="460AE661">
            <w:pPr>
              <w:spacing w:line="257" w:lineRule="auto"/>
              <w:rPr>
                <w:rFonts w:ascii="Arial"/>
                <w:color w:val="auto"/>
                <w:sz w:val="21"/>
                <w:highlight w:val="none"/>
              </w:rPr>
            </w:pPr>
          </w:p>
          <w:p w14:paraId="6045FC6F">
            <w:pPr>
              <w:spacing w:line="257" w:lineRule="auto"/>
              <w:rPr>
                <w:rFonts w:ascii="Arial"/>
                <w:color w:val="auto"/>
                <w:sz w:val="21"/>
                <w:highlight w:val="none"/>
              </w:rPr>
            </w:pPr>
          </w:p>
          <w:p w14:paraId="01623939">
            <w:pPr>
              <w:spacing w:line="257" w:lineRule="auto"/>
              <w:rPr>
                <w:rFonts w:ascii="Arial"/>
                <w:color w:val="auto"/>
                <w:sz w:val="21"/>
                <w:highlight w:val="none"/>
              </w:rPr>
            </w:pPr>
          </w:p>
          <w:p w14:paraId="3C00381F">
            <w:pPr>
              <w:spacing w:line="257" w:lineRule="auto"/>
              <w:rPr>
                <w:rFonts w:ascii="Arial"/>
                <w:color w:val="auto"/>
                <w:sz w:val="21"/>
                <w:highlight w:val="none"/>
              </w:rPr>
            </w:pPr>
          </w:p>
          <w:p w14:paraId="354090C1">
            <w:pPr>
              <w:spacing w:line="257" w:lineRule="auto"/>
              <w:rPr>
                <w:rFonts w:ascii="Arial"/>
                <w:color w:val="auto"/>
                <w:sz w:val="21"/>
                <w:highlight w:val="none"/>
              </w:rPr>
            </w:pPr>
          </w:p>
          <w:p w14:paraId="244E7F8E">
            <w:pPr>
              <w:spacing w:line="258" w:lineRule="auto"/>
              <w:rPr>
                <w:rFonts w:ascii="Arial"/>
                <w:color w:val="auto"/>
                <w:sz w:val="21"/>
                <w:highlight w:val="none"/>
              </w:rPr>
            </w:pPr>
          </w:p>
          <w:p w14:paraId="5600C22A">
            <w:pPr>
              <w:spacing w:line="258" w:lineRule="auto"/>
              <w:rPr>
                <w:rFonts w:ascii="Arial"/>
                <w:color w:val="auto"/>
                <w:sz w:val="21"/>
                <w:highlight w:val="none"/>
              </w:rPr>
            </w:pPr>
          </w:p>
          <w:p w14:paraId="0BD59463">
            <w:pPr>
              <w:spacing w:line="258" w:lineRule="auto"/>
              <w:rPr>
                <w:rFonts w:ascii="Arial"/>
                <w:color w:val="auto"/>
                <w:sz w:val="21"/>
                <w:highlight w:val="none"/>
              </w:rPr>
            </w:pPr>
          </w:p>
          <w:p w14:paraId="50783E2C">
            <w:pPr>
              <w:spacing w:line="258" w:lineRule="auto"/>
              <w:rPr>
                <w:rFonts w:ascii="Arial"/>
                <w:color w:val="auto"/>
                <w:sz w:val="21"/>
                <w:highlight w:val="none"/>
              </w:rPr>
            </w:pPr>
          </w:p>
          <w:p w14:paraId="02918767">
            <w:pPr>
              <w:spacing w:line="258" w:lineRule="auto"/>
              <w:rPr>
                <w:rFonts w:ascii="Arial"/>
                <w:color w:val="auto"/>
                <w:sz w:val="21"/>
                <w:highlight w:val="none"/>
              </w:rPr>
            </w:pPr>
          </w:p>
          <w:p w14:paraId="0178B39F">
            <w:pPr>
              <w:pStyle w:val="17"/>
              <w:spacing w:before="65" w:line="268" w:lineRule="exact"/>
              <w:ind w:left="317"/>
              <w:rPr>
                <w:color w:val="auto"/>
                <w:highlight w:val="none"/>
              </w:rPr>
            </w:pPr>
            <w:r>
              <w:rPr>
                <w:color w:val="auto"/>
                <w:spacing w:val="-1"/>
                <w:position w:val="1"/>
                <w:highlight w:val="none"/>
              </w:rPr>
              <w:t>10.2</w:t>
            </w:r>
          </w:p>
        </w:tc>
        <w:tc>
          <w:tcPr>
            <w:tcW w:w="7768" w:type="dxa"/>
            <w:gridSpan w:val="2"/>
            <w:vAlign w:val="top"/>
          </w:tcPr>
          <w:p w14:paraId="1FAE801E">
            <w:pPr>
              <w:pStyle w:val="17"/>
              <w:spacing w:before="256" w:line="228" w:lineRule="auto"/>
              <w:ind w:left="113"/>
              <w:rPr>
                <w:color w:val="auto"/>
                <w:highlight w:val="none"/>
              </w:rPr>
            </w:pPr>
            <w:r>
              <w:rPr>
                <w:color w:val="auto"/>
                <w:spacing w:val="5"/>
                <w:highlight w:val="none"/>
              </w:rPr>
              <w:t>增加</w:t>
            </w:r>
            <w:r>
              <w:rPr>
                <w:color w:val="auto"/>
                <w:spacing w:val="-19"/>
                <w:highlight w:val="none"/>
              </w:rPr>
              <w:t xml:space="preserve"> </w:t>
            </w:r>
            <w:r>
              <w:rPr>
                <w:color w:val="auto"/>
                <w:spacing w:val="5"/>
                <w:highlight w:val="none"/>
              </w:rPr>
              <w:t>10.2、10.3、10.4、10.5、10.6、10.7、10.8</w:t>
            </w:r>
            <w:r>
              <w:rPr>
                <w:color w:val="auto"/>
                <w:spacing w:val="-37"/>
                <w:highlight w:val="none"/>
              </w:rPr>
              <w:t xml:space="preserve"> </w:t>
            </w:r>
            <w:r>
              <w:rPr>
                <w:color w:val="auto"/>
                <w:spacing w:val="5"/>
                <w:highlight w:val="none"/>
              </w:rPr>
              <w:t>款如下：</w:t>
            </w:r>
          </w:p>
          <w:p w14:paraId="46FE4E38">
            <w:pPr>
              <w:pStyle w:val="17"/>
              <w:spacing w:before="153" w:line="228" w:lineRule="auto"/>
              <w:ind w:left="127"/>
              <w:rPr>
                <w:color w:val="auto"/>
                <w:highlight w:val="none"/>
              </w:rPr>
            </w:pPr>
            <w:r>
              <w:rPr>
                <w:color w:val="auto"/>
                <w:spacing w:val="5"/>
                <w:highlight w:val="none"/>
              </w:rPr>
              <w:t>10.2  信用等级的确定原则：</w:t>
            </w:r>
          </w:p>
          <w:p w14:paraId="36156686">
            <w:pPr>
              <w:pStyle w:val="17"/>
              <w:spacing w:before="149" w:line="370" w:lineRule="auto"/>
              <w:ind w:left="111" w:right="108" w:firstLine="16"/>
              <w:jc w:val="both"/>
              <w:rPr>
                <w:color w:val="auto"/>
                <w:highlight w:val="none"/>
              </w:rPr>
            </w:pPr>
            <w:r>
              <w:rPr>
                <w:color w:val="auto"/>
                <w:spacing w:val="11"/>
                <w:highlight w:val="none"/>
              </w:rPr>
              <w:t>10.2.1 招标文件中的信用等级指的是广东省交通运输厅最新年度发布的</w:t>
            </w:r>
            <w:r>
              <w:rPr>
                <w:color w:val="auto"/>
                <w:spacing w:val="10"/>
                <w:highlight w:val="none"/>
              </w:rPr>
              <w:t>公路工程</w:t>
            </w:r>
            <w:r>
              <w:rPr>
                <w:color w:val="auto"/>
                <w:spacing w:val="14"/>
                <w:highlight w:val="none"/>
              </w:rPr>
              <w:t>从业单位信用评价等级（监理单位）</w:t>
            </w:r>
            <w:r>
              <w:rPr>
                <w:color w:val="auto"/>
                <w:spacing w:val="-49"/>
                <w:highlight w:val="none"/>
              </w:rPr>
              <w:t xml:space="preserve"> </w:t>
            </w:r>
            <w:r>
              <w:rPr>
                <w:color w:val="auto"/>
                <w:spacing w:val="14"/>
                <w:highlight w:val="none"/>
              </w:rPr>
              <w:t>。如无广东省最新年度信用等级而有上</w:t>
            </w:r>
            <w:r>
              <w:rPr>
                <w:color w:val="auto"/>
                <w:spacing w:val="13"/>
                <w:highlight w:val="none"/>
              </w:rPr>
              <w:t>一年</w:t>
            </w:r>
            <w:r>
              <w:rPr>
                <w:color w:val="auto"/>
                <w:spacing w:val="15"/>
                <w:highlight w:val="none"/>
              </w:rPr>
              <w:t>度广东省信用等级的，则其原信用等级可延续一年，但在递交投标文件时信用等级的使用次数应按上一年度公布的信用评价结果顺延上一年度的使用次数。具体</w:t>
            </w:r>
            <w:r>
              <w:rPr>
                <w:color w:val="auto"/>
                <w:spacing w:val="8"/>
                <w:highlight w:val="none"/>
              </w:rPr>
              <w:t>使用次数有关规定如下：</w:t>
            </w:r>
          </w:p>
          <w:p w14:paraId="3FEC0D59">
            <w:pPr>
              <w:pStyle w:val="17"/>
              <w:spacing w:line="227" w:lineRule="auto"/>
              <w:ind w:left="127"/>
              <w:rPr>
                <w:color w:val="auto"/>
                <w:highlight w:val="none"/>
              </w:rPr>
            </w:pPr>
            <w:r>
              <w:rPr>
                <w:color w:val="auto"/>
                <w:spacing w:val="6"/>
                <w:highlight w:val="none"/>
              </w:rPr>
              <w:t>1.对于信用等级为</w:t>
            </w:r>
            <w:r>
              <w:rPr>
                <w:color w:val="auto"/>
                <w:spacing w:val="-34"/>
                <w:highlight w:val="none"/>
              </w:rPr>
              <w:t xml:space="preserve"> </w:t>
            </w:r>
            <w:r>
              <w:rPr>
                <w:color w:val="auto"/>
                <w:highlight w:val="none"/>
              </w:rPr>
              <w:t>AA</w:t>
            </w:r>
            <w:r>
              <w:rPr>
                <w:color w:val="auto"/>
                <w:spacing w:val="-35"/>
                <w:highlight w:val="none"/>
              </w:rPr>
              <w:t xml:space="preserve"> </w:t>
            </w:r>
            <w:r>
              <w:rPr>
                <w:color w:val="auto"/>
                <w:spacing w:val="6"/>
                <w:highlight w:val="none"/>
              </w:rPr>
              <w:t>级的从业单位</w:t>
            </w:r>
            <w:r>
              <w:rPr>
                <w:color w:val="auto"/>
                <w:spacing w:val="-58"/>
                <w:highlight w:val="none"/>
              </w:rPr>
              <w:t xml:space="preserve"> </w:t>
            </w:r>
            <w:r>
              <w:rPr>
                <w:color w:val="auto"/>
                <w:spacing w:val="6"/>
                <w:highlight w:val="none"/>
              </w:rPr>
              <w:t>:</w:t>
            </w:r>
          </w:p>
          <w:p w14:paraId="51CE1BA1">
            <w:pPr>
              <w:pStyle w:val="17"/>
              <w:spacing w:before="150" w:line="323" w:lineRule="auto"/>
              <w:ind w:left="112" w:right="108" w:firstLine="36"/>
              <w:rPr>
                <w:color w:val="auto"/>
                <w:highlight w:val="none"/>
              </w:rPr>
            </w:pPr>
            <w:r>
              <w:rPr>
                <w:color w:val="auto"/>
                <w:spacing w:val="14"/>
                <w:highlight w:val="none"/>
              </w:rPr>
              <w:t>(1)仅最新一年度信用等级为</w:t>
            </w:r>
            <w:r>
              <w:rPr>
                <w:color w:val="auto"/>
                <w:spacing w:val="-41"/>
                <w:highlight w:val="none"/>
              </w:rPr>
              <w:t xml:space="preserve"> </w:t>
            </w:r>
            <w:r>
              <w:rPr>
                <w:color w:val="auto"/>
                <w:highlight w:val="none"/>
              </w:rPr>
              <w:t>AA</w:t>
            </w:r>
            <w:r>
              <w:rPr>
                <w:color w:val="auto"/>
                <w:spacing w:val="-30"/>
                <w:highlight w:val="none"/>
              </w:rPr>
              <w:t xml:space="preserve"> </w:t>
            </w:r>
            <w:r>
              <w:rPr>
                <w:color w:val="auto"/>
                <w:spacing w:val="14"/>
                <w:highlight w:val="none"/>
              </w:rPr>
              <w:t>级的从业单位</w:t>
            </w:r>
            <w:r>
              <w:rPr>
                <w:color w:val="auto"/>
                <w:spacing w:val="13"/>
                <w:highlight w:val="none"/>
              </w:rPr>
              <w:t>在参加广东省公路工程建设项目投</w:t>
            </w:r>
            <w:r>
              <w:rPr>
                <w:color w:val="auto"/>
                <w:spacing w:val="12"/>
                <w:highlight w:val="none"/>
              </w:rPr>
              <w:t>标活动（以递交投标文件时间为准）时，可申请使用</w:t>
            </w:r>
            <w:r>
              <w:rPr>
                <w:color w:val="auto"/>
                <w:highlight w:val="none"/>
              </w:rPr>
              <w:t>AA</w:t>
            </w:r>
            <w:r>
              <w:rPr>
                <w:color w:val="auto"/>
                <w:spacing w:val="-33"/>
                <w:highlight w:val="none"/>
              </w:rPr>
              <w:t xml:space="preserve"> </w:t>
            </w:r>
            <w:r>
              <w:rPr>
                <w:color w:val="auto"/>
                <w:spacing w:val="12"/>
                <w:highlight w:val="none"/>
              </w:rPr>
              <w:t>级分值</w:t>
            </w:r>
            <w:r>
              <w:rPr>
                <w:color w:val="auto"/>
                <w:spacing w:val="-33"/>
                <w:highlight w:val="none"/>
              </w:rPr>
              <w:t xml:space="preserve"> </w:t>
            </w:r>
            <w:r>
              <w:rPr>
                <w:color w:val="auto"/>
                <w:spacing w:val="12"/>
                <w:highlight w:val="none"/>
              </w:rPr>
              <w:t>8</w:t>
            </w:r>
            <w:r>
              <w:rPr>
                <w:color w:val="auto"/>
                <w:spacing w:val="-33"/>
                <w:highlight w:val="none"/>
              </w:rPr>
              <w:t xml:space="preserve"> </w:t>
            </w:r>
            <w:r>
              <w:rPr>
                <w:color w:val="auto"/>
                <w:spacing w:val="12"/>
                <w:highlight w:val="none"/>
              </w:rPr>
              <w:t>次，</w:t>
            </w:r>
            <w:r>
              <w:rPr>
                <w:color w:val="auto"/>
                <w:spacing w:val="11"/>
                <w:highlight w:val="none"/>
              </w:rPr>
              <w:t>用完</w:t>
            </w:r>
            <w:r>
              <w:rPr>
                <w:color w:val="auto"/>
                <w:spacing w:val="-33"/>
                <w:highlight w:val="none"/>
              </w:rPr>
              <w:t xml:space="preserve"> </w:t>
            </w:r>
            <w:r>
              <w:rPr>
                <w:color w:val="auto"/>
                <w:spacing w:val="11"/>
                <w:highlight w:val="none"/>
              </w:rPr>
              <w:t>8</w:t>
            </w:r>
            <w:r>
              <w:rPr>
                <w:color w:val="auto"/>
                <w:spacing w:val="-30"/>
                <w:highlight w:val="none"/>
              </w:rPr>
              <w:t xml:space="preserve"> </w:t>
            </w:r>
            <w:r>
              <w:rPr>
                <w:color w:val="auto"/>
                <w:spacing w:val="11"/>
                <w:highlight w:val="none"/>
              </w:rPr>
              <w:t>次后</w:t>
            </w:r>
            <w:r>
              <w:rPr>
                <w:color w:val="auto"/>
                <w:spacing w:val="7"/>
                <w:highlight w:val="none"/>
              </w:rPr>
              <w:t>信用等级分值将按</w:t>
            </w:r>
            <w:r>
              <w:rPr>
                <w:color w:val="auto"/>
                <w:spacing w:val="-42"/>
                <w:highlight w:val="none"/>
              </w:rPr>
              <w:t xml:space="preserve"> </w:t>
            </w:r>
            <w:r>
              <w:rPr>
                <w:color w:val="auto"/>
                <w:spacing w:val="7"/>
                <w:highlight w:val="none"/>
              </w:rPr>
              <w:t>A</w:t>
            </w:r>
            <w:r>
              <w:rPr>
                <w:color w:val="auto"/>
                <w:spacing w:val="-35"/>
                <w:highlight w:val="none"/>
              </w:rPr>
              <w:t xml:space="preserve"> </w:t>
            </w:r>
            <w:r>
              <w:rPr>
                <w:color w:val="auto"/>
                <w:spacing w:val="7"/>
                <w:highlight w:val="none"/>
              </w:rPr>
              <w:t>级分值取定；</w:t>
            </w:r>
          </w:p>
          <w:p w14:paraId="7343C4E9">
            <w:pPr>
              <w:pStyle w:val="17"/>
              <w:spacing w:before="151" w:line="299" w:lineRule="auto"/>
              <w:ind w:left="122" w:right="108" w:firstLine="26"/>
              <w:rPr>
                <w:color w:val="auto"/>
                <w:highlight w:val="none"/>
              </w:rPr>
            </w:pPr>
            <w:r>
              <w:rPr>
                <w:color w:val="auto"/>
                <w:spacing w:val="19"/>
                <w:highlight w:val="none"/>
              </w:rPr>
              <w:t>(2)连续最近两个年度信用等级为</w:t>
            </w:r>
            <w:r>
              <w:rPr>
                <w:color w:val="auto"/>
                <w:spacing w:val="-19"/>
                <w:highlight w:val="none"/>
              </w:rPr>
              <w:t xml:space="preserve"> </w:t>
            </w:r>
            <w:r>
              <w:rPr>
                <w:color w:val="auto"/>
                <w:highlight w:val="none"/>
              </w:rPr>
              <w:t>AA</w:t>
            </w:r>
            <w:r>
              <w:rPr>
                <w:color w:val="auto"/>
                <w:spacing w:val="-23"/>
                <w:highlight w:val="none"/>
              </w:rPr>
              <w:t xml:space="preserve"> </w:t>
            </w:r>
            <w:r>
              <w:rPr>
                <w:color w:val="auto"/>
                <w:spacing w:val="19"/>
                <w:highlight w:val="none"/>
              </w:rPr>
              <w:t>级的单位在参加广东省公路工程投标活动</w:t>
            </w:r>
            <w:r>
              <w:rPr>
                <w:color w:val="auto"/>
                <w:spacing w:val="10"/>
                <w:highlight w:val="none"/>
              </w:rPr>
              <w:t>（以递交投标文件时间为准）时，可申请使用</w:t>
            </w:r>
            <w:r>
              <w:rPr>
                <w:color w:val="auto"/>
                <w:highlight w:val="none"/>
              </w:rPr>
              <w:t>AA</w:t>
            </w:r>
            <w:r>
              <w:rPr>
                <w:color w:val="auto"/>
                <w:spacing w:val="-21"/>
                <w:highlight w:val="none"/>
              </w:rPr>
              <w:t xml:space="preserve"> </w:t>
            </w:r>
            <w:r>
              <w:rPr>
                <w:color w:val="auto"/>
                <w:spacing w:val="10"/>
                <w:highlight w:val="none"/>
              </w:rPr>
              <w:t>级分值</w:t>
            </w:r>
            <w:r>
              <w:rPr>
                <w:color w:val="auto"/>
                <w:spacing w:val="-17"/>
                <w:highlight w:val="none"/>
              </w:rPr>
              <w:t xml:space="preserve"> </w:t>
            </w:r>
            <w:r>
              <w:rPr>
                <w:color w:val="auto"/>
                <w:spacing w:val="10"/>
                <w:highlight w:val="none"/>
              </w:rPr>
              <w:t>12</w:t>
            </w:r>
            <w:r>
              <w:rPr>
                <w:color w:val="auto"/>
                <w:spacing w:val="-32"/>
                <w:highlight w:val="none"/>
              </w:rPr>
              <w:t xml:space="preserve"> </w:t>
            </w:r>
            <w:r>
              <w:rPr>
                <w:color w:val="auto"/>
                <w:spacing w:val="10"/>
                <w:highlight w:val="none"/>
              </w:rPr>
              <w:t>次，用完</w:t>
            </w:r>
            <w:r>
              <w:rPr>
                <w:color w:val="auto"/>
                <w:spacing w:val="-19"/>
                <w:highlight w:val="none"/>
              </w:rPr>
              <w:t xml:space="preserve"> </w:t>
            </w:r>
            <w:r>
              <w:rPr>
                <w:color w:val="auto"/>
                <w:spacing w:val="10"/>
                <w:highlight w:val="none"/>
              </w:rPr>
              <w:t>12</w:t>
            </w:r>
            <w:r>
              <w:rPr>
                <w:color w:val="auto"/>
                <w:spacing w:val="-30"/>
                <w:highlight w:val="none"/>
              </w:rPr>
              <w:t xml:space="preserve"> </w:t>
            </w:r>
            <w:r>
              <w:rPr>
                <w:color w:val="auto"/>
                <w:spacing w:val="10"/>
                <w:highlight w:val="none"/>
              </w:rPr>
              <w:t>次后信用</w:t>
            </w:r>
          </w:p>
        </w:tc>
      </w:tr>
    </w:tbl>
    <w:p w14:paraId="2E67D928">
      <w:pPr>
        <w:spacing w:line="305" w:lineRule="auto"/>
        <w:rPr>
          <w:rFonts w:ascii="Arial"/>
          <w:color w:val="auto"/>
          <w:sz w:val="21"/>
          <w:highlight w:val="none"/>
        </w:rPr>
      </w:pPr>
    </w:p>
    <w:p w14:paraId="69E07CFA">
      <w:pPr>
        <w:spacing w:before="18" w:line="220" w:lineRule="auto"/>
        <w:ind w:left="117"/>
        <w:rPr>
          <w:rFonts w:ascii="宋体" w:hAnsi="宋体" w:eastAsia="宋体" w:cs="宋体"/>
          <w:color w:val="auto"/>
          <w:sz w:val="18"/>
          <w:szCs w:val="18"/>
          <w:highlight w:val="none"/>
        </w:rPr>
      </w:pPr>
      <w:bookmarkStart w:id="35" w:name="bookmark74"/>
      <w:bookmarkEnd w:id="35"/>
      <w:bookmarkStart w:id="36" w:name="bookmark75"/>
      <w:bookmarkEnd w:id="36"/>
    </w:p>
    <w:p w14:paraId="3427C3AE">
      <w:pPr>
        <w:spacing w:line="220" w:lineRule="auto"/>
        <w:rPr>
          <w:rFonts w:ascii="宋体" w:hAnsi="宋体" w:eastAsia="宋体" w:cs="宋体"/>
          <w:color w:val="auto"/>
          <w:sz w:val="18"/>
          <w:szCs w:val="18"/>
          <w:highlight w:val="none"/>
        </w:rPr>
        <w:sectPr>
          <w:footerReference r:id="rId19" w:type="default"/>
          <w:pgSz w:w="11906" w:h="16839"/>
          <w:pgMar w:top="1416" w:right="1578" w:bottom="1297" w:left="1304" w:header="0" w:footer="1067" w:gutter="0"/>
          <w:pgNumType w:fmt="decimal"/>
          <w:cols w:space="720" w:num="1"/>
        </w:sectPr>
      </w:pPr>
    </w:p>
    <w:tbl>
      <w:tblPr>
        <w:tblStyle w:val="16"/>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7768"/>
      </w:tblGrid>
      <w:tr w14:paraId="65D9D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3" w:hRule="atLeast"/>
        </w:trPr>
        <w:tc>
          <w:tcPr>
            <w:tcW w:w="1013" w:type="dxa"/>
            <w:vAlign w:val="top"/>
          </w:tcPr>
          <w:p w14:paraId="7B1CA03B">
            <w:pPr>
              <w:rPr>
                <w:rFonts w:ascii="Arial"/>
                <w:color w:val="auto"/>
                <w:sz w:val="21"/>
                <w:highlight w:val="none"/>
              </w:rPr>
            </w:pPr>
          </w:p>
        </w:tc>
        <w:tc>
          <w:tcPr>
            <w:tcW w:w="7768" w:type="dxa"/>
            <w:vAlign w:val="top"/>
          </w:tcPr>
          <w:p w14:paraId="6D49E42E">
            <w:pPr>
              <w:pStyle w:val="17"/>
              <w:spacing w:before="259" w:line="228" w:lineRule="auto"/>
              <w:ind w:left="114"/>
              <w:rPr>
                <w:color w:val="auto"/>
                <w:highlight w:val="none"/>
              </w:rPr>
            </w:pPr>
            <w:r>
              <w:rPr>
                <w:color w:val="auto"/>
                <w:spacing w:val="6"/>
                <w:highlight w:val="none"/>
              </w:rPr>
              <w:t>等级分值将按</w:t>
            </w:r>
            <w:r>
              <w:rPr>
                <w:color w:val="auto"/>
                <w:spacing w:val="-45"/>
                <w:highlight w:val="none"/>
              </w:rPr>
              <w:t xml:space="preserve"> </w:t>
            </w:r>
            <w:r>
              <w:rPr>
                <w:color w:val="auto"/>
                <w:spacing w:val="6"/>
                <w:highlight w:val="none"/>
              </w:rPr>
              <w:t>A</w:t>
            </w:r>
            <w:r>
              <w:rPr>
                <w:color w:val="auto"/>
                <w:spacing w:val="-35"/>
                <w:highlight w:val="none"/>
              </w:rPr>
              <w:t xml:space="preserve"> </w:t>
            </w:r>
            <w:r>
              <w:rPr>
                <w:color w:val="auto"/>
                <w:spacing w:val="6"/>
                <w:highlight w:val="none"/>
              </w:rPr>
              <w:t>级取定；</w:t>
            </w:r>
          </w:p>
          <w:p w14:paraId="1A98BED9">
            <w:pPr>
              <w:pStyle w:val="17"/>
              <w:spacing w:before="150" w:line="323" w:lineRule="auto"/>
              <w:ind w:left="111" w:right="108" w:firstLine="3"/>
              <w:rPr>
                <w:color w:val="auto"/>
                <w:highlight w:val="none"/>
              </w:rPr>
            </w:pPr>
            <w:r>
              <w:rPr>
                <w:color w:val="auto"/>
                <w:spacing w:val="10"/>
                <w:highlight w:val="none"/>
              </w:rPr>
              <w:t>2.对于信用等级为</w:t>
            </w:r>
            <w:r>
              <w:rPr>
                <w:color w:val="auto"/>
                <w:spacing w:val="-24"/>
                <w:highlight w:val="none"/>
              </w:rPr>
              <w:t xml:space="preserve"> </w:t>
            </w:r>
            <w:r>
              <w:rPr>
                <w:color w:val="auto"/>
                <w:spacing w:val="10"/>
                <w:highlight w:val="none"/>
              </w:rPr>
              <w:t>A</w:t>
            </w:r>
            <w:r>
              <w:rPr>
                <w:color w:val="auto"/>
                <w:spacing w:val="-35"/>
                <w:highlight w:val="none"/>
              </w:rPr>
              <w:t xml:space="preserve"> </w:t>
            </w:r>
            <w:r>
              <w:rPr>
                <w:color w:val="auto"/>
                <w:spacing w:val="10"/>
                <w:highlight w:val="none"/>
              </w:rPr>
              <w:t>级的从业单位:当年度信用等级</w:t>
            </w:r>
            <w:r>
              <w:rPr>
                <w:color w:val="auto"/>
                <w:spacing w:val="-40"/>
                <w:highlight w:val="none"/>
              </w:rPr>
              <w:t xml:space="preserve"> </w:t>
            </w:r>
            <w:r>
              <w:rPr>
                <w:color w:val="auto"/>
                <w:spacing w:val="10"/>
                <w:highlight w:val="none"/>
              </w:rPr>
              <w:t>A</w:t>
            </w:r>
            <w:r>
              <w:rPr>
                <w:color w:val="auto"/>
                <w:spacing w:val="-33"/>
                <w:highlight w:val="none"/>
              </w:rPr>
              <w:t xml:space="preserve"> </w:t>
            </w:r>
            <w:r>
              <w:rPr>
                <w:color w:val="auto"/>
                <w:spacing w:val="10"/>
                <w:highlight w:val="none"/>
              </w:rPr>
              <w:t>级单位在参加广东省公路工</w:t>
            </w:r>
            <w:r>
              <w:rPr>
                <w:color w:val="auto"/>
                <w:spacing w:val="14"/>
                <w:highlight w:val="none"/>
              </w:rPr>
              <w:t>程建设项目招投标活动（以递交投标文件时间为</w:t>
            </w:r>
            <w:r>
              <w:rPr>
                <w:color w:val="auto"/>
                <w:spacing w:val="13"/>
                <w:highlight w:val="none"/>
              </w:rPr>
              <w:t>准）时，可申请使用A</w:t>
            </w:r>
            <w:r>
              <w:rPr>
                <w:color w:val="auto"/>
                <w:spacing w:val="-30"/>
                <w:highlight w:val="none"/>
              </w:rPr>
              <w:t xml:space="preserve"> </w:t>
            </w:r>
            <w:r>
              <w:rPr>
                <w:color w:val="auto"/>
                <w:spacing w:val="13"/>
                <w:highlight w:val="none"/>
              </w:rPr>
              <w:t>级分值</w:t>
            </w:r>
            <w:r>
              <w:rPr>
                <w:color w:val="auto"/>
                <w:spacing w:val="-19"/>
                <w:highlight w:val="none"/>
              </w:rPr>
              <w:t xml:space="preserve"> </w:t>
            </w:r>
            <w:r>
              <w:rPr>
                <w:color w:val="auto"/>
                <w:spacing w:val="13"/>
                <w:highlight w:val="none"/>
              </w:rPr>
              <w:t>12</w:t>
            </w:r>
            <w:r>
              <w:rPr>
                <w:color w:val="auto"/>
                <w:spacing w:val="6"/>
                <w:highlight w:val="none"/>
              </w:rPr>
              <w:t>次，用完</w:t>
            </w:r>
            <w:r>
              <w:rPr>
                <w:color w:val="auto"/>
                <w:spacing w:val="-24"/>
                <w:highlight w:val="none"/>
              </w:rPr>
              <w:t xml:space="preserve"> </w:t>
            </w:r>
            <w:r>
              <w:rPr>
                <w:color w:val="auto"/>
                <w:spacing w:val="6"/>
                <w:highlight w:val="none"/>
              </w:rPr>
              <w:t>12</w:t>
            </w:r>
            <w:r>
              <w:rPr>
                <w:color w:val="auto"/>
                <w:spacing w:val="-32"/>
                <w:highlight w:val="none"/>
              </w:rPr>
              <w:t xml:space="preserve"> </w:t>
            </w:r>
            <w:r>
              <w:rPr>
                <w:color w:val="auto"/>
                <w:spacing w:val="6"/>
                <w:highlight w:val="none"/>
              </w:rPr>
              <w:t>次后信用等级分值将按</w:t>
            </w:r>
            <w:r>
              <w:rPr>
                <w:color w:val="auto"/>
                <w:spacing w:val="-42"/>
                <w:highlight w:val="none"/>
              </w:rPr>
              <w:t xml:space="preserve"> </w:t>
            </w:r>
            <w:r>
              <w:rPr>
                <w:color w:val="auto"/>
                <w:spacing w:val="6"/>
                <w:highlight w:val="none"/>
              </w:rPr>
              <w:t>B</w:t>
            </w:r>
            <w:r>
              <w:rPr>
                <w:color w:val="auto"/>
                <w:spacing w:val="-34"/>
                <w:highlight w:val="none"/>
              </w:rPr>
              <w:t xml:space="preserve"> </w:t>
            </w:r>
            <w:r>
              <w:rPr>
                <w:color w:val="auto"/>
                <w:spacing w:val="6"/>
                <w:highlight w:val="none"/>
              </w:rPr>
              <w:t>级分值取定。</w:t>
            </w:r>
          </w:p>
          <w:p w14:paraId="08E4B987">
            <w:pPr>
              <w:pStyle w:val="17"/>
              <w:spacing w:before="151" w:line="299" w:lineRule="auto"/>
              <w:ind w:left="114" w:right="110" w:firstLine="2"/>
              <w:rPr>
                <w:color w:val="auto"/>
                <w:highlight w:val="none"/>
              </w:rPr>
            </w:pPr>
            <w:r>
              <w:rPr>
                <w:color w:val="auto"/>
                <w:spacing w:val="13"/>
                <w:highlight w:val="none"/>
              </w:rPr>
              <w:t>3.当年度信用等级为</w:t>
            </w:r>
            <w:r>
              <w:rPr>
                <w:color w:val="auto"/>
                <w:spacing w:val="-41"/>
                <w:highlight w:val="none"/>
              </w:rPr>
              <w:t xml:space="preserve"> </w:t>
            </w:r>
            <w:r>
              <w:rPr>
                <w:color w:val="auto"/>
                <w:highlight w:val="none"/>
              </w:rPr>
              <w:t>AA</w:t>
            </w:r>
            <w:r>
              <w:rPr>
                <w:color w:val="auto"/>
                <w:spacing w:val="13"/>
                <w:highlight w:val="none"/>
              </w:rPr>
              <w:t>、A</w:t>
            </w:r>
            <w:r>
              <w:rPr>
                <w:color w:val="auto"/>
                <w:spacing w:val="-32"/>
                <w:highlight w:val="none"/>
              </w:rPr>
              <w:t xml:space="preserve"> </w:t>
            </w:r>
            <w:r>
              <w:rPr>
                <w:color w:val="auto"/>
                <w:spacing w:val="13"/>
                <w:highlight w:val="none"/>
              </w:rPr>
              <w:t>级的从业单位未承诺使用的信用等级分值的，</w:t>
            </w:r>
            <w:r>
              <w:rPr>
                <w:color w:val="auto"/>
                <w:highlight w:val="none"/>
              </w:rPr>
              <w:t>AA</w:t>
            </w:r>
            <w:r>
              <w:rPr>
                <w:color w:val="auto"/>
                <w:spacing w:val="-33"/>
                <w:highlight w:val="none"/>
              </w:rPr>
              <w:t xml:space="preserve"> </w:t>
            </w:r>
            <w:r>
              <w:rPr>
                <w:color w:val="auto"/>
                <w:spacing w:val="12"/>
                <w:highlight w:val="none"/>
              </w:rPr>
              <w:t>级信</w:t>
            </w:r>
            <w:r>
              <w:rPr>
                <w:color w:val="auto"/>
                <w:spacing w:val="6"/>
                <w:highlight w:val="none"/>
              </w:rPr>
              <w:t>用等级企业按</w:t>
            </w:r>
            <w:r>
              <w:rPr>
                <w:color w:val="auto"/>
                <w:spacing w:val="-29"/>
                <w:highlight w:val="none"/>
              </w:rPr>
              <w:t xml:space="preserve"> </w:t>
            </w:r>
            <w:r>
              <w:rPr>
                <w:color w:val="auto"/>
                <w:spacing w:val="6"/>
                <w:highlight w:val="none"/>
              </w:rPr>
              <w:t>A</w:t>
            </w:r>
            <w:r>
              <w:rPr>
                <w:color w:val="auto"/>
                <w:spacing w:val="-34"/>
                <w:highlight w:val="none"/>
              </w:rPr>
              <w:t xml:space="preserve"> </w:t>
            </w:r>
            <w:r>
              <w:rPr>
                <w:color w:val="auto"/>
                <w:spacing w:val="6"/>
                <w:highlight w:val="none"/>
              </w:rPr>
              <w:t>级对待、A</w:t>
            </w:r>
            <w:r>
              <w:rPr>
                <w:color w:val="auto"/>
                <w:spacing w:val="-35"/>
                <w:highlight w:val="none"/>
              </w:rPr>
              <w:t xml:space="preserve"> </w:t>
            </w:r>
            <w:r>
              <w:rPr>
                <w:color w:val="auto"/>
                <w:spacing w:val="6"/>
                <w:highlight w:val="none"/>
              </w:rPr>
              <w:t>级信用等级企业按</w:t>
            </w:r>
            <w:r>
              <w:rPr>
                <w:color w:val="auto"/>
                <w:spacing w:val="-41"/>
                <w:highlight w:val="none"/>
              </w:rPr>
              <w:t xml:space="preserve"> </w:t>
            </w:r>
            <w:r>
              <w:rPr>
                <w:color w:val="auto"/>
                <w:spacing w:val="6"/>
                <w:highlight w:val="none"/>
              </w:rPr>
              <w:t>B</w:t>
            </w:r>
            <w:r>
              <w:rPr>
                <w:color w:val="auto"/>
                <w:spacing w:val="-37"/>
                <w:highlight w:val="none"/>
              </w:rPr>
              <w:t xml:space="preserve"> </w:t>
            </w:r>
            <w:r>
              <w:rPr>
                <w:color w:val="auto"/>
                <w:spacing w:val="6"/>
                <w:highlight w:val="none"/>
              </w:rPr>
              <w:t>级对待。</w:t>
            </w:r>
          </w:p>
          <w:p w14:paraId="1E3A84B1">
            <w:pPr>
              <w:pStyle w:val="17"/>
              <w:spacing w:before="153" w:line="298" w:lineRule="auto"/>
              <w:ind w:left="117" w:right="110" w:hanging="6"/>
              <w:rPr>
                <w:color w:val="auto"/>
                <w:highlight w:val="none"/>
              </w:rPr>
            </w:pPr>
            <w:r>
              <w:rPr>
                <w:color w:val="auto"/>
                <w:spacing w:val="9"/>
                <w:highlight w:val="none"/>
              </w:rPr>
              <w:t>4.若从业企业在信用评价年度信用等级由</w:t>
            </w:r>
            <w:r>
              <w:rPr>
                <w:color w:val="auto"/>
                <w:spacing w:val="-33"/>
                <w:highlight w:val="none"/>
              </w:rPr>
              <w:t xml:space="preserve"> </w:t>
            </w:r>
            <w:r>
              <w:rPr>
                <w:color w:val="auto"/>
                <w:highlight w:val="none"/>
              </w:rPr>
              <w:t>AA</w:t>
            </w:r>
            <w:r>
              <w:rPr>
                <w:color w:val="auto"/>
                <w:spacing w:val="-21"/>
                <w:highlight w:val="none"/>
              </w:rPr>
              <w:t xml:space="preserve"> </w:t>
            </w:r>
            <w:r>
              <w:rPr>
                <w:color w:val="auto"/>
                <w:spacing w:val="9"/>
                <w:highlight w:val="none"/>
              </w:rPr>
              <w:t>降级为</w:t>
            </w:r>
            <w:r>
              <w:rPr>
                <w:color w:val="auto"/>
                <w:spacing w:val="-44"/>
                <w:highlight w:val="none"/>
              </w:rPr>
              <w:t xml:space="preserve"> </w:t>
            </w:r>
            <w:r>
              <w:rPr>
                <w:color w:val="auto"/>
                <w:spacing w:val="9"/>
                <w:highlight w:val="none"/>
              </w:rPr>
              <w:t>A</w:t>
            </w:r>
            <w:r>
              <w:rPr>
                <w:color w:val="auto"/>
                <w:spacing w:val="-34"/>
                <w:highlight w:val="none"/>
              </w:rPr>
              <w:t xml:space="preserve"> </w:t>
            </w:r>
            <w:r>
              <w:rPr>
                <w:color w:val="auto"/>
                <w:spacing w:val="9"/>
                <w:highlight w:val="none"/>
              </w:rPr>
              <w:t>级时，</w:t>
            </w:r>
            <w:r>
              <w:rPr>
                <w:color w:val="auto"/>
                <w:highlight w:val="none"/>
              </w:rPr>
              <w:t>AA</w:t>
            </w:r>
            <w:r>
              <w:rPr>
                <w:color w:val="auto"/>
                <w:spacing w:val="-35"/>
                <w:highlight w:val="none"/>
              </w:rPr>
              <w:t xml:space="preserve"> </w:t>
            </w:r>
            <w:r>
              <w:rPr>
                <w:color w:val="auto"/>
                <w:spacing w:val="9"/>
                <w:highlight w:val="none"/>
              </w:rPr>
              <w:t>级信用等级已使用</w:t>
            </w:r>
            <w:r>
              <w:rPr>
                <w:color w:val="auto"/>
                <w:spacing w:val="7"/>
                <w:highlight w:val="none"/>
              </w:rPr>
              <w:t>次数纳入</w:t>
            </w:r>
            <w:r>
              <w:rPr>
                <w:color w:val="auto"/>
                <w:spacing w:val="-36"/>
                <w:highlight w:val="none"/>
              </w:rPr>
              <w:t xml:space="preserve"> </w:t>
            </w:r>
            <w:r>
              <w:rPr>
                <w:color w:val="auto"/>
                <w:spacing w:val="7"/>
                <w:highlight w:val="none"/>
              </w:rPr>
              <w:t>A</w:t>
            </w:r>
            <w:r>
              <w:rPr>
                <w:color w:val="auto"/>
                <w:spacing w:val="-35"/>
                <w:highlight w:val="none"/>
              </w:rPr>
              <w:t xml:space="preserve"> </w:t>
            </w:r>
            <w:r>
              <w:rPr>
                <w:color w:val="auto"/>
                <w:spacing w:val="7"/>
                <w:highlight w:val="none"/>
              </w:rPr>
              <w:t>级信用等级使用次数合并累计。</w:t>
            </w:r>
          </w:p>
          <w:p w14:paraId="2ADC8027">
            <w:pPr>
              <w:pStyle w:val="17"/>
              <w:spacing w:before="151" w:line="346" w:lineRule="auto"/>
              <w:ind w:left="112" w:right="108" w:firstLine="15"/>
              <w:rPr>
                <w:color w:val="auto"/>
                <w:highlight w:val="none"/>
              </w:rPr>
            </w:pPr>
            <w:r>
              <w:rPr>
                <w:color w:val="auto"/>
                <w:spacing w:val="11"/>
                <w:highlight w:val="none"/>
              </w:rPr>
              <w:t>10.2.2</w:t>
            </w:r>
            <w:r>
              <w:rPr>
                <w:color w:val="auto"/>
                <w:spacing w:val="-35"/>
                <w:highlight w:val="none"/>
              </w:rPr>
              <w:t xml:space="preserve"> </w:t>
            </w:r>
            <w:r>
              <w:rPr>
                <w:color w:val="auto"/>
                <w:spacing w:val="11"/>
                <w:highlight w:val="none"/>
              </w:rPr>
              <w:t>信用等级延续</w:t>
            </w:r>
            <w:r>
              <w:rPr>
                <w:color w:val="auto"/>
                <w:spacing w:val="-19"/>
                <w:highlight w:val="none"/>
              </w:rPr>
              <w:t xml:space="preserve"> </w:t>
            </w:r>
            <w:r>
              <w:rPr>
                <w:color w:val="auto"/>
                <w:spacing w:val="11"/>
                <w:highlight w:val="none"/>
              </w:rPr>
              <w:t>1</w:t>
            </w:r>
            <w:r>
              <w:rPr>
                <w:color w:val="auto"/>
                <w:spacing w:val="-33"/>
                <w:highlight w:val="none"/>
              </w:rPr>
              <w:t xml:space="preserve"> </w:t>
            </w:r>
            <w:r>
              <w:rPr>
                <w:color w:val="auto"/>
                <w:spacing w:val="11"/>
                <w:highlight w:val="none"/>
              </w:rPr>
              <w:t>年后仍无信用评价等级的，按照初次进入广</w:t>
            </w:r>
            <w:r>
              <w:rPr>
                <w:color w:val="auto"/>
                <w:spacing w:val="10"/>
                <w:highlight w:val="none"/>
              </w:rPr>
              <w:t>东省确定，原</w:t>
            </w:r>
            <w:r>
              <w:rPr>
                <w:color w:val="auto"/>
                <w:spacing w:val="14"/>
                <w:highlight w:val="none"/>
              </w:rPr>
              <w:t>则上按</w:t>
            </w:r>
            <w:r>
              <w:rPr>
                <w:color w:val="auto"/>
                <w:spacing w:val="-40"/>
                <w:highlight w:val="none"/>
              </w:rPr>
              <w:t xml:space="preserve"> </w:t>
            </w:r>
            <w:r>
              <w:rPr>
                <w:color w:val="auto"/>
                <w:spacing w:val="14"/>
                <w:highlight w:val="none"/>
              </w:rPr>
              <w:t>B</w:t>
            </w:r>
            <w:r>
              <w:rPr>
                <w:color w:val="auto"/>
                <w:spacing w:val="-30"/>
                <w:highlight w:val="none"/>
              </w:rPr>
              <w:t xml:space="preserve"> </w:t>
            </w:r>
            <w:r>
              <w:rPr>
                <w:color w:val="auto"/>
                <w:spacing w:val="14"/>
                <w:highlight w:val="none"/>
              </w:rPr>
              <w:t>级对待，但下列情况除外：最新年度的全国公路从业单位（监理单位）</w:t>
            </w:r>
            <w:r>
              <w:rPr>
                <w:color w:val="auto"/>
                <w:spacing w:val="13"/>
                <w:highlight w:val="none"/>
              </w:rPr>
              <w:t>信用评价结果为</w:t>
            </w:r>
            <w:r>
              <w:rPr>
                <w:color w:val="auto"/>
                <w:spacing w:val="-36"/>
                <w:highlight w:val="none"/>
              </w:rPr>
              <w:t xml:space="preserve"> </w:t>
            </w:r>
            <w:r>
              <w:rPr>
                <w:color w:val="auto"/>
                <w:spacing w:val="13"/>
                <w:highlight w:val="none"/>
              </w:rPr>
              <w:t>C</w:t>
            </w:r>
            <w:r>
              <w:rPr>
                <w:color w:val="auto"/>
                <w:spacing w:val="-30"/>
                <w:highlight w:val="none"/>
              </w:rPr>
              <w:t xml:space="preserve"> </w:t>
            </w:r>
            <w:r>
              <w:rPr>
                <w:color w:val="auto"/>
                <w:spacing w:val="13"/>
                <w:highlight w:val="none"/>
              </w:rPr>
              <w:t>级或</w:t>
            </w:r>
            <w:r>
              <w:rPr>
                <w:color w:val="auto"/>
                <w:spacing w:val="-36"/>
                <w:highlight w:val="none"/>
              </w:rPr>
              <w:t xml:space="preserve"> </w:t>
            </w:r>
            <w:r>
              <w:rPr>
                <w:color w:val="auto"/>
                <w:spacing w:val="13"/>
                <w:highlight w:val="none"/>
              </w:rPr>
              <w:t>D</w:t>
            </w:r>
            <w:r>
              <w:rPr>
                <w:color w:val="auto"/>
                <w:spacing w:val="-30"/>
                <w:highlight w:val="none"/>
              </w:rPr>
              <w:t xml:space="preserve"> </w:t>
            </w:r>
            <w:r>
              <w:rPr>
                <w:color w:val="auto"/>
                <w:spacing w:val="13"/>
                <w:highlight w:val="none"/>
              </w:rPr>
              <w:t>级的，则按最新年度的全国公路从业单位（监理</w:t>
            </w:r>
            <w:r>
              <w:rPr>
                <w:color w:val="auto"/>
                <w:spacing w:val="12"/>
                <w:highlight w:val="none"/>
              </w:rPr>
              <w:t>单位）</w:t>
            </w:r>
            <w:r>
              <w:rPr>
                <w:color w:val="auto"/>
                <w:spacing w:val="15"/>
                <w:highlight w:val="none"/>
              </w:rPr>
              <w:t>信用评价结果对待；或最新年度的全国公路从业单位（监理单位）信用评价结果</w:t>
            </w:r>
            <w:r>
              <w:rPr>
                <w:color w:val="auto"/>
                <w:spacing w:val="11"/>
                <w:highlight w:val="none"/>
              </w:rPr>
              <w:t>未被评为</w:t>
            </w:r>
            <w:r>
              <w:rPr>
                <w:color w:val="auto"/>
                <w:spacing w:val="-19"/>
                <w:highlight w:val="none"/>
              </w:rPr>
              <w:t xml:space="preserve"> </w:t>
            </w:r>
            <w:r>
              <w:rPr>
                <w:color w:val="auto"/>
                <w:spacing w:val="11"/>
                <w:highlight w:val="none"/>
              </w:rPr>
              <w:t>C</w:t>
            </w:r>
            <w:r>
              <w:rPr>
                <w:color w:val="auto"/>
                <w:spacing w:val="-30"/>
                <w:highlight w:val="none"/>
              </w:rPr>
              <w:t xml:space="preserve"> </w:t>
            </w:r>
            <w:r>
              <w:rPr>
                <w:color w:val="auto"/>
                <w:spacing w:val="11"/>
                <w:highlight w:val="none"/>
              </w:rPr>
              <w:t>级或</w:t>
            </w:r>
            <w:r>
              <w:rPr>
                <w:color w:val="auto"/>
                <w:spacing w:val="-36"/>
                <w:highlight w:val="none"/>
              </w:rPr>
              <w:t xml:space="preserve"> </w:t>
            </w:r>
            <w:r>
              <w:rPr>
                <w:color w:val="auto"/>
                <w:spacing w:val="11"/>
                <w:highlight w:val="none"/>
              </w:rPr>
              <w:t>D</w:t>
            </w:r>
            <w:r>
              <w:rPr>
                <w:color w:val="auto"/>
                <w:spacing w:val="-30"/>
                <w:highlight w:val="none"/>
              </w:rPr>
              <w:t xml:space="preserve"> </w:t>
            </w:r>
            <w:r>
              <w:rPr>
                <w:color w:val="auto"/>
                <w:spacing w:val="11"/>
                <w:highlight w:val="none"/>
              </w:rPr>
              <w:t>级的，但在广东省最近年度原评价等级为</w:t>
            </w:r>
            <w:r>
              <w:rPr>
                <w:color w:val="auto"/>
                <w:spacing w:val="-36"/>
                <w:highlight w:val="none"/>
              </w:rPr>
              <w:t xml:space="preserve"> </w:t>
            </w:r>
            <w:r>
              <w:rPr>
                <w:color w:val="auto"/>
                <w:spacing w:val="11"/>
                <w:highlight w:val="none"/>
              </w:rPr>
              <w:t>D</w:t>
            </w:r>
            <w:r>
              <w:rPr>
                <w:color w:val="auto"/>
                <w:spacing w:val="-30"/>
                <w:highlight w:val="none"/>
              </w:rPr>
              <w:t xml:space="preserve"> </w:t>
            </w:r>
            <w:r>
              <w:rPr>
                <w:color w:val="auto"/>
                <w:spacing w:val="11"/>
                <w:highlight w:val="none"/>
              </w:rPr>
              <w:t>级的，则按</w:t>
            </w:r>
            <w:r>
              <w:rPr>
                <w:color w:val="auto"/>
                <w:spacing w:val="-33"/>
                <w:highlight w:val="none"/>
              </w:rPr>
              <w:t xml:space="preserve"> </w:t>
            </w:r>
            <w:r>
              <w:rPr>
                <w:color w:val="auto"/>
                <w:spacing w:val="11"/>
                <w:highlight w:val="none"/>
              </w:rPr>
              <w:t>C</w:t>
            </w:r>
            <w:r>
              <w:rPr>
                <w:color w:val="auto"/>
                <w:spacing w:val="-30"/>
                <w:highlight w:val="none"/>
              </w:rPr>
              <w:t xml:space="preserve"> </w:t>
            </w:r>
            <w:r>
              <w:rPr>
                <w:color w:val="auto"/>
                <w:spacing w:val="11"/>
                <w:highlight w:val="none"/>
              </w:rPr>
              <w:t>级对</w:t>
            </w:r>
            <w:r>
              <w:rPr>
                <w:color w:val="auto"/>
                <w:highlight w:val="none"/>
              </w:rPr>
              <w:t>待。</w:t>
            </w:r>
          </w:p>
          <w:p w14:paraId="3FA152EA">
            <w:pPr>
              <w:pStyle w:val="17"/>
              <w:spacing w:before="153" w:line="322" w:lineRule="auto"/>
              <w:ind w:left="112" w:right="108" w:firstLine="15"/>
              <w:rPr>
                <w:color w:val="auto"/>
                <w:highlight w:val="none"/>
              </w:rPr>
            </w:pPr>
            <w:r>
              <w:rPr>
                <w:color w:val="auto"/>
                <w:spacing w:val="12"/>
                <w:highlight w:val="none"/>
              </w:rPr>
              <w:t xml:space="preserve">10.2.3 </w:t>
            </w:r>
            <w:r>
              <w:rPr>
                <w:color w:val="auto"/>
                <w:highlight w:val="none"/>
              </w:rPr>
              <w:t>AA</w:t>
            </w:r>
            <w:r>
              <w:rPr>
                <w:color w:val="auto"/>
                <w:spacing w:val="12"/>
                <w:highlight w:val="none"/>
              </w:rPr>
              <w:t>、A</w:t>
            </w:r>
            <w:r>
              <w:rPr>
                <w:color w:val="auto"/>
                <w:spacing w:val="-30"/>
                <w:highlight w:val="none"/>
              </w:rPr>
              <w:t xml:space="preserve"> </w:t>
            </w:r>
            <w:r>
              <w:rPr>
                <w:color w:val="auto"/>
                <w:spacing w:val="12"/>
                <w:highlight w:val="none"/>
              </w:rPr>
              <w:t>级单位是指使用广东省信用评价等级申请承诺书的单位。提</w:t>
            </w:r>
            <w:r>
              <w:rPr>
                <w:color w:val="auto"/>
                <w:spacing w:val="11"/>
                <w:highlight w:val="none"/>
              </w:rPr>
              <w:t>交申请</w:t>
            </w:r>
            <w:r>
              <w:rPr>
                <w:color w:val="auto"/>
                <w:spacing w:val="13"/>
                <w:highlight w:val="none"/>
              </w:rPr>
              <w:t>承诺书未使用</w:t>
            </w:r>
            <w:r>
              <w:rPr>
                <w:color w:val="auto"/>
                <w:spacing w:val="-37"/>
                <w:highlight w:val="none"/>
              </w:rPr>
              <w:t xml:space="preserve"> </w:t>
            </w:r>
            <w:r>
              <w:rPr>
                <w:color w:val="auto"/>
                <w:highlight w:val="none"/>
              </w:rPr>
              <w:t>AA</w:t>
            </w:r>
            <w:r>
              <w:rPr>
                <w:color w:val="auto"/>
                <w:spacing w:val="13"/>
                <w:highlight w:val="none"/>
              </w:rPr>
              <w:t>、A</w:t>
            </w:r>
            <w:r>
              <w:rPr>
                <w:color w:val="auto"/>
                <w:spacing w:val="-23"/>
                <w:highlight w:val="none"/>
              </w:rPr>
              <w:t xml:space="preserve"> </w:t>
            </w:r>
            <w:r>
              <w:rPr>
                <w:color w:val="auto"/>
                <w:spacing w:val="13"/>
                <w:highlight w:val="none"/>
              </w:rPr>
              <w:t>时，在评标过程中，</w:t>
            </w:r>
            <w:r>
              <w:rPr>
                <w:color w:val="auto"/>
                <w:highlight w:val="none"/>
              </w:rPr>
              <w:t>AA</w:t>
            </w:r>
            <w:r>
              <w:rPr>
                <w:color w:val="auto"/>
                <w:spacing w:val="-30"/>
                <w:highlight w:val="none"/>
              </w:rPr>
              <w:t xml:space="preserve"> </w:t>
            </w:r>
            <w:r>
              <w:rPr>
                <w:color w:val="auto"/>
                <w:spacing w:val="13"/>
                <w:highlight w:val="none"/>
              </w:rPr>
              <w:t>级信用等级企业按</w:t>
            </w:r>
            <w:r>
              <w:rPr>
                <w:color w:val="auto"/>
                <w:spacing w:val="-38"/>
                <w:highlight w:val="none"/>
              </w:rPr>
              <w:t xml:space="preserve"> </w:t>
            </w:r>
            <w:r>
              <w:rPr>
                <w:color w:val="auto"/>
                <w:spacing w:val="13"/>
                <w:highlight w:val="none"/>
              </w:rPr>
              <w:t>A</w:t>
            </w:r>
            <w:r>
              <w:rPr>
                <w:color w:val="auto"/>
                <w:spacing w:val="-30"/>
                <w:highlight w:val="none"/>
              </w:rPr>
              <w:t xml:space="preserve"> </w:t>
            </w:r>
            <w:r>
              <w:rPr>
                <w:color w:val="auto"/>
                <w:spacing w:val="13"/>
                <w:highlight w:val="none"/>
              </w:rPr>
              <w:t>级对待、A</w:t>
            </w:r>
            <w:r>
              <w:rPr>
                <w:color w:val="auto"/>
                <w:spacing w:val="-30"/>
                <w:highlight w:val="none"/>
              </w:rPr>
              <w:t xml:space="preserve"> </w:t>
            </w:r>
            <w:r>
              <w:rPr>
                <w:color w:val="auto"/>
                <w:spacing w:val="13"/>
                <w:highlight w:val="none"/>
              </w:rPr>
              <w:t>级信</w:t>
            </w:r>
            <w:r>
              <w:rPr>
                <w:color w:val="auto"/>
                <w:spacing w:val="6"/>
                <w:highlight w:val="none"/>
              </w:rPr>
              <w:t>用等级企业按</w:t>
            </w:r>
            <w:r>
              <w:rPr>
                <w:color w:val="auto"/>
                <w:spacing w:val="-43"/>
                <w:highlight w:val="none"/>
              </w:rPr>
              <w:t xml:space="preserve"> </w:t>
            </w:r>
            <w:r>
              <w:rPr>
                <w:color w:val="auto"/>
                <w:spacing w:val="6"/>
                <w:highlight w:val="none"/>
              </w:rPr>
              <w:t>B</w:t>
            </w:r>
            <w:r>
              <w:rPr>
                <w:color w:val="auto"/>
                <w:spacing w:val="-35"/>
                <w:highlight w:val="none"/>
              </w:rPr>
              <w:t xml:space="preserve"> </w:t>
            </w:r>
            <w:r>
              <w:rPr>
                <w:color w:val="auto"/>
                <w:spacing w:val="6"/>
                <w:highlight w:val="none"/>
              </w:rPr>
              <w:t>级对待。</w:t>
            </w:r>
          </w:p>
          <w:p w14:paraId="057C8C9D">
            <w:pPr>
              <w:pStyle w:val="17"/>
              <w:spacing w:before="153" w:line="334" w:lineRule="auto"/>
              <w:ind w:left="113" w:right="109" w:firstLine="14"/>
              <w:rPr>
                <w:color w:val="auto"/>
                <w:highlight w:val="none"/>
              </w:rPr>
            </w:pPr>
            <w:r>
              <w:rPr>
                <w:color w:val="auto"/>
                <w:spacing w:val="11"/>
                <w:highlight w:val="none"/>
              </w:rPr>
              <w:t>10.2.4 在招标评标中，信用评价等级采用按次、按标段或标类申请使</w:t>
            </w:r>
            <w:r>
              <w:rPr>
                <w:color w:val="auto"/>
                <w:spacing w:val="10"/>
                <w:highlight w:val="none"/>
              </w:rPr>
              <w:t>用的原则，</w:t>
            </w:r>
            <w:r>
              <w:rPr>
                <w:color w:val="auto"/>
                <w:spacing w:val="14"/>
                <w:highlight w:val="none"/>
              </w:rPr>
              <w:t>即在同一次招标中的多个标段的投标，可自愿对其中部分或全部标段申请使用</w:t>
            </w:r>
            <w:r>
              <w:rPr>
                <w:color w:val="auto"/>
                <w:spacing w:val="-37"/>
                <w:highlight w:val="none"/>
              </w:rPr>
              <w:t xml:space="preserve"> </w:t>
            </w:r>
            <w:r>
              <w:rPr>
                <w:color w:val="auto"/>
                <w:highlight w:val="none"/>
              </w:rPr>
              <w:t>AA</w:t>
            </w:r>
            <w:r>
              <w:rPr>
                <w:color w:val="auto"/>
                <w:spacing w:val="15"/>
                <w:highlight w:val="none"/>
              </w:rPr>
              <w:t>或</w:t>
            </w:r>
            <w:r>
              <w:rPr>
                <w:color w:val="auto"/>
                <w:spacing w:val="-41"/>
                <w:highlight w:val="none"/>
              </w:rPr>
              <w:t xml:space="preserve"> </w:t>
            </w:r>
            <w:r>
              <w:rPr>
                <w:color w:val="auto"/>
                <w:spacing w:val="15"/>
                <w:highlight w:val="none"/>
              </w:rPr>
              <w:t>A</w:t>
            </w:r>
            <w:r>
              <w:rPr>
                <w:color w:val="auto"/>
                <w:spacing w:val="-33"/>
                <w:highlight w:val="none"/>
              </w:rPr>
              <w:t xml:space="preserve"> </w:t>
            </w:r>
            <w:r>
              <w:rPr>
                <w:color w:val="auto"/>
                <w:spacing w:val="15"/>
                <w:highlight w:val="none"/>
              </w:rPr>
              <w:t>信用等级，无论中标与否，均应根据申请递交</w:t>
            </w:r>
            <w:r>
              <w:rPr>
                <w:color w:val="auto"/>
                <w:spacing w:val="14"/>
                <w:highlight w:val="none"/>
              </w:rPr>
              <w:t>投标（或申请）文件情况按标</w:t>
            </w:r>
            <w:r>
              <w:rPr>
                <w:color w:val="auto"/>
                <w:spacing w:val="9"/>
                <w:highlight w:val="none"/>
              </w:rPr>
              <w:t>段计算使用次数（非投标人原因导致招标失败的情</w:t>
            </w:r>
            <w:r>
              <w:rPr>
                <w:color w:val="auto"/>
                <w:spacing w:val="8"/>
                <w:highlight w:val="none"/>
              </w:rPr>
              <w:t>况除外）。</w:t>
            </w:r>
          </w:p>
          <w:p w14:paraId="21E7DEC3">
            <w:pPr>
              <w:pStyle w:val="17"/>
              <w:spacing w:before="155" w:line="321" w:lineRule="auto"/>
              <w:ind w:left="112" w:right="108" w:firstLine="15"/>
              <w:rPr>
                <w:color w:val="auto"/>
                <w:highlight w:val="none"/>
              </w:rPr>
            </w:pPr>
            <w:r>
              <w:rPr>
                <w:color w:val="auto"/>
                <w:spacing w:val="12"/>
                <w:highlight w:val="none"/>
              </w:rPr>
              <w:t>10.2.5</w:t>
            </w:r>
            <w:r>
              <w:rPr>
                <w:color w:val="auto"/>
                <w:spacing w:val="-12"/>
                <w:highlight w:val="none"/>
              </w:rPr>
              <w:t xml:space="preserve"> </w:t>
            </w:r>
            <w:r>
              <w:rPr>
                <w:color w:val="auto"/>
                <w:spacing w:val="12"/>
                <w:highlight w:val="none"/>
              </w:rPr>
              <w:t>以联合体形式投标的，信用等</w:t>
            </w:r>
            <w:r>
              <w:rPr>
                <w:color w:val="auto"/>
                <w:spacing w:val="11"/>
                <w:highlight w:val="none"/>
              </w:rPr>
              <w:t>级以联合体中信用等级较低的为准。如联合</w:t>
            </w:r>
            <w:r>
              <w:rPr>
                <w:color w:val="auto"/>
                <w:spacing w:val="15"/>
                <w:highlight w:val="none"/>
              </w:rPr>
              <w:t>体成员中存在不属于广东省公路工程从业企业信用评价体系的参评范围的单位，</w:t>
            </w:r>
            <w:r>
              <w:rPr>
                <w:color w:val="auto"/>
                <w:spacing w:val="6"/>
                <w:highlight w:val="none"/>
              </w:rPr>
              <w:t>其信用评价等级视为</w:t>
            </w:r>
            <w:r>
              <w:rPr>
                <w:color w:val="auto"/>
                <w:spacing w:val="-38"/>
                <w:highlight w:val="none"/>
              </w:rPr>
              <w:t xml:space="preserve"> </w:t>
            </w:r>
            <w:r>
              <w:rPr>
                <w:color w:val="auto"/>
                <w:spacing w:val="6"/>
                <w:highlight w:val="none"/>
              </w:rPr>
              <w:t>B</w:t>
            </w:r>
            <w:r>
              <w:rPr>
                <w:color w:val="auto"/>
                <w:spacing w:val="-35"/>
                <w:highlight w:val="none"/>
              </w:rPr>
              <w:t xml:space="preserve"> </w:t>
            </w:r>
            <w:r>
              <w:rPr>
                <w:color w:val="auto"/>
                <w:spacing w:val="6"/>
                <w:highlight w:val="none"/>
              </w:rPr>
              <w:t>级。</w:t>
            </w:r>
          </w:p>
          <w:p w14:paraId="63005BBE">
            <w:pPr>
              <w:pStyle w:val="17"/>
              <w:spacing w:before="155" w:line="334" w:lineRule="auto"/>
              <w:ind w:left="114" w:right="108" w:firstLine="12"/>
              <w:rPr>
                <w:color w:val="auto"/>
                <w:highlight w:val="none"/>
              </w:rPr>
            </w:pPr>
            <w:r>
              <w:rPr>
                <w:color w:val="auto"/>
                <w:spacing w:val="11"/>
                <w:highlight w:val="none"/>
              </w:rPr>
              <w:t>10.3 如果推荐的第一中标候选人放弃中标、因不可抗力提出不能履行合同或因被</w:t>
            </w:r>
            <w:r>
              <w:rPr>
                <w:color w:val="auto"/>
                <w:spacing w:val="15"/>
                <w:highlight w:val="none"/>
              </w:rPr>
              <w:t>投诉经查证属实取消中标资格的，或者招标文件规定应当提交履约保证金而在规</w:t>
            </w:r>
            <w:r>
              <w:rPr>
                <w:color w:val="auto"/>
                <w:spacing w:val="12"/>
                <w:highlight w:val="none"/>
              </w:rPr>
              <w:t>定的期限内未能提交的，招标人可以确定排名第二的中标候选人为中标人,或重新</w:t>
            </w:r>
            <w:r>
              <w:rPr>
                <w:color w:val="auto"/>
                <w:spacing w:val="7"/>
                <w:highlight w:val="none"/>
              </w:rPr>
              <w:t>组织招标，以此类推。</w:t>
            </w:r>
          </w:p>
          <w:p w14:paraId="481A5297">
            <w:pPr>
              <w:pStyle w:val="17"/>
              <w:spacing w:before="150" w:line="323" w:lineRule="auto"/>
              <w:ind w:left="114" w:right="108" w:firstLine="12"/>
              <w:rPr>
                <w:color w:val="auto"/>
                <w:highlight w:val="none"/>
              </w:rPr>
            </w:pPr>
            <w:r>
              <w:rPr>
                <w:color w:val="auto"/>
                <w:spacing w:val="9"/>
                <w:highlight w:val="none"/>
              </w:rPr>
              <w:t>10.4 如果开标后至中标通知书发出前</w:t>
            </w:r>
            <w:r>
              <w:rPr>
                <w:color w:val="auto"/>
                <w:spacing w:val="8"/>
                <w:highlight w:val="none"/>
              </w:rPr>
              <w:t>，中标候选人发生投标人须知</w:t>
            </w:r>
            <w:r>
              <w:rPr>
                <w:color w:val="auto"/>
                <w:spacing w:val="-22"/>
                <w:highlight w:val="none"/>
              </w:rPr>
              <w:t xml:space="preserve"> </w:t>
            </w:r>
            <w:r>
              <w:rPr>
                <w:color w:val="auto"/>
                <w:spacing w:val="8"/>
                <w:highlight w:val="none"/>
              </w:rPr>
              <w:t>1.4.4（1）至</w:t>
            </w:r>
            <w:r>
              <w:rPr>
                <w:color w:val="auto"/>
                <w:spacing w:val="10"/>
                <w:highlight w:val="none"/>
              </w:rPr>
              <w:t>（7）</w:t>
            </w:r>
            <w:r>
              <w:rPr>
                <w:color w:val="auto"/>
                <w:spacing w:val="-51"/>
                <w:highlight w:val="none"/>
              </w:rPr>
              <w:t xml:space="preserve"> </w:t>
            </w:r>
            <w:r>
              <w:rPr>
                <w:color w:val="auto"/>
                <w:spacing w:val="10"/>
                <w:highlight w:val="none"/>
              </w:rPr>
              <w:t>的情形及中标候选人信用等级被广东省交通运输厅直接降为</w:t>
            </w:r>
            <w:r>
              <w:rPr>
                <w:color w:val="auto"/>
                <w:spacing w:val="-38"/>
                <w:highlight w:val="none"/>
              </w:rPr>
              <w:t xml:space="preserve"> </w:t>
            </w:r>
            <w:r>
              <w:rPr>
                <w:color w:val="auto"/>
                <w:spacing w:val="10"/>
                <w:highlight w:val="none"/>
              </w:rPr>
              <w:t>D</w:t>
            </w:r>
            <w:r>
              <w:rPr>
                <w:color w:val="auto"/>
                <w:spacing w:val="-33"/>
                <w:highlight w:val="none"/>
              </w:rPr>
              <w:t xml:space="preserve"> </w:t>
            </w:r>
            <w:r>
              <w:rPr>
                <w:color w:val="auto"/>
                <w:spacing w:val="10"/>
                <w:highlight w:val="none"/>
              </w:rPr>
              <w:t>级的情形，则</w:t>
            </w:r>
            <w:r>
              <w:rPr>
                <w:color w:val="auto"/>
                <w:spacing w:val="8"/>
                <w:highlight w:val="none"/>
              </w:rPr>
              <w:t>取消其中标资格，按否决其投标处理；</w:t>
            </w:r>
          </w:p>
          <w:p w14:paraId="098811A2">
            <w:pPr>
              <w:pStyle w:val="17"/>
              <w:spacing w:before="151" w:line="358" w:lineRule="auto"/>
              <w:ind w:left="115" w:right="108"/>
              <w:rPr>
                <w:color w:val="auto"/>
                <w:highlight w:val="none"/>
              </w:rPr>
            </w:pPr>
            <w:r>
              <w:rPr>
                <w:color w:val="auto"/>
                <w:spacing w:val="15"/>
                <w:highlight w:val="none"/>
              </w:rPr>
              <w:t>发生以上情况时，招标人按推荐中标候选人排名顺序依次确定中标人，或重新组</w:t>
            </w:r>
            <w:r>
              <w:rPr>
                <w:color w:val="auto"/>
                <w:spacing w:val="4"/>
                <w:highlight w:val="none"/>
              </w:rPr>
              <w:t>织招标。</w:t>
            </w:r>
          </w:p>
        </w:tc>
      </w:tr>
    </w:tbl>
    <w:p w14:paraId="365CB289">
      <w:pPr>
        <w:rPr>
          <w:rFonts w:ascii="Arial"/>
          <w:color w:val="auto"/>
          <w:sz w:val="21"/>
          <w:highlight w:val="none"/>
        </w:rPr>
      </w:pPr>
    </w:p>
    <w:p w14:paraId="081D98F1">
      <w:pPr>
        <w:rPr>
          <w:rFonts w:ascii="Arial" w:hAnsi="Arial" w:eastAsia="Arial" w:cs="Arial"/>
          <w:color w:val="auto"/>
          <w:sz w:val="21"/>
          <w:szCs w:val="21"/>
          <w:highlight w:val="none"/>
        </w:rPr>
        <w:sectPr>
          <w:footerReference r:id="rId20" w:type="default"/>
          <w:pgSz w:w="11906" w:h="16839"/>
          <w:pgMar w:top="1416" w:right="1785" w:bottom="1297" w:left="1304" w:header="0" w:footer="1067" w:gutter="0"/>
          <w:pgNumType w:fmt="decimal"/>
          <w:cols w:space="720" w:num="1"/>
        </w:sectPr>
      </w:pPr>
    </w:p>
    <w:tbl>
      <w:tblPr>
        <w:tblStyle w:val="16"/>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7768"/>
      </w:tblGrid>
      <w:tr w14:paraId="4959D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5" w:hRule="atLeast"/>
        </w:trPr>
        <w:tc>
          <w:tcPr>
            <w:tcW w:w="1013" w:type="dxa"/>
            <w:vAlign w:val="top"/>
          </w:tcPr>
          <w:p w14:paraId="4996E3D2">
            <w:pPr>
              <w:pStyle w:val="17"/>
              <w:spacing w:before="153" w:line="298" w:lineRule="auto"/>
              <w:ind w:left="116" w:right="108" w:firstLine="11"/>
              <w:rPr>
                <w:rFonts w:ascii="宋体" w:hAnsi="宋体" w:eastAsia="宋体" w:cs="宋体"/>
                <w:color w:val="auto"/>
                <w:spacing w:val="12"/>
                <w:highlight w:val="none"/>
                <w:lang w:val="en-US" w:eastAsia="zh-CN"/>
              </w:rPr>
            </w:pPr>
          </w:p>
        </w:tc>
        <w:tc>
          <w:tcPr>
            <w:tcW w:w="7768" w:type="dxa"/>
            <w:vAlign w:val="top"/>
          </w:tcPr>
          <w:p w14:paraId="016F2CC7">
            <w:pPr>
              <w:pStyle w:val="17"/>
              <w:spacing w:before="117" w:line="381" w:lineRule="auto"/>
              <w:ind w:left="118" w:right="109" w:firstLine="8"/>
              <w:rPr>
                <w:color w:val="auto"/>
                <w:sz w:val="10"/>
                <w:szCs w:val="10"/>
                <w:highlight w:val="none"/>
              </w:rPr>
            </w:pPr>
            <w:r>
              <w:rPr>
                <w:color w:val="auto"/>
                <w:spacing w:val="7"/>
                <w:highlight w:val="none"/>
              </w:rPr>
              <w:t>10.5</w:t>
            </w:r>
            <w:r>
              <w:rPr>
                <w:color w:val="auto"/>
                <w:highlight w:val="none"/>
              </w:rPr>
              <w:fldChar w:fldCharType="begin"/>
            </w:r>
            <w:r>
              <w:rPr>
                <w:color w:val="auto"/>
                <w:highlight w:val="none"/>
              </w:rPr>
              <w:instrText xml:space="preserve"> HYPERLINK \l "bookmark79" </w:instrText>
            </w:r>
            <w:r>
              <w:rPr>
                <w:color w:val="auto"/>
                <w:highlight w:val="none"/>
              </w:rPr>
              <w:fldChar w:fldCharType="separate"/>
            </w:r>
            <w:r>
              <w:rPr>
                <w:color w:val="auto"/>
                <w:spacing w:val="7"/>
                <w:position w:val="10"/>
                <w:sz w:val="10"/>
                <w:szCs w:val="10"/>
                <w:highlight w:val="none"/>
              </w:rPr>
              <w:t>①</w:t>
            </w:r>
            <w:r>
              <w:rPr>
                <w:color w:val="auto"/>
                <w:spacing w:val="7"/>
                <w:position w:val="10"/>
                <w:sz w:val="10"/>
                <w:szCs w:val="10"/>
                <w:highlight w:val="none"/>
              </w:rPr>
              <w:fldChar w:fldCharType="end"/>
            </w:r>
            <w:r>
              <w:rPr>
                <w:color w:val="auto"/>
                <w:spacing w:val="7"/>
                <w:position w:val="10"/>
                <w:sz w:val="10"/>
                <w:szCs w:val="10"/>
                <w:highlight w:val="none"/>
              </w:rPr>
              <w:t xml:space="preserve">  </w:t>
            </w:r>
            <w:r>
              <w:rPr>
                <w:color w:val="auto"/>
                <w:spacing w:val="7"/>
                <w:highlight w:val="none"/>
              </w:rPr>
              <w:t>本招标文件中所有 “类似工程</w:t>
            </w:r>
            <w:r>
              <w:rPr>
                <w:color w:val="auto"/>
                <w:spacing w:val="-58"/>
                <w:highlight w:val="none"/>
              </w:rPr>
              <w:t xml:space="preserve"> </w:t>
            </w:r>
            <w:r>
              <w:rPr>
                <w:color w:val="auto"/>
                <w:spacing w:val="7"/>
                <w:highlight w:val="none"/>
              </w:rPr>
              <w:t>”均指</w:t>
            </w:r>
            <w:r>
              <w:rPr>
                <w:b/>
                <w:bCs/>
                <w:color w:val="auto"/>
                <w:spacing w:val="7"/>
                <w:highlight w:val="none"/>
                <w:u w:val="single" w:color="auto"/>
              </w:rPr>
              <w:t>新建（或改、扩建）</w:t>
            </w:r>
            <w:r>
              <w:rPr>
                <w:rFonts w:hint="eastAsia"/>
                <w:b/>
                <w:bCs/>
                <w:color w:val="auto"/>
                <w:spacing w:val="7"/>
                <w:highlight w:val="none"/>
                <w:u w:val="single" w:color="auto"/>
                <w:lang w:val="en-US" w:eastAsia="zh-CN"/>
              </w:rPr>
              <w:t>三级或以上</w:t>
            </w:r>
            <w:r>
              <w:rPr>
                <w:color w:val="auto"/>
                <w:spacing w:val="-36"/>
                <w:highlight w:val="none"/>
                <w:u w:val="single" w:color="auto"/>
              </w:rPr>
              <w:t xml:space="preserve"> </w:t>
            </w:r>
            <w:r>
              <w:rPr>
                <w:b/>
                <w:bCs/>
                <w:color w:val="auto"/>
                <w:spacing w:val="7"/>
                <w:highlight w:val="none"/>
                <w:u w:val="single" w:color="auto"/>
              </w:rPr>
              <w:t>(公路技术等级)</w:t>
            </w:r>
            <w:r>
              <w:rPr>
                <w:color w:val="auto"/>
                <w:spacing w:val="15"/>
                <w:highlight w:val="none"/>
                <w:u w:val="single" w:color="auto"/>
              </w:rPr>
              <w:t>公路工程</w:t>
            </w:r>
            <w:r>
              <w:rPr>
                <w:color w:val="auto"/>
                <w:spacing w:val="15"/>
                <w:highlight w:val="none"/>
              </w:rPr>
              <w:t>项目。</w:t>
            </w:r>
            <w:r>
              <w:rPr>
                <w:color w:val="auto"/>
                <w:spacing w:val="15"/>
                <w:highlight w:val="none"/>
                <w:u w:val="single" w:color="auto"/>
              </w:rPr>
              <w:t>在采用新建的公路项目完工业绩时，对于同等公路等级改、扩建</w:t>
            </w:r>
            <w:r>
              <w:rPr>
                <w:color w:val="auto"/>
                <w:spacing w:val="9"/>
                <w:highlight w:val="none"/>
                <w:u w:val="single" w:color="auto"/>
              </w:rPr>
              <w:t>中的新建桥梁或隧道工程业绩也应认可</w:t>
            </w:r>
            <w:r>
              <w:rPr>
                <w:color w:val="auto"/>
                <w:spacing w:val="9"/>
                <w:highlight w:val="none"/>
              </w:rPr>
              <w:t>。</w:t>
            </w:r>
            <w:r>
              <w:rPr>
                <w:color w:val="auto"/>
                <w:highlight w:val="none"/>
              </w:rPr>
              <w:fldChar w:fldCharType="begin"/>
            </w:r>
            <w:r>
              <w:rPr>
                <w:color w:val="auto"/>
                <w:highlight w:val="none"/>
              </w:rPr>
              <w:instrText xml:space="preserve"> HYPERLINK \l "bookmark80" </w:instrText>
            </w:r>
            <w:r>
              <w:rPr>
                <w:color w:val="auto"/>
                <w:highlight w:val="none"/>
              </w:rPr>
              <w:fldChar w:fldCharType="separate"/>
            </w:r>
            <w:r>
              <w:rPr>
                <w:color w:val="auto"/>
                <w:spacing w:val="9"/>
                <w:position w:val="10"/>
                <w:sz w:val="10"/>
                <w:szCs w:val="10"/>
                <w:highlight w:val="none"/>
              </w:rPr>
              <w:t>②</w:t>
            </w:r>
            <w:r>
              <w:rPr>
                <w:color w:val="auto"/>
                <w:spacing w:val="9"/>
                <w:position w:val="10"/>
                <w:sz w:val="10"/>
                <w:szCs w:val="10"/>
                <w:highlight w:val="none"/>
              </w:rPr>
              <w:fldChar w:fldCharType="end"/>
            </w:r>
          </w:p>
          <w:p w14:paraId="3058D709">
            <w:pPr>
              <w:pStyle w:val="17"/>
              <w:spacing w:before="104" w:line="307" w:lineRule="auto"/>
              <w:ind w:left="127" w:right="5664"/>
              <w:rPr>
                <w:color w:val="auto"/>
                <w:highlight w:val="none"/>
              </w:rPr>
            </w:pPr>
            <w:r>
              <w:rPr>
                <w:color w:val="auto"/>
                <w:spacing w:val="5"/>
                <w:highlight w:val="none"/>
              </w:rPr>
              <w:t>10.6 有关业绩的说明</w:t>
            </w:r>
            <w:r>
              <w:rPr>
                <w:color w:val="auto"/>
                <w:spacing w:val="1"/>
                <w:highlight w:val="none"/>
              </w:rPr>
              <w:t>10.6.1</w:t>
            </w:r>
          </w:p>
          <w:p w14:paraId="02A630A5">
            <w:pPr>
              <w:pStyle w:val="17"/>
              <w:spacing w:before="132" w:line="227" w:lineRule="auto"/>
              <w:ind w:left="113"/>
              <w:rPr>
                <w:color w:val="auto"/>
                <w:highlight w:val="none"/>
              </w:rPr>
            </w:pPr>
            <w:r>
              <w:rPr>
                <w:color w:val="auto"/>
                <w:spacing w:val="9"/>
                <w:highlight w:val="none"/>
              </w:rPr>
              <w:t>a、特大桥及大桥按国家最新颁布的标准进行</w:t>
            </w:r>
            <w:r>
              <w:rPr>
                <w:color w:val="auto"/>
                <w:spacing w:val="8"/>
                <w:highlight w:val="none"/>
              </w:rPr>
              <w:t>划分；</w:t>
            </w:r>
          </w:p>
          <w:p w14:paraId="3131CC43">
            <w:pPr>
              <w:pStyle w:val="17"/>
              <w:spacing w:before="154" w:line="298" w:lineRule="auto"/>
              <w:ind w:left="113" w:right="110" w:hanging="4"/>
              <w:rPr>
                <w:color w:val="auto"/>
                <w:highlight w:val="none"/>
              </w:rPr>
            </w:pPr>
            <w:r>
              <w:rPr>
                <w:color w:val="auto"/>
                <w:spacing w:val="12"/>
                <w:highlight w:val="none"/>
              </w:rPr>
              <w:t>b、完成整座桥梁的半幅或整座桥梁其中的一部分工作内容达到特大桥或大桥对应</w:t>
            </w:r>
            <w:r>
              <w:rPr>
                <w:color w:val="auto"/>
                <w:spacing w:val="6"/>
                <w:highlight w:val="none"/>
              </w:rPr>
              <w:t>技术标准的，按相应标标准以</w:t>
            </w:r>
            <w:r>
              <w:rPr>
                <w:color w:val="auto"/>
                <w:spacing w:val="-13"/>
                <w:highlight w:val="none"/>
              </w:rPr>
              <w:t xml:space="preserve"> </w:t>
            </w:r>
            <w:r>
              <w:rPr>
                <w:color w:val="auto"/>
                <w:spacing w:val="6"/>
                <w:highlight w:val="none"/>
              </w:rPr>
              <w:t>1</w:t>
            </w:r>
            <w:r>
              <w:rPr>
                <w:color w:val="auto"/>
                <w:spacing w:val="-37"/>
                <w:highlight w:val="none"/>
              </w:rPr>
              <w:t xml:space="preserve"> </w:t>
            </w:r>
            <w:r>
              <w:rPr>
                <w:color w:val="auto"/>
                <w:spacing w:val="6"/>
                <w:highlight w:val="none"/>
              </w:rPr>
              <w:t>座计算；</w:t>
            </w:r>
          </w:p>
          <w:p w14:paraId="7CB75A50">
            <w:pPr>
              <w:pStyle w:val="17"/>
              <w:spacing w:before="155" w:line="299" w:lineRule="auto"/>
              <w:ind w:left="111" w:right="110" w:firstLine="5"/>
              <w:rPr>
                <w:color w:val="auto"/>
                <w:highlight w:val="none"/>
              </w:rPr>
            </w:pPr>
            <w:r>
              <w:rPr>
                <w:color w:val="auto"/>
                <w:spacing w:val="12"/>
                <w:highlight w:val="none"/>
              </w:rPr>
              <w:t>c、同一投标人的单座桥梁仅能计一次，只完成整个工程部分分部工程不参与计算</w:t>
            </w:r>
            <w:r>
              <w:rPr>
                <w:color w:val="auto"/>
                <w:spacing w:val="3"/>
                <w:highlight w:val="none"/>
              </w:rPr>
              <w:t>业绩。</w:t>
            </w:r>
          </w:p>
          <w:p w14:paraId="4794520E">
            <w:pPr>
              <w:pStyle w:val="17"/>
              <w:spacing w:before="151" w:line="267" w:lineRule="exact"/>
              <w:ind w:left="127"/>
              <w:rPr>
                <w:color w:val="auto"/>
                <w:highlight w:val="none"/>
              </w:rPr>
            </w:pPr>
            <w:r>
              <w:rPr>
                <w:color w:val="auto"/>
                <w:spacing w:val="1"/>
                <w:position w:val="1"/>
                <w:highlight w:val="none"/>
              </w:rPr>
              <w:t>10.6.2</w:t>
            </w:r>
          </w:p>
          <w:p w14:paraId="33C43055">
            <w:pPr>
              <w:pStyle w:val="17"/>
              <w:spacing w:before="133" w:line="334" w:lineRule="auto"/>
              <w:ind w:left="111" w:right="108" w:firstLine="1"/>
              <w:rPr>
                <w:color w:val="auto"/>
                <w:highlight w:val="none"/>
              </w:rPr>
            </w:pPr>
            <w:r>
              <w:rPr>
                <w:color w:val="auto"/>
                <w:spacing w:val="10"/>
                <w:highlight w:val="none"/>
              </w:rPr>
              <w:t>a、特长隧道：单座隧道单洞（即左洞加右洞）总长大于</w:t>
            </w:r>
            <w:r>
              <w:rPr>
                <w:color w:val="auto"/>
                <w:spacing w:val="-22"/>
                <w:highlight w:val="none"/>
              </w:rPr>
              <w:t xml:space="preserve"> </w:t>
            </w:r>
            <w:r>
              <w:rPr>
                <w:color w:val="auto"/>
                <w:spacing w:val="10"/>
                <w:highlight w:val="none"/>
              </w:rPr>
              <w:t>6000m</w:t>
            </w:r>
            <w:r>
              <w:rPr>
                <w:color w:val="auto"/>
                <w:spacing w:val="-18"/>
                <w:highlight w:val="none"/>
              </w:rPr>
              <w:t xml:space="preserve"> </w:t>
            </w:r>
            <w:r>
              <w:rPr>
                <w:color w:val="auto"/>
                <w:spacing w:val="10"/>
                <w:highlight w:val="none"/>
              </w:rPr>
              <w:t>的，或完成单座隧</w:t>
            </w:r>
            <w:r>
              <w:rPr>
                <w:color w:val="auto"/>
                <w:spacing w:val="12"/>
                <w:highlight w:val="none"/>
              </w:rPr>
              <w:t>道的一部分且该部分的单洞累计长度大于</w:t>
            </w:r>
            <w:r>
              <w:rPr>
                <w:color w:val="auto"/>
                <w:spacing w:val="-31"/>
                <w:highlight w:val="none"/>
              </w:rPr>
              <w:t xml:space="preserve"> </w:t>
            </w:r>
            <w:r>
              <w:rPr>
                <w:color w:val="auto"/>
                <w:spacing w:val="12"/>
                <w:highlight w:val="none"/>
              </w:rPr>
              <w:t>6000m</w:t>
            </w:r>
            <w:r>
              <w:rPr>
                <w:color w:val="auto"/>
                <w:spacing w:val="-16"/>
                <w:highlight w:val="none"/>
              </w:rPr>
              <w:t xml:space="preserve"> </w:t>
            </w:r>
            <w:r>
              <w:rPr>
                <w:color w:val="auto"/>
                <w:spacing w:val="12"/>
                <w:highlight w:val="none"/>
              </w:rPr>
              <w:t>的，均按</w:t>
            </w:r>
            <w:r>
              <w:rPr>
                <w:color w:val="auto"/>
                <w:spacing w:val="-16"/>
                <w:highlight w:val="none"/>
              </w:rPr>
              <w:t xml:space="preserve"> </w:t>
            </w:r>
            <w:r>
              <w:rPr>
                <w:color w:val="auto"/>
                <w:spacing w:val="11"/>
                <w:highlight w:val="none"/>
              </w:rPr>
              <w:t>1</w:t>
            </w:r>
            <w:r>
              <w:rPr>
                <w:color w:val="auto"/>
                <w:spacing w:val="-29"/>
                <w:highlight w:val="none"/>
              </w:rPr>
              <w:t xml:space="preserve"> </w:t>
            </w:r>
            <w:r>
              <w:rPr>
                <w:color w:val="auto"/>
                <w:spacing w:val="11"/>
                <w:highlight w:val="none"/>
              </w:rPr>
              <w:t>座计；完成单座特长</w:t>
            </w:r>
            <w:r>
              <w:rPr>
                <w:color w:val="auto"/>
                <w:spacing w:val="12"/>
                <w:highlight w:val="none"/>
              </w:rPr>
              <w:t>隧道的一部分</w:t>
            </w:r>
            <w:r>
              <w:rPr>
                <w:color w:val="auto"/>
                <w:spacing w:val="-58"/>
                <w:highlight w:val="none"/>
              </w:rPr>
              <w:t xml:space="preserve"> </w:t>
            </w:r>
            <w:r>
              <w:rPr>
                <w:color w:val="auto"/>
                <w:spacing w:val="12"/>
                <w:highlight w:val="none"/>
              </w:rPr>
              <w:t>，该部分单洞累计长度大于</w:t>
            </w:r>
            <w:r>
              <w:rPr>
                <w:color w:val="auto"/>
                <w:spacing w:val="-20"/>
                <w:highlight w:val="none"/>
              </w:rPr>
              <w:t xml:space="preserve"> </w:t>
            </w:r>
            <w:r>
              <w:rPr>
                <w:color w:val="auto"/>
                <w:spacing w:val="12"/>
                <w:highlight w:val="none"/>
              </w:rPr>
              <w:t>3000m</w:t>
            </w:r>
            <w:r>
              <w:rPr>
                <w:color w:val="auto"/>
                <w:spacing w:val="-24"/>
                <w:highlight w:val="none"/>
              </w:rPr>
              <w:t xml:space="preserve"> </w:t>
            </w:r>
            <w:r>
              <w:rPr>
                <w:color w:val="auto"/>
                <w:spacing w:val="12"/>
                <w:highlight w:val="none"/>
              </w:rPr>
              <w:t>且不大于</w:t>
            </w:r>
            <w:r>
              <w:rPr>
                <w:color w:val="auto"/>
                <w:spacing w:val="-23"/>
                <w:highlight w:val="none"/>
              </w:rPr>
              <w:t xml:space="preserve"> </w:t>
            </w:r>
            <w:r>
              <w:rPr>
                <w:color w:val="auto"/>
                <w:spacing w:val="12"/>
                <w:highlight w:val="none"/>
              </w:rPr>
              <w:t>600</w:t>
            </w:r>
            <w:r>
              <w:rPr>
                <w:color w:val="auto"/>
                <w:spacing w:val="11"/>
                <w:highlight w:val="none"/>
              </w:rPr>
              <w:t>0m 的</w:t>
            </w:r>
            <w:r>
              <w:rPr>
                <w:color w:val="auto"/>
                <w:spacing w:val="-58"/>
                <w:highlight w:val="none"/>
              </w:rPr>
              <w:t xml:space="preserve"> </w:t>
            </w:r>
            <w:r>
              <w:rPr>
                <w:color w:val="auto"/>
                <w:spacing w:val="11"/>
                <w:highlight w:val="none"/>
              </w:rPr>
              <w:t>，按</w:t>
            </w:r>
            <w:r>
              <w:rPr>
                <w:color w:val="auto"/>
                <w:spacing w:val="-23"/>
                <w:highlight w:val="none"/>
              </w:rPr>
              <w:t xml:space="preserve"> </w:t>
            </w:r>
            <w:r>
              <w:rPr>
                <w:color w:val="auto"/>
                <w:spacing w:val="11"/>
                <w:highlight w:val="none"/>
              </w:rPr>
              <w:t>0.5</w:t>
            </w:r>
            <w:r>
              <w:rPr>
                <w:color w:val="auto"/>
                <w:spacing w:val="-22"/>
                <w:highlight w:val="none"/>
              </w:rPr>
              <w:t xml:space="preserve"> </w:t>
            </w:r>
            <w:r>
              <w:rPr>
                <w:color w:val="auto"/>
                <w:spacing w:val="11"/>
                <w:highlight w:val="none"/>
              </w:rPr>
              <w:t>座</w:t>
            </w:r>
            <w:r>
              <w:rPr>
                <w:color w:val="auto"/>
                <w:spacing w:val="9"/>
                <w:highlight w:val="none"/>
              </w:rPr>
              <w:t>计，完成</w:t>
            </w:r>
            <w:r>
              <w:rPr>
                <w:color w:val="auto"/>
                <w:spacing w:val="-44"/>
                <w:highlight w:val="none"/>
              </w:rPr>
              <w:t xml:space="preserve"> </w:t>
            </w:r>
            <w:r>
              <w:rPr>
                <w:color w:val="auto"/>
                <w:spacing w:val="9"/>
                <w:highlight w:val="none"/>
              </w:rPr>
              <w:t>N</w:t>
            </w:r>
            <w:r>
              <w:rPr>
                <w:color w:val="auto"/>
                <w:spacing w:val="-36"/>
                <w:highlight w:val="none"/>
              </w:rPr>
              <w:t xml:space="preserve"> </w:t>
            </w:r>
            <w:r>
              <w:rPr>
                <w:color w:val="auto"/>
                <w:spacing w:val="9"/>
                <w:highlight w:val="none"/>
              </w:rPr>
              <w:t>座该类隧道按N×0.5</w:t>
            </w:r>
            <w:r>
              <w:rPr>
                <w:color w:val="auto"/>
                <w:spacing w:val="-36"/>
                <w:highlight w:val="none"/>
              </w:rPr>
              <w:t xml:space="preserve"> </w:t>
            </w:r>
            <w:r>
              <w:rPr>
                <w:color w:val="auto"/>
                <w:spacing w:val="9"/>
                <w:highlight w:val="none"/>
              </w:rPr>
              <w:t>座计；</w:t>
            </w:r>
          </w:p>
          <w:p w14:paraId="6C99380B">
            <w:pPr>
              <w:pStyle w:val="17"/>
              <w:spacing w:before="153" w:line="322" w:lineRule="auto"/>
              <w:ind w:left="114" w:right="108" w:hanging="5"/>
              <w:rPr>
                <w:color w:val="auto"/>
                <w:highlight w:val="none"/>
              </w:rPr>
            </w:pPr>
            <w:r>
              <w:rPr>
                <w:color w:val="auto"/>
                <w:spacing w:val="13"/>
                <w:highlight w:val="none"/>
              </w:rPr>
              <w:t>b、长隧道：单座隧道单洞（即左洞加右洞）总长大于</w:t>
            </w:r>
            <w:r>
              <w:rPr>
                <w:color w:val="auto"/>
                <w:spacing w:val="-29"/>
                <w:highlight w:val="none"/>
              </w:rPr>
              <w:t xml:space="preserve"> </w:t>
            </w:r>
            <w:r>
              <w:rPr>
                <w:color w:val="auto"/>
                <w:spacing w:val="12"/>
                <w:highlight w:val="none"/>
              </w:rPr>
              <w:t>2000 米且不大于</w:t>
            </w:r>
            <w:r>
              <w:rPr>
                <w:color w:val="auto"/>
                <w:spacing w:val="-31"/>
                <w:highlight w:val="none"/>
              </w:rPr>
              <w:t xml:space="preserve"> </w:t>
            </w:r>
            <w:r>
              <w:rPr>
                <w:color w:val="auto"/>
                <w:spacing w:val="12"/>
                <w:highlight w:val="none"/>
              </w:rPr>
              <w:t>6000 米</w:t>
            </w:r>
            <w:r>
              <w:rPr>
                <w:color w:val="auto"/>
                <w:spacing w:val="20"/>
                <w:highlight w:val="none"/>
              </w:rPr>
              <w:t>的</w:t>
            </w:r>
            <w:r>
              <w:rPr>
                <w:color w:val="auto"/>
                <w:spacing w:val="-58"/>
                <w:highlight w:val="none"/>
              </w:rPr>
              <w:t xml:space="preserve"> </w:t>
            </w:r>
            <w:r>
              <w:rPr>
                <w:color w:val="auto"/>
                <w:spacing w:val="20"/>
                <w:highlight w:val="none"/>
              </w:rPr>
              <w:t>，或完成单座隧道的一部分且该部分的单洞累计长度大于</w:t>
            </w:r>
            <w:r>
              <w:rPr>
                <w:color w:val="auto"/>
                <w:spacing w:val="-20"/>
                <w:highlight w:val="none"/>
              </w:rPr>
              <w:t xml:space="preserve"> </w:t>
            </w:r>
            <w:r>
              <w:rPr>
                <w:color w:val="auto"/>
                <w:spacing w:val="20"/>
                <w:highlight w:val="none"/>
              </w:rPr>
              <w:t>2000 米且</w:t>
            </w:r>
            <w:r>
              <w:rPr>
                <w:color w:val="auto"/>
                <w:spacing w:val="19"/>
                <w:highlight w:val="none"/>
              </w:rPr>
              <w:t>不大于</w:t>
            </w:r>
            <w:r>
              <w:rPr>
                <w:color w:val="auto"/>
                <w:spacing w:val="3"/>
                <w:highlight w:val="none"/>
              </w:rPr>
              <w:t>6000 米的，均按</w:t>
            </w:r>
            <w:r>
              <w:rPr>
                <w:color w:val="auto"/>
                <w:spacing w:val="-14"/>
                <w:highlight w:val="none"/>
              </w:rPr>
              <w:t xml:space="preserve"> </w:t>
            </w:r>
            <w:r>
              <w:rPr>
                <w:color w:val="auto"/>
                <w:spacing w:val="3"/>
                <w:highlight w:val="none"/>
              </w:rPr>
              <w:t>1</w:t>
            </w:r>
            <w:r>
              <w:rPr>
                <w:color w:val="auto"/>
                <w:spacing w:val="-36"/>
                <w:highlight w:val="none"/>
              </w:rPr>
              <w:t xml:space="preserve"> </w:t>
            </w:r>
            <w:r>
              <w:rPr>
                <w:color w:val="auto"/>
                <w:spacing w:val="3"/>
                <w:highlight w:val="none"/>
              </w:rPr>
              <w:t>座计；</w:t>
            </w:r>
          </w:p>
          <w:p w14:paraId="0CA7A4EF">
            <w:pPr>
              <w:pStyle w:val="17"/>
              <w:spacing w:before="154" w:line="299" w:lineRule="auto"/>
              <w:ind w:left="122" w:right="110" w:hanging="6"/>
              <w:rPr>
                <w:color w:val="auto"/>
                <w:highlight w:val="none"/>
              </w:rPr>
            </w:pPr>
            <w:r>
              <w:rPr>
                <w:color w:val="auto"/>
                <w:spacing w:val="12"/>
                <w:highlight w:val="none"/>
              </w:rPr>
              <w:t>c、同一座隧道同时满足条件的，同一投标人只计算一次业绩；特长隧道可计为长</w:t>
            </w:r>
            <w:r>
              <w:rPr>
                <w:color w:val="auto"/>
                <w:spacing w:val="-1"/>
                <w:highlight w:val="none"/>
              </w:rPr>
              <w:t>隧道。</w:t>
            </w:r>
          </w:p>
          <w:p w14:paraId="6832CE2A">
            <w:pPr>
              <w:pStyle w:val="17"/>
              <w:spacing w:before="151" w:line="301" w:lineRule="auto"/>
              <w:ind w:left="114" w:right="714" w:firstLine="12"/>
              <w:rPr>
                <w:rFonts w:ascii="Arial"/>
                <w:color w:val="auto"/>
                <w:sz w:val="21"/>
                <w:highlight w:val="none"/>
              </w:rPr>
            </w:pPr>
            <w:r>
              <w:rPr>
                <w:color w:val="auto"/>
                <w:spacing w:val="7"/>
                <w:highlight w:val="none"/>
              </w:rPr>
              <w:t>10.6.3</w:t>
            </w:r>
            <w:r>
              <w:rPr>
                <w:color w:val="auto"/>
                <w:spacing w:val="-33"/>
                <w:highlight w:val="none"/>
              </w:rPr>
              <w:t xml:space="preserve"> </w:t>
            </w:r>
            <w:r>
              <w:rPr>
                <w:color w:val="auto"/>
                <w:spacing w:val="7"/>
                <w:highlight w:val="none"/>
              </w:rPr>
              <w:t>一般互通式立交和枢纽互通式立交按国家最新颁布的标准进行划分。</w:t>
            </w:r>
            <w:r>
              <w:rPr>
                <w:color w:val="auto"/>
                <w:highlight w:val="none"/>
              </w:rPr>
              <w:t>或</w:t>
            </w:r>
          </w:p>
          <w:p w14:paraId="6023DDE6">
            <w:pPr>
              <w:pStyle w:val="17"/>
              <w:spacing w:before="65" w:line="299" w:lineRule="auto"/>
              <w:ind w:left="114" w:right="107" w:firstLine="12"/>
              <w:rPr>
                <w:color w:val="auto"/>
                <w:highlight w:val="none"/>
              </w:rPr>
            </w:pPr>
            <w:r>
              <w:rPr>
                <w:color w:val="auto"/>
                <w:spacing w:val="17"/>
                <w:highlight w:val="none"/>
              </w:rPr>
              <w:t>10.6.3</w:t>
            </w:r>
            <w:r>
              <w:rPr>
                <w:color w:val="auto"/>
                <w:spacing w:val="-25"/>
                <w:highlight w:val="none"/>
              </w:rPr>
              <w:t xml:space="preserve"> </w:t>
            </w:r>
            <w:r>
              <w:rPr>
                <w:color w:val="auto"/>
                <w:spacing w:val="17"/>
                <w:highlight w:val="none"/>
              </w:rPr>
              <w:t>一般互通式立交和枢纽互通式立</w:t>
            </w:r>
            <w:r>
              <w:rPr>
                <w:color w:val="auto"/>
                <w:spacing w:val="16"/>
                <w:highlight w:val="none"/>
              </w:rPr>
              <w:t>交按《公路路线设计标准》</w:t>
            </w:r>
            <w:r>
              <w:rPr>
                <w:color w:val="auto"/>
                <w:spacing w:val="-60"/>
                <w:highlight w:val="none"/>
              </w:rPr>
              <w:t xml:space="preserve"> </w:t>
            </w:r>
            <w:r>
              <w:rPr>
                <w:color w:val="auto"/>
                <w:spacing w:val="16"/>
                <w:highlight w:val="none"/>
              </w:rPr>
              <w:t>（</w:t>
            </w:r>
            <w:r>
              <w:rPr>
                <w:color w:val="auto"/>
                <w:highlight w:val="none"/>
              </w:rPr>
              <w:t>JTG</w:t>
            </w:r>
            <w:r>
              <w:rPr>
                <w:color w:val="auto"/>
                <w:spacing w:val="16"/>
                <w:highlight w:val="none"/>
              </w:rPr>
              <w:t xml:space="preserve"> </w:t>
            </w:r>
            <w:r>
              <w:rPr>
                <w:color w:val="auto"/>
                <w:highlight w:val="none"/>
              </w:rPr>
              <w:t>D</w:t>
            </w:r>
            <w:r>
              <w:rPr>
                <w:color w:val="auto"/>
                <w:spacing w:val="16"/>
                <w:highlight w:val="none"/>
              </w:rPr>
              <w:t>20-</w:t>
            </w:r>
            <w:r>
              <w:rPr>
                <w:color w:val="auto"/>
                <w:highlight w:val="none"/>
              </w:rPr>
              <w:t xml:space="preserve"> </w:t>
            </w:r>
            <w:r>
              <w:rPr>
                <w:color w:val="auto"/>
                <w:spacing w:val="5"/>
                <w:highlight w:val="none"/>
              </w:rPr>
              <w:t>2017）进行划分。</w:t>
            </w:r>
          </w:p>
          <w:p w14:paraId="3F10048F">
            <w:pPr>
              <w:pStyle w:val="17"/>
              <w:spacing w:before="151" w:line="299" w:lineRule="auto"/>
              <w:ind w:left="111" w:right="110" w:firstLine="16"/>
              <w:rPr>
                <w:color w:val="auto"/>
                <w:highlight w:val="none"/>
              </w:rPr>
            </w:pPr>
            <w:r>
              <w:rPr>
                <w:color w:val="auto"/>
                <w:spacing w:val="11"/>
                <w:highlight w:val="none"/>
              </w:rPr>
              <w:t>10.7 招标文件中如无特别说明，土建工程路基、路面里程长度均不扣除桥隧等构</w:t>
            </w:r>
            <w:r>
              <w:rPr>
                <w:color w:val="auto"/>
                <w:spacing w:val="6"/>
                <w:highlight w:val="none"/>
              </w:rPr>
              <w:t>造物长度。</w:t>
            </w:r>
          </w:p>
          <w:p w14:paraId="01A36D8E">
            <w:pPr>
              <w:pStyle w:val="17"/>
              <w:spacing w:before="153" w:line="298" w:lineRule="auto"/>
              <w:ind w:left="116" w:right="108" w:firstLine="11"/>
              <w:rPr>
                <w:color w:val="auto"/>
                <w:highlight w:val="none"/>
              </w:rPr>
            </w:pPr>
            <w:r>
              <w:rPr>
                <w:color w:val="auto"/>
                <w:spacing w:val="12"/>
                <w:highlight w:val="none"/>
              </w:rPr>
              <w:t>10.8</w:t>
            </w:r>
            <w:r>
              <w:rPr>
                <w:color w:val="auto"/>
                <w:spacing w:val="-13"/>
                <w:highlight w:val="none"/>
              </w:rPr>
              <w:t xml:space="preserve"> </w:t>
            </w:r>
            <w:r>
              <w:rPr>
                <w:color w:val="auto"/>
                <w:spacing w:val="12"/>
                <w:highlight w:val="none"/>
              </w:rPr>
              <w:t>同时对两个及两个以上标段进行投标的投标人，不能使用同一</w:t>
            </w:r>
            <w:r>
              <w:rPr>
                <w:color w:val="auto"/>
                <w:spacing w:val="11"/>
                <w:highlight w:val="none"/>
              </w:rPr>
              <w:t>套人员。（如</w:t>
            </w:r>
            <w:r>
              <w:rPr>
                <w:color w:val="auto"/>
                <w:spacing w:val="8"/>
                <w:highlight w:val="none"/>
              </w:rPr>
              <w:t>果最终只允许中一个标段，则允许使用同一套人员）。</w:t>
            </w:r>
          </w:p>
        </w:tc>
      </w:tr>
      <w:tr w14:paraId="1ADDD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3" w:type="dxa"/>
            <w:vAlign w:val="top"/>
          </w:tcPr>
          <w:p w14:paraId="4D23D022">
            <w:pPr>
              <w:pStyle w:val="17"/>
              <w:spacing w:before="153" w:line="298" w:lineRule="auto"/>
              <w:ind w:left="116" w:right="108" w:firstLine="11"/>
              <w:rPr>
                <w:rFonts w:hint="default" w:ascii="宋体" w:hAnsi="宋体" w:eastAsia="宋体" w:cs="宋体"/>
                <w:color w:val="auto"/>
                <w:spacing w:val="12"/>
                <w:highlight w:val="none"/>
                <w:lang w:val="en-US" w:eastAsia="zh-CN"/>
              </w:rPr>
            </w:pPr>
            <w:r>
              <w:rPr>
                <w:rFonts w:hint="eastAsia" w:ascii="宋体" w:hAnsi="宋体" w:eastAsia="宋体" w:cs="宋体"/>
                <w:color w:val="auto"/>
                <w:spacing w:val="12"/>
                <w:highlight w:val="none"/>
                <w:lang w:val="en-US" w:eastAsia="zh-CN"/>
              </w:rPr>
              <w:t>10.9</w:t>
            </w:r>
          </w:p>
        </w:tc>
        <w:tc>
          <w:tcPr>
            <w:tcW w:w="7768" w:type="dxa"/>
            <w:vAlign w:val="top"/>
          </w:tcPr>
          <w:p w14:paraId="1565D70C">
            <w:pPr>
              <w:pStyle w:val="17"/>
              <w:spacing w:before="153" w:line="298" w:lineRule="auto"/>
              <w:ind w:left="116" w:right="108" w:firstLine="11"/>
              <w:rPr>
                <w:color w:val="auto"/>
                <w:spacing w:val="12"/>
                <w:highlight w:val="none"/>
              </w:rPr>
            </w:pPr>
            <w:r>
              <w:rPr>
                <w:color w:val="auto"/>
                <w:spacing w:val="12"/>
                <w:highlight w:val="none"/>
                <w:lang w:val="en-US" w:eastAsia="zh-CN"/>
              </w:rPr>
              <w:t>依据《关于印发招标代理服务收费管理暂行办法的通知》（粤价函[2002]386号）计算收费基准价，并按《乳源瑶族自治县政府投资项目前期工作经费管理办法》（乳府办〔2022〕106号）规定下浮率进行下浮取费，招标代理服务费由中标人支付，最终服务金额以财政审核为准。</w:t>
            </w:r>
          </w:p>
        </w:tc>
      </w:tr>
    </w:tbl>
    <w:p w14:paraId="44D53C28">
      <w:pPr>
        <w:spacing w:line="275" w:lineRule="auto"/>
        <w:rPr>
          <w:rFonts w:ascii="Arial"/>
          <w:color w:val="auto"/>
          <w:sz w:val="21"/>
          <w:highlight w:val="none"/>
        </w:rPr>
      </w:pPr>
    </w:p>
    <w:p w14:paraId="39DD4305">
      <w:pPr>
        <w:spacing w:line="275" w:lineRule="auto"/>
        <w:rPr>
          <w:rFonts w:ascii="Arial"/>
          <w:color w:val="auto"/>
          <w:sz w:val="21"/>
          <w:highlight w:val="none"/>
        </w:rPr>
      </w:pPr>
    </w:p>
    <w:p w14:paraId="544F1740">
      <w:pPr>
        <w:spacing w:line="220" w:lineRule="auto"/>
        <w:rPr>
          <w:rFonts w:ascii="宋体" w:hAnsi="宋体" w:eastAsia="宋体" w:cs="宋体"/>
          <w:color w:val="auto"/>
          <w:sz w:val="18"/>
          <w:szCs w:val="18"/>
          <w:highlight w:val="none"/>
        </w:rPr>
        <w:sectPr>
          <w:footerReference r:id="rId21" w:type="default"/>
          <w:pgSz w:w="11906" w:h="16839"/>
          <w:pgMar w:top="1416" w:right="1785" w:bottom="1297" w:left="1304" w:header="0" w:footer="1066" w:gutter="0"/>
          <w:pgNumType w:fmt="decimal"/>
          <w:cols w:space="720" w:num="1"/>
        </w:sectPr>
      </w:pPr>
      <w:bookmarkStart w:id="37" w:name="bookmark79"/>
      <w:bookmarkEnd w:id="37"/>
    </w:p>
    <w:p w14:paraId="57494B1C">
      <w:pPr>
        <w:spacing w:before="128" w:line="219" w:lineRule="auto"/>
        <w:ind w:left="2186"/>
        <w:outlineLvl w:val="1"/>
        <w:rPr>
          <w:rFonts w:ascii="宋体" w:hAnsi="宋体" w:eastAsia="宋体" w:cs="宋体"/>
          <w:color w:val="auto"/>
          <w:sz w:val="28"/>
          <w:szCs w:val="28"/>
          <w:highlight w:val="none"/>
        </w:rPr>
      </w:pPr>
      <w:bookmarkStart w:id="38" w:name="_Toc29797"/>
      <w:bookmarkStart w:id="39" w:name="_Toc31404"/>
      <w:r>
        <w:rPr>
          <w:rFonts w:ascii="宋体" w:hAnsi="宋体" w:eastAsia="宋体" w:cs="宋体"/>
          <w:b/>
          <w:bCs/>
          <w:color w:val="auto"/>
          <w:spacing w:val="-6"/>
          <w:sz w:val="28"/>
          <w:szCs w:val="28"/>
          <w:highlight w:val="none"/>
        </w:rPr>
        <w:t>附录</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6"/>
          <w:sz w:val="28"/>
          <w:szCs w:val="28"/>
          <w:highlight w:val="none"/>
        </w:rPr>
        <w:t>1</w:t>
      </w:r>
      <w:r>
        <w:rPr>
          <w:rFonts w:ascii="宋体" w:hAnsi="宋体" w:eastAsia="宋体" w:cs="宋体"/>
          <w:color w:val="auto"/>
          <w:spacing w:val="-6"/>
          <w:sz w:val="28"/>
          <w:szCs w:val="28"/>
          <w:highlight w:val="none"/>
        </w:rPr>
        <w:t xml:space="preserve">  </w:t>
      </w:r>
      <w:r>
        <w:rPr>
          <w:rFonts w:ascii="宋体" w:hAnsi="宋体" w:eastAsia="宋体" w:cs="宋体"/>
          <w:b/>
          <w:bCs/>
          <w:color w:val="auto"/>
          <w:spacing w:val="-6"/>
          <w:sz w:val="28"/>
          <w:szCs w:val="28"/>
          <w:highlight w:val="none"/>
        </w:rPr>
        <w:t>资格审查条件（资质最低要求）</w:t>
      </w:r>
      <w:bookmarkEnd w:id="38"/>
      <w:bookmarkEnd w:id="39"/>
    </w:p>
    <w:p w14:paraId="1A4EBC22">
      <w:pPr>
        <w:spacing w:before="300" w:line="220" w:lineRule="auto"/>
        <w:ind w:left="1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标段：</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p>
    <w:p w14:paraId="7972AFB9">
      <w:pPr>
        <w:spacing w:line="145" w:lineRule="exact"/>
        <w:rPr>
          <w:color w:val="auto"/>
          <w:highlight w:val="none"/>
        </w:rPr>
      </w:pPr>
    </w:p>
    <w:tbl>
      <w:tblPr>
        <w:tblStyle w:val="16"/>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0"/>
        <w:gridCol w:w="7160"/>
      </w:tblGrid>
      <w:tr w14:paraId="5EAE5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130" w:type="dxa"/>
            <w:vAlign w:val="top"/>
          </w:tcPr>
          <w:p w14:paraId="23A2E9C3">
            <w:pPr>
              <w:pStyle w:val="17"/>
              <w:spacing w:before="208" w:line="228" w:lineRule="auto"/>
              <w:ind w:left="649"/>
              <w:rPr>
                <w:color w:val="auto"/>
                <w:highlight w:val="none"/>
              </w:rPr>
            </w:pPr>
            <w:r>
              <w:rPr>
                <w:b/>
                <w:bCs/>
                <w:color w:val="auto"/>
                <w:spacing w:val="6"/>
                <w:highlight w:val="none"/>
              </w:rPr>
              <w:t>标段标类</w:t>
            </w:r>
          </w:p>
        </w:tc>
        <w:tc>
          <w:tcPr>
            <w:tcW w:w="7160" w:type="dxa"/>
            <w:vAlign w:val="top"/>
          </w:tcPr>
          <w:p w14:paraId="43A88C69">
            <w:pPr>
              <w:pStyle w:val="17"/>
              <w:spacing w:before="189" w:line="266" w:lineRule="exact"/>
              <w:ind w:left="2477"/>
              <w:rPr>
                <w:color w:val="auto"/>
                <w:sz w:val="10"/>
                <w:szCs w:val="10"/>
                <w:highlight w:val="none"/>
              </w:rPr>
            </w:pPr>
            <w:r>
              <w:rPr>
                <w:b/>
                <w:bCs/>
                <w:color w:val="auto"/>
                <w:spacing w:val="7"/>
                <w:highlight w:val="none"/>
              </w:rPr>
              <w:t>监理企业资质等级要求</w:t>
            </w:r>
            <w:r>
              <w:rPr>
                <w:color w:val="auto"/>
                <w:highlight w:val="none"/>
              </w:rPr>
              <w:fldChar w:fldCharType="begin"/>
            </w:r>
            <w:r>
              <w:rPr>
                <w:color w:val="auto"/>
                <w:highlight w:val="none"/>
              </w:rPr>
              <w:instrText xml:space="preserve"> HYPERLINK \l "bookmark81" </w:instrText>
            </w:r>
            <w:r>
              <w:rPr>
                <w:color w:val="auto"/>
                <w:highlight w:val="none"/>
              </w:rPr>
              <w:fldChar w:fldCharType="separate"/>
            </w:r>
            <w:r>
              <w:rPr>
                <w:b/>
                <w:bCs/>
                <w:color w:val="auto"/>
                <w:spacing w:val="7"/>
                <w:position w:val="10"/>
                <w:sz w:val="10"/>
                <w:szCs w:val="10"/>
                <w:highlight w:val="none"/>
              </w:rPr>
              <w:t>①</w:t>
            </w:r>
            <w:r>
              <w:rPr>
                <w:b/>
                <w:bCs/>
                <w:color w:val="auto"/>
                <w:spacing w:val="7"/>
                <w:position w:val="10"/>
                <w:sz w:val="10"/>
                <w:szCs w:val="10"/>
                <w:highlight w:val="none"/>
              </w:rPr>
              <w:fldChar w:fldCharType="end"/>
            </w:r>
          </w:p>
        </w:tc>
      </w:tr>
      <w:tr w14:paraId="7C058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2130" w:type="dxa"/>
            <w:vAlign w:val="top"/>
          </w:tcPr>
          <w:p w14:paraId="7E9E34EF">
            <w:pPr>
              <w:pStyle w:val="17"/>
              <w:spacing w:before="288" w:line="352" w:lineRule="auto"/>
              <w:ind w:left="687" w:leftChars="0" w:right="538" w:rightChars="0" w:hanging="141" w:firstLineChars="0"/>
              <w:rPr>
                <w:color w:val="auto"/>
                <w:highlight w:val="none"/>
              </w:rPr>
            </w:pPr>
            <w:r>
              <w:rPr>
                <w:color w:val="auto"/>
                <w:spacing w:val="7"/>
                <w:highlight w:val="none"/>
              </w:rPr>
              <w:t>土建监理类</w:t>
            </w:r>
            <w:r>
              <w:rPr>
                <w:color w:val="auto"/>
                <w:spacing w:val="-2"/>
                <w:highlight w:val="none"/>
              </w:rPr>
              <w:t>（A</w:t>
            </w:r>
            <w:r>
              <w:rPr>
                <w:color w:val="auto"/>
                <w:spacing w:val="-38"/>
                <w:highlight w:val="none"/>
              </w:rPr>
              <w:t xml:space="preserve"> </w:t>
            </w:r>
            <w:r>
              <w:rPr>
                <w:color w:val="auto"/>
                <w:spacing w:val="-2"/>
                <w:highlight w:val="none"/>
              </w:rPr>
              <w:t>类）</w:t>
            </w:r>
          </w:p>
        </w:tc>
        <w:tc>
          <w:tcPr>
            <w:tcW w:w="7160" w:type="dxa"/>
            <w:vAlign w:val="top"/>
          </w:tcPr>
          <w:p w14:paraId="56AC4FB7">
            <w:pPr>
              <w:spacing w:line="419" w:lineRule="auto"/>
              <w:rPr>
                <w:rFonts w:ascii="Arial"/>
                <w:color w:val="auto"/>
                <w:sz w:val="21"/>
                <w:highlight w:val="none"/>
              </w:rPr>
            </w:pPr>
          </w:p>
          <w:p w14:paraId="06DA84D6">
            <w:pPr>
              <w:pStyle w:val="17"/>
              <w:spacing w:before="65" w:line="228" w:lineRule="auto"/>
              <w:ind w:left="116" w:leftChars="0"/>
              <w:rPr>
                <w:color w:val="auto"/>
                <w:highlight w:val="none"/>
              </w:rPr>
            </w:pPr>
            <w:r>
              <w:rPr>
                <w:color w:val="auto"/>
                <w:spacing w:val="9"/>
                <w:highlight w:val="none"/>
              </w:rPr>
              <w:t>具有交通运输主管部门核发的在有效期内的公路工程</w:t>
            </w:r>
            <w:r>
              <w:rPr>
                <w:color w:val="auto"/>
                <w:spacing w:val="-97"/>
                <w:highlight w:val="none"/>
              </w:rPr>
              <w:t xml:space="preserve"> </w:t>
            </w:r>
            <w:r>
              <w:rPr>
                <w:color w:val="auto"/>
                <w:spacing w:val="4"/>
                <w:highlight w:val="none"/>
                <w:u w:val="single" w:color="auto"/>
              </w:rPr>
              <w:t xml:space="preserve"> </w:t>
            </w:r>
            <w:r>
              <w:rPr>
                <w:rFonts w:hint="eastAsia"/>
                <w:color w:val="auto"/>
                <w:spacing w:val="4"/>
                <w:highlight w:val="none"/>
                <w:u w:val="single" w:color="auto"/>
                <w:lang w:val="en-US" w:eastAsia="zh-CN"/>
              </w:rPr>
              <w:t>乙</w:t>
            </w:r>
            <w:r>
              <w:rPr>
                <w:color w:val="auto"/>
                <w:spacing w:val="4"/>
                <w:highlight w:val="none"/>
                <w:u w:val="single" w:color="auto"/>
              </w:rPr>
              <w:t xml:space="preserve"> </w:t>
            </w:r>
            <w:r>
              <w:rPr>
                <w:color w:val="auto"/>
                <w:spacing w:val="-88"/>
                <w:highlight w:val="none"/>
              </w:rPr>
              <w:t xml:space="preserve"> </w:t>
            </w:r>
            <w:r>
              <w:rPr>
                <w:color w:val="auto"/>
                <w:spacing w:val="9"/>
                <w:highlight w:val="none"/>
              </w:rPr>
              <w:t>级</w:t>
            </w:r>
            <w:r>
              <w:rPr>
                <w:color w:val="auto"/>
                <w:spacing w:val="8"/>
                <w:highlight w:val="none"/>
              </w:rPr>
              <w:t>监理企业资质。</w:t>
            </w:r>
          </w:p>
        </w:tc>
      </w:tr>
    </w:tbl>
    <w:p w14:paraId="00AEF31F">
      <w:pPr>
        <w:spacing w:before="271" w:line="379" w:lineRule="auto"/>
        <w:ind w:left="118" w:right="115"/>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注：若联合体协议书约定同一专业分工由两个及以上单位共同承担的</w:t>
      </w:r>
      <w:r>
        <w:rPr>
          <w:rFonts w:ascii="宋体" w:hAnsi="宋体" w:eastAsia="宋体" w:cs="宋体"/>
          <w:color w:val="auto"/>
          <w:spacing w:val="10"/>
          <w:sz w:val="20"/>
          <w:szCs w:val="20"/>
          <w:highlight w:val="none"/>
        </w:rPr>
        <w:t>，按照就低不就高的原则确定</w:t>
      </w:r>
      <w:r>
        <w:rPr>
          <w:rFonts w:ascii="宋体" w:hAnsi="宋体" w:eastAsia="宋体" w:cs="宋体"/>
          <w:color w:val="auto"/>
          <w:spacing w:val="11"/>
          <w:sz w:val="20"/>
          <w:szCs w:val="20"/>
          <w:highlight w:val="none"/>
        </w:rPr>
        <w:t>联合体的资质；不同专业分工由不同单位分别承担的，按照各自的</w:t>
      </w:r>
      <w:r>
        <w:rPr>
          <w:rFonts w:ascii="宋体" w:hAnsi="宋体" w:eastAsia="宋体" w:cs="宋体"/>
          <w:color w:val="auto"/>
          <w:spacing w:val="10"/>
          <w:sz w:val="20"/>
          <w:szCs w:val="20"/>
          <w:highlight w:val="none"/>
        </w:rPr>
        <w:t>专业资质确定联合体的资质，下</w:t>
      </w:r>
      <w:r>
        <w:rPr>
          <w:rFonts w:ascii="宋体" w:hAnsi="宋体" w:eastAsia="宋体" w:cs="宋体"/>
          <w:color w:val="auto"/>
          <w:sz w:val="20"/>
          <w:szCs w:val="20"/>
          <w:highlight w:val="none"/>
        </w:rPr>
        <w:t>同。</w:t>
      </w:r>
    </w:p>
    <w:p w14:paraId="36DF476C">
      <w:pPr>
        <w:spacing w:line="245" w:lineRule="auto"/>
        <w:rPr>
          <w:rFonts w:ascii="Arial"/>
          <w:color w:val="auto"/>
          <w:sz w:val="21"/>
          <w:highlight w:val="none"/>
        </w:rPr>
      </w:pPr>
    </w:p>
    <w:p w14:paraId="270BC219">
      <w:pPr>
        <w:spacing w:line="245" w:lineRule="auto"/>
        <w:rPr>
          <w:rFonts w:ascii="Arial"/>
          <w:color w:val="auto"/>
          <w:sz w:val="21"/>
          <w:highlight w:val="none"/>
        </w:rPr>
      </w:pPr>
    </w:p>
    <w:p w14:paraId="08301187">
      <w:pPr>
        <w:spacing w:line="245" w:lineRule="auto"/>
        <w:rPr>
          <w:rFonts w:ascii="Arial"/>
          <w:color w:val="auto"/>
          <w:sz w:val="21"/>
          <w:highlight w:val="none"/>
        </w:rPr>
      </w:pPr>
    </w:p>
    <w:p w14:paraId="47DE0BF2">
      <w:pPr>
        <w:spacing w:line="245" w:lineRule="auto"/>
        <w:rPr>
          <w:rFonts w:ascii="Arial"/>
          <w:color w:val="auto"/>
          <w:sz w:val="21"/>
          <w:highlight w:val="none"/>
        </w:rPr>
      </w:pPr>
    </w:p>
    <w:p w14:paraId="0A4D01EE">
      <w:pPr>
        <w:spacing w:line="245" w:lineRule="auto"/>
        <w:rPr>
          <w:rFonts w:ascii="Arial"/>
          <w:color w:val="auto"/>
          <w:sz w:val="21"/>
          <w:highlight w:val="none"/>
        </w:rPr>
      </w:pPr>
    </w:p>
    <w:p w14:paraId="2AB3CCBD">
      <w:pPr>
        <w:spacing w:line="245" w:lineRule="auto"/>
        <w:rPr>
          <w:rFonts w:ascii="Arial"/>
          <w:color w:val="auto"/>
          <w:sz w:val="21"/>
          <w:highlight w:val="none"/>
        </w:rPr>
      </w:pPr>
    </w:p>
    <w:p w14:paraId="585B86FF">
      <w:pPr>
        <w:spacing w:line="245" w:lineRule="auto"/>
        <w:rPr>
          <w:rFonts w:ascii="Arial"/>
          <w:color w:val="auto"/>
          <w:sz w:val="21"/>
          <w:highlight w:val="none"/>
        </w:rPr>
      </w:pPr>
    </w:p>
    <w:p w14:paraId="23C167B3">
      <w:pPr>
        <w:spacing w:line="245" w:lineRule="auto"/>
        <w:rPr>
          <w:rFonts w:ascii="Arial"/>
          <w:color w:val="auto"/>
          <w:sz w:val="21"/>
          <w:highlight w:val="none"/>
        </w:rPr>
      </w:pPr>
    </w:p>
    <w:p w14:paraId="70410EAC">
      <w:pPr>
        <w:spacing w:line="245" w:lineRule="auto"/>
        <w:rPr>
          <w:rFonts w:ascii="Arial"/>
          <w:color w:val="auto"/>
          <w:sz w:val="21"/>
          <w:highlight w:val="none"/>
        </w:rPr>
      </w:pPr>
    </w:p>
    <w:p w14:paraId="3750230B">
      <w:pPr>
        <w:spacing w:line="245" w:lineRule="auto"/>
        <w:rPr>
          <w:rFonts w:ascii="Arial"/>
          <w:color w:val="auto"/>
          <w:sz w:val="21"/>
          <w:highlight w:val="none"/>
        </w:rPr>
      </w:pPr>
    </w:p>
    <w:p w14:paraId="55155942">
      <w:pPr>
        <w:spacing w:line="245" w:lineRule="auto"/>
        <w:rPr>
          <w:rFonts w:ascii="Arial"/>
          <w:color w:val="auto"/>
          <w:sz w:val="21"/>
          <w:highlight w:val="none"/>
        </w:rPr>
      </w:pPr>
    </w:p>
    <w:p w14:paraId="1B61C84B">
      <w:pPr>
        <w:spacing w:line="245" w:lineRule="auto"/>
        <w:rPr>
          <w:rFonts w:ascii="Arial"/>
          <w:color w:val="auto"/>
          <w:sz w:val="21"/>
          <w:highlight w:val="none"/>
        </w:rPr>
      </w:pPr>
    </w:p>
    <w:p w14:paraId="0BD4735F">
      <w:pPr>
        <w:spacing w:line="245" w:lineRule="auto"/>
        <w:rPr>
          <w:rFonts w:ascii="Arial"/>
          <w:color w:val="auto"/>
          <w:sz w:val="21"/>
          <w:highlight w:val="none"/>
        </w:rPr>
      </w:pPr>
    </w:p>
    <w:p w14:paraId="73F91B41">
      <w:pPr>
        <w:spacing w:line="245" w:lineRule="auto"/>
        <w:rPr>
          <w:rFonts w:ascii="Arial"/>
          <w:color w:val="auto"/>
          <w:sz w:val="21"/>
          <w:highlight w:val="none"/>
        </w:rPr>
      </w:pPr>
    </w:p>
    <w:p w14:paraId="0135D176">
      <w:pPr>
        <w:spacing w:line="245" w:lineRule="auto"/>
        <w:rPr>
          <w:rFonts w:ascii="Arial"/>
          <w:color w:val="auto"/>
          <w:sz w:val="21"/>
          <w:highlight w:val="none"/>
        </w:rPr>
      </w:pPr>
    </w:p>
    <w:p w14:paraId="73348731">
      <w:pPr>
        <w:spacing w:line="245" w:lineRule="auto"/>
        <w:rPr>
          <w:rFonts w:ascii="Arial"/>
          <w:color w:val="auto"/>
          <w:sz w:val="21"/>
          <w:highlight w:val="none"/>
        </w:rPr>
      </w:pPr>
    </w:p>
    <w:p w14:paraId="7A67FA73">
      <w:pPr>
        <w:spacing w:line="245" w:lineRule="auto"/>
        <w:rPr>
          <w:rFonts w:ascii="Arial"/>
          <w:color w:val="auto"/>
          <w:sz w:val="21"/>
          <w:highlight w:val="none"/>
        </w:rPr>
      </w:pPr>
    </w:p>
    <w:p w14:paraId="10B96C59">
      <w:pPr>
        <w:spacing w:line="245" w:lineRule="auto"/>
        <w:rPr>
          <w:rFonts w:ascii="Arial"/>
          <w:color w:val="auto"/>
          <w:sz w:val="21"/>
          <w:highlight w:val="none"/>
        </w:rPr>
      </w:pPr>
    </w:p>
    <w:p w14:paraId="2E5AC680">
      <w:pPr>
        <w:spacing w:line="246" w:lineRule="auto"/>
        <w:rPr>
          <w:rFonts w:ascii="Arial"/>
          <w:color w:val="auto"/>
          <w:sz w:val="21"/>
          <w:highlight w:val="none"/>
        </w:rPr>
      </w:pPr>
    </w:p>
    <w:p w14:paraId="289A15FE">
      <w:pPr>
        <w:spacing w:line="246" w:lineRule="auto"/>
        <w:rPr>
          <w:rFonts w:ascii="Arial"/>
          <w:color w:val="auto"/>
          <w:sz w:val="21"/>
          <w:highlight w:val="none"/>
        </w:rPr>
      </w:pPr>
    </w:p>
    <w:p w14:paraId="28CB2696">
      <w:pPr>
        <w:spacing w:line="246" w:lineRule="auto"/>
        <w:rPr>
          <w:rFonts w:ascii="Arial"/>
          <w:color w:val="auto"/>
          <w:sz w:val="21"/>
          <w:highlight w:val="none"/>
        </w:rPr>
      </w:pPr>
    </w:p>
    <w:p w14:paraId="47BA3EEC">
      <w:pPr>
        <w:rPr>
          <w:rFonts w:ascii="宋体" w:hAnsi="宋体" w:eastAsia="宋体" w:cs="宋体"/>
          <w:color w:val="auto"/>
          <w:sz w:val="18"/>
          <w:szCs w:val="18"/>
          <w:highlight w:val="none"/>
        </w:rPr>
        <w:sectPr>
          <w:footerReference r:id="rId22" w:type="default"/>
          <w:pgSz w:w="11906" w:h="16839"/>
          <w:pgMar w:top="1431" w:right="1305" w:bottom="1297" w:left="1305" w:header="0" w:footer="1067" w:gutter="0"/>
          <w:pgNumType w:fmt="decimal"/>
          <w:cols w:space="720" w:num="1"/>
        </w:sectPr>
      </w:pPr>
      <w:bookmarkStart w:id="40" w:name="bookmark81"/>
      <w:bookmarkEnd w:id="40"/>
    </w:p>
    <w:p w14:paraId="3FAA5E47">
      <w:pPr>
        <w:spacing w:before="128" w:line="219" w:lineRule="auto"/>
        <w:ind w:left="2186"/>
        <w:outlineLvl w:val="1"/>
        <w:rPr>
          <w:rFonts w:ascii="宋体" w:hAnsi="宋体" w:eastAsia="宋体" w:cs="宋体"/>
          <w:b/>
          <w:bCs/>
          <w:color w:val="auto"/>
          <w:spacing w:val="-6"/>
          <w:sz w:val="28"/>
          <w:szCs w:val="28"/>
          <w:highlight w:val="none"/>
        </w:rPr>
      </w:pPr>
      <w:bookmarkStart w:id="41" w:name="_Toc5931"/>
      <w:bookmarkStart w:id="42" w:name="_Toc26936"/>
      <w:r>
        <w:rPr>
          <w:rFonts w:ascii="宋体" w:hAnsi="宋体" w:eastAsia="宋体" w:cs="宋体"/>
          <w:b/>
          <w:bCs/>
          <w:color w:val="auto"/>
          <w:spacing w:val="-6"/>
          <w:sz w:val="28"/>
          <w:szCs w:val="28"/>
          <w:highlight w:val="none"/>
        </w:rPr>
        <w:t>附录2 资格审查条件（业绩最低要求）</w:t>
      </w:r>
      <w:bookmarkEnd w:id="41"/>
      <w:bookmarkEnd w:id="42"/>
    </w:p>
    <w:p w14:paraId="2B87FD45">
      <w:pPr>
        <w:spacing w:before="294" w:line="220" w:lineRule="auto"/>
        <w:ind w:left="12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标段：</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p>
    <w:p w14:paraId="5FA5CAE7">
      <w:pPr>
        <w:spacing w:line="146" w:lineRule="exact"/>
        <w:rPr>
          <w:color w:val="auto"/>
          <w:highlight w:val="none"/>
        </w:rPr>
      </w:pPr>
    </w:p>
    <w:tbl>
      <w:tblPr>
        <w:tblStyle w:val="16"/>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1"/>
        <w:gridCol w:w="8157"/>
      </w:tblGrid>
      <w:tr w14:paraId="0E854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31" w:type="dxa"/>
            <w:vAlign w:val="top"/>
          </w:tcPr>
          <w:p w14:paraId="1C8B6ACB">
            <w:pPr>
              <w:pStyle w:val="17"/>
              <w:spacing w:before="59" w:line="228" w:lineRule="auto"/>
              <w:ind w:left="149"/>
              <w:rPr>
                <w:color w:val="auto"/>
                <w:highlight w:val="none"/>
              </w:rPr>
            </w:pPr>
            <w:r>
              <w:rPr>
                <w:b/>
                <w:bCs/>
                <w:color w:val="auto"/>
                <w:spacing w:val="6"/>
                <w:highlight w:val="none"/>
              </w:rPr>
              <w:t>标段类别</w:t>
            </w:r>
          </w:p>
        </w:tc>
        <w:tc>
          <w:tcPr>
            <w:tcW w:w="8157" w:type="dxa"/>
            <w:vAlign w:val="top"/>
          </w:tcPr>
          <w:p w14:paraId="491D7AE0">
            <w:pPr>
              <w:pStyle w:val="17"/>
              <w:spacing w:before="59" w:line="229" w:lineRule="auto"/>
              <w:ind w:left="3765"/>
              <w:rPr>
                <w:color w:val="auto"/>
                <w:highlight w:val="none"/>
              </w:rPr>
            </w:pPr>
            <w:r>
              <w:rPr>
                <w:b/>
                <w:bCs/>
                <w:color w:val="auto"/>
                <w:spacing w:val="-3"/>
                <w:highlight w:val="none"/>
              </w:rPr>
              <w:t>要</w:t>
            </w:r>
            <w:r>
              <w:rPr>
                <w:color w:val="auto"/>
                <w:spacing w:val="12"/>
                <w:highlight w:val="none"/>
              </w:rPr>
              <w:t xml:space="preserve">  </w:t>
            </w:r>
            <w:r>
              <w:rPr>
                <w:b/>
                <w:bCs/>
                <w:color w:val="auto"/>
                <w:spacing w:val="-3"/>
                <w:highlight w:val="none"/>
              </w:rPr>
              <w:t>求</w:t>
            </w:r>
          </w:p>
        </w:tc>
      </w:tr>
      <w:tr w14:paraId="65138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3" w:hRule="atLeast"/>
        </w:trPr>
        <w:tc>
          <w:tcPr>
            <w:tcW w:w="1131" w:type="dxa"/>
            <w:vAlign w:val="top"/>
          </w:tcPr>
          <w:p w14:paraId="44E7ADD0">
            <w:pPr>
              <w:spacing w:line="249" w:lineRule="auto"/>
              <w:rPr>
                <w:rFonts w:ascii="Arial"/>
                <w:color w:val="auto"/>
                <w:sz w:val="21"/>
                <w:highlight w:val="none"/>
              </w:rPr>
            </w:pPr>
          </w:p>
          <w:p w14:paraId="16811CDE">
            <w:pPr>
              <w:spacing w:line="249" w:lineRule="auto"/>
              <w:rPr>
                <w:rFonts w:ascii="Arial"/>
                <w:color w:val="auto"/>
                <w:sz w:val="21"/>
                <w:highlight w:val="none"/>
              </w:rPr>
            </w:pPr>
          </w:p>
          <w:p w14:paraId="0CDB4928">
            <w:pPr>
              <w:spacing w:line="249" w:lineRule="auto"/>
              <w:rPr>
                <w:rFonts w:ascii="Arial"/>
                <w:color w:val="auto"/>
                <w:sz w:val="21"/>
                <w:highlight w:val="none"/>
              </w:rPr>
            </w:pPr>
          </w:p>
          <w:p w14:paraId="69AEECB2">
            <w:pPr>
              <w:spacing w:line="249" w:lineRule="auto"/>
              <w:rPr>
                <w:rFonts w:ascii="Arial"/>
                <w:color w:val="auto"/>
                <w:sz w:val="21"/>
                <w:highlight w:val="none"/>
              </w:rPr>
            </w:pPr>
          </w:p>
          <w:p w14:paraId="6892C2A9">
            <w:pPr>
              <w:spacing w:line="249" w:lineRule="auto"/>
              <w:rPr>
                <w:rFonts w:ascii="Arial"/>
                <w:color w:val="auto"/>
                <w:sz w:val="21"/>
                <w:highlight w:val="none"/>
              </w:rPr>
            </w:pPr>
          </w:p>
          <w:p w14:paraId="2252955D">
            <w:pPr>
              <w:spacing w:line="250" w:lineRule="auto"/>
              <w:rPr>
                <w:rFonts w:ascii="Arial"/>
                <w:color w:val="auto"/>
                <w:sz w:val="21"/>
                <w:highlight w:val="none"/>
              </w:rPr>
            </w:pPr>
          </w:p>
          <w:p w14:paraId="7AF13119">
            <w:pPr>
              <w:spacing w:line="250" w:lineRule="auto"/>
              <w:rPr>
                <w:rFonts w:ascii="Arial"/>
                <w:color w:val="auto"/>
                <w:sz w:val="21"/>
                <w:highlight w:val="none"/>
              </w:rPr>
            </w:pPr>
          </w:p>
          <w:p w14:paraId="7C314491">
            <w:pPr>
              <w:spacing w:line="250" w:lineRule="auto"/>
              <w:rPr>
                <w:rFonts w:ascii="Arial"/>
                <w:color w:val="auto"/>
                <w:sz w:val="21"/>
                <w:highlight w:val="none"/>
              </w:rPr>
            </w:pPr>
          </w:p>
          <w:p w14:paraId="13DECAFB">
            <w:pPr>
              <w:pStyle w:val="17"/>
              <w:spacing w:before="65" w:line="377" w:lineRule="auto"/>
              <w:ind w:left="465" w:right="145" w:hanging="313"/>
              <w:rPr>
                <w:color w:val="auto"/>
                <w:highlight w:val="none"/>
              </w:rPr>
            </w:pPr>
            <w:r>
              <w:rPr>
                <w:color w:val="auto"/>
                <w:spacing w:val="7"/>
                <w:highlight w:val="none"/>
              </w:rPr>
              <w:t>土建监理</w:t>
            </w:r>
            <w:r>
              <w:rPr>
                <w:color w:val="auto"/>
                <w:highlight w:val="none"/>
              </w:rPr>
              <w:t>类</w:t>
            </w:r>
          </w:p>
          <w:p w14:paraId="14FCC220">
            <w:pPr>
              <w:pStyle w:val="17"/>
              <w:spacing w:line="227" w:lineRule="auto"/>
              <w:ind w:left="187"/>
              <w:rPr>
                <w:color w:val="auto"/>
                <w:highlight w:val="none"/>
              </w:rPr>
            </w:pPr>
            <w:r>
              <w:rPr>
                <w:color w:val="auto"/>
                <w:spacing w:val="-2"/>
                <w:highlight w:val="none"/>
              </w:rPr>
              <w:t>（A</w:t>
            </w:r>
            <w:r>
              <w:rPr>
                <w:color w:val="auto"/>
                <w:spacing w:val="-36"/>
                <w:highlight w:val="none"/>
              </w:rPr>
              <w:t xml:space="preserve"> </w:t>
            </w:r>
            <w:r>
              <w:rPr>
                <w:color w:val="auto"/>
                <w:spacing w:val="-2"/>
                <w:highlight w:val="none"/>
              </w:rPr>
              <w:t>类）</w:t>
            </w:r>
          </w:p>
        </w:tc>
        <w:tc>
          <w:tcPr>
            <w:tcW w:w="8157" w:type="dxa"/>
            <w:vAlign w:val="top"/>
          </w:tcPr>
          <w:p w14:paraId="2328C902">
            <w:pPr>
              <w:spacing w:line="371" w:lineRule="auto"/>
              <w:rPr>
                <w:rFonts w:ascii="Arial"/>
                <w:color w:val="auto"/>
                <w:sz w:val="21"/>
                <w:highlight w:val="none"/>
              </w:rPr>
            </w:pPr>
          </w:p>
          <w:p w14:paraId="42F18764">
            <w:pPr>
              <w:pStyle w:val="17"/>
              <w:spacing w:before="65" w:line="228" w:lineRule="auto"/>
              <w:ind w:left="111"/>
              <w:rPr>
                <w:color w:val="auto"/>
                <w:highlight w:val="none"/>
              </w:rPr>
            </w:pPr>
            <w:r>
              <w:rPr>
                <w:color w:val="auto"/>
                <w:spacing w:val="9"/>
                <w:highlight w:val="none"/>
              </w:rPr>
              <w:t>近五年，成功完成过以下业绩</w:t>
            </w:r>
          </w:p>
          <w:p w14:paraId="6EA3F3E6">
            <w:pPr>
              <w:pStyle w:val="17"/>
              <w:spacing w:before="161" w:line="303" w:lineRule="auto"/>
              <w:ind w:left="113" w:right="108" w:firstLine="14"/>
              <w:rPr>
                <w:color w:val="auto"/>
                <w:highlight w:val="none"/>
              </w:rPr>
            </w:pPr>
            <w:r>
              <w:rPr>
                <w:color w:val="auto"/>
                <w:spacing w:val="8"/>
                <w:highlight w:val="none"/>
              </w:rPr>
              <w:t>1、累计完成过不少于</w:t>
            </w:r>
            <w:r>
              <w:rPr>
                <w:color w:val="auto"/>
                <w:spacing w:val="-98"/>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18</w:t>
            </w:r>
            <w:r>
              <w:rPr>
                <w:color w:val="auto"/>
                <w:spacing w:val="5"/>
                <w:highlight w:val="none"/>
                <w:u w:val="single" w:color="auto"/>
              </w:rPr>
              <w:t xml:space="preserve">  </w:t>
            </w:r>
            <w:r>
              <w:rPr>
                <w:color w:val="auto"/>
                <w:spacing w:val="-91"/>
                <w:highlight w:val="none"/>
              </w:rPr>
              <w:t xml:space="preserve"> </w:t>
            </w:r>
            <w:r>
              <w:rPr>
                <w:color w:val="auto"/>
                <w:highlight w:val="none"/>
              </w:rPr>
              <w:t>km</w:t>
            </w:r>
            <w:r>
              <w:rPr>
                <w:color w:val="auto"/>
                <w:spacing w:val="-23"/>
                <w:highlight w:val="none"/>
              </w:rPr>
              <w:t xml:space="preserve"> </w:t>
            </w:r>
            <w:r>
              <w:rPr>
                <w:color w:val="auto"/>
                <w:spacing w:val="8"/>
                <w:highlight w:val="none"/>
              </w:rPr>
              <w:t>的类似工程路基施工监理任务</w:t>
            </w:r>
            <w:r>
              <w:rPr>
                <w:color w:val="auto"/>
                <w:spacing w:val="7"/>
                <w:highlight w:val="none"/>
              </w:rPr>
              <w:t>，其中至少</w:t>
            </w:r>
            <w:r>
              <w:rPr>
                <w:color w:val="auto"/>
                <w:spacing w:val="-21"/>
                <w:highlight w:val="none"/>
              </w:rPr>
              <w:t xml:space="preserve"> </w:t>
            </w:r>
            <w:r>
              <w:rPr>
                <w:color w:val="auto"/>
                <w:spacing w:val="7"/>
                <w:highlight w:val="none"/>
              </w:rPr>
              <w:t>1</w:t>
            </w:r>
            <w:r>
              <w:rPr>
                <w:color w:val="auto"/>
                <w:spacing w:val="-41"/>
                <w:highlight w:val="none"/>
              </w:rPr>
              <w:t xml:space="preserve"> </w:t>
            </w:r>
            <w:r>
              <w:rPr>
                <w:color w:val="auto"/>
                <w:spacing w:val="7"/>
                <w:highlight w:val="none"/>
              </w:rPr>
              <w:t>个标段里程不</w:t>
            </w:r>
            <w:r>
              <w:rPr>
                <w:color w:val="auto"/>
                <w:spacing w:val="4"/>
                <w:highlight w:val="none"/>
              </w:rPr>
              <w:t>少于</w:t>
            </w:r>
            <w:r>
              <w:rPr>
                <w:color w:val="auto"/>
                <w:spacing w:val="-99"/>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9</w:t>
            </w:r>
            <w:r>
              <w:rPr>
                <w:color w:val="auto"/>
                <w:spacing w:val="5"/>
                <w:highlight w:val="none"/>
                <w:u w:val="single" w:color="auto"/>
              </w:rPr>
              <w:t xml:space="preserve">  </w:t>
            </w:r>
            <w:r>
              <w:rPr>
                <w:color w:val="auto"/>
                <w:spacing w:val="-93"/>
                <w:highlight w:val="none"/>
              </w:rPr>
              <w:t xml:space="preserve"> </w:t>
            </w:r>
            <w:r>
              <w:rPr>
                <w:color w:val="auto"/>
                <w:highlight w:val="none"/>
              </w:rPr>
              <w:t>km</w:t>
            </w:r>
            <w:r>
              <w:rPr>
                <w:color w:val="auto"/>
                <w:spacing w:val="4"/>
                <w:highlight w:val="none"/>
              </w:rPr>
              <w:t>。</w:t>
            </w:r>
          </w:p>
          <w:p w14:paraId="1882C3ED">
            <w:pPr>
              <w:pStyle w:val="17"/>
              <w:spacing w:before="161" w:line="302" w:lineRule="auto"/>
              <w:ind w:left="113" w:right="159" w:firstLine="1"/>
              <w:rPr>
                <w:color w:val="auto"/>
                <w:highlight w:val="none"/>
              </w:rPr>
            </w:pPr>
            <w:r>
              <w:rPr>
                <w:color w:val="auto"/>
                <w:spacing w:val="10"/>
                <w:highlight w:val="none"/>
              </w:rPr>
              <w:t>2、累计完成过不少于</w:t>
            </w:r>
            <w:r>
              <w:rPr>
                <w:color w:val="auto"/>
                <w:spacing w:val="-92"/>
                <w:highlight w:val="none"/>
              </w:rPr>
              <w:t xml:space="preserve"> </w:t>
            </w:r>
            <w:r>
              <w:rPr>
                <w:color w:val="auto"/>
                <w:spacing w:val="8"/>
                <w:highlight w:val="none"/>
                <w:u w:val="single" w:color="auto"/>
              </w:rPr>
              <w:t xml:space="preserve"> </w:t>
            </w:r>
            <w:r>
              <w:rPr>
                <w:rFonts w:hint="eastAsia"/>
                <w:color w:val="auto"/>
                <w:spacing w:val="8"/>
                <w:highlight w:val="none"/>
                <w:u w:val="single" w:color="auto"/>
                <w:lang w:val="en-US" w:eastAsia="zh-CN"/>
              </w:rPr>
              <w:t>18</w:t>
            </w:r>
            <w:r>
              <w:rPr>
                <w:color w:val="auto"/>
                <w:spacing w:val="8"/>
                <w:highlight w:val="none"/>
                <w:u w:val="single" w:color="auto"/>
              </w:rPr>
              <w:t xml:space="preserve">  </w:t>
            </w:r>
            <w:r>
              <w:rPr>
                <w:color w:val="auto"/>
                <w:spacing w:val="-93"/>
                <w:highlight w:val="none"/>
              </w:rPr>
              <w:t xml:space="preserve"> </w:t>
            </w:r>
            <w:r>
              <w:rPr>
                <w:color w:val="auto"/>
                <w:highlight w:val="none"/>
              </w:rPr>
              <w:t>km</w:t>
            </w:r>
            <w:r>
              <w:rPr>
                <w:color w:val="auto"/>
                <w:spacing w:val="-21"/>
                <w:highlight w:val="none"/>
              </w:rPr>
              <w:t xml:space="preserve"> </w:t>
            </w:r>
            <w:r>
              <w:rPr>
                <w:color w:val="auto"/>
                <w:spacing w:val="10"/>
                <w:highlight w:val="none"/>
              </w:rPr>
              <w:t>的类似工程</w:t>
            </w:r>
            <w:r>
              <w:rPr>
                <w:color w:val="auto"/>
                <w:spacing w:val="10"/>
                <w:highlight w:val="none"/>
                <w:u w:val="single" w:color="auto"/>
              </w:rPr>
              <w:t>沥青混凝土</w:t>
            </w:r>
            <w:r>
              <w:rPr>
                <w:rFonts w:hint="eastAsia"/>
                <w:color w:val="auto"/>
                <w:spacing w:val="10"/>
                <w:highlight w:val="none"/>
                <w:u w:val="single" w:color="auto"/>
                <w:lang w:val="en-US" w:eastAsia="zh-CN"/>
              </w:rPr>
              <w:t>或</w:t>
            </w:r>
            <w:r>
              <w:rPr>
                <w:color w:val="auto"/>
                <w:spacing w:val="10"/>
                <w:highlight w:val="none"/>
                <w:u w:val="single" w:color="auto"/>
              </w:rPr>
              <w:t>水泥混凝土</w:t>
            </w:r>
            <w:r>
              <w:rPr>
                <w:color w:val="auto"/>
                <w:spacing w:val="10"/>
                <w:highlight w:val="none"/>
              </w:rPr>
              <w:t>路面施工监理任务，</w:t>
            </w:r>
            <w:r>
              <w:rPr>
                <w:color w:val="auto"/>
                <w:spacing w:val="5"/>
                <w:highlight w:val="none"/>
              </w:rPr>
              <w:t>其中至少</w:t>
            </w:r>
            <w:r>
              <w:rPr>
                <w:color w:val="auto"/>
                <w:spacing w:val="-10"/>
                <w:highlight w:val="none"/>
              </w:rPr>
              <w:t xml:space="preserve"> </w:t>
            </w:r>
            <w:r>
              <w:rPr>
                <w:color w:val="auto"/>
                <w:spacing w:val="5"/>
                <w:highlight w:val="none"/>
              </w:rPr>
              <w:t>1</w:t>
            </w:r>
            <w:r>
              <w:rPr>
                <w:color w:val="auto"/>
                <w:spacing w:val="-38"/>
                <w:highlight w:val="none"/>
              </w:rPr>
              <w:t xml:space="preserve"> </w:t>
            </w:r>
            <w:r>
              <w:rPr>
                <w:color w:val="auto"/>
                <w:spacing w:val="5"/>
                <w:highlight w:val="none"/>
              </w:rPr>
              <w:t>个标段里程不少于</w:t>
            </w:r>
            <w:r>
              <w:rPr>
                <w:color w:val="auto"/>
                <w:spacing w:val="5"/>
                <w:highlight w:val="none"/>
                <w:u w:val="single" w:color="auto"/>
              </w:rPr>
              <w:t xml:space="preserve">   </w:t>
            </w:r>
            <w:r>
              <w:rPr>
                <w:rFonts w:hint="eastAsia"/>
                <w:color w:val="auto"/>
                <w:spacing w:val="5"/>
                <w:highlight w:val="none"/>
                <w:u w:val="single" w:color="auto"/>
                <w:lang w:val="en-US" w:eastAsia="zh-CN"/>
              </w:rPr>
              <w:t>9</w:t>
            </w:r>
            <w:r>
              <w:rPr>
                <w:color w:val="auto"/>
                <w:spacing w:val="5"/>
                <w:highlight w:val="none"/>
                <w:u w:val="single" w:color="auto"/>
              </w:rPr>
              <w:t xml:space="preserve">  </w:t>
            </w:r>
            <w:r>
              <w:rPr>
                <w:color w:val="auto"/>
                <w:spacing w:val="-93"/>
                <w:highlight w:val="none"/>
              </w:rPr>
              <w:t xml:space="preserve"> </w:t>
            </w:r>
            <w:r>
              <w:rPr>
                <w:color w:val="auto"/>
                <w:highlight w:val="none"/>
              </w:rPr>
              <w:t>km</w:t>
            </w:r>
            <w:r>
              <w:rPr>
                <w:color w:val="auto"/>
                <w:spacing w:val="5"/>
                <w:highlight w:val="none"/>
              </w:rPr>
              <w:t>。</w:t>
            </w:r>
          </w:p>
          <w:p w14:paraId="53FB8A38">
            <w:pPr>
              <w:pStyle w:val="17"/>
              <w:spacing w:before="129" w:line="317" w:lineRule="auto"/>
              <w:ind w:left="112" w:right="159" w:firstLine="4"/>
              <w:rPr>
                <w:color w:val="auto"/>
                <w:highlight w:val="none"/>
              </w:rPr>
            </w:pPr>
            <w:r>
              <w:rPr>
                <w:color w:val="auto"/>
                <w:spacing w:val="12"/>
                <w:highlight w:val="none"/>
              </w:rPr>
              <w:t>3、累计完成过不少于</w:t>
            </w:r>
            <w:r>
              <w:rPr>
                <w:color w:val="auto"/>
                <w:spacing w:val="-96"/>
                <w:highlight w:val="none"/>
              </w:rPr>
              <w:t xml:space="preserve"> </w:t>
            </w:r>
            <w:r>
              <w:rPr>
                <w:color w:val="auto"/>
                <w:spacing w:val="9"/>
                <w:highlight w:val="none"/>
                <w:u w:val="single" w:color="auto"/>
              </w:rPr>
              <w:t xml:space="preserve">  </w:t>
            </w:r>
            <w:r>
              <w:rPr>
                <w:rFonts w:hint="eastAsia"/>
                <w:color w:val="auto"/>
                <w:spacing w:val="9"/>
                <w:highlight w:val="none"/>
                <w:u w:val="single" w:color="auto"/>
                <w:lang w:val="en-US" w:eastAsia="zh-CN"/>
              </w:rPr>
              <w:t>3</w:t>
            </w:r>
            <w:r>
              <w:rPr>
                <w:color w:val="auto"/>
                <w:spacing w:val="9"/>
                <w:highlight w:val="none"/>
                <w:u w:val="single" w:color="auto"/>
              </w:rPr>
              <w:t xml:space="preserve">  </w:t>
            </w:r>
            <w:r>
              <w:rPr>
                <w:color w:val="auto"/>
                <w:spacing w:val="-89"/>
                <w:highlight w:val="none"/>
              </w:rPr>
              <w:t xml:space="preserve"> </w:t>
            </w:r>
            <w:r>
              <w:rPr>
                <w:color w:val="auto"/>
                <w:spacing w:val="12"/>
                <w:highlight w:val="none"/>
              </w:rPr>
              <w:t>座的类似工程</w:t>
            </w:r>
            <w:r>
              <w:rPr>
                <w:rFonts w:hint="eastAsia"/>
                <w:color w:val="auto"/>
                <w:spacing w:val="12"/>
                <w:highlight w:val="none"/>
                <w:u w:val="single"/>
                <w:lang w:val="en-US" w:eastAsia="zh-CN"/>
              </w:rPr>
              <w:t xml:space="preserve"> </w:t>
            </w:r>
            <w:r>
              <w:rPr>
                <w:rFonts w:hint="eastAsia"/>
                <w:color w:val="auto"/>
                <w:spacing w:val="12"/>
                <w:highlight w:val="none"/>
                <w:u w:val="single" w:color="auto"/>
                <w:lang w:val="en-US" w:eastAsia="zh-CN"/>
              </w:rPr>
              <w:t>（指中桥或以上）</w:t>
            </w:r>
            <w:r>
              <w:rPr>
                <w:color w:val="auto"/>
                <w:spacing w:val="12"/>
                <w:highlight w:val="none"/>
              </w:rPr>
              <w:t>施工监理任务，</w:t>
            </w:r>
            <w:r>
              <w:rPr>
                <w:color w:val="auto"/>
                <w:spacing w:val="7"/>
                <w:highlight w:val="none"/>
              </w:rPr>
              <w:t>且至少有一座桥梁主孔跨径不小于</w:t>
            </w:r>
            <w:r>
              <w:rPr>
                <w:color w:val="auto"/>
                <w:spacing w:val="7"/>
                <w:highlight w:val="none"/>
                <w:u w:val="single" w:color="auto"/>
              </w:rPr>
              <w:t xml:space="preserve">  </w:t>
            </w:r>
            <w:r>
              <w:rPr>
                <w:rFonts w:hint="eastAsia"/>
                <w:color w:val="auto"/>
                <w:spacing w:val="7"/>
                <w:highlight w:val="none"/>
                <w:u w:val="single" w:color="auto"/>
                <w:lang w:val="en-US" w:eastAsia="zh-CN"/>
              </w:rPr>
              <w:t>20</w:t>
            </w:r>
            <w:r>
              <w:rPr>
                <w:color w:val="auto"/>
                <w:spacing w:val="7"/>
                <w:highlight w:val="none"/>
                <w:u w:val="single" w:color="auto"/>
              </w:rPr>
              <w:t xml:space="preserve">  </w:t>
            </w:r>
            <w:r>
              <w:rPr>
                <w:color w:val="auto"/>
                <w:spacing w:val="-85"/>
                <w:highlight w:val="none"/>
              </w:rPr>
              <w:t xml:space="preserve"> </w:t>
            </w:r>
            <w:r>
              <w:rPr>
                <w:color w:val="auto"/>
                <w:spacing w:val="7"/>
                <w:highlight w:val="none"/>
              </w:rPr>
              <w:t>m。</w:t>
            </w:r>
          </w:p>
          <w:p w14:paraId="67C1A43C">
            <w:pPr>
              <w:pStyle w:val="17"/>
              <w:spacing w:before="131" w:line="316" w:lineRule="auto"/>
              <w:ind w:left="113" w:right="108" w:hanging="2"/>
              <w:rPr>
                <w:color w:val="auto"/>
                <w:highlight w:val="none"/>
              </w:rPr>
            </w:pPr>
            <w:r>
              <w:rPr>
                <w:color w:val="auto"/>
                <w:spacing w:val="14"/>
                <w:highlight w:val="none"/>
              </w:rPr>
              <w:t>4、累计完成过不少于</w:t>
            </w:r>
            <w:r>
              <w:rPr>
                <w:color w:val="auto"/>
                <w:spacing w:val="-94"/>
                <w:highlight w:val="none"/>
              </w:rPr>
              <w:t xml:space="preserve"> </w:t>
            </w:r>
            <w:r>
              <w:rPr>
                <w:color w:val="auto"/>
                <w:spacing w:val="9"/>
                <w:highlight w:val="none"/>
                <w:u w:val="single" w:color="auto"/>
              </w:rPr>
              <w:t xml:space="preserve"> </w:t>
            </w:r>
            <w:r>
              <w:rPr>
                <w:rFonts w:hint="eastAsia"/>
                <w:color w:val="auto"/>
                <w:spacing w:val="9"/>
                <w:highlight w:val="none"/>
                <w:u w:val="single" w:color="auto"/>
                <w:lang w:val="en-US" w:eastAsia="zh-CN"/>
              </w:rPr>
              <w:t>/</w:t>
            </w:r>
            <w:r>
              <w:rPr>
                <w:color w:val="auto"/>
                <w:spacing w:val="9"/>
                <w:highlight w:val="none"/>
                <w:u w:val="single" w:color="auto"/>
              </w:rPr>
              <w:t xml:space="preserve"> </w:t>
            </w:r>
            <w:r>
              <w:rPr>
                <w:color w:val="auto"/>
                <w:spacing w:val="-89"/>
                <w:highlight w:val="none"/>
              </w:rPr>
              <w:t xml:space="preserve"> </w:t>
            </w:r>
            <w:r>
              <w:rPr>
                <w:color w:val="auto"/>
                <w:spacing w:val="14"/>
                <w:highlight w:val="none"/>
              </w:rPr>
              <w:t>座类似工程</w:t>
            </w:r>
            <w:r>
              <w:rPr>
                <w:color w:val="auto"/>
                <w:spacing w:val="14"/>
                <w:highlight w:val="none"/>
                <w:u w:val="single" w:color="auto"/>
              </w:rPr>
              <w:t>（隧道规模</w:t>
            </w:r>
            <w:r>
              <w:rPr>
                <w:color w:val="auto"/>
                <w:spacing w:val="-10"/>
                <w:highlight w:val="none"/>
                <w:u w:val="single" w:color="auto"/>
              </w:rPr>
              <w:t>）</w:t>
            </w:r>
            <w:r>
              <w:rPr>
                <w:color w:val="auto"/>
                <w:spacing w:val="-74"/>
                <w:highlight w:val="none"/>
                <w:u w:val="single" w:color="auto"/>
              </w:rPr>
              <w:t xml:space="preserve"> </w:t>
            </w:r>
            <w:r>
              <w:rPr>
                <w:color w:val="auto"/>
                <w:spacing w:val="-10"/>
                <w:highlight w:val="none"/>
                <w:u w:val="single" w:color="auto"/>
              </w:rPr>
              <w:t>（</w:t>
            </w:r>
            <w:r>
              <w:rPr>
                <w:color w:val="auto"/>
                <w:spacing w:val="14"/>
                <w:highlight w:val="none"/>
                <w:u w:val="single" w:color="auto"/>
              </w:rPr>
              <w:t>隧道类型）</w:t>
            </w:r>
            <w:r>
              <w:rPr>
                <w:color w:val="auto"/>
                <w:spacing w:val="14"/>
                <w:highlight w:val="none"/>
              </w:rPr>
              <w:t>隧道工程施工监理任</w:t>
            </w:r>
            <w:r>
              <w:rPr>
                <w:color w:val="auto"/>
                <w:spacing w:val="8"/>
                <w:highlight w:val="none"/>
              </w:rPr>
              <w:t>务，且至少有一座隧道单洞累计（即左洞加右洞）长度不小于</w:t>
            </w:r>
            <w:r>
              <w:rPr>
                <w:color w:val="auto"/>
                <w:spacing w:val="8"/>
                <w:highlight w:val="none"/>
                <w:u w:val="single" w:color="auto"/>
              </w:rPr>
              <w:t xml:space="preserve">  </w:t>
            </w:r>
            <w:r>
              <w:rPr>
                <w:rFonts w:hint="eastAsia"/>
                <w:color w:val="auto"/>
                <w:spacing w:val="8"/>
                <w:highlight w:val="none"/>
                <w:u w:val="single" w:color="auto"/>
                <w:lang w:val="en-US" w:eastAsia="zh-CN"/>
              </w:rPr>
              <w:t>/</w:t>
            </w:r>
            <w:r>
              <w:rPr>
                <w:color w:val="auto"/>
                <w:spacing w:val="8"/>
                <w:highlight w:val="none"/>
                <w:u w:val="single" w:color="auto"/>
              </w:rPr>
              <w:t xml:space="preserve">  </w:t>
            </w:r>
            <w:r>
              <w:rPr>
                <w:color w:val="auto"/>
                <w:spacing w:val="-82"/>
                <w:highlight w:val="none"/>
              </w:rPr>
              <w:t xml:space="preserve"> </w:t>
            </w:r>
            <w:r>
              <w:rPr>
                <w:color w:val="auto"/>
                <w:spacing w:val="8"/>
                <w:highlight w:val="none"/>
              </w:rPr>
              <w:t>m。</w:t>
            </w:r>
          </w:p>
          <w:p w14:paraId="0AB23D78">
            <w:pPr>
              <w:pStyle w:val="17"/>
              <w:spacing w:before="165" w:line="302" w:lineRule="auto"/>
              <w:ind w:left="113" w:right="108" w:firstLine="3"/>
              <w:rPr>
                <w:color w:val="auto"/>
                <w:highlight w:val="none"/>
              </w:rPr>
            </w:pPr>
            <w:r>
              <w:rPr>
                <w:color w:val="auto"/>
                <w:spacing w:val="8"/>
                <w:highlight w:val="none"/>
              </w:rPr>
              <w:t>5、累计完成过不少于</w:t>
            </w:r>
            <w:r>
              <w:rPr>
                <w:color w:val="auto"/>
                <w:spacing w:val="-98"/>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91"/>
                <w:highlight w:val="none"/>
              </w:rPr>
              <w:t xml:space="preserve"> </w:t>
            </w:r>
            <w:r>
              <w:rPr>
                <w:color w:val="auto"/>
                <w:highlight w:val="none"/>
              </w:rPr>
              <w:t>km</w:t>
            </w:r>
            <w:r>
              <w:rPr>
                <w:color w:val="auto"/>
                <w:spacing w:val="-23"/>
                <w:highlight w:val="none"/>
              </w:rPr>
              <w:t xml:space="preserve"> </w:t>
            </w:r>
            <w:r>
              <w:rPr>
                <w:color w:val="auto"/>
                <w:spacing w:val="8"/>
                <w:highlight w:val="none"/>
              </w:rPr>
              <w:t>的类似工程交通安全设施施工监理任务，其中至少</w:t>
            </w:r>
            <w:r>
              <w:rPr>
                <w:color w:val="auto"/>
                <w:spacing w:val="-22"/>
                <w:highlight w:val="none"/>
              </w:rPr>
              <w:t xml:space="preserve"> </w:t>
            </w:r>
            <w:r>
              <w:rPr>
                <w:color w:val="auto"/>
                <w:spacing w:val="7"/>
                <w:highlight w:val="none"/>
              </w:rPr>
              <w:t>1</w:t>
            </w:r>
            <w:r>
              <w:rPr>
                <w:color w:val="auto"/>
                <w:spacing w:val="-37"/>
                <w:highlight w:val="none"/>
              </w:rPr>
              <w:t xml:space="preserve"> </w:t>
            </w:r>
            <w:r>
              <w:rPr>
                <w:color w:val="auto"/>
                <w:spacing w:val="7"/>
                <w:highlight w:val="none"/>
              </w:rPr>
              <w:t>个标段里程不少于</w:t>
            </w:r>
            <w:r>
              <w:rPr>
                <w:color w:val="auto"/>
                <w:spacing w:val="-96"/>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93"/>
                <w:highlight w:val="none"/>
              </w:rPr>
              <w:t xml:space="preserve"> </w:t>
            </w:r>
            <w:r>
              <w:rPr>
                <w:color w:val="auto"/>
                <w:highlight w:val="none"/>
              </w:rPr>
              <w:t>km</w:t>
            </w:r>
            <w:r>
              <w:rPr>
                <w:color w:val="auto"/>
                <w:spacing w:val="7"/>
                <w:highlight w:val="none"/>
              </w:rPr>
              <w:t>。</w:t>
            </w:r>
          </w:p>
          <w:p w14:paraId="441978DD">
            <w:pPr>
              <w:pStyle w:val="17"/>
              <w:spacing w:before="130" w:line="371" w:lineRule="auto"/>
              <w:ind w:left="114"/>
              <w:rPr>
                <w:color w:val="auto"/>
                <w:highlight w:val="none"/>
              </w:rPr>
            </w:pPr>
            <w:r>
              <w:rPr>
                <w:color w:val="auto"/>
                <w:spacing w:val="8"/>
                <w:highlight w:val="none"/>
              </w:rPr>
              <w:t>6、类似工程枢纽/一般互通式立交施工监理不少于</w:t>
            </w:r>
            <w:r>
              <w:rPr>
                <w:color w:val="auto"/>
                <w:spacing w:val="-97"/>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88"/>
                <w:highlight w:val="none"/>
              </w:rPr>
              <w:t xml:space="preserve"> </w:t>
            </w:r>
            <w:r>
              <w:rPr>
                <w:color w:val="auto"/>
                <w:spacing w:val="8"/>
                <w:highlight w:val="none"/>
              </w:rPr>
              <w:t>处。</w:t>
            </w:r>
          </w:p>
        </w:tc>
      </w:tr>
      <w:tr w14:paraId="01CB6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131" w:type="dxa"/>
            <w:vAlign w:val="top"/>
          </w:tcPr>
          <w:p w14:paraId="40BC4504">
            <w:pPr>
              <w:pStyle w:val="17"/>
              <w:spacing w:before="33" w:line="377" w:lineRule="auto"/>
              <w:ind w:left="465" w:right="145" w:hanging="315"/>
              <w:rPr>
                <w:color w:val="auto"/>
                <w:highlight w:val="none"/>
              </w:rPr>
            </w:pPr>
            <w:r>
              <w:rPr>
                <w:color w:val="auto"/>
                <w:spacing w:val="7"/>
                <w:highlight w:val="none"/>
              </w:rPr>
              <w:t>机电监理</w:t>
            </w:r>
            <w:r>
              <w:rPr>
                <w:color w:val="auto"/>
                <w:highlight w:val="none"/>
              </w:rPr>
              <w:t>类</w:t>
            </w:r>
          </w:p>
          <w:p w14:paraId="47067592">
            <w:pPr>
              <w:pStyle w:val="17"/>
              <w:spacing w:line="227" w:lineRule="auto"/>
              <w:ind w:left="187"/>
              <w:rPr>
                <w:color w:val="auto"/>
                <w:highlight w:val="none"/>
              </w:rPr>
            </w:pPr>
            <w:r>
              <w:rPr>
                <w:color w:val="auto"/>
                <w:spacing w:val="-2"/>
                <w:highlight w:val="none"/>
              </w:rPr>
              <w:t>（B</w:t>
            </w:r>
            <w:r>
              <w:rPr>
                <w:color w:val="auto"/>
                <w:spacing w:val="-36"/>
                <w:highlight w:val="none"/>
              </w:rPr>
              <w:t xml:space="preserve"> </w:t>
            </w:r>
            <w:r>
              <w:rPr>
                <w:color w:val="auto"/>
                <w:spacing w:val="-2"/>
                <w:highlight w:val="none"/>
              </w:rPr>
              <w:t>类）</w:t>
            </w:r>
          </w:p>
        </w:tc>
        <w:tc>
          <w:tcPr>
            <w:tcW w:w="8157" w:type="dxa"/>
            <w:vAlign w:val="top"/>
          </w:tcPr>
          <w:p w14:paraId="49108A0D">
            <w:pPr>
              <w:pStyle w:val="17"/>
              <w:spacing w:before="33" w:line="228" w:lineRule="auto"/>
              <w:ind w:left="111"/>
              <w:rPr>
                <w:color w:val="auto"/>
                <w:highlight w:val="none"/>
              </w:rPr>
            </w:pPr>
            <w:r>
              <w:rPr>
                <w:color w:val="auto"/>
                <w:spacing w:val="9"/>
                <w:highlight w:val="none"/>
              </w:rPr>
              <w:t>近五年，成功完成过以下业绩</w:t>
            </w:r>
          </w:p>
          <w:p w14:paraId="3C768A34">
            <w:pPr>
              <w:pStyle w:val="17"/>
              <w:spacing w:before="160" w:line="359" w:lineRule="auto"/>
              <w:ind w:left="117" w:right="110" w:firstLine="3"/>
              <w:rPr>
                <w:color w:val="auto"/>
                <w:highlight w:val="none"/>
              </w:rPr>
            </w:pPr>
            <w:r>
              <w:rPr>
                <w:color w:val="auto"/>
                <w:spacing w:val="23"/>
                <w:highlight w:val="none"/>
              </w:rPr>
              <w:t>累计完成过不少于</w:t>
            </w:r>
            <w:r>
              <w:rPr>
                <w:color w:val="auto"/>
                <w:spacing w:val="-62"/>
                <w:highlight w:val="none"/>
              </w:rPr>
              <w:t xml:space="preserve"> </w:t>
            </w:r>
            <w:r>
              <w:rPr>
                <w:color w:val="auto"/>
                <w:highlight w:val="none"/>
                <w:u w:val="single" w:color="auto"/>
              </w:rPr>
              <w:t xml:space="preserve">   </w:t>
            </w:r>
            <w:r>
              <w:rPr>
                <w:rFonts w:hint="eastAsia"/>
                <w:color w:val="auto"/>
                <w:highlight w:val="none"/>
                <w:u w:val="single" w:color="auto"/>
                <w:lang w:val="en-US" w:eastAsia="zh-CN"/>
              </w:rPr>
              <w:t>/</w:t>
            </w:r>
            <w:r>
              <w:rPr>
                <w:color w:val="auto"/>
                <w:highlight w:val="none"/>
                <w:u w:val="single" w:color="auto"/>
              </w:rPr>
              <w:t xml:space="preserve">  </w:t>
            </w:r>
            <w:r>
              <w:rPr>
                <w:color w:val="auto"/>
                <w:spacing w:val="-88"/>
                <w:highlight w:val="none"/>
              </w:rPr>
              <w:t xml:space="preserve"> </w:t>
            </w:r>
            <w:r>
              <w:rPr>
                <w:color w:val="auto"/>
                <w:highlight w:val="none"/>
              </w:rPr>
              <w:t>km</w:t>
            </w:r>
            <w:r>
              <w:rPr>
                <w:color w:val="auto"/>
                <w:spacing w:val="23"/>
                <w:highlight w:val="none"/>
              </w:rPr>
              <w:t xml:space="preserve"> 的类似工程机电三大系统</w:t>
            </w:r>
            <w:r>
              <w:rPr>
                <w:color w:val="auto"/>
                <w:spacing w:val="23"/>
                <w:highlight w:val="none"/>
                <w:u w:val="single" w:color="auto"/>
              </w:rPr>
              <w:t>（须含通信</w:t>
            </w:r>
            <w:r>
              <w:rPr>
                <w:color w:val="auto"/>
                <w:spacing w:val="-56"/>
                <w:highlight w:val="none"/>
                <w:u w:val="single" w:color="auto"/>
              </w:rPr>
              <w:t xml:space="preserve"> </w:t>
            </w:r>
            <w:r>
              <w:rPr>
                <w:color w:val="auto"/>
                <w:spacing w:val="23"/>
                <w:highlight w:val="none"/>
                <w:u w:val="single" w:color="auto"/>
              </w:rPr>
              <w:t>、监控</w:t>
            </w:r>
            <w:r>
              <w:rPr>
                <w:color w:val="auto"/>
                <w:spacing w:val="-56"/>
                <w:highlight w:val="none"/>
                <w:u w:val="single" w:color="auto"/>
              </w:rPr>
              <w:t xml:space="preserve"> </w:t>
            </w:r>
            <w:r>
              <w:rPr>
                <w:color w:val="auto"/>
                <w:spacing w:val="23"/>
                <w:highlight w:val="none"/>
                <w:u w:val="single" w:color="auto"/>
              </w:rPr>
              <w:t>、</w:t>
            </w:r>
            <w:r>
              <w:rPr>
                <w:color w:val="auto"/>
                <w:spacing w:val="-55"/>
                <w:highlight w:val="none"/>
                <w:u w:val="single" w:color="auto"/>
              </w:rPr>
              <w:t xml:space="preserve"> </w:t>
            </w:r>
            <w:r>
              <w:rPr>
                <w:color w:val="auto"/>
                <w:spacing w:val="23"/>
                <w:highlight w:val="none"/>
                <w:u w:val="single" w:color="auto"/>
              </w:rPr>
              <w:t>收费系</w:t>
            </w:r>
            <w:r>
              <w:rPr>
                <w:color w:val="auto"/>
                <w:spacing w:val="7"/>
                <w:highlight w:val="none"/>
                <w:u w:val="single" w:color="auto"/>
              </w:rPr>
              <w:t>统.....）</w:t>
            </w:r>
            <w:r>
              <w:rPr>
                <w:color w:val="auto"/>
                <w:spacing w:val="7"/>
                <w:highlight w:val="none"/>
              </w:rPr>
              <w:t>工程施工监理任务，其中至少</w:t>
            </w:r>
            <w:r>
              <w:rPr>
                <w:color w:val="auto"/>
                <w:spacing w:val="-20"/>
                <w:highlight w:val="none"/>
              </w:rPr>
              <w:t xml:space="preserve"> </w:t>
            </w:r>
            <w:r>
              <w:rPr>
                <w:color w:val="auto"/>
                <w:spacing w:val="7"/>
                <w:highlight w:val="none"/>
              </w:rPr>
              <w:t>1</w:t>
            </w:r>
            <w:r>
              <w:rPr>
                <w:color w:val="auto"/>
                <w:spacing w:val="-38"/>
                <w:highlight w:val="none"/>
              </w:rPr>
              <w:t xml:space="preserve"> </w:t>
            </w:r>
            <w:r>
              <w:rPr>
                <w:color w:val="auto"/>
                <w:spacing w:val="7"/>
                <w:highlight w:val="none"/>
              </w:rPr>
              <w:t>个标段里程不少于</w:t>
            </w:r>
            <w:r>
              <w:rPr>
                <w:color w:val="auto"/>
                <w:spacing w:val="-97"/>
                <w:highlight w:val="none"/>
              </w:rPr>
              <w:t xml:space="preserve"> </w:t>
            </w:r>
            <w:r>
              <w:rPr>
                <w:color w:val="auto"/>
                <w:spacing w:val="4"/>
                <w:highlight w:val="none"/>
                <w:u w:val="single" w:color="auto"/>
              </w:rPr>
              <w:t xml:space="preserve">   </w:t>
            </w:r>
            <w:r>
              <w:rPr>
                <w:rFonts w:hint="eastAsia"/>
                <w:color w:val="auto"/>
                <w:spacing w:val="4"/>
                <w:highlight w:val="none"/>
                <w:u w:val="single" w:color="auto"/>
                <w:lang w:val="en-US" w:eastAsia="zh-CN"/>
              </w:rPr>
              <w:t>/</w:t>
            </w:r>
            <w:r>
              <w:rPr>
                <w:color w:val="auto"/>
                <w:spacing w:val="4"/>
                <w:highlight w:val="none"/>
                <w:u w:val="single" w:color="auto"/>
              </w:rPr>
              <w:t xml:space="preserve">  </w:t>
            </w:r>
            <w:r>
              <w:rPr>
                <w:color w:val="auto"/>
                <w:spacing w:val="-91"/>
                <w:highlight w:val="none"/>
              </w:rPr>
              <w:t xml:space="preserve"> </w:t>
            </w:r>
            <w:r>
              <w:rPr>
                <w:color w:val="auto"/>
                <w:highlight w:val="none"/>
              </w:rPr>
              <w:t>km</w:t>
            </w:r>
            <w:r>
              <w:rPr>
                <w:color w:val="auto"/>
                <w:spacing w:val="7"/>
                <w:highlight w:val="none"/>
              </w:rPr>
              <w:t>。</w:t>
            </w:r>
          </w:p>
        </w:tc>
      </w:tr>
      <w:tr w14:paraId="33F47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8" w:hRule="atLeast"/>
        </w:trPr>
        <w:tc>
          <w:tcPr>
            <w:tcW w:w="1131" w:type="dxa"/>
            <w:vAlign w:val="top"/>
          </w:tcPr>
          <w:p w14:paraId="4E419EC7">
            <w:pPr>
              <w:spacing w:line="246" w:lineRule="auto"/>
              <w:rPr>
                <w:rFonts w:ascii="Arial"/>
                <w:color w:val="auto"/>
                <w:sz w:val="21"/>
                <w:highlight w:val="none"/>
              </w:rPr>
            </w:pPr>
          </w:p>
          <w:p w14:paraId="474A46C1">
            <w:pPr>
              <w:spacing w:line="246" w:lineRule="auto"/>
              <w:rPr>
                <w:rFonts w:ascii="Arial"/>
                <w:color w:val="auto"/>
                <w:sz w:val="21"/>
                <w:highlight w:val="none"/>
              </w:rPr>
            </w:pPr>
          </w:p>
          <w:p w14:paraId="3528F914">
            <w:pPr>
              <w:spacing w:line="246" w:lineRule="auto"/>
              <w:rPr>
                <w:rFonts w:ascii="Arial"/>
                <w:color w:val="auto"/>
                <w:sz w:val="21"/>
                <w:highlight w:val="none"/>
              </w:rPr>
            </w:pPr>
          </w:p>
          <w:p w14:paraId="4EBBDC3D">
            <w:pPr>
              <w:spacing w:line="246" w:lineRule="auto"/>
              <w:rPr>
                <w:rFonts w:ascii="Arial"/>
                <w:color w:val="auto"/>
                <w:sz w:val="21"/>
                <w:highlight w:val="none"/>
              </w:rPr>
            </w:pPr>
          </w:p>
          <w:p w14:paraId="7C096BCF">
            <w:pPr>
              <w:pStyle w:val="17"/>
              <w:spacing w:before="65" w:line="378" w:lineRule="auto"/>
              <w:ind w:left="187" w:right="145" w:hanging="35"/>
              <w:rPr>
                <w:color w:val="auto"/>
                <w:highlight w:val="none"/>
              </w:rPr>
            </w:pPr>
            <w:r>
              <w:rPr>
                <w:color w:val="auto"/>
                <w:spacing w:val="7"/>
                <w:highlight w:val="none"/>
              </w:rPr>
              <w:t>房建监理</w:t>
            </w:r>
            <w:r>
              <w:rPr>
                <w:color w:val="auto"/>
                <w:spacing w:val="-2"/>
                <w:highlight w:val="none"/>
              </w:rPr>
              <w:t>（C</w:t>
            </w:r>
            <w:r>
              <w:rPr>
                <w:color w:val="auto"/>
                <w:spacing w:val="-36"/>
                <w:highlight w:val="none"/>
              </w:rPr>
              <w:t xml:space="preserve"> </w:t>
            </w:r>
            <w:r>
              <w:rPr>
                <w:color w:val="auto"/>
                <w:spacing w:val="-2"/>
                <w:highlight w:val="none"/>
              </w:rPr>
              <w:t>类）</w:t>
            </w:r>
          </w:p>
        </w:tc>
        <w:tc>
          <w:tcPr>
            <w:tcW w:w="8157" w:type="dxa"/>
            <w:vAlign w:val="top"/>
          </w:tcPr>
          <w:p w14:paraId="507063DC">
            <w:pPr>
              <w:pStyle w:val="17"/>
              <w:spacing w:before="35" w:line="228" w:lineRule="auto"/>
              <w:ind w:left="111"/>
              <w:rPr>
                <w:color w:val="auto"/>
                <w:highlight w:val="none"/>
              </w:rPr>
            </w:pPr>
            <w:r>
              <w:rPr>
                <w:color w:val="auto"/>
                <w:spacing w:val="8"/>
                <w:highlight w:val="none"/>
              </w:rPr>
              <w:t>近五年内，成功完成以下业绩：</w:t>
            </w:r>
          </w:p>
          <w:p w14:paraId="430409EE">
            <w:pPr>
              <w:pStyle w:val="17"/>
              <w:spacing w:before="161" w:line="302" w:lineRule="auto"/>
              <w:ind w:left="112" w:right="175" w:firstLine="15"/>
              <w:rPr>
                <w:color w:val="auto"/>
                <w:highlight w:val="none"/>
              </w:rPr>
            </w:pPr>
            <w:r>
              <w:rPr>
                <w:color w:val="auto"/>
                <w:spacing w:val="9"/>
                <w:highlight w:val="none"/>
              </w:rPr>
              <w:t>1、累计完成过建筑面积不少于</w:t>
            </w:r>
            <w:r>
              <w:rPr>
                <w:color w:val="auto"/>
                <w:spacing w:val="-99"/>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82"/>
                <w:highlight w:val="none"/>
              </w:rPr>
              <w:t xml:space="preserve"> </w:t>
            </w:r>
            <w:r>
              <w:rPr>
                <w:color w:val="auto"/>
                <w:spacing w:val="9"/>
                <w:highlight w:val="none"/>
              </w:rPr>
              <w:t>㎡的房建工程</w:t>
            </w:r>
            <w:r>
              <w:rPr>
                <w:color w:val="auto"/>
                <w:spacing w:val="8"/>
                <w:highlight w:val="none"/>
              </w:rPr>
              <w:t>（含土建）的施工监理任务，其中包</w:t>
            </w:r>
            <w:r>
              <w:rPr>
                <w:color w:val="auto"/>
                <w:spacing w:val="9"/>
                <w:highlight w:val="none"/>
              </w:rPr>
              <w:t>括至少一幢建筑面积不少于</w:t>
            </w:r>
            <w:r>
              <w:rPr>
                <w:color w:val="auto"/>
                <w:spacing w:val="-99"/>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82"/>
                <w:highlight w:val="none"/>
              </w:rPr>
              <w:t xml:space="preserve"> </w:t>
            </w:r>
            <w:r>
              <w:rPr>
                <w:color w:val="auto"/>
                <w:spacing w:val="9"/>
                <w:highlight w:val="none"/>
              </w:rPr>
              <w:t>㎡的</w:t>
            </w:r>
            <w:r>
              <w:rPr>
                <w:color w:val="auto"/>
                <w:spacing w:val="9"/>
                <w:highlight w:val="none"/>
                <w:u w:val="single" w:color="auto"/>
              </w:rPr>
              <w:t>钢筋混凝土结构（含框架、剪力墙、框架-剪力墙、筒体等）或钢结构或钢-混凝土组合结构的房建工程</w:t>
            </w:r>
            <w:r>
              <w:rPr>
                <w:color w:val="auto"/>
                <w:spacing w:val="9"/>
                <w:highlight w:val="none"/>
              </w:rPr>
              <w:t>（含土建）,砖混结构、砌体</w:t>
            </w:r>
            <w:r>
              <w:rPr>
                <w:color w:val="auto"/>
                <w:spacing w:val="10"/>
                <w:highlight w:val="none"/>
              </w:rPr>
              <w:t>结构及简易棚式建筑（包括但不限于轻钢结</w:t>
            </w:r>
            <w:r>
              <w:rPr>
                <w:color w:val="auto"/>
                <w:spacing w:val="9"/>
                <w:highlight w:val="none"/>
              </w:rPr>
              <w:t>构棚、彩钢板房等临时性建筑）不予认</w:t>
            </w:r>
          </w:p>
          <w:p w14:paraId="43573CBE">
            <w:pPr>
              <w:pStyle w:val="17"/>
              <w:spacing w:before="161" w:line="230" w:lineRule="auto"/>
              <w:ind w:left="114"/>
              <w:rPr>
                <w:color w:val="auto"/>
                <w:highlight w:val="none"/>
              </w:rPr>
            </w:pPr>
            <w:r>
              <w:rPr>
                <w:color w:val="auto"/>
                <w:spacing w:val="-1"/>
                <w:highlight w:val="none"/>
              </w:rPr>
              <w:t>可；</w:t>
            </w:r>
          </w:p>
          <w:p w14:paraId="530A84B7">
            <w:pPr>
              <w:pStyle w:val="17"/>
              <w:spacing w:before="158" w:line="228" w:lineRule="auto"/>
              <w:ind w:left="114"/>
              <w:rPr>
                <w:color w:val="auto"/>
                <w:highlight w:val="none"/>
              </w:rPr>
            </w:pPr>
            <w:r>
              <w:rPr>
                <w:color w:val="auto"/>
                <w:spacing w:val="8"/>
                <w:highlight w:val="none"/>
              </w:rPr>
              <w:t>2、累计完成过合同额不少于</w:t>
            </w:r>
            <w:r>
              <w:rPr>
                <w:color w:val="auto"/>
                <w:spacing w:val="-82"/>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87"/>
                <w:highlight w:val="none"/>
              </w:rPr>
              <w:t xml:space="preserve"> </w:t>
            </w:r>
            <w:r>
              <w:rPr>
                <w:color w:val="auto"/>
                <w:spacing w:val="8"/>
                <w:highlight w:val="none"/>
              </w:rPr>
              <w:t>万元的装修及装饰工程施工监理任务。</w:t>
            </w:r>
          </w:p>
        </w:tc>
      </w:tr>
    </w:tbl>
    <w:p w14:paraId="5ABD5740">
      <w:pPr>
        <w:rPr>
          <w:rFonts w:ascii="Arial"/>
          <w:color w:val="auto"/>
          <w:sz w:val="21"/>
          <w:highlight w:val="none"/>
        </w:rPr>
      </w:pPr>
    </w:p>
    <w:p w14:paraId="6E2C3BA9">
      <w:pPr>
        <w:rPr>
          <w:rFonts w:ascii="Arial"/>
          <w:color w:val="auto"/>
          <w:sz w:val="21"/>
          <w:highlight w:val="none"/>
        </w:rPr>
      </w:pPr>
    </w:p>
    <w:p w14:paraId="50D6CAB1">
      <w:pPr>
        <w:rPr>
          <w:rFonts w:ascii="Arial"/>
          <w:color w:val="auto"/>
          <w:sz w:val="21"/>
          <w:highlight w:val="none"/>
        </w:rPr>
      </w:pPr>
    </w:p>
    <w:p w14:paraId="6FD6F014">
      <w:pPr>
        <w:spacing w:line="220" w:lineRule="auto"/>
        <w:rPr>
          <w:rFonts w:ascii="宋体" w:hAnsi="宋体" w:eastAsia="宋体" w:cs="宋体"/>
          <w:color w:val="auto"/>
          <w:sz w:val="18"/>
          <w:szCs w:val="18"/>
          <w:highlight w:val="none"/>
        </w:rPr>
        <w:sectPr>
          <w:footerReference r:id="rId23" w:type="default"/>
          <w:pgSz w:w="11906" w:h="16839"/>
          <w:pgMar w:top="1431" w:right="1306" w:bottom="1297" w:left="1306" w:header="0" w:footer="1069" w:gutter="0"/>
          <w:pgNumType w:fmt="decimal"/>
          <w:cols w:space="720" w:num="1"/>
        </w:sectPr>
      </w:pPr>
    </w:p>
    <w:tbl>
      <w:tblPr>
        <w:tblStyle w:val="16"/>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1"/>
        <w:gridCol w:w="8157"/>
      </w:tblGrid>
      <w:tr w14:paraId="3E2B2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8" w:hRule="atLeast"/>
        </w:trPr>
        <w:tc>
          <w:tcPr>
            <w:tcW w:w="1131" w:type="dxa"/>
            <w:vAlign w:val="top"/>
          </w:tcPr>
          <w:p w14:paraId="14010529">
            <w:pPr>
              <w:spacing w:line="267" w:lineRule="auto"/>
              <w:rPr>
                <w:rFonts w:ascii="Arial"/>
                <w:color w:val="auto"/>
                <w:sz w:val="21"/>
                <w:highlight w:val="none"/>
              </w:rPr>
            </w:pPr>
          </w:p>
          <w:p w14:paraId="3A198657">
            <w:pPr>
              <w:spacing w:line="267" w:lineRule="auto"/>
              <w:rPr>
                <w:rFonts w:ascii="Arial"/>
                <w:color w:val="auto"/>
                <w:sz w:val="21"/>
                <w:highlight w:val="none"/>
              </w:rPr>
            </w:pPr>
          </w:p>
          <w:p w14:paraId="1D3BA9A9">
            <w:pPr>
              <w:spacing w:line="268" w:lineRule="auto"/>
              <w:rPr>
                <w:rFonts w:ascii="Arial"/>
                <w:color w:val="auto"/>
                <w:sz w:val="21"/>
                <w:highlight w:val="none"/>
              </w:rPr>
            </w:pPr>
          </w:p>
          <w:p w14:paraId="08D1FB3F">
            <w:pPr>
              <w:spacing w:line="268" w:lineRule="auto"/>
              <w:rPr>
                <w:rFonts w:ascii="Arial"/>
                <w:color w:val="auto"/>
                <w:sz w:val="21"/>
                <w:highlight w:val="none"/>
              </w:rPr>
            </w:pPr>
          </w:p>
          <w:p w14:paraId="516B2A9D">
            <w:pPr>
              <w:spacing w:line="268" w:lineRule="auto"/>
              <w:rPr>
                <w:rFonts w:ascii="Arial"/>
                <w:color w:val="auto"/>
                <w:sz w:val="21"/>
                <w:highlight w:val="none"/>
              </w:rPr>
            </w:pPr>
          </w:p>
          <w:p w14:paraId="7958EA95">
            <w:pPr>
              <w:spacing w:line="268" w:lineRule="auto"/>
              <w:rPr>
                <w:rFonts w:ascii="Arial"/>
                <w:color w:val="auto"/>
                <w:sz w:val="21"/>
                <w:highlight w:val="none"/>
              </w:rPr>
            </w:pPr>
          </w:p>
          <w:p w14:paraId="60E8839B">
            <w:pPr>
              <w:spacing w:line="268" w:lineRule="auto"/>
              <w:rPr>
                <w:rFonts w:ascii="Arial"/>
                <w:color w:val="auto"/>
                <w:sz w:val="21"/>
                <w:highlight w:val="none"/>
              </w:rPr>
            </w:pPr>
          </w:p>
          <w:p w14:paraId="50D0ADD7">
            <w:pPr>
              <w:spacing w:line="268" w:lineRule="auto"/>
              <w:rPr>
                <w:rFonts w:ascii="Arial"/>
                <w:color w:val="auto"/>
                <w:sz w:val="21"/>
                <w:highlight w:val="none"/>
              </w:rPr>
            </w:pPr>
          </w:p>
          <w:p w14:paraId="279E4C21">
            <w:pPr>
              <w:pStyle w:val="17"/>
              <w:spacing w:before="65" w:line="229" w:lineRule="auto"/>
              <w:ind w:left="152"/>
              <w:rPr>
                <w:color w:val="auto"/>
                <w:highlight w:val="none"/>
              </w:rPr>
            </w:pPr>
            <w:r>
              <w:rPr>
                <w:color w:val="auto"/>
                <w:spacing w:val="7"/>
                <w:highlight w:val="none"/>
              </w:rPr>
              <w:t>土建监理</w:t>
            </w:r>
          </w:p>
          <w:p w14:paraId="17247F9A">
            <w:pPr>
              <w:pStyle w:val="17"/>
              <w:spacing w:before="149" w:line="228" w:lineRule="auto"/>
              <w:ind w:left="151"/>
              <w:rPr>
                <w:color w:val="auto"/>
                <w:highlight w:val="none"/>
              </w:rPr>
            </w:pPr>
            <w:r>
              <w:rPr>
                <w:color w:val="auto"/>
                <w:spacing w:val="7"/>
                <w:highlight w:val="none"/>
              </w:rPr>
              <w:t>含中心试</w:t>
            </w:r>
          </w:p>
          <w:p w14:paraId="09F6FD7B">
            <w:pPr>
              <w:pStyle w:val="17"/>
              <w:spacing w:before="153" w:line="233" w:lineRule="auto"/>
              <w:ind w:left="359"/>
              <w:rPr>
                <w:color w:val="auto"/>
                <w:highlight w:val="none"/>
              </w:rPr>
            </w:pPr>
            <w:r>
              <w:rPr>
                <w:color w:val="auto"/>
                <w:spacing w:val="5"/>
                <w:highlight w:val="none"/>
              </w:rPr>
              <w:t>验室</w:t>
            </w:r>
          </w:p>
          <w:p w14:paraId="1762F4EB">
            <w:pPr>
              <w:pStyle w:val="17"/>
              <w:spacing w:before="18" w:line="228" w:lineRule="auto"/>
              <w:ind w:left="187"/>
              <w:rPr>
                <w:color w:val="auto"/>
                <w:highlight w:val="none"/>
              </w:rPr>
            </w:pPr>
            <w:r>
              <w:rPr>
                <w:color w:val="auto"/>
                <w:spacing w:val="-2"/>
                <w:highlight w:val="none"/>
              </w:rPr>
              <w:t>（D</w:t>
            </w:r>
            <w:r>
              <w:rPr>
                <w:color w:val="auto"/>
                <w:spacing w:val="-36"/>
                <w:highlight w:val="none"/>
              </w:rPr>
              <w:t xml:space="preserve"> </w:t>
            </w:r>
            <w:r>
              <w:rPr>
                <w:color w:val="auto"/>
                <w:spacing w:val="-2"/>
                <w:highlight w:val="none"/>
              </w:rPr>
              <w:t>类）</w:t>
            </w:r>
          </w:p>
        </w:tc>
        <w:tc>
          <w:tcPr>
            <w:tcW w:w="8157" w:type="dxa"/>
            <w:vAlign w:val="top"/>
          </w:tcPr>
          <w:p w14:paraId="3A634ECB">
            <w:pPr>
              <w:pStyle w:val="17"/>
              <w:spacing w:before="35" w:line="228" w:lineRule="auto"/>
              <w:ind w:left="111"/>
              <w:rPr>
                <w:color w:val="auto"/>
                <w:highlight w:val="none"/>
              </w:rPr>
            </w:pPr>
            <w:r>
              <w:rPr>
                <w:color w:val="auto"/>
                <w:spacing w:val="9"/>
                <w:highlight w:val="none"/>
              </w:rPr>
              <w:t>近五年，成功完成过以下业绩</w:t>
            </w:r>
          </w:p>
          <w:p w14:paraId="5E31C490">
            <w:pPr>
              <w:pStyle w:val="17"/>
              <w:spacing w:before="161" w:line="303" w:lineRule="auto"/>
              <w:ind w:left="113" w:right="108" w:firstLine="14"/>
              <w:rPr>
                <w:color w:val="auto"/>
                <w:highlight w:val="none"/>
              </w:rPr>
            </w:pPr>
            <w:r>
              <w:rPr>
                <w:color w:val="auto"/>
                <w:spacing w:val="8"/>
                <w:highlight w:val="none"/>
              </w:rPr>
              <w:t>1、累计完成过不少于</w:t>
            </w:r>
            <w:r>
              <w:rPr>
                <w:color w:val="auto"/>
                <w:spacing w:val="-98"/>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91"/>
                <w:highlight w:val="none"/>
              </w:rPr>
              <w:t xml:space="preserve"> </w:t>
            </w:r>
            <w:r>
              <w:rPr>
                <w:color w:val="auto"/>
                <w:highlight w:val="none"/>
              </w:rPr>
              <w:t>km</w:t>
            </w:r>
            <w:r>
              <w:rPr>
                <w:color w:val="auto"/>
                <w:spacing w:val="-23"/>
                <w:highlight w:val="none"/>
              </w:rPr>
              <w:t xml:space="preserve"> </w:t>
            </w:r>
            <w:r>
              <w:rPr>
                <w:color w:val="auto"/>
                <w:spacing w:val="8"/>
                <w:highlight w:val="none"/>
              </w:rPr>
              <w:t>的类似工程路基施工监理任务</w:t>
            </w:r>
            <w:r>
              <w:rPr>
                <w:color w:val="auto"/>
                <w:spacing w:val="7"/>
                <w:highlight w:val="none"/>
              </w:rPr>
              <w:t>，其中至少</w:t>
            </w:r>
            <w:r>
              <w:rPr>
                <w:color w:val="auto"/>
                <w:spacing w:val="-21"/>
                <w:highlight w:val="none"/>
              </w:rPr>
              <w:t xml:space="preserve"> </w:t>
            </w:r>
            <w:r>
              <w:rPr>
                <w:color w:val="auto"/>
                <w:spacing w:val="7"/>
                <w:highlight w:val="none"/>
              </w:rPr>
              <w:t>1</w:t>
            </w:r>
            <w:r>
              <w:rPr>
                <w:color w:val="auto"/>
                <w:spacing w:val="-41"/>
                <w:highlight w:val="none"/>
              </w:rPr>
              <w:t xml:space="preserve"> </w:t>
            </w:r>
            <w:r>
              <w:rPr>
                <w:color w:val="auto"/>
                <w:spacing w:val="7"/>
                <w:highlight w:val="none"/>
              </w:rPr>
              <w:t>个标段里程不</w:t>
            </w:r>
            <w:r>
              <w:rPr>
                <w:color w:val="auto"/>
                <w:spacing w:val="4"/>
                <w:highlight w:val="none"/>
              </w:rPr>
              <w:t>少于</w:t>
            </w:r>
            <w:r>
              <w:rPr>
                <w:color w:val="auto"/>
                <w:spacing w:val="-99"/>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93"/>
                <w:highlight w:val="none"/>
              </w:rPr>
              <w:t xml:space="preserve"> </w:t>
            </w:r>
            <w:r>
              <w:rPr>
                <w:color w:val="auto"/>
                <w:highlight w:val="none"/>
              </w:rPr>
              <w:t>km</w:t>
            </w:r>
            <w:r>
              <w:rPr>
                <w:color w:val="auto"/>
                <w:spacing w:val="4"/>
                <w:highlight w:val="none"/>
              </w:rPr>
              <w:t>。</w:t>
            </w:r>
          </w:p>
          <w:p w14:paraId="6C36E8E5">
            <w:pPr>
              <w:pStyle w:val="17"/>
              <w:spacing w:before="159" w:line="303" w:lineRule="auto"/>
              <w:ind w:left="113" w:right="159" w:firstLine="1"/>
              <w:rPr>
                <w:color w:val="auto"/>
                <w:highlight w:val="none"/>
              </w:rPr>
            </w:pPr>
            <w:r>
              <w:rPr>
                <w:color w:val="auto"/>
                <w:spacing w:val="10"/>
                <w:highlight w:val="none"/>
              </w:rPr>
              <w:t>2、累计完成过不少于</w:t>
            </w:r>
            <w:r>
              <w:rPr>
                <w:color w:val="auto"/>
                <w:spacing w:val="-92"/>
                <w:highlight w:val="none"/>
              </w:rPr>
              <w:t xml:space="preserve"> </w:t>
            </w:r>
            <w:r>
              <w:rPr>
                <w:color w:val="auto"/>
                <w:spacing w:val="8"/>
                <w:highlight w:val="none"/>
                <w:u w:val="single" w:color="auto"/>
              </w:rPr>
              <w:t xml:space="preserve">  </w:t>
            </w:r>
            <w:r>
              <w:rPr>
                <w:rFonts w:hint="eastAsia"/>
                <w:color w:val="auto"/>
                <w:spacing w:val="8"/>
                <w:highlight w:val="none"/>
                <w:u w:val="single" w:color="auto"/>
                <w:lang w:val="en-US" w:eastAsia="zh-CN"/>
              </w:rPr>
              <w:t>/</w:t>
            </w:r>
            <w:r>
              <w:rPr>
                <w:color w:val="auto"/>
                <w:spacing w:val="8"/>
                <w:highlight w:val="none"/>
                <w:u w:val="single" w:color="auto"/>
              </w:rPr>
              <w:t xml:space="preserve">  </w:t>
            </w:r>
            <w:r>
              <w:rPr>
                <w:color w:val="auto"/>
                <w:spacing w:val="-93"/>
                <w:highlight w:val="none"/>
              </w:rPr>
              <w:t xml:space="preserve"> </w:t>
            </w:r>
            <w:r>
              <w:rPr>
                <w:color w:val="auto"/>
                <w:highlight w:val="none"/>
              </w:rPr>
              <w:t>km</w:t>
            </w:r>
            <w:r>
              <w:rPr>
                <w:color w:val="auto"/>
                <w:spacing w:val="-21"/>
                <w:highlight w:val="none"/>
              </w:rPr>
              <w:t xml:space="preserve"> </w:t>
            </w:r>
            <w:r>
              <w:rPr>
                <w:color w:val="auto"/>
                <w:spacing w:val="10"/>
                <w:highlight w:val="none"/>
              </w:rPr>
              <w:t>的类似工程</w:t>
            </w:r>
            <w:r>
              <w:rPr>
                <w:color w:val="auto"/>
                <w:spacing w:val="10"/>
                <w:highlight w:val="none"/>
                <w:u w:val="single" w:color="auto"/>
              </w:rPr>
              <w:t>沥青混凝土/水泥混凝土</w:t>
            </w:r>
            <w:r>
              <w:rPr>
                <w:color w:val="auto"/>
                <w:spacing w:val="10"/>
                <w:highlight w:val="none"/>
              </w:rPr>
              <w:t>路面施工监理任务，</w:t>
            </w:r>
            <w:r>
              <w:rPr>
                <w:color w:val="auto"/>
                <w:spacing w:val="5"/>
                <w:highlight w:val="none"/>
              </w:rPr>
              <w:t>其中至少</w:t>
            </w:r>
            <w:r>
              <w:rPr>
                <w:color w:val="auto"/>
                <w:spacing w:val="-10"/>
                <w:highlight w:val="none"/>
              </w:rPr>
              <w:t xml:space="preserve"> </w:t>
            </w:r>
            <w:r>
              <w:rPr>
                <w:color w:val="auto"/>
                <w:spacing w:val="5"/>
                <w:highlight w:val="none"/>
              </w:rPr>
              <w:t>1</w:t>
            </w:r>
            <w:r>
              <w:rPr>
                <w:color w:val="auto"/>
                <w:spacing w:val="-38"/>
                <w:highlight w:val="none"/>
              </w:rPr>
              <w:t xml:space="preserve"> </w:t>
            </w:r>
            <w:r>
              <w:rPr>
                <w:color w:val="auto"/>
                <w:spacing w:val="5"/>
                <w:highlight w:val="none"/>
              </w:rPr>
              <w:t>个标段里程不少于</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94"/>
                <w:highlight w:val="none"/>
              </w:rPr>
              <w:t xml:space="preserve"> </w:t>
            </w:r>
            <w:r>
              <w:rPr>
                <w:color w:val="auto"/>
                <w:highlight w:val="none"/>
              </w:rPr>
              <w:t>km</w:t>
            </w:r>
            <w:r>
              <w:rPr>
                <w:color w:val="auto"/>
                <w:spacing w:val="5"/>
                <w:highlight w:val="none"/>
              </w:rPr>
              <w:t>。</w:t>
            </w:r>
          </w:p>
          <w:p w14:paraId="4600BE17">
            <w:pPr>
              <w:pStyle w:val="17"/>
              <w:spacing w:before="129" w:line="317" w:lineRule="auto"/>
              <w:ind w:left="112" w:right="159" w:firstLine="4"/>
              <w:rPr>
                <w:color w:val="auto"/>
                <w:highlight w:val="none"/>
              </w:rPr>
            </w:pPr>
            <w:r>
              <w:rPr>
                <w:color w:val="auto"/>
                <w:spacing w:val="12"/>
                <w:highlight w:val="none"/>
              </w:rPr>
              <w:t>3、累计完成过不少于</w:t>
            </w:r>
            <w:r>
              <w:rPr>
                <w:color w:val="auto"/>
                <w:spacing w:val="-96"/>
                <w:highlight w:val="none"/>
              </w:rPr>
              <w:t xml:space="preserve"> </w:t>
            </w:r>
            <w:r>
              <w:rPr>
                <w:color w:val="auto"/>
                <w:spacing w:val="9"/>
                <w:highlight w:val="none"/>
                <w:u w:val="single" w:color="auto"/>
              </w:rPr>
              <w:t xml:space="preserve">  </w:t>
            </w:r>
            <w:r>
              <w:rPr>
                <w:rFonts w:hint="eastAsia"/>
                <w:color w:val="auto"/>
                <w:spacing w:val="9"/>
                <w:highlight w:val="none"/>
                <w:u w:val="single" w:color="auto"/>
                <w:lang w:val="en-US" w:eastAsia="zh-CN"/>
              </w:rPr>
              <w:t>/</w:t>
            </w:r>
            <w:r>
              <w:rPr>
                <w:color w:val="auto"/>
                <w:spacing w:val="9"/>
                <w:highlight w:val="none"/>
                <w:u w:val="single" w:color="auto"/>
              </w:rPr>
              <w:t xml:space="preserve">  </w:t>
            </w:r>
            <w:r>
              <w:rPr>
                <w:color w:val="auto"/>
                <w:spacing w:val="-89"/>
                <w:highlight w:val="none"/>
              </w:rPr>
              <w:t xml:space="preserve"> </w:t>
            </w:r>
            <w:r>
              <w:rPr>
                <w:color w:val="auto"/>
                <w:spacing w:val="12"/>
                <w:highlight w:val="none"/>
              </w:rPr>
              <w:t>座的类似工程</w:t>
            </w:r>
            <w:r>
              <w:rPr>
                <w:color w:val="auto"/>
                <w:spacing w:val="12"/>
                <w:highlight w:val="none"/>
                <w:u w:val="single" w:color="auto"/>
              </w:rPr>
              <w:t>（桥梁规模</w:t>
            </w:r>
            <w:r>
              <w:rPr>
                <w:color w:val="auto"/>
                <w:spacing w:val="-5"/>
                <w:highlight w:val="none"/>
                <w:u w:val="single" w:color="auto"/>
              </w:rPr>
              <w:t>）</w:t>
            </w:r>
            <w:r>
              <w:rPr>
                <w:color w:val="auto"/>
                <w:spacing w:val="-75"/>
                <w:highlight w:val="none"/>
                <w:u w:val="single" w:color="auto"/>
              </w:rPr>
              <w:t xml:space="preserve"> </w:t>
            </w:r>
            <w:r>
              <w:rPr>
                <w:color w:val="auto"/>
                <w:spacing w:val="-5"/>
                <w:highlight w:val="none"/>
                <w:u w:val="single" w:color="auto"/>
              </w:rPr>
              <w:t>（</w:t>
            </w:r>
            <w:r>
              <w:rPr>
                <w:color w:val="auto"/>
                <w:spacing w:val="12"/>
                <w:highlight w:val="none"/>
                <w:u w:val="single" w:color="auto"/>
              </w:rPr>
              <w:t>桥梁类型）</w:t>
            </w:r>
            <w:r>
              <w:rPr>
                <w:color w:val="auto"/>
                <w:spacing w:val="12"/>
                <w:highlight w:val="none"/>
              </w:rPr>
              <w:t>施工监理任务，</w:t>
            </w:r>
            <w:r>
              <w:rPr>
                <w:color w:val="auto"/>
                <w:spacing w:val="7"/>
                <w:highlight w:val="none"/>
              </w:rPr>
              <w:t>且至少有一座桥梁主孔跨径不小于</w:t>
            </w:r>
            <w:r>
              <w:rPr>
                <w:color w:val="auto"/>
                <w:spacing w:val="7"/>
                <w:highlight w:val="none"/>
                <w:u w:val="single" w:color="auto"/>
              </w:rPr>
              <w:t xml:space="preserve">   </w:t>
            </w:r>
            <w:r>
              <w:rPr>
                <w:rFonts w:hint="eastAsia"/>
                <w:color w:val="auto"/>
                <w:spacing w:val="7"/>
                <w:highlight w:val="none"/>
                <w:u w:val="single" w:color="auto"/>
                <w:lang w:val="en-US" w:eastAsia="zh-CN"/>
              </w:rPr>
              <w:t>/</w:t>
            </w:r>
            <w:r>
              <w:rPr>
                <w:color w:val="auto"/>
                <w:spacing w:val="7"/>
                <w:highlight w:val="none"/>
                <w:u w:val="single" w:color="auto"/>
              </w:rPr>
              <w:t xml:space="preserve">  </w:t>
            </w:r>
            <w:r>
              <w:rPr>
                <w:color w:val="auto"/>
                <w:spacing w:val="-85"/>
                <w:highlight w:val="none"/>
              </w:rPr>
              <w:t xml:space="preserve"> </w:t>
            </w:r>
            <w:r>
              <w:rPr>
                <w:color w:val="auto"/>
                <w:spacing w:val="7"/>
                <w:highlight w:val="none"/>
              </w:rPr>
              <w:t>m。</w:t>
            </w:r>
          </w:p>
          <w:p w14:paraId="431BB5DF">
            <w:pPr>
              <w:pStyle w:val="17"/>
              <w:spacing w:before="132" w:line="317" w:lineRule="auto"/>
              <w:ind w:left="113" w:right="108" w:hanging="2"/>
              <w:rPr>
                <w:color w:val="auto"/>
                <w:highlight w:val="none"/>
              </w:rPr>
            </w:pPr>
            <w:r>
              <w:rPr>
                <w:color w:val="auto"/>
                <w:spacing w:val="14"/>
                <w:highlight w:val="none"/>
              </w:rPr>
              <w:t>4、累计完成过不少于</w:t>
            </w:r>
            <w:r>
              <w:rPr>
                <w:color w:val="auto"/>
                <w:spacing w:val="-94"/>
                <w:highlight w:val="none"/>
              </w:rPr>
              <w:t xml:space="preserve"> </w:t>
            </w:r>
            <w:r>
              <w:rPr>
                <w:color w:val="auto"/>
                <w:spacing w:val="9"/>
                <w:highlight w:val="none"/>
                <w:u w:val="single" w:color="auto"/>
              </w:rPr>
              <w:t xml:space="preserve"> </w:t>
            </w:r>
            <w:r>
              <w:rPr>
                <w:rFonts w:hint="eastAsia"/>
                <w:color w:val="auto"/>
                <w:spacing w:val="9"/>
                <w:highlight w:val="none"/>
                <w:u w:val="single" w:color="auto"/>
                <w:lang w:val="en-US" w:eastAsia="zh-CN"/>
              </w:rPr>
              <w:t>/</w:t>
            </w:r>
            <w:r>
              <w:rPr>
                <w:color w:val="auto"/>
                <w:spacing w:val="9"/>
                <w:highlight w:val="none"/>
                <w:u w:val="single" w:color="auto"/>
              </w:rPr>
              <w:t xml:space="preserve"> </w:t>
            </w:r>
            <w:r>
              <w:rPr>
                <w:color w:val="auto"/>
                <w:spacing w:val="-89"/>
                <w:highlight w:val="none"/>
              </w:rPr>
              <w:t xml:space="preserve"> </w:t>
            </w:r>
            <w:r>
              <w:rPr>
                <w:color w:val="auto"/>
                <w:spacing w:val="14"/>
                <w:highlight w:val="none"/>
              </w:rPr>
              <w:t>座类似工程</w:t>
            </w:r>
            <w:r>
              <w:rPr>
                <w:color w:val="auto"/>
                <w:spacing w:val="14"/>
                <w:highlight w:val="none"/>
                <w:u w:val="single" w:color="auto"/>
              </w:rPr>
              <w:t>（隧道规模</w:t>
            </w:r>
            <w:r>
              <w:rPr>
                <w:color w:val="auto"/>
                <w:spacing w:val="-10"/>
                <w:highlight w:val="none"/>
                <w:u w:val="single" w:color="auto"/>
              </w:rPr>
              <w:t>）</w:t>
            </w:r>
            <w:r>
              <w:rPr>
                <w:color w:val="auto"/>
                <w:spacing w:val="-74"/>
                <w:highlight w:val="none"/>
                <w:u w:val="single" w:color="auto"/>
              </w:rPr>
              <w:t xml:space="preserve"> </w:t>
            </w:r>
            <w:r>
              <w:rPr>
                <w:color w:val="auto"/>
                <w:spacing w:val="-10"/>
                <w:highlight w:val="none"/>
                <w:u w:val="single" w:color="auto"/>
              </w:rPr>
              <w:t>（</w:t>
            </w:r>
            <w:r>
              <w:rPr>
                <w:color w:val="auto"/>
                <w:spacing w:val="14"/>
                <w:highlight w:val="none"/>
                <w:u w:val="single" w:color="auto"/>
              </w:rPr>
              <w:t>隧道类型）</w:t>
            </w:r>
            <w:r>
              <w:rPr>
                <w:color w:val="auto"/>
                <w:spacing w:val="14"/>
                <w:highlight w:val="none"/>
              </w:rPr>
              <w:t>隧道工程施工监理任</w:t>
            </w:r>
            <w:r>
              <w:rPr>
                <w:color w:val="auto"/>
                <w:spacing w:val="9"/>
                <w:highlight w:val="none"/>
              </w:rPr>
              <w:t>务，且至少有一座隧道单洞累计（即左洞加右洞）长度不</w:t>
            </w:r>
            <w:r>
              <w:rPr>
                <w:color w:val="auto"/>
                <w:spacing w:val="8"/>
                <w:highlight w:val="none"/>
              </w:rPr>
              <w:t>少于</w:t>
            </w:r>
            <w:r>
              <w:rPr>
                <w:color w:val="auto"/>
                <w:spacing w:val="-98"/>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97"/>
                <w:highlight w:val="none"/>
              </w:rPr>
              <w:t xml:space="preserve"> </w:t>
            </w:r>
            <w:r>
              <w:rPr>
                <w:color w:val="auto"/>
                <w:spacing w:val="8"/>
                <w:highlight w:val="none"/>
              </w:rPr>
              <w:t>m。</w:t>
            </w:r>
          </w:p>
          <w:p w14:paraId="6958D357">
            <w:pPr>
              <w:pStyle w:val="17"/>
              <w:spacing w:before="162" w:line="302" w:lineRule="auto"/>
              <w:ind w:left="113" w:right="122" w:firstLine="3"/>
              <w:rPr>
                <w:color w:val="auto"/>
                <w:highlight w:val="none"/>
              </w:rPr>
            </w:pPr>
            <w:r>
              <w:rPr>
                <w:color w:val="auto"/>
                <w:spacing w:val="7"/>
                <w:highlight w:val="none"/>
              </w:rPr>
              <w:t>5、累计完成过不少于</w:t>
            </w:r>
            <w:r>
              <w:rPr>
                <w:color w:val="auto"/>
                <w:spacing w:val="7"/>
                <w:highlight w:val="none"/>
                <w:u w:val="single" w:color="auto"/>
              </w:rPr>
              <w:t xml:space="preserve">  </w:t>
            </w:r>
            <w:r>
              <w:rPr>
                <w:rFonts w:hint="eastAsia"/>
                <w:color w:val="auto"/>
                <w:spacing w:val="7"/>
                <w:highlight w:val="none"/>
                <w:u w:val="single" w:color="auto"/>
                <w:lang w:val="en-US" w:eastAsia="zh-CN"/>
              </w:rPr>
              <w:t>/</w:t>
            </w:r>
            <w:r>
              <w:rPr>
                <w:color w:val="auto"/>
                <w:spacing w:val="7"/>
                <w:highlight w:val="none"/>
                <w:u w:val="single" w:color="auto"/>
              </w:rPr>
              <w:t xml:space="preserve">  </w:t>
            </w:r>
            <w:r>
              <w:rPr>
                <w:color w:val="auto"/>
                <w:spacing w:val="-79"/>
                <w:highlight w:val="none"/>
              </w:rPr>
              <w:t xml:space="preserve"> </w:t>
            </w:r>
            <w:r>
              <w:rPr>
                <w:color w:val="auto"/>
                <w:highlight w:val="none"/>
              </w:rPr>
              <w:t>km</w:t>
            </w:r>
            <w:r>
              <w:rPr>
                <w:color w:val="auto"/>
                <w:spacing w:val="-24"/>
                <w:highlight w:val="none"/>
              </w:rPr>
              <w:t xml:space="preserve"> </w:t>
            </w:r>
            <w:r>
              <w:rPr>
                <w:color w:val="auto"/>
                <w:spacing w:val="7"/>
                <w:highlight w:val="none"/>
              </w:rPr>
              <w:t>的类似工程交通安全设施施工监理任务，其中至少</w:t>
            </w:r>
            <w:r>
              <w:rPr>
                <w:color w:val="auto"/>
                <w:spacing w:val="-21"/>
                <w:highlight w:val="none"/>
              </w:rPr>
              <w:t xml:space="preserve"> </w:t>
            </w:r>
            <w:r>
              <w:rPr>
                <w:color w:val="auto"/>
                <w:spacing w:val="7"/>
                <w:highlight w:val="none"/>
              </w:rPr>
              <w:t>1</w:t>
            </w:r>
            <w:r>
              <w:rPr>
                <w:color w:val="auto"/>
                <w:spacing w:val="-38"/>
                <w:highlight w:val="none"/>
              </w:rPr>
              <w:t xml:space="preserve"> </w:t>
            </w:r>
            <w:r>
              <w:rPr>
                <w:color w:val="auto"/>
                <w:spacing w:val="7"/>
                <w:highlight w:val="none"/>
              </w:rPr>
              <w:t>个标段里程不少于</w:t>
            </w:r>
            <w:r>
              <w:rPr>
                <w:color w:val="auto"/>
                <w:spacing w:val="-96"/>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93"/>
                <w:highlight w:val="none"/>
              </w:rPr>
              <w:t xml:space="preserve"> </w:t>
            </w:r>
            <w:r>
              <w:rPr>
                <w:color w:val="auto"/>
                <w:highlight w:val="none"/>
              </w:rPr>
              <w:t>km</w:t>
            </w:r>
            <w:r>
              <w:rPr>
                <w:color w:val="auto"/>
                <w:spacing w:val="7"/>
                <w:highlight w:val="none"/>
              </w:rPr>
              <w:t>。</w:t>
            </w:r>
          </w:p>
          <w:p w14:paraId="695EE2AF">
            <w:pPr>
              <w:pStyle w:val="17"/>
              <w:spacing w:before="161" w:line="303" w:lineRule="auto"/>
              <w:ind w:left="117" w:right="542" w:hanging="3"/>
              <w:rPr>
                <w:color w:val="auto"/>
                <w:highlight w:val="none"/>
              </w:rPr>
            </w:pPr>
            <w:r>
              <w:rPr>
                <w:color w:val="auto"/>
                <w:spacing w:val="8"/>
                <w:highlight w:val="none"/>
              </w:rPr>
              <w:t>6、累计完成过不少于</w:t>
            </w:r>
            <w:r>
              <w:rPr>
                <w:color w:val="auto"/>
                <w:spacing w:val="8"/>
                <w:highlight w:val="none"/>
                <w:u w:val="single" w:color="auto"/>
              </w:rPr>
              <w:t xml:space="preserve">  </w:t>
            </w:r>
            <w:r>
              <w:rPr>
                <w:rFonts w:hint="eastAsia"/>
                <w:color w:val="auto"/>
                <w:spacing w:val="8"/>
                <w:highlight w:val="none"/>
                <w:u w:val="single" w:color="auto"/>
                <w:lang w:val="en-US" w:eastAsia="zh-CN"/>
              </w:rPr>
              <w:t>/</w:t>
            </w:r>
            <w:r>
              <w:rPr>
                <w:color w:val="auto"/>
                <w:spacing w:val="8"/>
                <w:highlight w:val="none"/>
                <w:u w:val="single" w:color="auto"/>
              </w:rPr>
              <w:t xml:space="preserve">  </w:t>
            </w:r>
            <w:r>
              <w:rPr>
                <w:color w:val="auto"/>
                <w:spacing w:val="-79"/>
                <w:highlight w:val="none"/>
              </w:rPr>
              <w:t xml:space="preserve"> </w:t>
            </w:r>
            <w:r>
              <w:rPr>
                <w:color w:val="auto"/>
                <w:highlight w:val="none"/>
              </w:rPr>
              <w:t>km</w:t>
            </w:r>
            <w:r>
              <w:rPr>
                <w:color w:val="auto"/>
                <w:spacing w:val="-23"/>
                <w:highlight w:val="none"/>
              </w:rPr>
              <w:t xml:space="preserve"> </w:t>
            </w:r>
            <w:r>
              <w:rPr>
                <w:color w:val="auto"/>
                <w:spacing w:val="8"/>
                <w:highlight w:val="none"/>
              </w:rPr>
              <w:t>的类似工程机电三大系统</w:t>
            </w:r>
            <w:r>
              <w:rPr>
                <w:color w:val="auto"/>
                <w:spacing w:val="8"/>
                <w:highlight w:val="none"/>
                <w:u w:val="single" w:color="auto"/>
              </w:rPr>
              <w:t>（须含通信、监控、收费系</w:t>
            </w:r>
            <w:r>
              <w:rPr>
                <w:color w:val="auto"/>
                <w:spacing w:val="6"/>
                <w:highlight w:val="none"/>
                <w:u w:val="single" w:color="auto"/>
              </w:rPr>
              <w:t>统.....）</w:t>
            </w:r>
            <w:r>
              <w:rPr>
                <w:color w:val="auto"/>
                <w:spacing w:val="6"/>
                <w:highlight w:val="none"/>
              </w:rPr>
              <w:t>工程施工监理任务，其中至少</w:t>
            </w:r>
            <w:r>
              <w:rPr>
                <w:color w:val="auto"/>
                <w:spacing w:val="-16"/>
                <w:highlight w:val="none"/>
              </w:rPr>
              <w:t xml:space="preserve"> </w:t>
            </w:r>
            <w:r>
              <w:rPr>
                <w:color w:val="auto"/>
                <w:spacing w:val="6"/>
                <w:highlight w:val="none"/>
              </w:rPr>
              <w:t>1</w:t>
            </w:r>
            <w:r>
              <w:rPr>
                <w:color w:val="auto"/>
                <w:spacing w:val="-38"/>
                <w:highlight w:val="none"/>
              </w:rPr>
              <w:t xml:space="preserve"> </w:t>
            </w:r>
            <w:r>
              <w:rPr>
                <w:color w:val="auto"/>
                <w:spacing w:val="6"/>
                <w:highlight w:val="none"/>
              </w:rPr>
              <w:t>个标段里程不少于</w:t>
            </w:r>
            <w:r>
              <w:rPr>
                <w:color w:val="auto"/>
                <w:spacing w:val="-97"/>
                <w:highlight w:val="none"/>
              </w:rPr>
              <w:t xml:space="preserve"> </w:t>
            </w:r>
            <w:r>
              <w:rPr>
                <w:color w:val="auto"/>
                <w:spacing w:val="4"/>
                <w:highlight w:val="none"/>
                <w:u w:val="single" w:color="auto"/>
              </w:rPr>
              <w:t xml:space="preserve">  </w:t>
            </w:r>
            <w:r>
              <w:rPr>
                <w:rFonts w:hint="eastAsia"/>
                <w:color w:val="auto"/>
                <w:spacing w:val="4"/>
                <w:highlight w:val="none"/>
                <w:u w:val="single" w:color="auto"/>
                <w:lang w:val="en-US" w:eastAsia="zh-CN"/>
              </w:rPr>
              <w:t>/</w:t>
            </w:r>
            <w:r>
              <w:rPr>
                <w:color w:val="auto"/>
                <w:spacing w:val="4"/>
                <w:highlight w:val="none"/>
                <w:u w:val="single" w:color="auto"/>
              </w:rPr>
              <w:t xml:space="preserve">   </w:t>
            </w:r>
            <w:r>
              <w:rPr>
                <w:color w:val="auto"/>
                <w:spacing w:val="-91"/>
                <w:highlight w:val="none"/>
              </w:rPr>
              <w:t xml:space="preserve"> </w:t>
            </w:r>
            <w:r>
              <w:rPr>
                <w:color w:val="auto"/>
                <w:highlight w:val="none"/>
              </w:rPr>
              <w:t>km</w:t>
            </w:r>
            <w:r>
              <w:rPr>
                <w:color w:val="auto"/>
                <w:spacing w:val="-16"/>
                <w:highlight w:val="none"/>
              </w:rPr>
              <w:t xml:space="preserve"> </w:t>
            </w:r>
            <w:r>
              <w:rPr>
                <w:color w:val="auto"/>
                <w:spacing w:val="6"/>
                <w:highlight w:val="none"/>
              </w:rPr>
              <w:t>以上。</w:t>
            </w:r>
          </w:p>
          <w:p w14:paraId="0C5D892B">
            <w:pPr>
              <w:pStyle w:val="17"/>
              <w:spacing w:before="129" w:line="372" w:lineRule="auto"/>
              <w:ind w:left="117"/>
              <w:rPr>
                <w:color w:val="auto"/>
                <w:highlight w:val="none"/>
              </w:rPr>
            </w:pPr>
            <w:r>
              <w:rPr>
                <w:color w:val="auto"/>
                <w:spacing w:val="8"/>
                <w:highlight w:val="none"/>
              </w:rPr>
              <w:t>7、类似工程枢纽/一般互通式立交施工监理不少于</w:t>
            </w:r>
            <w:r>
              <w:rPr>
                <w:color w:val="auto"/>
                <w:spacing w:val="-98"/>
                <w:highlight w:val="none"/>
              </w:rPr>
              <w:t xml:space="preserve"> </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87"/>
                <w:highlight w:val="none"/>
              </w:rPr>
              <w:t xml:space="preserve"> </w:t>
            </w:r>
            <w:r>
              <w:rPr>
                <w:color w:val="auto"/>
                <w:spacing w:val="7"/>
                <w:highlight w:val="none"/>
              </w:rPr>
              <w:t>处。</w:t>
            </w:r>
          </w:p>
        </w:tc>
      </w:tr>
    </w:tbl>
    <w:p w14:paraId="2B1CD6CE">
      <w:pPr>
        <w:spacing w:before="31" w:line="232" w:lineRule="auto"/>
        <w:ind w:left="117"/>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3AE50D55">
      <w:pPr>
        <w:spacing w:before="156" w:line="227" w:lineRule="auto"/>
        <w:ind w:left="55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1、本附录所要求的业绩仅限中华人民共和国境内业绩。</w:t>
      </w:r>
    </w:p>
    <w:p w14:paraId="240C5E84">
      <w:pPr>
        <w:spacing w:before="164" w:line="228" w:lineRule="auto"/>
        <w:ind w:left="5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2、同一工程项目同时满足</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2</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项或多项业绩要求条件的，可分别计；</w:t>
      </w:r>
    </w:p>
    <w:p w14:paraId="5DE37887">
      <w:pPr>
        <w:spacing w:before="160" w:line="302" w:lineRule="auto"/>
        <w:ind w:left="117" w:right="111" w:firstLine="42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3、本表要求业绩指由投标人承接并完成的业绩,投标人上级单位（如总公司、集团公司等）的</w:t>
      </w:r>
      <w:r>
        <w:rPr>
          <w:rFonts w:ascii="宋体" w:hAnsi="宋体" w:eastAsia="宋体" w:cs="宋体"/>
          <w:color w:val="auto"/>
          <w:spacing w:val="9"/>
          <w:sz w:val="20"/>
          <w:szCs w:val="20"/>
          <w:highlight w:val="none"/>
        </w:rPr>
        <w:t>业绩和投标人具备独立法人资格的下属机构的业绩均不予认定。</w:t>
      </w:r>
    </w:p>
    <w:p w14:paraId="7C558B46">
      <w:pPr>
        <w:spacing w:before="160" w:line="302" w:lineRule="auto"/>
        <w:ind w:left="117" w:right="111" w:firstLine="425"/>
        <w:rPr>
          <w:rFonts w:ascii="宋体" w:hAnsi="宋体" w:eastAsia="宋体" w:cs="宋体"/>
          <w:color w:val="auto"/>
          <w:spacing w:val="9"/>
          <w:sz w:val="20"/>
          <w:szCs w:val="20"/>
          <w:highlight w:val="none"/>
        </w:rPr>
      </w:pPr>
      <w:r>
        <w:rPr>
          <w:rFonts w:ascii="宋体" w:hAnsi="宋体" w:eastAsia="宋体" w:cs="宋体"/>
          <w:color w:val="auto"/>
          <w:spacing w:val="9"/>
          <w:sz w:val="20"/>
          <w:szCs w:val="20"/>
          <w:highlight w:val="none"/>
        </w:rPr>
        <w:t>4、若投标人提供的业绩证明为联合体业绩，则按投标人须知 3.5.2 项要求的证明材料体现其完成的相关专项工程的工程量认定，无法界定其完成的相关专项工程的工程量，此业绩不予认定。</w:t>
      </w:r>
    </w:p>
    <w:p w14:paraId="18FFC0B7">
      <w:pPr>
        <w:spacing w:before="160" w:line="302" w:lineRule="auto"/>
        <w:ind w:left="117" w:right="111" w:firstLine="425"/>
        <w:rPr>
          <w:rFonts w:ascii="宋体" w:hAnsi="宋体" w:eastAsia="宋体" w:cs="宋体"/>
          <w:color w:val="auto"/>
          <w:spacing w:val="9"/>
          <w:sz w:val="20"/>
          <w:szCs w:val="20"/>
          <w:highlight w:val="none"/>
        </w:rPr>
      </w:pPr>
      <w:r>
        <w:rPr>
          <w:rFonts w:ascii="宋体" w:hAnsi="宋体" w:eastAsia="宋体" w:cs="宋体"/>
          <w:color w:val="auto"/>
          <w:spacing w:val="9"/>
          <w:sz w:val="20"/>
          <w:szCs w:val="20"/>
          <w:highlight w:val="none"/>
        </w:rPr>
        <w:t>5、若为联合体投标 ， 投标人业绩的资格审查条件和加分条件（如有） 的认定原则如下</w:t>
      </w:r>
    </w:p>
    <w:p w14:paraId="24ECE884">
      <w:pPr>
        <w:spacing w:before="160" w:line="302" w:lineRule="auto"/>
        <w:ind w:left="117" w:right="111" w:firstLine="425"/>
        <w:rPr>
          <w:rFonts w:ascii="宋体" w:hAnsi="宋体" w:eastAsia="宋体" w:cs="宋体"/>
          <w:color w:val="auto"/>
          <w:spacing w:val="9"/>
          <w:sz w:val="20"/>
          <w:szCs w:val="20"/>
          <w:highlight w:val="none"/>
        </w:rPr>
      </w:pPr>
      <w:r>
        <w:rPr>
          <w:rFonts w:ascii="宋体" w:hAnsi="宋体" w:eastAsia="宋体" w:cs="宋体"/>
          <w:color w:val="auto"/>
          <w:spacing w:val="9"/>
          <w:sz w:val="20"/>
          <w:szCs w:val="20"/>
          <w:highlight w:val="none"/>
        </w:rPr>
        <w:t xml:space="preserve"> ：</w:t>
      </w:r>
      <w:r>
        <w:rPr>
          <w:rFonts w:ascii="宋体" w:hAnsi="宋体" w:eastAsia="宋体" w:cs="宋体"/>
          <w:color w:val="auto"/>
          <w:spacing w:val="9"/>
          <w:sz w:val="20"/>
          <w:szCs w:val="20"/>
          <w:highlight w:val="none"/>
          <w:u w:val="single"/>
        </w:rPr>
        <w:t xml:space="preserve">     </w:t>
      </w:r>
      <w:r>
        <w:rPr>
          <w:rFonts w:hint="eastAsia" w:ascii="宋体" w:hAnsi="宋体" w:eastAsia="宋体" w:cs="宋体"/>
          <w:color w:val="auto"/>
          <w:spacing w:val="9"/>
          <w:sz w:val="20"/>
          <w:szCs w:val="20"/>
          <w:highlight w:val="none"/>
          <w:u w:val="single"/>
          <w:lang w:val="en-US" w:eastAsia="zh-CN"/>
        </w:rPr>
        <w:t>/</w:t>
      </w:r>
      <w:r>
        <w:rPr>
          <w:rFonts w:ascii="宋体" w:hAnsi="宋体" w:eastAsia="宋体" w:cs="宋体"/>
          <w:color w:val="auto"/>
          <w:spacing w:val="9"/>
          <w:sz w:val="20"/>
          <w:szCs w:val="20"/>
          <w:highlight w:val="none"/>
          <w:u w:val="single"/>
        </w:rPr>
        <w:t xml:space="preserve">     </w:t>
      </w:r>
      <w:r>
        <w:rPr>
          <w:rFonts w:ascii="宋体" w:hAnsi="宋体" w:eastAsia="宋体" w:cs="宋体"/>
          <w:color w:val="auto"/>
          <w:spacing w:val="9"/>
          <w:sz w:val="20"/>
          <w:szCs w:val="20"/>
          <w:highlight w:val="none"/>
        </w:rPr>
        <w:t>。</w:t>
      </w:r>
    </w:p>
    <w:p w14:paraId="6DA6C45F">
      <w:pPr>
        <w:spacing w:line="259" w:lineRule="auto"/>
        <w:rPr>
          <w:rFonts w:ascii="Arial"/>
          <w:color w:val="auto"/>
          <w:sz w:val="21"/>
          <w:highlight w:val="none"/>
        </w:rPr>
      </w:pPr>
    </w:p>
    <w:p w14:paraId="06803256">
      <w:pPr>
        <w:spacing w:line="259" w:lineRule="auto"/>
        <w:rPr>
          <w:rFonts w:ascii="Arial"/>
          <w:color w:val="auto"/>
          <w:sz w:val="21"/>
          <w:highlight w:val="none"/>
        </w:rPr>
      </w:pPr>
    </w:p>
    <w:p w14:paraId="3B16E5CC">
      <w:pPr>
        <w:spacing w:line="259" w:lineRule="auto"/>
        <w:rPr>
          <w:rFonts w:ascii="Arial"/>
          <w:color w:val="auto"/>
          <w:sz w:val="21"/>
          <w:highlight w:val="none"/>
        </w:rPr>
      </w:pPr>
    </w:p>
    <w:p w14:paraId="6082DEC8">
      <w:pPr>
        <w:spacing w:line="259" w:lineRule="auto"/>
        <w:rPr>
          <w:rFonts w:ascii="Arial"/>
          <w:color w:val="auto"/>
          <w:sz w:val="21"/>
          <w:highlight w:val="none"/>
        </w:rPr>
      </w:pPr>
    </w:p>
    <w:p w14:paraId="0CEF7D95">
      <w:pPr>
        <w:spacing w:line="259" w:lineRule="auto"/>
        <w:rPr>
          <w:rFonts w:ascii="Arial"/>
          <w:color w:val="auto"/>
          <w:sz w:val="21"/>
          <w:highlight w:val="none"/>
        </w:rPr>
      </w:pPr>
    </w:p>
    <w:p w14:paraId="2D05F8A0">
      <w:pPr>
        <w:spacing w:line="259" w:lineRule="auto"/>
        <w:rPr>
          <w:rFonts w:ascii="Arial"/>
          <w:color w:val="auto"/>
          <w:sz w:val="21"/>
          <w:highlight w:val="none"/>
        </w:rPr>
      </w:pPr>
    </w:p>
    <w:p w14:paraId="0CE4389B">
      <w:pPr>
        <w:spacing w:line="259" w:lineRule="auto"/>
        <w:rPr>
          <w:rFonts w:ascii="Arial"/>
          <w:color w:val="auto"/>
          <w:sz w:val="21"/>
          <w:highlight w:val="none"/>
        </w:rPr>
      </w:pPr>
    </w:p>
    <w:p w14:paraId="1E5D9614">
      <w:pPr>
        <w:spacing w:line="259" w:lineRule="auto"/>
        <w:rPr>
          <w:rFonts w:ascii="Arial"/>
          <w:color w:val="auto"/>
          <w:sz w:val="21"/>
          <w:highlight w:val="none"/>
        </w:rPr>
      </w:pPr>
    </w:p>
    <w:p w14:paraId="78C62589">
      <w:pPr>
        <w:spacing w:line="259" w:lineRule="auto"/>
        <w:rPr>
          <w:rFonts w:ascii="Arial"/>
          <w:color w:val="auto"/>
          <w:sz w:val="21"/>
          <w:highlight w:val="none"/>
        </w:rPr>
      </w:pPr>
    </w:p>
    <w:p w14:paraId="3E0EF47C">
      <w:pPr>
        <w:spacing w:line="260" w:lineRule="auto"/>
        <w:rPr>
          <w:rFonts w:ascii="Arial"/>
          <w:color w:val="auto"/>
          <w:sz w:val="21"/>
          <w:highlight w:val="none"/>
        </w:rPr>
      </w:pPr>
    </w:p>
    <w:p w14:paraId="555D480D">
      <w:pPr>
        <w:spacing w:line="260" w:lineRule="auto"/>
        <w:rPr>
          <w:rFonts w:ascii="Arial"/>
          <w:color w:val="auto"/>
          <w:sz w:val="21"/>
          <w:highlight w:val="none"/>
        </w:rPr>
      </w:pPr>
    </w:p>
    <w:p w14:paraId="0D6A9DF3">
      <w:pPr>
        <w:spacing w:line="229" w:lineRule="auto"/>
        <w:rPr>
          <w:rFonts w:ascii="宋体" w:hAnsi="宋体" w:eastAsia="宋体" w:cs="宋体"/>
          <w:color w:val="auto"/>
          <w:sz w:val="18"/>
          <w:szCs w:val="18"/>
          <w:highlight w:val="none"/>
        </w:rPr>
        <w:sectPr>
          <w:footerReference r:id="rId24" w:type="default"/>
          <w:pgSz w:w="11906" w:h="16839"/>
          <w:pgMar w:top="1416" w:right="1306" w:bottom="1297" w:left="1306" w:header="0" w:footer="1067" w:gutter="0"/>
          <w:pgNumType w:fmt="decimal"/>
          <w:cols w:space="720" w:num="1"/>
        </w:sectPr>
      </w:pPr>
    </w:p>
    <w:p w14:paraId="0D9A8C37">
      <w:pPr>
        <w:spacing w:before="128" w:line="219" w:lineRule="auto"/>
        <w:ind w:left="2186"/>
        <w:outlineLvl w:val="1"/>
        <w:rPr>
          <w:rFonts w:ascii="宋体" w:hAnsi="宋体" w:eastAsia="宋体" w:cs="宋体"/>
          <w:b/>
          <w:bCs/>
          <w:color w:val="auto"/>
          <w:spacing w:val="-6"/>
          <w:sz w:val="28"/>
          <w:szCs w:val="28"/>
          <w:highlight w:val="none"/>
        </w:rPr>
      </w:pPr>
      <w:bookmarkStart w:id="43" w:name="bookmark90"/>
      <w:bookmarkEnd w:id="43"/>
      <w:bookmarkStart w:id="44" w:name="_Toc8917"/>
      <w:bookmarkStart w:id="45" w:name="_Toc20951"/>
      <w:r>
        <w:rPr>
          <w:rFonts w:ascii="宋体" w:hAnsi="宋体" w:eastAsia="宋体" w:cs="宋体"/>
          <w:b/>
          <w:bCs/>
          <w:color w:val="auto"/>
          <w:spacing w:val="-6"/>
          <w:sz w:val="28"/>
          <w:szCs w:val="28"/>
          <w:highlight w:val="none"/>
        </w:rPr>
        <w:t>附录 3  资格审查条件（信誉最低要求）</w:t>
      </w:r>
      <w:bookmarkEnd w:id="44"/>
      <w:bookmarkEnd w:id="45"/>
    </w:p>
    <w:p w14:paraId="7E14A697">
      <w:pPr>
        <w:spacing w:before="294" w:line="220" w:lineRule="auto"/>
        <w:ind w:left="12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标段：</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p>
    <w:p w14:paraId="6945F2AD">
      <w:pPr>
        <w:spacing w:line="146" w:lineRule="exact"/>
        <w:rPr>
          <w:color w:val="auto"/>
          <w:highlight w:val="none"/>
        </w:rPr>
      </w:pPr>
    </w:p>
    <w:tbl>
      <w:tblPr>
        <w:tblStyle w:val="1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2"/>
      </w:tblGrid>
      <w:tr w14:paraId="6EB6C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9292" w:type="dxa"/>
            <w:vAlign w:val="top"/>
          </w:tcPr>
          <w:p w14:paraId="6F7F508B">
            <w:pPr>
              <w:spacing w:line="383" w:lineRule="auto"/>
              <w:rPr>
                <w:rFonts w:ascii="Arial"/>
                <w:color w:val="auto"/>
                <w:sz w:val="21"/>
                <w:highlight w:val="none"/>
              </w:rPr>
            </w:pPr>
          </w:p>
          <w:p w14:paraId="5B5FB0AC">
            <w:pPr>
              <w:pStyle w:val="17"/>
              <w:spacing w:before="65" w:line="227" w:lineRule="auto"/>
              <w:ind w:left="4072"/>
              <w:rPr>
                <w:color w:val="auto"/>
                <w:highlight w:val="none"/>
              </w:rPr>
            </w:pPr>
            <w:r>
              <w:rPr>
                <w:b/>
                <w:bCs/>
                <w:color w:val="auto"/>
                <w:spacing w:val="-2"/>
                <w:highlight w:val="none"/>
              </w:rPr>
              <w:t>信</w:t>
            </w:r>
            <w:r>
              <w:rPr>
                <w:color w:val="auto"/>
                <w:spacing w:val="13"/>
                <w:highlight w:val="none"/>
              </w:rPr>
              <w:t xml:space="preserve"> </w:t>
            </w:r>
            <w:r>
              <w:rPr>
                <w:b/>
                <w:bCs/>
                <w:color w:val="auto"/>
                <w:spacing w:val="-2"/>
                <w:highlight w:val="none"/>
              </w:rPr>
              <w:t>誉</w:t>
            </w:r>
            <w:r>
              <w:rPr>
                <w:color w:val="auto"/>
                <w:spacing w:val="17"/>
                <w:highlight w:val="none"/>
              </w:rPr>
              <w:t xml:space="preserve"> </w:t>
            </w:r>
            <w:r>
              <w:rPr>
                <w:b/>
                <w:bCs/>
                <w:color w:val="auto"/>
                <w:spacing w:val="-2"/>
                <w:highlight w:val="none"/>
              </w:rPr>
              <w:t>要</w:t>
            </w:r>
            <w:r>
              <w:rPr>
                <w:color w:val="auto"/>
                <w:spacing w:val="18"/>
                <w:highlight w:val="none"/>
              </w:rPr>
              <w:t xml:space="preserve"> </w:t>
            </w:r>
            <w:r>
              <w:rPr>
                <w:b/>
                <w:bCs/>
                <w:color w:val="auto"/>
                <w:spacing w:val="-2"/>
                <w:highlight w:val="none"/>
              </w:rPr>
              <w:t>求</w:t>
            </w:r>
          </w:p>
        </w:tc>
      </w:tr>
      <w:tr w14:paraId="0218F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7" w:hRule="atLeast"/>
        </w:trPr>
        <w:tc>
          <w:tcPr>
            <w:tcW w:w="9292" w:type="dxa"/>
            <w:vAlign w:val="top"/>
          </w:tcPr>
          <w:p w14:paraId="563D7B5D">
            <w:pPr>
              <w:spacing w:line="245" w:lineRule="auto"/>
              <w:rPr>
                <w:rFonts w:ascii="Arial"/>
                <w:color w:val="auto"/>
                <w:sz w:val="21"/>
                <w:highlight w:val="none"/>
              </w:rPr>
            </w:pPr>
          </w:p>
          <w:p w14:paraId="798208CF">
            <w:pPr>
              <w:spacing w:line="246" w:lineRule="auto"/>
              <w:rPr>
                <w:rFonts w:ascii="Arial"/>
                <w:color w:val="auto"/>
                <w:sz w:val="21"/>
                <w:highlight w:val="none"/>
              </w:rPr>
            </w:pPr>
          </w:p>
          <w:p w14:paraId="69C819D2">
            <w:pPr>
              <w:pStyle w:val="17"/>
              <w:spacing w:before="66" w:line="370" w:lineRule="auto"/>
              <w:ind w:left="117" w:right="108" w:firstLine="420"/>
              <w:jc w:val="both"/>
              <w:rPr>
                <w:color w:val="auto"/>
                <w:highlight w:val="none"/>
              </w:rPr>
            </w:pPr>
            <w:r>
              <w:rPr>
                <w:color w:val="auto"/>
                <w:spacing w:val="11"/>
                <w:highlight w:val="none"/>
              </w:rPr>
              <w:t>最新年度（含无广东省最新年度信用等级而上一年度有广东省</w:t>
            </w:r>
            <w:r>
              <w:rPr>
                <w:color w:val="auto"/>
                <w:spacing w:val="10"/>
                <w:highlight w:val="none"/>
              </w:rPr>
              <w:t>信用等级的）在广东省公路工程</w:t>
            </w:r>
            <w:r>
              <w:rPr>
                <w:color w:val="auto"/>
                <w:spacing w:val="9"/>
                <w:highlight w:val="none"/>
              </w:rPr>
              <w:t>从业单位信用评价（监理单位）</w:t>
            </w:r>
            <w:r>
              <w:rPr>
                <w:color w:val="auto"/>
                <w:spacing w:val="-52"/>
                <w:highlight w:val="none"/>
              </w:rPr>
              <w:t xml:space="preserve"> </w:t>
            </w:r>
            <w:r>
              <w:rPr>
                <w:color w:val="auto"/>
                <w:spacing w:val="9"/>
                <w:highlight w:val="none"/>
              </w:rPr>
              <w:t>中，信用等级未被评为</w:t>
            </w:r>
            <w:r>
              <w:rPr>
                <w:color w:val="auto"/>
                <w:spacing w:val="-41"/>
                <w:highlight w:val="none"/>
              </w:rPr>
              <w:t xml:space="preserve"> </w:t>
            </w:r>
            <w:r>
              <w:rPr>
                <w:color w:val="auto"/>
                <w:spacing w:val="9"/>
                <w:highlight w:val="none"/>
              </w:rPr>
              <w:t>D</w:t>
            </w:r>
            <w:r>
              <w:rPr>
                <w:color w:val="auto"/>
                <w:spacing w:val="-34"/>
                <w:highlight w:val="none"/>
              </w:rPr>
              <w:t xml:space="preserve"> </w:t>
            </w:r>
            <w:r>
              <w:rPr>
                <w:color w:val="auto"/>
                <w:spacing w:val="9"/>
                <w:highlight w:val="none"/>
              </w:rPr>
              <w:t>级；初次进入广东省的投标人，在最新全</w:t>
            </w:r>
            <w:r>
              <w:rPr>
                <w:color w:val="auto"/>
                <w:spacing w:val="8"/>
                <w:highlight w:val="none"/>
              </w:rPr>
              <w:t>国公路从业单位（监理单位）信用评价结果中未被评为</w:t>
            </w:r>
            <w:r>
              <w:rPr>
                <w:color w:val="auto"/>
                <w:spacing w:val="-33"/>
                <w:highlight w:val="none"/>
              </w:rPr>
              <w:t xml:space="preserve"> </w:t>
            </w:r>
            <w:r>
              <w:rPr>
                <w:color w:val="auto"/>
                <w:spacing w:val="8"/>
                <w:highlight w:val="none"/>
              </w:rPr>
              <w:t>D</w:t>
            </w:r>
            <w:r>
              <w:rPr>
                <w:color w:val="auto"/>
                <w:spacing w:val="-35"/>
                <w:highlight w:val="none"/>
              </w:rPr>
              <w:t xml:space="preserve"> </w:t>
            </w:r>
            <w:r>
              <w:rPr>
                <w:color w:val="auto"/>
                <w:spacing w:val="8"/>
                <w:highlight w:val="none"/>
              </w:rPr>
              <w:t>级。</w:t>
            </w:r>
          </w:p>
        </w:tc>
      </w:tr>
    </w:tbl>
    <w:p w14:paraId="43C5CD57">
      <w:pPr>
        <w:spacing w:line="264" w:lineRule="auto"/>
        <w:rPr>
          <w:rFonts w:ascii="Arial"/>
          <w:color w:val="auto"/>
          <w:sz w:val="21"/>
          <w:highlight w:val="none"/>
        </w:rPr>
      </w:pPr>
    </w:p>
    <w:p w14:paraId="676A1CAB">
      <w:pPr>
        <w:spacing w:before="65" w:line="227" w:lineRule="auto"/>
        <w:ind w:left="1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注：信用等级的确定原则遵循投标人须知前附表第</w:t>
      </w:r>
      <w:r>
        <w:rPr>
          <w:rFonts w:ascii="宋体" w:hAnsi="宋体" w:eastAsia="宋体" w:cs="宋体"/>
          <w:color w:val="auto"/>
          <w:spacing w:val="-4"/>
          <w:sz w:val="20"/>
          <w:szCs w:val="20"/>
          <w:highlight w:val="none"/>
        </w:rPr>
        <w:t xml:space="preserve"> </w:t>
      </w:r>
      <w:r>
        <w:rPr>
          <w:rFonts w:ascii="宋体" w:hAnsi="宋体" w:eastAsia="宋体" w:cs="宋体"/>
          <w:color w:val="auto"/>
          <w:spacing w:val="7"/>
          <w:sz w:val="20"/>
          <w:szCs w:val="20"/>
          <w:highlight w:val="none"/>
        </w:rPr>
        <w:t>10.2</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款的规定。</w:t>
      </w:r>
    </w:p>
    <w:p w14:paraId="3D16D6AB">
      <w:pPr>
        <w:spacing w:line="251" w:lineRule="auto"/>
        <w:rPr>
          <w:rFonts w:ascii="Arial"/>
          <w:color w:val="auto"/>
          <w:sz w:val="21"/>
          <w:highlight w:val="none"/>
        </w:rPr>
      </w:pPr>
    </w:p>
    <w:p w14:paraId="55308E28">
      <w:pPr>
        <w:spacing w:line="251" w:lineRule="auto"/>
        <w:rPr>
          <w:rFonts w:ascii="Arial"/>
          <w:color w:val="auto"/>
          <w:sz w:val="21"/>
          <w:highlight w:val="none"/>
        </w:rPr>
      </w:pPr>
    </w:p>
    <w:p w14:paraId="0052AE9F">
      <w:pPr>
        <w:spacing w:line="251" w:lineRule="auto"/>
        <w:rPr>
          <w:rFonts w:ascii="Arial"/>
          <w:color w:val="auto"/>
          <w:sz w:val="21"/>
          <w:highlight w:val="none"/>
        </w:rPr>
      </w:pPr>
    </w:p>
    <w:p w14:paraId="69895A9C">
      <w:pPr>
        <w:spacing w:line="251" w:lineRule="auto"/>
        <w:rPr>
          <w:rFonts w:ascii="Arial"/>
          <w:color w:val="auto"/>
          <w:sz w:val="21"/>
          <w:highlight w:val="none"/>
        </w:rPr>
      </w:pPr>
    </w:p>
    <w:p w14:paraId="325C349D">
      <w:pPr>
        <w:spacing w:line="251" w:lineRule="auto"/>
        <w:rPr>
          <w:rFonts w:ascii="Arial"/>
          <w:color w:val="auto"/>
          <w:sz w:val="21"/>
          <w:highlight w:val="none"/>
        </w:rPr>
      </w:pPr>
    </w:p>
    <w:p w14:paraId="5847C894">
      <w:pPr>
        <w:spacing w:line="251" w:lineRule="auto"/>
        <w:rPr>
          <w:rFonts w:ascii="Arial"/>
          <w:color w:val="auto"/>
          <w:sz w:val="21"/>
          <w:highlight w:val="none"/>
        </w:rPr>
      </w:pPr>
    </w:p>
    <w:p w14:paraId="41FD6A8E">
      <w:pPr>
        <w:spacing w:line="251" w:lineRule="auto"/>
        <w:rPr>
          <w:rFonts w:ascii="Arial"/>
          <w:color w:val="auto"/>
          <w:sz w:val="21"/>
          <w:highlight w:val="none"/>
        </w:rPr>
      </w:pPr>
    </w:p>
    <w:p w14:paraId="1E85FB84">
      <w:pPr>
        <w:spacing w:line="251" w:lineRule="auto"/>
        <w:rPr>
          <w:rFonts w:ascii="Arial"/>
          <w:color w:val="auto"/>
          <w:sz w:val="21"/>
          <w:highlight w:val="none"/>
        </w:rPr>
      </w:pPr>
    </w:p>
    <w:p w14:paraId="51A460CC">
      <w:pPr>
        <w:spacing w:line="229" w:lineRule="auto"/>
        <w:rPr>
          <w:rFonts w:ascii="宋体" w:hAnsi="宋体" w:eastAsia="宋体" w:cs="宋体"/>
          <w:color w:val="auto"/>
          <w:sz w:val="18"/>
          <w:szCs w:val="18"/>
          <w:highlight w:val="none"/>
        </w:rPr>
        <w:sectPr>
          <w:footerReference r:id="rId25" w:type="default"/>
          <w:pgSz w:w="11906" w:h="16839"/>
          <w:pgMar w:top="1431" w:right="1304" w:bottom="1297" w:left="1304" w:header="0" w:footer="1067" w:gutter="0"/>
          <w:pgNumType w:fmt="decimal"/>
          <w:cols w:space="720" w:num="1"/>
        </w:sectPr>
      </w:pPr>
    </w:p>
    <w:p w14:paraId="092E6E84">
      <w:pPr>
        <w:spacing w:before="128" w:line="219" w:lineRule="auto"/>
        <w:ind w:left="2186"/>
        <w:outlineLvl w:val="1"/>
        <w:rPr>
          <w:rFonts w:ascii="宋体" w:hAnsi="宋体" w:eastAsia="宋体" w:cs="宋体"/>
          <w:b/>
          <w:bCs/>
          <w:color w:val="auto"/>
          <w:spacing w:val="-6"/>
          <w:sz w:val="28"/>
          <w:szCs w:val="28"/>
          <w:highlight w:val="none"/>
        </w:rPr>
      </w:pPr>
      <w:bookmarkStart w:id="46" w:name="_Toc15525"/>
      <w:bookmarkStart w:id="47" w:name="_Toc29842"/>
      <w:r>
        <w:rPr>
          <w:rFonts w:ascii="宋体" w:hAnsi="宋体" w:eastAsia="宋体" w:cs="宋体"/>
          <w:b/>
          <w:bCs/>
          <w:color w:val="auto"/>
          <w:spacing w:val="-6"/>
          <w:sz w:val="28"/>
          <w:szCs w:val="28"/>
          <w:highlight w:val="none"/>
        </w:rPr>
        <w:t>附录4  资格审查条件（总监理工程师最低要求）</w:t>
      </w:r>
      <w:bookmarkEnd w:id="46"/>
      <w:bookmarkEnd w:id="47"/>
    </w:p>
    <w:p w14:paraId="32BCB93D">
      <w:pPr>
        <w:spacing w:before="294" w:line="220" w:lineRule="auto"/>
        <w:ind w:left="12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标段：</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p>
    <w:p w14:paraId="764B6E5C">
      <w:pPr>
        <w:spacing w:line="146" w:lineRule="exact"/>
        <w:rPr>
          <w:color w:val="auto"/>
          <w:highlight w:val="none"/>
        </w:rPr>
      </w:pPr>
    </w:p>
    <w:tbl>
      <w:tblPr>
        <w:tblStyle w:val="16"/>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6"/>
        <w:gridCol w:w="1452"/>
        <w:gridCol w:w="848"/>
        <w:gridCol w:w="3903"/>
        <w:gridCol w:w="1629"/>
      </w:tblGrid>
      <w:tr w14:paraId="711B4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456" w:type="dxa"/>
            <w:tcBorders>
              <w:bottom w:val="single" w:color="auto" w:sz="4" w:space="0"/>
            </w:tcBorders>
            <w:vAlign w:val="top"/>
          </w:tcPr>
          <w:p w14:paraId="0FBFC654">
            <w:pPr>
              <w:pStyle w:val="17"/>
              <w:spacing w:before="128" w:line="228" w:lineRule="auto"/>
              <w:ind w:left="315"/>
              <w:rPr>
                <w:color w:val="auto"/>
                <w:highlight w:val="none"/>
              </w:rPr>
            </w:pPr>
            <w:r>
              <w:rPr>
                <w:color w:val="auto"/>
                <w:spacing w:val="7"/>
                <w:highlight w:val="none"/>
              </w:rPr>
              <w:t>标段类别</w:t>
            </w:r>
          </w:p>
        </w:tc>
        <w:tc>
          <w:tcPr>
            <w:tcW w:w="1452" w:type="dxa"/>
            <w:tcBorders>
              <w:bottom w:val="single" w:color="auto" w:sz="4" w:space="0"/>
            </w:tcBorders>
            <w:vAlign w:val="top"/>
          </w:tcPr>
          <w:p w14:paraId="07BE79AC">
            <w:pPr>
              <w:pStyle w:val="17"/>
              <w:spacing w:before="129" w:line="229" w:lineRule="auto"/>
              <w:ind w:left="521"/>
              <w:rPr>
                <w:color w:val="auto"/>
                <w:highlight w:val="none"/>
              </w:rPr>
            </w:pPr>
            <w:r>
              <w:rPr>
                <w:color w:val="auto"/>
                <w:spacing w:val="3"/>
                <w:highlight w:val="none"/>
              </w:rPr>
              <w:t>人员</w:t>
            </w:r>
          </w:p>
        </w:tc>
        <w:tc>
          <w:tcPr>
            <w:tcW w:w="848" w:type="dxa"/>
            <w:tcBorders>
              <w:bottom w:val="single" w:color="auto" w:sz="4" w:space="0"/>
            </w:tcBorders>
            <w:vAlign w:val="top"/>
          </w:tcPr>
          <w:p w14:paraId="08F15CAC">
            <w:pPr>
              <w:pStyle w:val="17"/>
              <w:spacing w:before="128" w:line="228" w:lineRule="auto"/>
              <w:ind w:left="221"/>
              <w:rPr>
                <w:color w:val="auto"/>
                <w:highlight w:val="none"/>
              </w:rPr>
            </w:pPr>
            <w:r>
              <w:rPr>
                <w:color w:val="auto"/>
                <w:spacing w:val="3"/>
                <w:highlight w:val="none"/>
              </w:rPr>
              <w:t>数量</w:t>
            </w:r>
          </w:p>
        </w:tc>
        <w:tc>
          <w:tcPr>
            <w:tcW w:w="3903" w:type="dxa"/>
            <w:tcBorders>
              <w:bottom w:val="single" w:color="auto" w:sz="4" w:space="0"/>
            </w:tcBorders>
            <w:vAlign w:val="top"/>
          </w:tcPr>
          <w:p w14:paraId="3010716C">
            <w:pPr>
              <w:pStyle w:val="17"/>
              <w:spacing w:before="128" w:line="228" w:lineRule="auto"/>
              <w:ind w:left="1389"/>
              <w:rPr>
                <w:color w:val="auto"/>
                <w:highlight w:val="none"/>
              </w:rPr>
            </w:pPr>
            <w:r>
              <w:rPr>
                <w:color w:val="auto"/>
                <w:spacing w:val="-2"/>
                <w:highlight w:val="none"/>
              </w:rPr>
              <w:t>资</w:t>
            </w:r>
            <w:r>
              <w:rPr>
                <w:color w:val="auto"/>
                <w:spacing w:val="15"/>
                <w:highlight w:val="none"/>
              </w:rPr>
              <w:t xml:space="preserve"> </w:t>
            </w:r>
            <w:r>
              <w:rPr>
                <w:color w:val="auto"/>
                <w:spacing w:val="-2"/>
                <w:highlight w:val="none"/>
              </w:rPr>
              <w:t>格</w:t>
            </w:r>
            <w:r>
              <w:rPr>
                <w:color w:val="auto"/>
                <w:spacing w:val="15"/>
                <w:highlight w:val="none"/>
              </w:rPr>
              <w:t xml:space="preserve"> </w:t>
            </w:r>
            <w:r>
              <w:rPr>
                <w:color w:val="auto"/>
                <w:spacing w:val="-2"/>
                <w:highlight w:val="none"/>
              </w:rPr>
              <w:t>要</w:t>
            </w:r>
            <w:r>
              <w:rPr>
                <w:color w:val="auto"/>
                <w:spacing w:val="15"/>
                <w:highlight w:val="none"/>
              </w:rPr>
              <w:t xml:space="preserve"> </w:t>
            </w:r>
            <w:r>
              <w:rPr>
                <w:color w:val="auto"/>
                <w:spacing w:val="-2"/>
                <w:highlight w:val="none"/>
              </w:rPr>
              <w:t>求</w:t>
            </w:r>
          </w:p>
        </w:tc>
        <w:tc>
          <w:tcPr>
            <w:tcW w:w="1629" w:type="dxa"/>
            <w:tcBorders>
              <w:bottom w:val="single" w:color="auto" w:sz="4" w:space="0"/>
            </w:tcBorders>
            <w:vAlign w:val="top"/>
          </w:tcPr>
          <w:p w14:paraId="15D3F4AE">
            <w:pPr>
              <w:pStyle w:val="17"/>
              <w:spacing w:before="129" w:line="228" w:lineRule="auto"/>
              <w:ind w:left="399"/>
              <w:rPr>
                <w:color w:val="auto"/>
                <w:highlight w:val="none"/>
              </w:rPr>
            </w:pPr>
            <w:r>
              <w:rPr>
                <w:color w:val="auto"/>
                <w:spacing w:val="7"/>
                <w:highlight w:val="none"/>
              </w:rPr>
              <w:t>在岗要求</w:t>
            </w:r>
          </w:p>
        </w:tc>
      </w:tr>
      <w:tr w14:paraId="2880B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1456" w:type="dxa"/>
            <w:tcBorders>
              <w:top w:val="single" w:color="auto" w:sz="4" w:space="0"/>
              <w:left w:val="single" w:color="auto" w:sz="4" w:space="0"/>
              <w:bottom w:val="single" w:color="auto" w:sz="4" w:space="0"/>
            </w:tcBorders>
            <w:vAlign w:val="top"/>
          </w:tcPr>
          <w:p w14:paraId="6BCB091F">
            <w:pPr>
              <w:spacing w:line="312" w:lineRule="auto"/>
              <w:rPr>
                <w:rFonts w:ascii="Arial"/>
                <w:color w:val="auto"/>
                <w:sz w:val="21"/>
                <w:highlight w:val="none"/>
              </w:rPr>
            </w:pPr>
          </w:p>
          <w:p w14:paraId="6318675D">
            <w:pPr>
              <w:spacing w:line="313" w:lineRule="auto"/>
              <w:rPr>
                <w:rFonts w:ascii="Arial"/>
                <w:color w:val="auto"/>
                <w:sz w:val="21"/>
                <w:highlight w:val="none"/>
              </w:rPr>
            </w:pPr>
          </w:p>
          <w:p w14:paraId="5AE7FD8E">
            <w:pPr>
              <w:pStyle w:val="17"/>
              <w:spacing w:before="65" w:line="228" w:lineRule="auto"/>
              <w:ind w:left="209"/>
              <w:rPr>
                <w:color w:val="auto"/>
                <w:highlight w:val="none"/>
              </w:rPr>
            </w:pPr>
            <w:r>
              <w:rPr>
                <w:color w:val="auto"/>
                <w:spacing w:val="7"/>
                <w:highlight w:val="none"/>
              </w:rPr>
              <w:t>土建监理类</w:t>
            </w:r>
          </w:p>
          <w:p w14:paraId="709B5B48">
            <w:pPr>
              <w:pStyle w:val="17"/>
              <w:spacing w:before="132" w:line="228" w:lineRule="auto"/>
              <w:ind w:left="139"/>
              <w:rPr>
                <w:color w:val="auto"/>
                <w:highlight w:val="none"/>
              </w:rPr>
            </w:pPr>
            <w:r>
              <w:rPr>
                <w:color w:val="auto"/>
                <w:spacing w:val="4"/>
                <w:highlight w:val="none"/>
              </w:rPr>
              <w:t>（A</w:t>
            </w:r>
            <w:r>
              <w:rPr>
                <w:color w:val="auto"/>
                <w:spacing w:val="-39"/>
                <w:highlight w:val="none"/>
              </w:rPr>
              <w:t xml:space="preserve"> </w:t>
            </w:r>
            <w:r>
              <w:rPr>
                <w:color w:val="auto"/>
                <w:spacing w:val="4"/>
                <w:highlight w:val="none"/>
              </w:rPr>
              <w:t>类）和土</w:t>
            </w:r>
          </w:p>
          <w:p w14:paraId="55F3ABC0">
            <w:pPr>
              <w:pStyle w:val="17"/>
              <w:spacing w:before="132" w:line="228" w:lineRule="auto"/>
              <w:ind w:left="211"/>
              <w:rPr>
                <w:color w:val="auto"/>
                <w:highlight w:val="none"/>
              </w:rPr>
            </w:pPr>
            <w:r>
              <w:rPr>
                <w:color w:val="auto"/>
                <w:spacing w:val="7"/>
                <w:highlight w:val="none"/>
              </w:rPr>
              <w:t>建监理含中</w:t>
            </w:r>
          </w:p>
          <w:p w14:paraId="58457280">
            <w:pPr>
              <w:pStyle w:val="17"/>
              <w:spacing w:before="135" w:line="229" w:lineRule="auto"/>
              <w:ind w:left="321"/>
              <w:rPr>
                <w:color w:val="auto"/>
                <w:highlight w:val="none"/>
              </w:rPr>
            </w:pPr>
            <w:r>
              <w:rPr>
                <w:color w:val="auto"/>
                <w:spacing w:val="5"/>
                <w:highlight w:val="none"/>
              </w:rPr>
              <w:t>心试验室</w:t>
            </w:r>
          </w:p>
          <w:p w14:paraId="68652909">
            <w:pPr>
              <w:pStyle w:val="17"/>
              <w:spacing w:before="130" w:line="228" w:lineRule="auto"/>
              <w:ind w:left="351"/>
              <w:rPr>
                <w:color w:val="auto"/>
                <w:highlight w:val="none"/>
              </w:rPr>
            </w:pPr>
            <w:r>
              <w:rPr>
                <w:color w:val="auto"/>
                <w:spacing w:val="-2"/>
                <w:highlight w:val="none"/>
              </w:rPr>
              <w:t>（D</w:t>
            </w:r>
            <w:r>
              <w:rPr>
                <w:color w:val="auto"/>
                <w:spacing w:val="-38"/>
                <w:highlight w:val="none"/>
              </w:rPr>
              <w:t xml:space="preserve"> </w:t>
            </w:r>
            <w:r>
              <w:rPr>
                <w:color w:val="auto"/>
                <w:spacing w:val="-2"/>
                <w:highlight w:val="none"/>
              </w:rPr>
              <w:t>类）</w:t>
            </w:r>
          </w:p>
        </w:tc>
        <w:tc>
          <w:tcPr>
            <w:tcW w:w="1452" w:type="dxa"/>
            <w:tcBorders>
              <w:top w:val="single" w:color="auto" w:sz="4" w:space="0"/>
              <w:bottom w:val="single" w:color="auto" w:sz="4" w:space="0"/>
              <w:right w:val="single" w:color="auto" w:sz="4" w:space="0"/>
            </w:tcBorders>
            <w:vAlign w:val="center"/>
          </w:tcPr>
          <w:p w14:paraId="2D76297E">
            <w:pPr>
              <w:pStyle w:val="17"/>
              <w:spacing w:before="297" w:line="354" w:lineRule="auto"/>
              <w:ind w:left="627" w:right="201" w:hanging="417"/>
              <w:jc w:val="center"/>
              <w:rPr>
                <w:color w:val="auto"/>
                <w:spacing w:val="7"/>
                <w:highlight w:val="none"/>
              </w:rPr>
            </w:pPr>
            <w:r>
              <w:rPr>
                <w:color w:val="auto"/>
                <w:spacing w:val="7"/>
                <w:highlight w:val="none"/>
              </w:rPr>
              <w:t>总监理</w:t>
            </w:r>
          </w:p>
          <w:p w14:paraId="3A3D2981">
            <w:pPr>
              <w:pStyle w:val="17"/>
              <w:spacing w:before="297" w:line="354" w:lineRule="auto"/>
              <w:ind w:left="627" w:right="201" w:hanging="417"/>
              <w:jc w:val="center"/>
              <w:rPr>
                <w:color w:val="auto"/>
                <w:highlight w:val="none"/>
              </w:rPr>
            </w:pPr>
            <w:r>
              <w:rPr>
                <w:color w:val="auto"/>
                <w:spacing w:val="7"/>
                <w:highlight w:val="none"/>
              </w:rPr>
              <w:t>工程</w:t>
            </w:r>
            <w:r>
              <w:rPr>
                <w:color w:val="auto"/>
                <w:highlight w:val="none"/>
              </w:rPr>
              <w:t>师</w:t>
            </w:r>
          </w:p>
        </w:tc>
        <w:tc>
          <w:tcPr>
            <w:tcW w:w="848" w:type="dxa"/>
            <w:tcBorders>
              <w:top w:val="single" w:color="auto" w:sz="4" w:space="0"/>
              <w:left w:val="single" w:color="auto" w:sz="4" w:space="0"/>
              <w:bottom w:val="single" w:color="auto" w:sz="4" w:space="0"/>
            </w:tcBorders>
            <w:vAlign w:val="center"/>
          </w:tcPr>
          <w:p w14:paraId="6C69B77B">
            <w:pPr>
              <w:spacing w:line="422" w:lineRule="auto"/>
              <w:jc w:val="left"/>
              <w:rPr>
                <w:rFonts w:ascii="Arial"/>
                <w:color w:val="auto"/>
                <w:sz w:val="21"/>
                <w:highlight w:val="none"/>
              </w:rPr>
            </w:pPr>
          </w:p>
          <w:p w14:paraId="6109C7BD">
            <w:pPr>
              <w:pStyle w:val="17"/>
              <w:spacing w:before="65" w:line="270" w:lineRule="exact"/>
              <w:ind w:left="393"/>
              <w:jc w:val="left"/>
              <w:rPr>
                <w:color w:val="auto"/>
                <w:highlight w:val="none"/>
              </w:rPr>
            </w:pPr>
            <w:r>
              <w:rPr>
                <w:color w:val="auto"/>
                <w:position w:val="1"/>
                <w:highlight w:val="none"/>
              </w:rPr>
              <w:t>1</w:t>
            </w:r>
          </w:p>
        </w:tc>
        <w:tc>
          <w:tcPr>
            <w:tcW w:w="3903" w:type="dxa"/>
            <w:tcBorders>
              <w:top w:val="single" w:color="auto" w:sz="4" w:space="0"/>
              <w:bottom w:val="single" w:color="auto" w:sz="4" w:space="0"/>
            </w:tcBorders>
            <w:vAlign w:val="top"/>
          </w:tcPr>
          <w:p w14:paraId="72D9E9AB">
            <w:pPr>
              <w:pStyle w:val="17"/>
              <w:spacing w:before="120" w:line="336" w:lineRule="auto"/>
              <w:ind w:left="112" w:right="104" w:firstLine="2"/>
              <w:jc w:val="both"/>
              <w:rPr>
                <w:color w:val="auto"/>
                <w:highlight w:val="none"/>
              </w:rPr>
            </w:pPr>
            <w:r>
              <w:rPr>
                <w:color w:val="auto"/>
                <w:spacing w:val="16"/>
                <w:highlight w:val="none"/>
                <w:u w:val="single" w:color="auto"/>
              </w:rPr>
              <w:t>路桥</w:t>
            </w:r>
            <w:r>
              <w:rPr>
                <w:color w:val="auto"/>
                <w:spacing w:val="16"/>
                <w:highlight w:val="none"/>
              </w:rPr>
              <w:t>相关专业</w:t>
            </w:r>
            <w:r>
              <w:rPr>
                <w:color w:val="auto"/>
                <w:spacing w:val="16"/>
                <w:highlight w:val="none"/>
                <w:u w:val="single" w:color="auto"/>
              </w:rPr>
              <w:t>高级</w:t>
            </w:r>
            <w:r>
              <w:rPr>
                <w:color w:val="auto"/>
                <w:spacing w:val="16"/>
                <w:highlight w:val="none"/>
              </w:rPr>
              <w:t>工程师，至少担任过</w:t>
            </w:r>
            <w:r>
              <w:rPr>
                <w:rFonts w:hint="eastAsia"/>
                <w:color w:val="auto"/>
                <w:spacing w:val="16"/>
                <w:highlight w:val="none"/>
                <w:u w:val="single"/>
                <w:lang w:val="en-US" w:eastAsia="zh-CN"/>
              </w:rPr>
              <w:t>1</w:t>
            </w:r>
            <w:r>
              <w:rPr>
                <w:color w:val="auto"/>
                <w:spacing w:val="16"/>
                <w:highlight w:val="none"/>
              </w:rPr>
              <w:t>项类似工程</w:t>
            </w:r>
            <w:r>
              <w:rPr>
                <w:color w:val="auto"/>
                <w:spacing w:val="16"/>
                <w:highlight w:val="none"/>
                <w:u w:val="single" w:color="auto"/>
              </w:rPr>
              <w:t>土建</w:t>
            </w:r>
            <w:r>
              <w:rPr>
                <w:color w:val="auto"/>
                <w:spacing w:val="16"/>
                <w:highlight w:val="none"/>
              </w:rPr>
              <w:t>工程施工监理的监理负责人，持有交通运输部与人力资源和社会保障部用印的交通运输工程（公路工程）专业监理工程师职业资格证书（或电子证书）或具有交通运输部核发的公</w:t>
            </w:r>
            <w:r>
              <w:rPr>
                <w:color w:val="auto"/>
                <w:spacing w:val="5"/>
                <w:highlight w:val="none"/>
              </w:rPr>
              <w:t>路工程监理工程师资格证书</w:t>
            </w:r>
            <w:r>
              <w:rPr>
                <w:color w:val="auto"/>
                <w:spacing w:val="-24"/>
                <w:position w:val="10"/>
                <w:sz w:val="10"/>
                <w:szCs w:val="10"/>
                <w:highlight w:val="none"/>
              </w:rPr>
              <w:t xml:space="preserve"> </w:t>
            </w:r>
            <w:r>
              <w:rPr>
                <w:color w:val="auto"/>
                <w:spacing w:val="5"/>
                <w:highlight w:val="none"/>
              </w:rPr>
              <w:t>,</w:t>
            </w:r>
            <w:r>
              <w:rPr>
                <w:color w:val="auto"/>
                <w:spacing w:val="62"/>
                <w:highlight w:val="none"/>
              </w:rPr>
              <w:t xml:space="preserve"> </w:t>
            </w:r>
            <w:r>
              <w:rPr>
                <w:color w:val="auto"/>
                <w:spacing w:val="5"/>
                <w:highlight w:val="none"/>
              </w:rPr>
              <w:t>且已在投</w:t>
            </w:r>
            <w:r>
              <w:rPr>
                <w:color w:val="auto"/>
                <w:spacing w:val="8"/>
                <w:highlight w:val="none"/>
              </w:rPr>
              <w:t>标人处进行注册（或从业登记）。</w:t>
            </w:r>
          </w:p>
        </w:tc>
        <w:tc>
          <w:tcPr>
            <w:tcW w:w="1629" w:type="dxa"/>
            <w:tcBorders>
              <w:top w:val="single" w:color="auto" w:sz="4" w:space="0"/>
              <w:bottom w:val="single" w:color="auto" w:sz="4" w:space="0"/>
              <w:right w:val="single" w:color="auto" w:sz="4" w:space="0"/>
            </w:tcBorders>
            <w:vAlign w:val="top"/>
          </w:tcPr>
          <w:p w14:paraId="6F9C6EEC">
            <w:pPr>
              <w:pStyle w:val="17"/>
              <w:spacing w:before="123" w:line="228" w:lineRule="auto"/>
              <w:ind w:left="116"/>
              <w:rPr>
                <w:color w:val="auto"/>
                <w:highlight w:val="none"/>
              </w:rPr>
            </w:pPr>
            <w:r>
              <w:rPr>
                <w:color w:val="auto"/>
                <w:spacing w:val="-4"/>
                <w:highlight w:val="none"/>
              </w:rPr>
              <w:t>无 在</w:t>
            </w:r>
            <w:r>
              <w:rPr>
                <w:color w:val="auto"/>
                <w:spacing w:val="26"/>
                <w:highlight w:val="none"/>
              </w:rPr>
              <w:t xml:space="preserve"> </w:t>
            </w:r>
            <w:r>
              <w:rPr>
                <w:color w:val="auto"/>
                <w:spacing w:val="-4"/>
                <w:highlight w:val="none"/>
              </w:rPr>
              <w:t>岗 项</w:t>
            </w:r>
            <w:r>
              <w:rPr>
                <w:color w:val="auto"/>
                <w:spacing w:val="39"/>
                <w:highlight w:val="none"/>
              </w:rPr>
              <w:t xml:space="preserve"> </w:t>
            </w:r>
            <w:r>
              <w:rPr>
                <w:color w:val="auto"/>
                <w:spacing w:val="-4"/>
                <w:highlight w:val="none"/>
              </w:rPr>
              <w:t>目</w:t>
            </w:r>
          </w:p>
          <w:p w14:paraId="7D92FF92">
            <w:pPr>
              <w:pStyle w:val="17"/>
              <w:spacing w:before="132" w:line="228" w:lineRule="auto"/>
              <w:ind w:left="124"/>
              <w:rPr>
                <w:color w:val="auto"/>
                <w:highlight w:val="none"/>
              </w:rPr>
            </w:pPr>
            <w:r>
              <w:rPr>
                <w:color w:val="auto"/>
                <w:spacing w:val="4"/>
                <w:highlight w:val="none"/>
              </w:rPr>
              <w:t>（指</w:t>
            </w:r>
            <w:r>
              <w:rPr>
                <w:color w:val="auto"/>
                <w:spacing w:val="-20"/>
                <w:highlight w:val="none"/>
              </w:rPr>
              <w:t xml:space="preserve"> </w:t>
            </w:r>
            <w:r>
              <w:rPr>
                <w:color w:val="auto"/>
                <w:spacing w:val="4"/>
                <w:highlight w:val="none"/>
              </w:rPr>
              <w:t>目</w:t>
            </w:r>
            <w:r>
              <w:rPr>
                <w:color w:val="auto"/>
                <w:spacing w:val="-57"/>
                <w:highlight w:val="none"/>
              </w:rPr>
              <w:t xml:space="preserve"> </w:t>
            </w:r>
            <w:r>
              <w:rPr>
                <w:color w:val="auto"/>
                <w:spacing w:val="4"/>
                <w:highlight w:val="none"/>
              </w:rPr>
              <w:t>前</w:t>
            </w:r>
            <w:r>
              <w:rPr>
                <w:color w:val="auto"/>
                <w:spacing w:val="-58"/>
                <w:highlight w:val="none"/>
              </w:rPr>
              <w:t xml:space="preserve"> </w:t>
            </w:r>
            <w:r>
              <w:rPr>
                <w:color w:val="auto"/>
                <w:spacing w:val="4"/>
                <w:highlight w:val="none"/>
              </w:rPr>
              <w:t>未在</w:t>
            </w:r>
          </w:p>
          <w:p w14:paraId="6F511868">
            <w:pPr>
              <w:pStyle w:val="17"/>
              <w:spacing w:before="133" w:line="228" w:lineRule="auto"/>
              <w:ind w:left="115"/>
              <w:rPr>
                <w:color w:val="auto"/>
                <w:highlight w:val="none"/>
              </w:rPr>
            </w:pPr>
            <w:r>
              <w:rPr>
                <w:color w:val="auto"/>
                <w:spacing w:val="6"/>
                <w:highlight w:val="none"/>
              </w:rPr>
              <w:t>其他</w:t>
            </w:r>
            <w:r>
              <w:rPr>
                <w:color w:val="auto"/>
                <w:spacing w:val="-57"/>
                <w:highlight w:val="none"/>
              </w:rPr>
              <w:t xml:space="preserve"> </w:t>
            </w:r>
            <w:r>
              <w:rPr>
                <w:color w:val="auto"/>
                <w:spacing w:val="6"/>
                <w:highlight w:val="none"/>
              </w:rPr>
              <w:t>项</w:t>
            </w:r>
            <w:r>
              <w:rPr>
                <w:color w:val="auto"/>
                <w:spacing w:val="-21"/>
                <w:highlight w:val="none"/>
              </w:rPr>
              <w:t xml:space="preserve"> </w:t>
            </w:r>
            <w:r>
              <w:rPr>
                <w:color w:val="auto"/>
                <w:spacing w:val="6"/>
                <w:highlight w:val="none"/>
              </w:rPr>
              <w:t>目</w:t>
            </w:r>
            <w:r>
              <w:rPr>
                <w:color w:val="auto"/>
                <w:spacing w:val="-59"/>
                <w:highlight w:val="none"/>
              </w:rPr>
              <w:t xml:space="preserve"> </w:t>
            </w:r>
            <w:r>
              <w:rPr>
                <w:color w:val="auto"/>
                <w:spacing w:val="6"/>
                <w:highlight w:val="none"/>
              </w:rPr>
              <w:t>上任</w:t>
            </w:r>
          </w:p>
          <w:p w14:paraId="189A5197">
            <w:pPr>
              <w:pStyle w:val="17"/>
              <w:spacing w:before="132" w:line="229" w:lineRule="auto"/>
              <w:ind w:left="115"/>
              <w:rPr>
                <w:color w:val="auto"/>
                <w:highlight w:val="none"/>
              </w:rPr>
            </w:pPr>
            <w:r>
              <w:rPr>
                <w:color w:val="auto"/>
                <w:spacing w:val="15"/>
                <w:highlight w:val="none"/>
              </w:rPr>
              <w:t>职</w:t>
            </w:r>
            <w:r>
              <w:rPr>
                <w:color w:val="auto"/>
                <w:spacing w:val="-40"/>
                <w:highlight w:val="none"/>
              </w:rPr>
              <w:t xml:space="preserve"> </w:t>
            </w:r>
            <w:r>
              <w:rPr>
                <w:color w:val="auto"/>
                <w:spacing w:val="15"/>
                <w:highlight w:val="none"/>
              </w:rPr>
              <w:t>，</w:t>
            </w:r>
            <w:r>
              <w:rPr>
                <w:color w:val="auto"/>
                <w:spacing w:val="-51"/>
                <w:highlight w:val="none"/>
              </w:rPr>
              <w:t xml:space="preserve"> </w:t>
            </w:r>
            <w:r>
              <w:rPr>
                <w:color w:val="auto"/>
                <w:spacing w:val="15"/>
                <w:highlight w:val="none"/>
              </w:rPr>
              <w:t>或虽在其</w:t>
            </w:r>
          </w:p>
          <w:p w14:paraId="0227B8AA">
            <w:pPr>
              <w:pStyle w:val="17"/>
              <w:spacing w:before="130" w:line="228" w:lineRule="auto"/>
              <w:ind w:left="114"/>
              <w:rPr>
                <w:color w:val="auto"/>
                <w:highlight w:val="none"/>
              </w:rPr>
            </w:pPr>
            <w:r>
              <w:rPr>
                <w:color w:val="auto"/>
                <w:spacing w:val="6"/>
                <w:highlight w:val="none"/>
              </w:rPr>
              <w:t>他</w:t>
            </w:r>
            <w:r>
              <w:rPr>
                <w:color w:val="auto"/>
                <w:spacing w:val="-57"/>
                <w:highlight w:val="none"/>
              </w:rPr>
              <w:t xml:space="preserve"> </w:t>
            </w:r>
            <w:r>
              <w:rPr>
                <w:color w:val="auto"/>
                <w:spacing w:val="6"/>
                <w:highlight w:val="none"/>
              </w:rPr>
              <w:t>项</w:t>
            </w:r>
            <w:r>
              <w:rPr>
                <w:color w:val="auto"/>
                <w:spacing w:val="-20"/>
                <w:highlight w:val="none"/>
              </w:rPr>
              <w:t xml:space="preserve"> </w:t>
            </w:r>
            <w:r>
              <w:rPr>
                <w:color w:val="auto"/>
                <w:spacing w:val="6"/>
                <w:highlight w:val="none"/>
              </w:rPr>
              <w:t>目</w:t>
            </w:r>
            <w:r>
              <w:rPr>
                <w:color w:val="auto"/>
                <w:spacing w:val="-60"/>
                <w:highlight w:val="none"/>
              </w:rPr>
              <w:t xml:space="preserve"> </w:t>
            </w:r>
            <w:r>
              <w:rPr>
                <w:color w:val="auto"/>
                <w:spacing w:val="6"/>
                <w:highlight w:val="none"/>
              </w:rPr>
              <w:t>上任职</w:t>
            </w:r>
          </w:p>
          <w:p w14:paraId="60533687">
            <w:pPr>
              <w:pStyle w:val="17"/>
              <w:spacing w:before="135" w:line="227" w:lineRule="auto"/>
              <w:ind w:left="113"/>
              <w:rPr>
                <w:color w:val="auto"/>
                <w:highlight w:val="none"/>
              </w:rPr>
            </w:pPr>
            <w:r>
              <w:rPr>
                <w:color w:val="auto"/>
                <w:spacing w:val="33"/>
                <w:highlight w:val="none"/>
              </w:rPr>
              <w:t>但本项目中标</w:t>
            </w:r>
          </w:p>
          <w:p w14:paraId="68949CDE">
            <w:pPr>
              <w:pStyle w:val="17"/>
              <w:spacing w:before="134" w:line="228" w:lineRule="auto"/>
              <w:ind w:left="116"/>
              <w:rPr>
                <w:color w:val="auto"/>
                <w:highlight w:val="none"/>
              </w:rPr>
            </w:pPr>
            <w:r>
              <w:rPr>
                <w:color w:val="auto"/>
                <w:spacing w:val="33"/>
                <w:highlight w:val="none"/>
              </w:rPr>
              <w:t>后能够从该项</w:t>
            </w:r>
          </w:p>
          <w:p w14:paraId="14F0BF5C">
            <w:pPr>
              <w:pStyle w:val="17"/>
              <w:spacing w:before="132" w:line="228" w:lineRule="auto"/>
              <w:ind w:left="154"/>
              <w:rPr>
                <w:color w:val="auto"/>
                <w:highlight w:val="none"/>
              </w:rPr>
            </w:pPr>
            <w:r>
              <w:rPr>
                <w:color w:val="auto"/>
                <w:spacing w:val="-5"/>
                <w:highlight w:val="none"/>
              </w:rPr>
              <w:t>目撤离）</w:t>
            </w:r>
          </w:p>
        </w:tc>
      </w:tr>
    </w:tbl>
    <w:p w14:paraId="0AB260D1">
      <w:pPr>
        <w:spacing w:before="29" w:line="315" w:lineRule="auto"/>
        <w:ind w:left="119" w:right="111" w:hanging="2"/>
        <w:rPr>
          <w:rFonts w:ascii="宋体" w:hAnsi="宋体" w:eastAsia="宋体" w:cs="宋体"/>
          <w:color w:val="auto"/>
          <w:spacing w:val="12"/>
          <w:sz w:val="20"/>
          <w:szCs w:val="20"/>
          <w:highlight w:val="none"/>
        </w:rPr>
      </w:pPr>
      <w:r>
        <w:rPr>
          <w:rFonts w:ascii="宋体" w:hAnsi="宋体" w:eastAsia="宋体" w:cs="宋体"/>
          <w:color w:val="auto"/>
          <w:spacing w:val="12"/>
          <w:sz w:val="20"/>
          <w:szCs w:val="20"/>
          <w:highlight w:val="none"/>
        </w:rPr>
        <w:t>注：1、“担任过类似工程监理负责人 ”监理负责人可为总监理工程师或副总监理工程师或驻地监</w:t>
      </w:r>
      <w:bookmarkStart w:id="48" w:name="bookmark91"/>
      <w:bookmarkEnd w:id="48"/>
      <w:r>
        <w:rPr>
          <w:rFonts w:ascii="宋体" w:hAnsi="宋体" w:eastAsia="宋体" w:cs="宋体"/>
          <w:color w:val="auto"/>
          <w:spacing w:val="12"/>
          <w:sz w:val="20"/>
          <w:szCs w:val="20"/>
          <w:highlight w:val="none"/>
        </w:rPr>
        <w:t>理工程师。</w:t>
      </w:r>
    </w:p>
    <w:p w14:paraId="44A3965D">
      <w:pPr>
        <w:spacing w:before="29" w:line="315" w:lineRule="auto"/>
        <w:ind w:left="119" w:right="111" w:hanging="2"/>
        <w:rPr>
          <w:rFonts w:ascii="宋体" w:hAnsi="宋体" w:eastAsia="宋体" w:cs="宋体"/>
          <w:color w:val="auto"/>
          <w:spacing w:val="12"/>
          <w:sz w:val="20"/>
          <w:szCs w:val="20"/>
          <w:highlight w:val="none"/>
        </w:rPr>
      </w:pPr>
      <w:r>
        <w:rPr>
          <w:rFonts w:ascii="宋体" w:hAnsi="宋体" w:eastAsia="宋体" w:cs="宋体"/>
          <w:color w:val="auto"/>
          <w:spacing w:val="12"/>
          <w:sz w:val="20"/>
          <w:szCs w:val="20"/>
          <w:highlight w:val="none"/>
        </w:rPr>
        <w:t>2、联合体投标的，总监理工程师（含备选）需为联合体牵头人正式职员。</w:t>
      </w:r>
    </w:p>
    <w:p w14:paraId="333C21C9">
      <w:pPr>
        <w:spacing w:line="340" w:lineRule="auto"/>
        <w:rPr>
          <w:rFonts w:ascii="Arial"/>
          <w:color w:val="auto"/>
          <w:sz w:val="21"/>
          <w:highlight w:val="none"/>
        </w:rPr>
      </w:pPr>
    </w:p>
    <w:p w14:paraId="1E6C5013">
      <w:pPr>
        <w:spacing w:line="229" w:lineRule="auto"/>
        <w:rPr>
          <w:rFonts w:ascii="宋体" w:hAnsi="宋体" w:eastAsia="宋体" w:cs="宋体"/>
          <w:color w:val="auto"/>
          <w:sz w:val="18"/>
          <w:szCs w:val="18"/>
          <w:highlight w:val="none"/>
        </w:rPr>
        <w:sectPr>
          <w:footerReference r:id="rId26" w:type="default"/>
          <w:pgSz w:w="11906" w:h="16839"/>
          <w:pgMar w:top="1431" w:right="1306" w:bottom="1297" w:left="1306" w:header="0" w:footer="1067" w:gutter="0"/>
          <w:pgNumType w:fmt="decimal"/>
          <w:cols w:space="720" w:num="1"/>
        </w:sectPr>
      </w:pPr>
    </w:p>
    <w:p w14:paraId="73B9420B">
      <w:pPr>
        <w:spacing w:before="128" w:line="219" w:lineRule="auto"/>
        <w:ind w:left="2186"/>
        <w:outlineLvl w:val="1"/>
        <w:rPr>
          <w:rFonts w:ascii="宋体" w:hAnsi="宋体" w:eastAsia="宋体" w:cs="宋体"/>
          <w:b/>
          <w:bCs/>
          <w:color w:val="auto"/>
          <w:spacing w:val="-6"/>
          <w:sz w:val="28"/>
          <w:szCs w:val="28"/>
          <w:highlight w:val="none"/>
        </w:rPr>
      </w:pPr>
      <w:bookmarkStart w:id="49" w:name="_Toc2537"/>
      <w:bookmarkStart w:id="50" w:name="_Toc28444"/>
      <w:r>
        <w:rPr>
          <w:rFonts w:ascii="宋体" w:hAnsi="宋体" w:eastAsia="宋体" w:cs="宋体"/>
          <w:b/>
          <w:bCs/>
          <w:color w:val="auto"/>
          <w:spacing w:val="-6"/>
          <w:sz w:val="28"/>
          <w:szCs w:val="28"/>
          <w:highlight w:val="none"/>
        </w:rPr>
        <w:t>附录4  资格审查条件（驻地监理工程师最低要求）</w:t>
      </w:r>
      <w:bookmarkEnd w:id="49"/>
      <w:bookmarkEnd w:id="50"/>
    </w:p>
    <w:p w14:paraId="15D95552">
      <w:pPr>
        <w:spacing w:before="294" w:line="220" w:lineRule="auto"/>
        <w:ind w:left="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标段：</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p>
    <w:p w14:paraId="047DCAB7">
      <w:pPr>
        <w:spacing w:line="146" w:lineRule="exact"/>
        <w:rPr>
          <w:color w:val="auto"/>
          <w:highlight w:val="none"/>
        </w:rPr>
      </w:pPr>
    </w:p>
    <w:tbl>
      <w:tblPr>
        <w:tblStyle w:val="16"/>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4"/>
        <w:gridCol w:w="1272"/>
        <w:gridCol w:w="4241"/>
        <w:gridCol w:w="1821"/>
      </w:tblGrid>
      <w:tr w14:paraId="5F328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674" w:type="dxa"/>
            <w:vAlign w:val="top"/>
          </w:tcPr>
          <w:p w14:paraId="1F42D8F7">
            <w:pPr>
              <w:pStyle w:val="17"/>
              <w:spacing w:before="285" w:line="229" w:lineRule="auto"/>
              <w:ind w:left="529"/>
              <w:rPr>
                <w:color w:val="auto"/>
                <w:highlight w:val="none"/>
              </w:rPr>
            </w:pPr>
            <w:r>
              <w:rPr>
                <w:color w:val="auto"/>
                <w:spacing w:val="-1"/>
                <w:highlight w:val="none"/>
              </w:rPr>
              <w:t>人</w:t>
            </w:r>
            <w:r>
              <w:rPr>
                <w:color w:val="auto"/>
                <w:spacing w:val="13"/>
                <w:highlight w:val="none"/>
              </w:rPr>
              <w:t xml:space="preserve">  </w:t>
            </w:r>
            <w:r>
              <w:rPr>
                <w:color w:val="auto"/>
                <w:spacing w:val="-1"/>
                <w:highlight w:val="none"/>
              </w:rPr>
              <w:t>员</w:t>
            </w:r>
          </w:p>
        </w:tc>
        <w:tc>
          <w:tcPr>
            <w:tcW w:w="1272" w:type="dxa"/>
            <w:vAlign w:val="top"/>
          </w:tcPr>
          <w:p w14:paraId="63098574">
            <w:pPr>
              <w:pStyle w:val="17"/>
              <w:spacing w:before="284" w:line="228" w:lineRule="auto"/>
              <w:ind w:left="326"/>
              <w:rPr>
                <w:color w:val="auto"/>
                <w:highlight w:val="none"/>
              </w:rPr>
            </w:pPr>
            <w:r>
              <w:rPr>
                <w:color w:val="auto"/>
                <w:highlight w:val="none"/>
              </w:rPr>
              <w:t>数</w:t>
            </w:r>
            <w:r>
              <w:rPr>
                <w:color w:val="auto"/>
                <w:spacing w:val="9"/>
                <w:highlight w:val="none"/>
              </w:rPr>
              <w:t xml:space="preserve">  </w:t>
            </w:r>
            <w:r>
              <w:rPr>
                <w:color w:val="auto"/>
                <w:highlight w:val="none"/>
              </w:rPr>
              <w:t>量</w:t>
            </w:r>
          </w:p>
        </w:tc>
        <w:tc>
          <w:tcPr>
            <w:tcW w:w="4241" w:type="dxa"/>
            <w:vAlign w:val="top"/>
          </w:tcPr>
          <w:p w14:paraId="549D312F">
            <w:pPr>
              <w:pStyle w:val="17"/>
              <w:spacing w:before="284" w:line="228" w:lineRule="auto"/>
              <w:ind w:left="1557"/>
              <w:rPr>
                <w:color w:val="auto"/>
                <w:highlight w:val="none"/>
              </w:rPr>
            </w:pPr>
            <w:r>
              <w:rPr>
                <w:color w:val="auto"/>
                <w:spacing w:val="-2"/>
                <w:highlight w:val="none"/>
              </w:rPr>
              <w:t>资</w:t>
            </w:r>
            <w:r>
              <w:rPr>
                <w:color w:val="auto"/>
                <w:spacing w:val="13"/>
                <w:highlight w:val="none"/>
              </w:rPr>
              <w:t xml:space="preserve"> </w:t>
            </w:r>
            <w:r>
              <w:rPr>
                <w:color w:val="auto"/>
                <w:spacing w:val="-2"/>
                <w:highlight w:val="none"/>
              </w:rPr>
              <w:t>格</w:t>
            </w:r>
            <w:r>
              <w:rPr>
                <w:color w:val="auto"/>
                <w:spacing w:val="17"/>
                <w:highlight w:val="none"/>
              </w:rPr>
              <w:t xml:space="preserve"> </w:t>
            </w:r>
            <w:r>
              <w:rPr>
                <w:color w:val="auto"/>
                <w:spacing w:val="-2"/>
                <w:highlight w:val="none"/>
              </w:rPr>
              <w:t>要</w:t>
            </w:r>
            <w:r>
              <w:rPr>
                <w:color w:val="auto"/>
                <w:spacing w:val="15"/>
                <w:highlight w:val="none"/>
              </w:rPr>
              <w:t xml:space="preserve"> </w:t>
            </w:r>
            <w:r>
              <w:rPr>
                <w:color w:val="auto"/>
                <w:spacing w:val="-2"/>
                <w:highlight w:val="none"/>
              </w:rPr>
              <w:t>求</w:t>
            </w:r>
          </w:p>
        </w:tc>
        <w:tc>
          <w:tcPr>
            <w:tcW w:w="1821" w:type="dxa"/>
            <w:vAlign w:val="top"/>
          </w:tcPr>
          <w:p w14:paraId="213476D3">
            <w:pPr>
              <w:pStyle w:val="17"/>
              <w:spacing w:before="285" w:line="228" w:lineRule="auto"/>
              <w:ind w:left="493"/>
              <w:rPr>
                <w:color w:val="auto"/>
                <w:highlight w:val="none"/>
              </w:rPr>
            </w:pPr>
            <w:r>
              <w:rPr>
                <w:color w:val="auto"/>
                <w:spacing w:val="7"/>
                <w:highlight w:val="none"/>
              </w:rPr>
              <w:t>在岗要求</w:t>
            </w:r>
          </w:p>
        </w:tc>
      </w:tr>
      <w:tr w14:paraId="1CAEC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674" w:type="dxa"/>
            <w:vAlign w:val="top"/>
          </w:tcPr>
          <w:p w14:paraId="2D3C17F1">
            <w:pPr>
              <w:pStyle w:val="17"/>
              <w:spacing w:before="174" w:line="318" w:lineRule="auto"/>
              <w:ind w:left="741" w:right="206" w:hanging="528"/>
              <w:rPr>
                <w:color w:val="auto"/>
                <w:highlight w:val="none"/>
              </w:rPr>
            </w:pPr>
            <w:r>
              <w:rPr>
                <w:color w:val="auto"/>
                <w:spacing w:val="8"/>
                <w:highlight w:val="none"/>
              </w:rPr>
              <w:t>驻地监理工程</w:t>
            </w:r>
            <w:r>
              <w:rPr>
                <w:color w:val="auto"/>
                <w:highlight w:val="none"/>
              </w:rPr>
              <w:t>师</w:t>
            </w:r>
          </w:p>
        </w:tc>
        <w:tc>
          <w:tcPr>
            <w:tcW w:w="1272" w:type="dxa"/>
            <w:vAlign w:val="center"/>
          </w:tcPr>
          <w:p w14:paraId="0B464BE0">
            <w:pPr>
              <w:spacing w:line="309" w:lineRule="auto"/>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0</w:t>
            </w:r>
          </w:p>
          <w:p w14:paraId="63026702">
            <w:pPr>
              <w:pStyle w:val="17"/>
              <w:spacing w:before="65" w:line="270" w:lineRule="exact"/>
              <w:ind w:left="604"/>
              <w:jc w:val="center"/>
              <w:rPr>
                <w:color w:val="auto"/>
                <w:highlight w:val="none"/>
              </w:rPr>
            </w:pPr>
          </w:p>
        </w:tc>
        <w:tc>
          <w:tcPr>
            <w:tcW w:w="4241" w:type="dxa"/>
            <w:vMerge w:val="restart"/>
            <w:tcBorders>
              <w:bottom w:val="nil"/>
            </w:tcBorders>
            <w:vAlign w:val="top"/>
          </w:tcPr>
          <w:p w14:paraId="05BA1E42">
            <w:pPr>
              <w:spacing w:line="271" w:lineRule="auto"/>
              <w:rPr>
                <w:rFonts w:ascii="Arial"/>
                <w:color w:val="auto"/>
                <w:sz w:val="21"/>
                <w:highlight w:val="none"/>
              </w:rPr>
            </w:pPr>
          </w:p>
          <w:p w14:paraId="753BD084">
            <w:pPr>
              <w:pStyle w:val="17"/>
              <w:spacing w:before="65" w:line="370" w:lineRule="auto"/>
              <w:ind w:left="112" w:right="103" w:firstLine="2"/>
              <w:jc w:val="both"/>
              <w:rPr>
                <w:color w:val="auto"/>
                <w:highlight w:val="none"/>
              </w:rPr>
            </w:pPr>
            <w:r>
              <w:rPr>
                <w:color w:val="auto"/>
                <w:spacing w:val="11"/>
                <w:highlight w:val="none"/>
              </w:rPr>
              <w:t>路桥相关专业</w:t>
            </w:r>
            <w:r>
              <w:rPr>
                <w:color w:val="auto"/>
                <w:spacing w:val="11"/>
                <w:highlight w:val="none"/>
                <w:u w:val="single" w:color="auto"/>
              </w:rPr>
              <w:t>高级</w:t>
            </w:r>
            <w:r>
              <w:rPr>
                <w:color w:val="auto"/>
                <w:spacing w:val="11"/>
                <w:highlight w:val="none"/>
              </w:rPr>
              <w:t>工程师，持有交通运输部与人力资源和社会保障部用印的交通运输工程（公路工程）专业监理工程师职业资格证书（或电子证书）或具有交通运输部核发的公路工程监理工程师资格证书，且已在投标</w:t>
            </w:r>
            <w:r>
              <w:rPr>
                <w:color w:val="auto"/>
                <w:spacing w:val="7"/>
                <w:highlight w:val="none"/>
              </w:rPr>
              <w:t>人处进行注册（或从业登记）。</w:t>
            </w:r>
          </w:p>
        </w:tc>
        <w:tc>
          <w:tcPr>
            <w:tcW w:w="1821" w:type="dxa"/>
            <w:vMerge w:val="restart"/>
            <w:tcBorders>
              <w:bottom w:val="nil"/>
            </w:tcBorders>
            <w:vAlign w:val="top"/>
          </w:tcPr>
          <w:p w14:paraId="0104F984">
            <w:pPr>
              <w:pStyle w:val="17"/>
              <w:spacing w:before="141" w:line="228" w:lineRule="auto"/>
              <w:ind w:left="117"/>
              <w:rPr>
                <w:color w:val="auto"/>
                <w:highlight w:val="none"/>
              </w:rPr>
            </w:pPr>
            <w:r>
              <w:rPr>
                <w:color w:val="auto"/>
                <w:spacing w:val="17"/>
                <w:highlight w:val="none"/>
              </w:rPr>
              <w:t>无在岗项</w:t>
            </w:r>
            <w:r>
              <w:rPr>
                <w:color w:val="auto"/>
                <w:spacing w:val="-29"/>
                <w:highlight w:val="none"/>
              </w:rPr>
              <w:t xml:space="preserve"> </w:t>
            </w:r>
            <w:r>
              <w:rPr>
                <w:color w:val="auto"/>
                <w:spacing w:val="17"/>
                <w:highlight w:val="none"/>
              </w:rPr>
              <w:t>目（指</w:t>
            </w:r>
          </w:p>
          <w:p w14:paraId="470B400D">
            <w:pPr>
              <w:pStyle w:val="17"/>
              <w:spacing w:before="151" w:line="228" w:lineRule="auto"/>
              <w:ind w:left="155"/>
              <w:rPr>
                <w:color w:val="auto"/>
                <w:highlight w:val="none"/>
              </w:rPr>
            </w:pPr>
            <w:r>
              <w:rPr>
                <w:color w:val="auto"/>
                <w:spacing w:val="21"/>
                <w:highlight w:val="none"/>
              </w:rPr>
              <w:t>目前未在其他项</w:t>
            </w:r>
          </w:p>
          <w:p w14:paraId="21723092">
            <w:pPr>
              <w:pStyle w:val="17"/>
              <w:spacing w:before="153" w:line="228" w:lineRule="auto"/>
              <w:ind w:left="155"/>
              <w:rPr>
                <w:color w:val="auto"/>
                <w:highlight w:val="none"/>
              </w:rPr>
            </w:pPr>
            <w:r>
              <w:rPr>
                <w:color w:val="auto"/>
                <w:spacing w:val="9"/>
                <w:highlight w:val="none"/>
              </w:rPr>
              <w:t>目上任职</w:t>
            </w:r>
            <w:r>
              <w:rPr>
                <w:color w:val="auto"/>
                <w:spacing w:val="-53"/>
                <w:highlight w:val="none"/>
              </w:rPr>
              <w:t xml:space="preserve"> </w:t>
            </w:r>
            <w:r>
              <w:rPr>
                <w:color w:val="auto"/>
                <w:spacing w:val="9"/>
                <w:highlight w:val="none"/>
              </w:rPr>
              <w:t>，</w:t>
            </w:r>
            <w:r>
              <w:rPr>
                <w:color w:val="auto"/>
                <w:spacing w:val="-59"/>
                <w:highlight w:val="none"/>
              </w:rPr>
              <w:t xml:space="preserve"> </w:t>
            </w:r>
            <w:r>
              <w:rPr>
                <w:color w:val="auto"/>
                <w:spacing w:val="9"/>
                <w:highlight w:val="none"/>
              </w:rPr>
              <w:t>或虽</w:t>
            </w:r>
          </w:p>
          <w:p w14:paraId="1518C44D">
            <w:pPr>
              <w:pStyle w:val="17"/>
              <w:spacing w:before="153" w:line="228" w:lineRule="auto"/>
              <w:ind w:left="114"/>
              <w:rPr>
                <w:color w:val="auto"/>
                <w:highlight w:val="none"/>
              </w:rPr>
            </w:pPr>
            <w:r>
              <w:rPr>
                <w:color w:val="auto"/>
                <w:spacing w:val="17"/>
                <w:highlight w:val="none"/>
              </w:rPr>
              <w:t>在其他项</w:t>
            </w:r>
            <w:r>
              <w:rPr>
                <w:color w:val="auto"/>
                <w:spacing w:val="-29"/>
                <w:highlight w:val="none"/>
              </w:rPr>
              <w:t xml:space="preserve"> </w:t>
            </w:r>
            <w:r>
              <w:rPr>
                <w:color w:val="auto"/>
                <w:spacing w:val="17"/>
                <w:highlight w:val="none"/>
              </w:rPr>
              <w:t>目上任</w:t>
            </w:r>
          </w:p>
          <w:p w14:paraId="79950B59">
            <w:pPr>
              <w:pStyle w:val="17"/>
              <w:spacing w:before="151" w:line="227" w:lineRule="auto"/>
              <w:ind w:left="116"/>
              <w:rPr>
                <w:color w:val="auto"/>
                <w:highlight w:val="none"/>
              </w:rPr>
            </w:pPr>
            <w:r>
              <w:rPr>
                <w:color w:val="auto"/>
                <w:spacing w:val="10"/>
                <w:highlight w:val="none"/>
              </w:rPr>
              <w:t>职但本项</w:t>
            </w:r>
            <w:r>
              <w:rPr>
                <w:color w:val="auto"/>
                <w:spacing w:val="-31"/>
                <w:highlight w:val="none"/>
              </w:rPr>
              <w:t xml:space="preserve"> </w:t>
            </w:r>
            <w:r>
              <w:rPr>
                <w:color w:val="auto"/>
                <w:spacing w:val="10"/>
                <w:highlight w:val="none"/>
              </w:rPr>
              <w:t>目</w:t>
            </w:r>
            <w:r>
              <w:rPr>
                <w:color w:val="auto"/>
                <w:spacing w:val="-49"/>
                <w:highlight w:val="none"/>
              </w:rPr>
              <w:t xml:space="preserve"> </w:t>
            </w:r>
            <w:r>
              <w:rPr>
                <w:color w:val="auto"/>
                <w:spacing w:val="10"/>
                <w:highlight w:val="none"/>
              </w:rPr>
              <w:t>中标</w:t>
            </w:r>
          </w:p>
          <w:p w14:paraId="7DC19B62">
            <w:pPr>
              <w:pStyle w:val="17"/>
              <w:spacing w:before="155" w:line="228" w:lineRule="auto"/>
              <w:ind w:left="117"/>
              <w:rPr>
                <w:color w:val="auto"/>
                <w:highlight w:val="none"/>
              </w:rPr>
            </w:pPr>
            <w:r>
              <w:rPr>
                <w:color w:val="auto"/>
                <w:spacing w:val="22"/>
                <w:highlight w:val="none"/>
              </w:rPr>
              <w:t>后能够从该项</w:t>
            </w:r>
            <w:r>
              <w:rPr>
                <w:color w:val="auto"/>
                <w:spacing w:val="-25"/>
                <w:highlight w:val="none"/>
              </w:rPr>
              <w:t xml:space="preserve"> </w:t>
            </w:r>
            <w:r>
              <w:rPr>
                <w:color w:val="auto"/>
                <w:spacing w:val="22"/>
                <w:highlight w:val="none"/>
              </w:rPr>
              <w:t>目</w:t>
            </w:r>
          </w:p>
          <w:p w14:paraId="023B370E">
            <w:pPr>
              <w:pStyle w:val="17"/>
              <w:spacing w:before="154" w:line="228" w:lineRule="auto"/>
              <w:ind w:left="114"/>
              <w:rPr>
                <w:color w:val="auto"/>
                <w:highlight w:val="none"/>
              </w:rPr>
            </w:pPr>
            <w:r>
              <w:rPr>
                <w:color w:val="auto"/>
                <w:spacing w:val="3"/>
                <w:highlight w:val="none"/>
              </w:rPr>
              <w:t>撤离）</w:t>
            </w:r>
          </w:p>
        </w:tc>
      </w:tr>
      <w:tr w14:paraId="46BEF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1674" w:type="dxa"/>
            <w:vAlign w:val="top"/>
          </w:tcPr>
          <w:p w14:paraId="0CB34D00">
            <w:pPr>
              <w:spacing w:line="317" w:lineRule="auto"/>
              <w:rPr>
                <w:rFonts w:ascii="Arial"/>
                <w:color w:val="auto"/>
                <w:sz w:val="21"/>
                <w:highlight w:val="none"/>
              </w:rPr>
            </w:pPr>
          </w:p>
          <w:p w14:paraId="2EB182EC">
            <w:pPr>
              <w:spacing w:line="317" w:lineRule="auto"/>
              <w:rPr>
                <w:rFonts w:ascii="Arial"/>
                <w:color w:val="auto"/>
                <w:sz w:val="21"/>
                <w:highlight w:val="none"/>
              </w:rPr>
            </w:pPr>
          </w:p>
          <w:p w14:paraId="6D22EF52">
            <w:pPr>
              <w:pStyle w:val="17"/>
              <w:spacing w:before="65" w:line="369" w:lineRule="auto"/>
              <w:ind w:left="321" w:right="206" w:hanging="108"/>
              <w:rPr>
                <w:color w:val="auto"/>
                <w:highlight w:val="none"/>
              </w:rPr>
            </w:pPr>
            <w:r>
              <w:rPr>
                <w:color w:val="auto"/>
                <w:spacing w:val="8"/>
                <w:highlight w:val="none"/>
              </w:rPr>
              <w:t>驻地监理工程</w:t>
            </w:r>
            <w:r>
              <w:rPr>
                <w:color w:val="auto"/>
                <w:spacing w:val="5"/>
                <w:highlight w:val="none"/>
              </w:rPr>
              <w:t>师（备选）</w:t>
            </w:r>
          </w:p>
        </w:tc>
        <w:tc>
          <w:tcPr>
            <w:tcW w:w="1272" w:type="dxa"/>
            <w:vAlign w:val="center"/>
          </w:tcPr>
          <w:p w14:paraId="523715B9">
            <w:pPr>
              <w:spacing w:line="277" w:lineRule="auto"/>
              <w:jc w:val="center"/>
              <w:rPr>
                <w:rFonts w:ascii="Arial"/>
                <w:color w:val="auto"/>
                <w:sz w:val="21"/>
                <w:highlight w:val="none"/>
              </w:rPr>
            </w:pPr>
          </w:p>
          <w:p w14:paraId="26B1A9C9">
            <w:pPr>
              <w:spacing w:line="277" w:lineRule="auto"/>
              <w:jc w:val="center"/>
              <w:rPr>
                <w:rFonts w:ascii="Arial"/>
                <w:color w:val="auto"/>
                <w:sz w:val="21"/>
                <w:highlight w:val="none"/>
              </w:rPr>
            </w:pPr>
          </w:p>
          <w:p w14:paraId="06F82EEC">
            <w:pPr>
              <w:spacing w:line="277" w:lineRule="auto"/>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0</w:t>
            </w:r>
          </w:p>
          <w:p w14:paraId="1802660A">
            <w:pPr>
              <w:pStyle w:val="17"/>
              <w:spacing w:before="65" w:line="270" w:lineRule="exact"/>
              <w:ind w:left="604"/>
              <w:jc w:val="center"/>
              <w:rPr>
                <w:color w:val="auto"/>
                <w:highlight w:val="none"/>
              </w:rPr>
            </w:pPr>
          </w:p>
        </w:tc>
        <w:tc>
          <w:tcPr>
            <w:tcW w:w="4241" w:type="dxa"/>
            <w:vMerge w:val="continue"/>
            <w:tcBorders>
              <w:top w:val="nil"/>
            </w:tcBorders>
            <w:vAlign w:val="top"/>
          </w:tcPr>
          <w:p w14:paraId="24E37526">
            <w:pPr>
              <w:rPr>
                <w:rFonts w:ascii="Arial"/>
                <w:color w:val="auto"/>
                <w:sz w:val="21"/>
                <w:highlight w:val="none"/>
              </w:rPr>
            </w:pPr>
          </w:p>
        </w:tc>
        <w:tc>
          <w:tcPr>
            <w:tcW w:w="1821" w:type="dxa"/>
            <w:vMerge w:val="continue"/>
            <w:tcBorders>
              <w:top w:val="nil"/>
            </w:tcBorders>
            <w:vAlign w:val="top"/>
          </w:tcPr>
          <w:p w14:paraId="3CD0D407">
            <w:pPr>
              <w:rPr>
                <w:rFonts w:ascii="Arial"/>
                <w:color w:val="auto"/>
                <w:sz w:val="21"/>
                <w:highlight w:val="none"/>
              </w:rPr>
            </w:pPr>
          </w:p>
        </w:tc>
      </w:tr>
    </w:tbl>
    <w:p w14:paraId="2E93C302">
      <w:pPr>
        <w:spacing w:before="29" w:line="315" w:lineRule="auto"/>
        <w:ind w:left="119" w:right="111" w:hanging="2"/>
        <w:rPr>
          <w:rFonts w:ascii="宋体" w:hAnsi="宋体" w:eastAsia="宋体" w:cs="宋体"/>
          <w:color w:val="auto"/>
          <w:spacing w:val="12"/>
          <w:sz w:val="20"/>
          <w:szCs w:val="20"/>
          <w:highlight w:val="none"/>
        </w:rPr>
      </w:pPr>
      <w:r>
        <w:rPr>
          <w:rFonts w:ascii="宋体" w:hAnsi="宋体" w:eastAsia="宋体" w:cs="宋体"/>
          <w:color w:val="auto"/>
          <w:spacing w:val="12"/>
          <w:sz w:val="20"/>
          <w:szCs w:val="20"/>
          <w:highlight w:val="none"/>
        </w:rPr>
        <w:t>注：联合体投标的，驻地监理工程师（含备选）须为联合体牵头人正式职员。</w:t>
      </w:r>
    </w:p>
    <w:p w14:paraId="15FE3845">
      <w:pPr>
        <w:rPr>
          <w:rFonts w:ascii="Arial"/>
          <w:color w:val="auto"/>
          <w:sz w:val="21"/>
          <w:highlight w:val="none"/>
        </w:rPr>
      </w:pPr>
    </w:p>
    <w:p w14:paraId="0CD89E9E">
      <w:pPr>
        <w:rPr>
          <w:rFonts w:ascii="Arial"/>
          <w:color w:val="auto"/>
          <w:sz w:val="21"/>
          <w:highlight w:val="none"/>
        </w:rPr>
      </w:pPr>
    </w:p>
    <w:p w14:paraId="3FDE2ADE">
      <w:pPr>
        <w:rPr>
          <w:rFonts w:ascii="Arial"/>
          <w:color w:val="auto"/>
          <w:sz w:val="21"/>
          <w:highlight w:val="none"/>
        </w:rPr>
      </w:pPr>
    </w:p>
    <w:p w14:paraId="12925339">
      <w:pPr>
        <w:rPr>
          <w:rFonts w:ascii="Arial"/>
          <w:color w:val="auto"/>
          <w:sz w:val="21"/>
          <w:highlight w:val="none"/>
        </w:rPr>
      </w:pPr>
    </w:p>
    <w:p w14:paraId="24F1A1B3">
      <w:pPr>
        <w:rPr>
          <w:rFonts w:ascii="Arial"/>
          <w:color w:val="auto"/>
          <w:sz w:val="21"/>
          <w:highlight w:val="none"/>
        </w:rPr>
      </w:pPr>
    </w:p>
    <w:p w14:paraId="5394AB42">
      <w:pPr>
        <w:rPr>
          <w:rFonts w:ascii="Arial"/>
          <w:color w:val="auto"/>
          <w:sz w:val="21"/>
          <w:highlight w:val="none"/>
        </w:rPr>
      </w:pPr>
    </w:p>
    <w:p w14:paraId="0CE18B23">
      <w:pPr>
        <w:rPr>
          <w:rFonts w:ascii="Arial"/>
          <w:color w:val="auto"/>
          <w:sz w:val="21"/>
          <w:highlight w:val="none"/>
        </w:rPr>
      </w:pPr>
    </w:p>
    <w:p w14:paraId="6DE1EB6B">
      <w:pPr>
        <w:rPr>
          <w:rFonts w:ascii="Arial"/>
          <w:color w:val="auto"/>
          <w:sz w:val="21"/>
          <w:highlight w:val="none"/>
        </w:rPr>
      </w:pPr>
    </w:p>
    <w:p w14:paraId="254B3154">
      <w:pPr>
        <w:rPr>
          <w:rFonts w:ascii="Arial"/>
          <w:color w:val="auto"/>
          <w:sz w:val="21"/>
          <w:highlight w:val="none"/>
        </w:rPr>
      </w:pPr>
    </w:p>
    <w:p w14:paraId="3390B592">
      <w:pPr>
        <w:rPr>
          <w:rFonts w:ascii="Arial"/>
          <w:color w:val="auto"/>
          <w:sz w:val="21"/>
          <w:highlight w:val="none"/>
        </w:rPr>
      </w:pPr>
    </w:p>
    <w:p w14:paraId="3AF1EF14">
      <w:pPr>
        <w:rPr>
          <w:rFonts w:ascii="Arial"/>
          <w:color w:val="auto"/>
          <w:sz w:val="21"/>
          <w:highlight w:val="none"/>
        </w:rPr>
      </w:pPr>
    </w:p>
    <w:p w14:paraId="4F4FD50B">
      <w:pPr>
        <w:rPr>
          <w:rFonts w:ascii="Arial"/>
          <w:color w:val="auto"/>
          <w:sz w:val="21"/>
          <w:highlight w:val="none"/>
        </w:rPr>
      </w:pPr>
    </w:p>
    <w:p w14:paraId="5709CBAE">
      <w:pPr>
        <w:rPr>
          <w:rFonts w:ascii="Arial"/>
          <w:color w:val="auto"/>
          <w:sz w:val="21"/>
          <w:highlight w:val="none"/>
        </w:rPr>
      </w:pPr>
    </w:p>
    <w:p w14:paraId="3FDFEC65">
      <w:pPr>
        <w:rPr>
          <w:rFonts w:ascii="Arial"/>
          <w:color w:val="auto"/>
          <w:sz w:val="21"/>
          <w:highlight w:val="none"/>
        </w:rPr>
      </w:pPr>
    </w:p>
    <w:p w14:paraId="17F936FC">
      <w:pPr>
        <w:rPr>
          <w:rFonts w:ascii="Arial"/>
          <w:color w:val="auto"/>
          <w:sz w:val="21"/>
          <w:highlight w:val="none"/>
        </w:rPr>
      </w:pPr>
    </w:p>
    <w:p w14:paraId="6F04F25B">
      <w:pPr>
        <w:rPr>
          <w:rFonts w:ascii="Arial"/>
          <w:color w:val="auto"/>
          <w:sz w:val="21"/>
          <w:highlight w:val="none"/>
        </w:rPr>
      </w:pPr>
    </w:p>
    <w:p w14:paraId="591EC0F4">
      <w:pPr>
        <w:rPr>
          <w:rFonts w:ascii="Arial"/>
          <w:color w:val="auto"/>
          <w:sz w:val="21"/>
          <w:highlight w:val="none"/>
        </w:rPr>
      </w:pPr>
    </w:p>
    <w:p w14:paraId="6AE403FA">
      <w:pPr>
        <w:rPr>
          <w:rFonts w:ascii="Arial"/>
          <w:color w:val="auto"/>
          <w:sz w:val="21"/>
          <w:highlight w:val="none"/>
        </w:rPr>
      </w:pPr>
    </w:p>
    <w:p w14:paraId="5EC22094">
      <w:pPr>
        <w:rPr>
          <w:rFonts w:ascii="Arial"/>
          <w:color w:val="auto"/>
          <w:sz w:val="21"/>
          <w:highlight w:val="none"/>
        </w:rPr>
      </w:pPr>
    </w:p>
    <w:p w14:paraId="07056566">
      <w:pPr>
        <w:rPr>
          <w:rFonts w:ascii="Arial"/>
          <w:color w:val="auto"/>
          <w:sz w:val="21"/>
          <w:highlight w:val="none"/>
        </w:rPr>
      </w:pPr>
    </w:p>
    <w:p w14:paraId="70CF5111">
      <w:pPr>
        <w:rPr>
          <w:rFonts w:ascii="Arial"/>
          <w:color w:val="auto"/>
          <w:sz w:val="21"/>
          <w:highlight w:val="none"/>
        </w:rPr>
      </w:pPr>
    </w:p>
    <w:p w14:paraId="6C41B9CA">
      <w:pPr>
        <w:rPr>
          <w:rFonts w:ascii="Arial"/>
          <w:color w:val="auto"/>
          <w:sz w:val="21"/>
          <w:highlight w:val="none"/>
        </w:rPr>
      </w:pPr>
    </w:p>
    <w:p w14:paraId="46006D06">
      <w:pPr>
        <w:rPr>
          <w:rFonts w:ascii="Arial"/>
          <w:color w:val="auto"/>
          <w:sz w:val="21"/>
          <w:highlight w:val="none"/>
        </w:rPr>
      </w:pPr>
    </w:p>
    <w:p w14:paraId="24015976">
      <w:pPr>
        <w:rPr>
          <w:rFonts w:ascii="Arial"/>
          <w:color w:val="auto"/>
          <w:sz w:val="21"/>
          <w:highlight w:val="none"/>
        </w:rPr>
      </w:pPr>
    </w:p>
    <w:p w14:paraId="5A3ED0A1">
      <w:pPr>
        <w:rPr>
          <w:rFonts w:ascii="Arial"/>
          <w:color w:val="auto"/>
          <w:sz w:val="21"/>
          <w:highlight w:val="none"/>
        </w:rPr>
      </w:pPr>
    </w:p>
    <w:p w14:paraId="05EF4528">
      <w:pPr>
        <w:rPr>
          <w:rFonts w:ascii="Arial"/>
          <w:color w:val="auto"/>
          <w:sz w:val="21"/>
          <w:highlight w:val="none"/>
        </w:rPr>
      </w:pPr>
    </w:p>
    <w:p w14:paraId="49CA0BF9">
      <w:pPr>
        <w:rPr>
          <w:rFonts w:ascii="Arial"/>
          <w:color w:val="auto"/>
          <w:sz w:val="21"/>
          <w:highlight w:val="none"/>
        </w:rPr>
      </w:pPr>
    </w:p>
    <w:p w14:paraId="1545417B">
      <w:pPr>
        <w:rPr>
          <w:rFonts w:ascii="Arial"/>
          <w:color w:val="auto"/>
          <w:sz w:val="21"/>
          <w:highlight w:val="none"/>
        </w:rPr>
      </w:pPr>
    </w:p>
    <w:p w14:paraId="36C38F1B">
      <w:pPr>
        <w:rPr>
          <w:rFonts w:ascii="Arial"/>
          <w:color w:val="auto"/>
          <w:sz w:val="21"/>
          <w:highlight w:val="none"/>
        </w:rPr>
      </w:pPr>
    </w:p>
    <w:p w14:paraId="71E53050">
      <w:pPr>
        <w:rPr>
          <w:rFonts w:ascii="Arial"/>
          <w:color w:val="auto"/>
          <w:sz w:val="21"/>
          <w:highlight w:val="none"/>
        </w:rPr>
      </w:pPr>
    </w:p>
    <w:p w14:paraId="7232B18C">
      <w:pPr>
        <w:rPr>
          <w:rFonts w:ascii="Arial"/>
          <w:color w:val="auto"/>
          <w:sz w:val="21"/>
          <w:highlight w:val="none"/>
        </w:rPr>
      </w:pPr>
    </w:p>
    <w:p w14:paraId="02431001">
      <w:pPr>
        <w:rPr>
          <w:rFonts w:ascii="Arial"/>
          <w:color w:val="auto"/>
          <w:sz w:val="21"/>
          <w:highlight w:val="none"/>
        </w:rPr>
      </w:pPr>
    </w:p>
    <w:p w14:paraId="36A35666">
      <w:pPr>
        <w:rPr>
          <w:rFonts w:ascii="Arial"/>
          <w:color w:val="auto"/>
          <w:sz w:val="21"/>
          <w:highlight w:val="none"/>
        </w:rPr>
      </w:pPr>
    </w:p>
    <w:p w14:paraId="6D41032C">
      <w:pPr>
        <w:spacing w:line="217" w:lineRule="auto"/>
        <w:rPr>
          <w:rFonts w:ascii="宋体" w:hAnsi="宋体" w:eastAsia="宋体" w:cs="宋体"/>
          <w:color w:val="auto"/>
          <w:sz w:val="18"/>
          <w:szCs w:val="18"/>
          <w:highlight w:val="none"/>
        </w:rPr>
        <w:sectPr>
          <w:footerReference r:id="rId27" w:type="default"/>
          <w:pgSz w:w="11906" w:h="16839"/>
          <w:pgMar w:top="1431" w:right="1446" w:bottom="1297" w:left="1417" w:header="0" w:footer="1067" w:gutter="0"/>
          <w:pgNumType w:fmt="decimal"/>
          <w:cols w:space="720" w:num="1"/>
        </w:sectPr>
      </w:pPr>
    </w:p>
    <w:p w14:paraId="3B7063CB">
      <w:pPr>
        <w:spacing w:before="128" w:line="219" w:lineRule="auto"/>
        <w:ind w:left="2186"/>
        <w:outlineLvl w:val="1"/>
        <w:rPr>
          <w:rFonts w:ascii="宋体" w:hAnsi="宋体" w:eastAsia="宋体" w:cs="宋体"/>
          <w:b/>
          <w:bCs/>
          <w:color w:val="auto"/>
          <w:spacing w:val="-6"/>
          <w:sz w:val="28"/>
          <w:szCs w:val="28"/>
          <w:highlight w:val="none"/>
        </w:rPr>
      </w:pPr>
      <w:bookmarkStart w:id="51" w:name="_Toc1646"/>
      <w:bookmarkStart w:id="52" w:name="_Toc17922"/>
      <w:r>
        <w:rPr>
          <w:rFonts w:ascii="宋体" w:hAnsi="宋体" w:eastAsia="宋体" w:cs="宋体"/>
          <w:b/>
          <w:bCs/>
          <w:color w:val="auto"/>
          <w:spacing w:val="-6"/>
          <w:sz w:val="28"/>
          <w:szCs w:val="28"/>
          <w:highlight w:val="none"/>
        </w:rPr>
        <w:t>附录 5  资格审查条件（其他主要监理人员最低要求）</w:t>
      </w:r>
      <w:bookmarkEnd w:id="51"/>
      <w:bookmarkEnd w:id="52"/>
    </w:p>
    <w:p w14:paraId="5C2D147F">
      <w:pPr>
        <w:spacing w:before="292" w:line="221" w:lineRule="auto"/>
        <w:ind w:left="26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标段：</w:t>
      </w:r>
      <w:r>
        <w:rPr>
          <w:rFonts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r>
        <w:rPr>
          <w:rFonts w:ascii="宋体" w:hAnsi="宋体" w:eastAsia="宋体" w:cs="宋体"/>
          <w:color w:val="auto"/>
          <w:sz w:val="20"/>
          <w:szCs w:val="20"/>
          <w:highlight w:val="none"/>
          <w:u w:val="single" w:color="auto"/>
        </w:rPr>
        <w:t xml:space="preserve">      </w:t>
      </w:r>
    </w:p>
    <w:tbl>
      <w:tblPr>
        <w:tblStyle w:val="16"/>
        <w:tblW w:w="9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46"/>
        <w:gridCol w:w="738"/>
        <w:gridCol w:w="7059"/>
      </w:tblGrid>
      <w:tr w14:paraId="4DA27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81" w:type="dxa"/>
            <w:gridSpan w:val="2"/>
            <w:vAlign w:val="top"/>
          </w:tcPr>
          <w:p w14:paraId="40B71D98">
            <w:pPr>
              <w:pStyle w:val="17"/>
              <w:spacing w:before="201" w:line="229" w:lineRule="auto"/>
              <w:ind w:left="689"/>
              <w:rPr>
                <w:color w:val="auto"/>
                <w:highlight w:val="none"/>
              </w:rPr>
            </w:pPr>
            <w:r>
              <w:rPr>
                <w:color w:val="auto"/>
                <w:spacing w:val="3"/>
                <w:highlight w:val="none"/>
              </w:rPr>
              <w:t>人员</w:t>
            </w:r>
          </w:p>
        </w:tc>
        <w:tc>
          <w:tcPr>
            <w:tcW w:w="738" w:type="dxa"/>
            <w:vAlign w:val="top"/>
          </w:tcPr>
          <w:p w14:paraId="0E28C47C">
            <w:pPr>
              <w:pStyle w:val="17"/>
              <w:spacing w:before="201" w:line="228" w:lineRule="auto"/>
              <w:ind w:left="165"/>
              <w:rPr>
                <w:color w:val="auto"/>
                <w:highlight w:val="none"/>
              </w:rPr>
            </w:pPr>
            <w:r>
              <w:rPr>
                <w:color w:val="auto"/>
                <w:spacing w:val="3"/>
                <w:highlight w:val="none"/>
              </w:rPr>
              <w:t>数量</w:t>
            </w:r>
          </w:p>
        </w:tc>
        <w:tc>
          <w:tcPr>
            <w:tcW w:w="7059" w:type="dxa"/>
            <w:vAlign w:val="top"/>
          </w:tcPr>
          <w:p w14:paraId="74802CA2">
            <w:pPr>
              <w:pStyle w:val="17"/>
              <w:spacing w:before="201" w:line="228" w:lineRule="auto"/>
              <w:ind w:left="3123"/>
              <w:rPr>
                <w:color w:val="auto"/>
                <w:highlight w:val="none"/>
              </w:rPr>
            </w:pPr>
            <w:r>
              <w:rPr>
                <w:color w:val="auto"/>
                <w:spacing w:val="5"/>
                <w:highlight w:val="none"/>
              </w:rPr>
              <w:t>资格要求</w:t>
            </w:r>
          </w:p>
        </w:tc>
      </w:tr>
      <w:tr w14:paraId="096BC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635" w:type="dxa"/>
            <w:vMerge w:val="restart"/>
            <w:tcBorders>
              <w:bottom w:val="nil"/>
            </w:tcBorders>
            <w:textDirection w:val="tbRlV"/>
            <w:vAlign w:val="top"/>
          </w:tcPr>
          <w:p w14:paraId="224D1F6A">
            <w:pPr>
              <w:pStyle w:val="17"/>
              <w:spacing w:before="212" w:line="216" w:lineRule="auto"/>
              <w:ind w:left="3570"/>
              <w:rPr>
                <w:color w:val="auto"/>
                <w:highlight w:val="none"/>
              </w:rPr>
            </w:pPr>
            <w:r>
              <w:rPr>
                <w:color w:val="auto"/>
                <w:spacing w:val="8"/>
                <w:highlight w:val="none"/>
              </w:rPr>
              <w:t>专</w:t>
            </w:r>
            <w:r>
              <w:rPr>
                <w:color w:val="auto"/>
                <w:spacing w:val="55"/>
                <w:highlight w:val="none"/>
              </w:rPr>
              <w:t xml:space="preserve"> </w:t>
            </w:r>
            <w:r>
              <w:rPr>
                <w:color w:val="auto"/>
                <w:spacing w:val="8"/>
                <w:highlight w:val="none"/>
              </w:rPr>
              <w:t>业</w:t>
            </w:r>
            <w:r>
              <w:rPr>
                <w:color w:val="auto"/>
                <w:spacing w:val="51"/>
                <w:highlight w:val="none"/>
              </w:rPr>
              <w:t xml:space="preserve"> </w:t>
            </w:r>
            <w:r>
              <w:rPr>
                <w:color w:val="auto"/>
                <w:spacing w:val="8"/>
                <w:highlight w:val="none"/>
              </w:rPr>
              <w:t>监</w:t>
            </w:r>
            <w:r>
              <w:rPr>
                <w:color w:val="auto"/>
                <w:spacing w:val="52"/>
                <w:highlight w:val="none"/>
              </w:rPr>
              <w:t xml:space="preserve"> </w:t>
            </w:r>
            <w:r>
              <w:rPr>
                <w:color w:val="auto"/>
                <w:spacing w:val="8"/>
                <w:highlight w:val="none"/>
              </w:rPr>
              <w:t>理</w:t>
            </w:r>
            <w:r>
              <w:rPr>
                <w:color w:val="auto"/>
                <w:spacing w:val="51"/>
                <w:highlight w:val="none"/>
              </w:rPr>
              <w:t xml:space="preserve"> </w:t>
            </w:r>
            <w:r>
              <w:rPr>
                <w:color w:val="auto"/>
                <w:spacing w:val="8"/>
                <w:highlight w:val="none"/>
              </w:rPr>
              <w:t>工</w:t>
            </w:r>
            <w:r>
              <w:rPr>
                <w:color w:val="auto"/>
                <w:spacing w:val="51"/>
                <w:highlight w:val="none"/>
              </w:rPr>
              <w:t xml:space="preserve"> </w:t>
            </w:r>
            <w:r>
              <w:rPr>
                <w:color w:val="auto"/>
                <w:spacing w:val="8"/>
                <w:highlight w:val="none"/>
              </w:rPr>
              <w:t>程</w:t>
            </w:r>
            <w:r>
              <w:rPr>
                <w:color w:val="auto"/>
                <w:spacing w:val="51"/>
                <w:highlight w:val="none"/>
              </w:rPr>
              <w:t xml:space="preserve"> </w:t>
            </w:r>
            <w:r>
              <w:rPr>
                <w:color w:val="auto"/>
                <w:spacing w:val="8"/>
                <w:highlight w:val="none"/>
              </w:rPr>
              <w:t>师</w:t>
            </w:r>
          </w:p>
        </w:tc>
        <w:tc>
          <w:tcPr>
            <w:tcW w:w="1146" w:type="dxa"/>
            <w:vAlign w:val="top"/>
          </w:tcPr>
          <w:p w14:paraId="0EB441BD">
            <w:pPr>
              <w:spacing w:line="295" w:lineRule="auto"/>
              <w:rPr>
                <w:rFonts w:ascii="Arial"/>
                <w:color w:val="auto"/>
                <w:sz w:val="21"/>
                <w:highlight w:val="none"/>
              </w:rPr>
            </w:pPr>
          </w:p>
          <w:p w14:paraId="62AD9D2F">
            <w:pPr>
              <w:spacing w:line="295" w:lineRule="auto"/>
              <w:rPr>
                <w:rFonts w:ascii="Arial"/>
                <w:color w:val="auto"/>
                <w:sz w:val="21"/>
                <w:highlight w:val="none"/>
              </w:rPr>
            </w:pPr>
          </w:p>
          <w:p w14:paraId="27D9EA87">
            <w:pPr>
              <w:pStyle w:val="17"/>
              <w:spacing w:before="65" w:line="228" w:lineRule="auto"/>
              <w:ind w:left="157"/>
              <w:rPr>
                <w:color w:val="auto"/>
                <w:highlight w:val="none"/>
              </w:rPr>
            </w:pPr>
            <w:r>
              <w:rPr>
                <w:color w:val="auto"/>
                <w:spacing w:val="6"/>
                <w:highlight w:val="none"/>
              </w:rPr>
              <w:t>路基工程</w:t>
            </w:r>
          </w:p>
        </w:tc>
        <w:tc>
          <w:tcPr>
            <w:tcW w:w="738" w:type="dxa"/>
            <w:vAlign w:val="center"/>
          </w:tcPr>
          <w:p w14:paraId="7AE5399C">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492C4E20">
            <w:pPr>
              <w:pStyle w:val="17"/>
              <w:spacing w:before="120" w:line="300" w:lineRule="auto"/>
              <w:ind w:left="111" w:right="109" w:firstLine="5"/>
              <w:jc w:val="both"/>
              <w:rPr>
                <w:color w:val="auto"/>
                <w:highlight w:val="none"/>
              </w:rPr>
            </w:pPr>
            <w:r>
              <w:rPr>
                <w:color w:val="auto"/>
                <w:highlight w:val="none"/>
              </w:rPr>
              <w:pict>
                <v:shape id="_x0000_s1059" o:spid="_x0000_s1059" o:spt="202" type="#_x0000_t202" style="position:absolute;left:0pt;margin-left:4.15pt;margin-top:59.2pt;height:14.1pt;width:12.6pt;z-index:251673600;mso-width-relative:page;mso-height-relative:page;" filled="f" stroked="f" coordsize="21600,21600">
                  <v:path/>
                  <v:fill on="f" focussize="0,0"/>
                  <v:stroke on="f"/>
                  <v:imagedata o:title=""/>
                  <o:lock v:ext="edit" aspectratio="f"/>
                  <v:textbox inset="0mm,0mm,0mm,0mm">
                    <w:txbxContent>
                      <w:p w14:paraId="43357B26">
                        <w:pPr>
                          <w:tabs>
                            <w:tab w:val="left" w:pos="231"/>
                          </w:tabs>
                          <w:spacing w:before="20"/>
                          <w:ind w:left="20"/>
                          <w:rPr>
                            <w:rFonts w:ascii="Arial"/>
                            <w:sz w:val="21"/>
                          </w:rPr>
                        </w:pPr>
                        <w:r>
                          <w:rPr>
                            <w:rFonts w:ascii="Arial" w:hAnsi="Arial" w:eastAsia="Arial" w:cs="Arial"/>
                            <w:sz w:val="21"/>
                            <w:szCs w:val="21"/>
                            <w:u w:val="single" w:color="auto"/>
                          </w:rPr>
                          <w:tab/>
                        </w:r>
                      </w:p>
                    </w:txbxContent>
                  </v:textbox>
                </v:shape>
              </w:pict>
            </w: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或具有交通运输部核发的公路工程道桥专业监理工程师资格证书；具有路桥相关专业</w:t>
            </w:r>
            <w:r>
              <w:rPr>
                <w:color w:val="auto"/>
                <w:spacing w:val="13"/>
                <w:highlight w:val="none"/>
                <w:u w:val="single" w:color="auto"/>
              </w:rPr>
              <w:t>中级及以</w:t>
            </w:r>
            <w:r>
              <w:rPr>
                <w:color w:val="auto"/>
                <w:spacing w:val="8"/>
                <w:highlight w:val="none"/>
              </w:rPr>
              <w:t>上技术职称；从事公路路基工程监理工作</w:t>
            </w:r>
            <w:r>
              <w:rPr>
                <w:color w:val="auto"/>
                <w:spacing w:val="-33"/>
                <w:highlight w:val="none"/>
              </w:rPr>
              <w:t xml:space="preserve"> </w:t>
            </w:r>
            <w:r>
              <w:rPr>
                <w:color w:val="auto"/>
                <w:spacing w:val="8"/>
                <w:highlight w:val="none"/>
              </w:rPr>
              <w:t>5</w:t>
            </w:r>
            <w:r>
              <w:rPr>
                <w:color w:val="auto"/>
                <w:spacing w:val="-37"/>
                <w:highlight w:val="none"/>
              </w:rPr>
              <w:t xml:space="preserve"> </w:t>
            </w:r>
            <w:r>
              <w:rPr>
                <w:color w:val="auto"/>
                <w:spacing w:val="8"/>
                <w:highlight w:val="none"/>
              </w:rPr>
              <w:t>年</w:t>
            </w:r>
            <w:r>
              <w:rPr>
                <w:color w:val="auto"/>
                <w:spacing w:val="7"/>
                <w:highlight w:val="none"/>
              </w:rPr>
              <w:t>以上。</w:t>
            </w:r>
          </w:p>
        </w:tc>
      </w:tr>
      <w:tr w14:paraId="15466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635" w:type="dxa"/>
            <w:vMerge w:val="continue"/>
            <w:tcBorders>
              <w:top w:val="nil"/>
              <w:bottom w:val="nil"/>
            </w:tcBorders>
            <w:textDirection w:val="tbRlV"/>
            <w:vAlign w:val="top"/>
          </w:tcPr>
          <w:p w14:paraId="1429C560">
            <w:pPr>
              <w:rPr>
                <w:rFonts w:ascii="Arial"/>
                <w:color w:val="auto"/>
                <w:sz w:val="21"/>
                <w:highlight w:val="none"/>
              </w:rPr>
            </w:pPr>
          </w:p>
        </w:tc>
        <w:tc>
          <w:tcPr>
            <w:tcW w:w="1146" w:type="dxa"/>
            <w:vAlign w:val="top"/>
          </w:tcPr>
          <w:p w14:paraId="6C0DAC8F">
            <w:pPr>
              <w:spacing w:line="302" w:lineRule="auto"/>
              <w:rPr>
                <w:rFonts w:ascii="Arial"/>
                <w:color w:val="auto"/>
                <w:sz w:val="21"/>
                <w:highlight w:val="none"/>
              </w:rPr>
            </w:pPr>
          </w:p>
          <w:p w14:paraId="20FAA8F6">
            <w:pPr>
              <w:spacing w:line="302" w:lineRule="auto"/>
              <w:rPr>
                <w:rFonts w:ascii="Arial"/>
                <w:color w:val="auto"/>
                <w:sz w:val="21"/>
                <w:highlight w:val="none"/>
              </w:rPr>
            </w:pPr>
          </w:p>
          <w:p w14:paraId="45E9F5E1">
            <w:pPr>
              <w:pStyle w:val="17"/>
              <w:spacing w:before="65" w:line="228" w:lineRule="auto"/>
              <w:ind w:left="157"/>
              <w:rPr>
                <w:color w:val="auto"/>
                <w:highlight w:val="none"/>
              </w:rPr>
            </w:pPr>
            <w:r>
              <w:rPr>
                <w:color w:val="auto"/>
                <w:spacing w:val="6"/>
                <w:highlight w:val="none"/>
              </w:rPr>
              <w:t>路面工程</w:t>
            </w:r>
          </w:p>
        </w:tc>
        <w:tc>
          <w:tcPr>
            <w:tcW w:w="738" w:type="dxa"/>
            <w:vAlign w:val="center"/>
          </w:tcPr>
          <w:p w14:paraId="5F10CAA0">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6052E40F">
            <w:pPr>
              <w:pStyle w:val="17"/>
              <w:spacing w:before="135" w:line="300" w:lineRule="auto"/>
              <w:ind w:left="111" w:right="109" w:firstLine="5"/>
              <w:jc w:val="both"/>
              <w:rPr>
                <w:color w:val="auto"/>
                <w:highlight w:val="none"/>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或具有交通运输部核发的公路工程道桥专业监理工程师资格证书；具有路桥相关专业</w:t>
            </w:r>
            <w:r>
              <w:rPr>
                <w:color w:val="auto"/>
                <w:spacing w:val="13"/>
                <w:highlight w:val="none"/>
                <w:u w:val="single" w:color="auto"/>
              </w:rPr>
              <w:t>中级及以</w:t>
            </w:r>
            <w:r>
              <w:rPr>
                <w:color w:val="auto"/>
                <w:spacing w:val="8"/>
                <w:highlight w:val="none"/>
                <w:u w:val="single" w:color="auto"/>
              </w:rPr>
              <w:t>上</w:t>
            </w:r>
            <w:r>
              <w:rPr>
                <w:color w:val="auto"/>
                <w:spacing w:val="8"/>
                <w:highlight w:val="none"/>
              </w:rPr>
              <w:t>技术职称；从事公路路面工程监理工作</w:t>
            </w:r>
            <w:r>
              <w:rPr>
                <w:color w:val="auto"/>
                <w:spacing w:val="-33"/>
                <w:highlight w:val="none"/>
              </w:rPr>
              <w:t xml:space="preserve"> </w:t>
            </w:r>
            <w:r>
              <w:rPr>
                <w:color w:val="auto"/>
                <w:spacing w:val="8"/>
                <w:highlight w:val="none"/>
              </w:rPr>
              <w:t>5</w:t>
            </w:r>
            <w:r>
              <w:rPr>
                <w:color w:val="auto"/>
                <w:spacing w:val="-37"/>
                <w:highlight w:val="none"/>
              </w:rPr>
              <w:t xml:space="preserve"> </w:t>
            </w:r>
            <w:r>
              <w:rPr>
                <w:color w:val="auto"/>
                <w:spacing w:val="8"/>
                <w:highlight w:val="none"/>
              </w:rPr>
              <w:t>年</w:t>
            </w:r>
            <w:r>
              <w:rPr>
                <w:color w:val="auto"/>
                <w:spacing w:val="7"/>
                <w:highlight w:val="none"/>
              </w:rPr>
              <w:t>以上。</w:t>
            </w:r>
          </w:p>
        </w:tc>
      </w:tr>
      <w:tr w14:paraId="4FBF4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5" w:type="dxa"/>
            <w:vMerge w:val="continue"/>
            <w:tcBorders>
              <w:top w:val="nil"/>
              <w:bottom w:val="nil"/>
            </w:tcBorders>
            <w:textDirection w:val="tbRlV"/>
            <w:vAlign w:val="top"/>
          </w:tcPr>
          <w:p w14:paraId="6F83C609">
            <w:pPr>
              <w:rPr>
                <w:rFonts w:ascii="Arial"/>
                <w:color w:val="auto"/>
                <w:sz w:val="21"/>
                <w:highlight w:val="none"/>
              </w:rPr>
            </w:pPr>
          </w:p>
        </w:tc>
        <w:tc>
          <w:tcPr>
            <w:tcW w:w="1146" w:type="dxa"/>
            <w:vAlign w:val="top"/>
          </w:tcPr>
          <w:p w14:paraId="1EE8A177">
            <w:pPr>
              <w:spacing w:line="302" w:lineRule="auto"/>
              <w:rPr>
                <w:rFonts w:ascii="Arial"/>
                <w:color w:val="auto"/>
                <w:sz w:val="21"/>
                <w:highlight w:val="none"/>
              </w:rPr>
            </w:pPr>
          </w:p>
          <w:p w14:paraId="33E3638B">
            <w:pPr>
              <w:spacing w:line="302" w:lineRule="auto"/>
              <w:rPr>
                <w:rFonts w:ascii="Arial"/>
                <w:color w:val="auto"/>
                <w:sz w:val="21"/>
                <w:highlight w:val="none"/>
              </w:rPr>
            </w:pPr>
          </w:p>
          <w:p w14:paraId="27E1D1C5">
            <w:pPr>
              <w:pStyle w:val="17"/>
              <w:spacing w:before="65" w:line="228" w:lineRule="auto"/>
              <w:ind w:left="155"/>
              <w:rPr>
                <w:color w:val="auto"/>
                <w:highlight w:val="none"/>
              </w:rPr>
            </w:pPr>
            <w:r>
              <w:rPr>
                <w:color w:val="auto"/>
                <w:spacing w:val="7"/>
                <w:highlight w:val="none"/>
              </w:rPr>
              <w:t>桥梁工程</w:t>
            </w:r>
          </w:p>
        </w:tc>
        <w:tc>
          <w:tcPr>
            <w:tcW w:w="738" w:type="dxa"/>
            <w:vAlign w:val="center"/>
          </w:tcPr>
          <w:p w14:paraId="567F357F">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0</w:t>
            </w:r>
          </w:p>
        </w:tc>
        <w:tc>
          <w:tcPr>
            <w:tcW w:w="7059" w:type="dxa"/>
            <w:vAlign w:val="top"/>
          </w:tcPr>
          <w:p w14:paraId="64EEC4C3">
            <w:pPr>
              <w:pStyle w:val="17"/>
              <w:spacing w:before="134" w:line="300" w:lineRule="auto"/>
              <w:ind w:left="111" w:right="109" w:firstLine="5"/>
              <w:jc w:val="both"/>
              <w:rPr>
                <w:color w:val="auto"/>
                <w:highlight w:val="none"/>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或具有交通运输部核发的公路工程道桥专业监理工程师资格证书；具有路桥相关专业</w:t>
            </w:r>
            <w:r>
              <w:rPr>
                <w:color w:val="auto"/>
                <w:spacing w:val="13"/>
                <w:highlight w:val="none"/>
                <w:u w:val="single" w:color="auto"/>
              </w:rPr>
              <w:t>中级及以</w:t>
            </w:r>
            <w:r>
              <w:rPr>
                <w:color w:val="auto"/>
                <w:spacing w:val="8"/>
                <w:highlight w:val="none"/>
                <w:u w:val="single" w:color="auto"/>
              </w:rPr>
              <w:t>上</w:t>
            </w:r>
            <w:r>
              <w:rPr>
                <w:color w:val="auto"/>
                <w:spacing w:val="8"/>
                <w:highlight w:val="none"/>
              </w:rPr>
              <w:t>技术职称；从事桥梁工程监理工作</w:t>
            </w:r>
            <w:r>
              <w:rPr>
                <w:color w:val="auto"/>
                <w:spacing w:val="-32"/>
                <w:highlight w:val="none"/>
              </w:rPr>
              <w:t xml:space="preserve"> </w:t>
            </w:r>
            <w:r>
              <w:rPr>
                <w:color w:val="auto"/>
                <w:spacing w:val="8"/>
                <w:highlight w:val="none"/>
              </w:rPr>
              <w:t>5 年以</w:t>
            </w:r>
            <w:r>
              <w:rPr>
                <w:color w:val="auto"/>
                <w:spacing w:val="7"/>
                <w:highlight w:val="none"/>
              </w:rPr>
              <w:t>上。</w:t>
            </w:r>
          </w:p>
        </w:tc>
      </w:tr>
      <w:tr w14:paraId="6CC94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5" w:type="dxa"/>
            <w:vMerge w:val="continue"/>
            <w:tcBorders>
              <w:top w:val="nil"/>
              <w:bottom w:val="nil"/>
            </w:tcBorders>
            <w:textDirection w:val="tbRlV"/>
            <w:vAlign w:val="top"/>
          </w:tcPr>
          <w:p w14:paraId="514E30E3">
            <w:pPr>
              <w:rPr>
                <w:rFonts w:ascii="Arial"/>
                <w:color w:val="auto"/>
                <w:sz w:val="21"/>
                <w:highlight w:val="none"/>
              </w:rPr>
            </w:pPr>
          </w:p>
        </w:tc>
        <w:tc>
          <w:tcPr>
            <w:tcW w:w="1146" w:type="dxa"/>
            <w:vAlign w:val="top"/>
          </w:tcPr>
          <w:p w14:paraId="24A9D6C9">
            <w:pPr>
              <w:spacing w:line="304" w:lineRule="auto"/>
              <w:rPr>
                <w:rFonts w:ascii="Arial"/>
                <w:color w:val="auto"/>
                <w:sz w:val="21"/>
                <w:highlight w:val="none"/>
              </w:rPr>
            </w:pPr>
          </w:p>
          <w:p w14:paraId="2D7BC035">
            <w:pPr>
              <w:spacing w:line="304" w:lineRule="auto"/>
              <w:rPr>
                <w:rFonts w:ascii="Arial"/>
                <w:color w:val="auto"/>
                <w:sz w:val="21"/>
                <w:highlight w:val="none"/>
              </w:rPr>
            </w:pPr>
          </w:p>
          <w:p w14:paraId="448727DE">
            <w:pPr>
              <w:pStyle w:val="17"/>
              <w:spacing w:before="65" w:line="228" w:lineRule="auto"/>
              <w:ind w:left="166"/>
              <w:rPr>
                <w:color w:val="auto"/>
                <w:highlight w:val="none"/>
              </w:rPr>
            </w:pPr>
            <w:r>
              <w:rPr>
                <w:color w:val="auto"/>
                <w:spacing w:val="4"/>
                <w:highlight w:val="none"/>
              </w:rPr>
              <w:t>隧道工程</w:t>
            </w:r>
          </w:p>
        </w:tc>
        <w:tc>
          <w:tcPr>
            <w:tcW w:w="738" w:type="dxa"/>
            <w:vAlign w:val="center"/>
          </w:tcPr>
          <w:p w14:paraId="35CBB72A">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0</w:t>
            </w:r>
          </w:p>
        </w:tc>
        <w:tc>
          <w:tcPr>
            <w:tcW w:w="7059" w:type="dxa"/>
            <w:vAlign w:val="top"/>
          </w:tcPr>
          <w:p w14:paraId="3CF68EB1">
            <w:pPr>
              <w:pStyle w:val="17"/>
              <w:spacing w:before="138" w:line="299" w:lineRule="auto"/>
              <w:ind w:left="111" w:right="109" w:firstLine="5"/>
              <w:rPr>
                <w:color w:val="auto"/>
                <w:highlight w:val="none"/>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或具有交通运输部核发的公路工程隧道专业监理工程师资格证书；具有</w:t>
            </w:r>
            <w:r>
              <w:rPr>
                <w:color w:val="auto"/>
                <w:spacing w:val="13"/>
                <w:highlight w:val="none"/>
                <w:u w:val="single" w:color="auto"/>
              </w:rPr>
              <w:t>中级及以上</w:t>
            </w:r>
            <w:r>
              <w:rPr>
                <w:color w:val="auto"/>
                <w:spacing w:val="13"/>
                <w:highlight w:val="none"/>
              </w:rPr>
              <w:t>技术职称；</w:t>
            </w:r>
            <w:r>
              <w:rPr>
                <w:color w:val="auto"/>
                <w:spacing w:val="6"/>
                <w:highlight w:val="none"/>
              </w:rPr>
              <w:t>从事隧道工程监理工作</w:t>
            </w:r>
            <w:r>
              <w:rPr>
                <w:color w:val="auto"/>
                <w:spacing w:val="-22"/>
                <w:highlight w:val="none"/>
              </w:rPr>
              <w:t xml:space="preserve"> </w:t>
            </w:r>
            <w:r>
              <w:rPr>
                <w:color w:val="auto"/>
                <w:spacing w:val="6"/>
                <w:highlight w:val="none"/>
              </w:rPr>
              <w:t>5</w:t>
            </w:r>
            <w:r>
              <w:rPr>
                <w:color w:val="auto"/>
                <w:spacing w:val="-37"/>
                <w:highlight w:val="none"/>
              </w:rPr>
              <w:t xml:space="preserve"> </w:t>
            </w:r>
            <w:r>
              <w:rPr>
                <w:color w:val="auto"/>
                <w:spacing w:val="6"/>
                <w:highlight w:val="none"/>
              </w:rPr>
              <w:t>年以上。</w:t>
            </w:r>
          </w:p>
        </w:tc>
      </w:tr>
      <w:tr w14:paraId="25531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35" w:type="dxa"/>
            <w:vMerge w:val="continue"/>
            <w:tcBorders>
              <w:top w:val="nil"/>
              <w:bottom w:val="nil"/>
            </w:tcBorders>
            <w:textDirection w:val="tbRlV"/>
            <w:vAlign w:val="top"/>
          </w:tcPr>
          <w:p w14:paraId="73A7E973">
            <w:pPr>
              <w:rPr>
                <w:rFonts w:ascii="Arial"/>
                <w:color w:val="auto"/>
                <w:sz w:val="21"/>
                <w:highlight w:val="none"/>
              </w:rPr>
            </w:pPr>
          </w:p>
        </w:tc>
        <w:tc>
          <w:tcPr>
            <w:tcW w:w="1146" w:type="dxa"/>
            <w:vAlign w:val="top"/>
          </w:tcPr>
          <w:p w14:paraId="08766A18">
            <w:pPr>
              <w:spacing w:line="251" w:lineRule="auto"/>
              <w:rPr>
                <w:rFonts w:ascii="Arial"/>
                <w:color w:val="auto"/>
                <w:sz w:val="21"/>
                <w:highlight w:val="none"/>
              </w:rPr>
            </w:pPr>
          </w:p>
          <w:p w14:paraId="2A0425E8">
            <w:pPr>
              <w:pStyle w:val="17"/>
              <w:spacing w:before="65" w:line="221" w:lineRule="auto"/>
              <w:ind w:left="156"/>
              <w:rPr>
                <w:color w:val="auto"/>
                <w:highlight w:val="none"/>
              </w:rPr>
            </w:pPr>
            <w:r>
              <w:rPr>
                <w:color w:val="auto"/>
                <w:spacing w:val="7"/>
                <w:highlight w:val="none"/>
              </w:rPr>
              <w:t>合同管理</w:t>
            </w:r>
          </w:p>
          <w:p w14:paraId="5BD3E8F9">
            <w:pPr>
              <w:pStyle w:val="17"/>
              <w:spacing w:before="103" w:line="228" w:lineRule="auto"/>
              <w:ind w:left="520"/>
              <w:rPr>
                <w:color w:val="auto"/>
                <w:sz w:val="10"/>
                <w:szCs w:val="10"/>
                <w:highlight w:val="none"/>
              </w:rPr>
            </w:pPr>
            <w:r>
              <w:rPr>
                <w:color w:val="auto"/>
                <w:highlight w:val="none"/>
              </w:rPr>
              <w:fldChar w:fldCharType="begin"/>
            </w:r>
            <w:r>
              <w:rPr>
                <w:color w:val="auto"/>
                <w:highlight w:val="none"/>
              </w:rPr>
              <w:instrText xml:space="preserve"> HYPERLINK \l "bookmark96" </w:instrText>
            </w:r>
            <w:r>
              <w:rPr>
                <w:color w:val="auto"/>
                <w:highlight w:val="none"/>
              </w:rPr>
              <w:fldChar w:fldCharType="separate"/>
            </w:r>
            <w:r>
              <w:rPr>
                <w:color w:val="auto"/>
                <w:spacing w:val="2"/>
                <w:sz w:val="10"/>
                <w:szCs w:val="10"/>
                <w:highlight w:val="none"/>
              </w:rPr>
              <w:t>②</w:t>
            </w:r>
            <w:r>
              <w:rPr>
                <w:color w:val="auto"/>
                <w:spacing w:val="2"/>
                <w:sz w:val="10"/>
                <w:szCs w:val="10"/>
                <w:highlight w:val="none"/>
              </w:rPr>
              <w:fldChar w:fldCharType="end"/>
            </w:r>
          </w:p>
        </w:tc>
        <w:tc>
          <w:tcPr>
            <w:tcW w:w="738" w:type="dxa"/>
            <w:vAlign w:val="center"/>
          </w:tcPr>
          <w:p w14:paraId="7E558AAE">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6F0E5247">
            <w:pPr>
              <w:pStyle w:val="17"/>
              <w:spacing w:before="138" w:line="288" w:lineRule="auto"/>
              <w:ind w:left="111" w:right="107" w:firstLine="5"/>
              <w:jc w:val="both"/>
              <w:rPr>
                <w:color w:val="auto"/>
                <w:highlight w:val="none"/>
              </w:rPr>
            </w:pPr>
            <w:r>
              <w:rPr>
                <w:color w:val="auto"/>
                <w:spacing w:val="12"/>
                <w:highlight w:val="none"/>
              </w:rPr>
              <w:t>具有</w:t>
            </w:r>
            <w:r>
              <w:rPr>
                <w:color w:val="auto"/>
                <w:spacing w:val="-80"/>
                <w:highlight w:val="none"/>
              </w:rPr>
              <w:t xml:space="preserve"> </w:t>
            </w:r>
            <w:r>
              <w:rPr>
                <w:color w:val="auto"/>
                <w:spacing w:val="8"/>
                <w:highlight w:val="none"/>
                <w:u w:val="single" w:color="auto"/>
              </w:rPr>
              <w:t xml:space="preserve">  </w:t>
            </w:r>
            <w:r>
              <w:rPr>
                <w:rFonts w:hint="eastAsia"/>
                <w:color w:val="auto"/>
                <w:spacing w:val="8"/>
                <w:highlight w:val="none"/>
                <w:u w:val="single" w:color="auto"/>
                <w:lang w:val="en-US" w:eastAsia="zh-CN"/>
              </w:rPr>
              <w:t>一</w:t>
            </w:r>
            <w:r>
              <w:rPr>
                <w:color w:val="auto"/>
                <w:spacing w:val="8"/>
                <w:highlight w:val="none"/>
                <w:u w:val="single" w:color="auto"/>
              </w:rPr>
              <w:t xml:space="preserve">  </w:t>
            </w:r>
            <w:r>
              <w:rPr>
                <w:color w:val="auto"/>
                <w:spacing w:val="-86"/>
                <w:highlight w:val="none"/>
              </w:rPr>
              <w:t xml:space="preserve"> </w:t>
            </w:r>
            <w:r>
              <w:rPr>
                <w:color w:val="auto"/>
                <w:spacing w:val="12"/>
                <w:highlight w:val="none"/>
              </w:rPr>
              <w:t>级造价工程师注册证（交通运输工程专业，类别为公路）或交通</w:t>
            </w:r>
            <w:r>
              <w:rPr>
                <w:color w:val="auto"/>
                <w:spacing w:val="17"/>
                <w:highlight w:val="none"/>
              </w:rPr>
              <w:t>运输主管部门颁发的</w:t>
            </w:r>
            <w:r>
              <w:rPr>
                <w:color w:val="auto"/>
                <w:spacing w:val="-76"/>
                <w:highlight w:val="none"/>
              </w:rPr>
              <w:t xml:space="preserve"> </w:t>
            </w:r>
            <w:r>
              <w:rPr>
                <w:color w:val="auto"/>
                <w:spacing w:val="15"/>
                <w:highlight w:val="none"/>
                <w:u w:val="single" w:color="auto"/>
              </w:rPr>
              <w:t xml:space="preserve">  </w:t>
            </w:r>
            <w:r>
              <w:rPr>
                <w:rFonts w:hint="eastAsia"/>
                <w:color w:val="auto"/>
                <w:spacing w:val="15"/>
                <w:highlight w:val="none"/>
                <w:u w:val="single" w:color="auto"/>
                <w:lang w:val="en-US" w:eastAsia="zh-CN"/>
              </w:rPr>
              <w:t>一</w:t>
            </w:r>
            <w:r>
              <w:rPr>
                <w:color w:val="auto"/>
                <w:spacing w:val="15"/>
                <w:highlight w:val="none"/>
                <w:u w:val="single" w:color="auto"/>
              </w:rPr>
              <w:t xml:space="preserve">  </w:t>
            </w:r>
            <w:r>
              <w:rPr>
                <w:color w:val="auto"/>
                <w:spacing w:val="-88"/>
                <w:highlight w:val="none"/>
              </w:rPr>
              <w:t xml:space="preserve"> </w:t>
            </w:r>
            <w:r>
              <w:rPr>
                <w:color w:val="auto"/>
                <w:spacing w:val="17"/>
                <w:highlight w:val="none"/>
              </w:rPr>
              <w:t>级公路造价人员证书；</w:t>
            </w:r>
            <w:r>
              <w:rPr>
                <w:color w:val="auto"/>
                <w:spacing w:val="-55"/>
                <w:highlight w:val="none"/>
              </w:rPr>
              <w:t xml:space="preserve"> </w:t>
            </w:r>
            <w:r>
              <w:rPr>
                <w:color w:val="auto"/>
                <w:spacing w:val="17"/>
                <w:highlight w:val="none"/>
              </w:rPr>
              <w:t>具有</w:t>
            </w:r>
            <w:r>
              <w:rPr>
                <w:color w:val="auto"/>
                <w:spacing w:val="17"/>
                <w:highlight w:val="none"/>
                <w:u w:val="single" w:color="auto"/>
              </w:rPr>
              <w:t>中级及以上</w:t>
            </w:r>
            <w:r>
              <w:rPr>
                <w:color w:val="auto"/>
                <w:spacing w:val="17"/>
                <w:highlight w:val="none"/>
              </w:rPr>
              <w:t>技术职</w:t>
            </w:r>
            <w:r>
              <w:rPr>
                <w:color w:val="auto"/>
                <w:spacing w:val="5"/>
                <w:highlight w:val="none"/>
              </w:rPr>
              <w:t>称，至少</w:t>
            </w:r>
            <w:r>
              <w:rPr>
                <w:color w:val="auto"/>
                <w:spacing w:val="-27"/>
                <w:highlight w:val="none"/>
              </w:rPr>
              <w:t xml:space="preserve"> </w:t>
            </w:r>
            <w:r>
              <w:rPr>
                <w:color w:val="auto"/>
                <w:spacing w:val="5"/>
                <w:highlight w:val="none"/>
              </w:rPr>
              <w:t>5</w:t>
            </w:r>
            <w:r>
              <w:rPr>
                <w:color w:val="auto"/>
                <w:spacing w:val="-37"/>
                <w:highlight w:val="none"/>
              </w:rPr>
              <w:t xml:space="preserve"> </w:t>
            </w:r>
            <w:r>
              <w:rPr>
                <w:color w:val="auto"/>
                <w:spacing w:val="5"/>
                <w:highlight w:val="none"/>
              </w:rPr>
              <w:t>年工作经验。</w:t>
            </w:r>
          </w:p>
        </w:tc>
      </w:tr>
      <w:tr w14:paraId="79F18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5" w:type="dxa"/>
            <w:vMerge w:val="continue"/>
            <w:tcBorders>
              <w:top w:val="nil"/>
              <w:bottom w:val="nil"/>
            </w:tcBorders>
            <w:textDirection w:val="tbRlV"/>
            <w:vAlign w:val="top"/>
          </w:tcPr>
          <w:p w14:paraId="273091E1">
            <w:pPr>
              <w:rPr>
                <w:rFonts w:ascii="Arial"/>
                <w:color w:val="auto"/>
                <w:sz w:val="21"/>
                <w:highlight w:val="none"/>
              </w:rPr>
            </w:pPr>
          </w:p>
        </w:tc>
        <w:tc>
          <w:tcPr>
            <w:tcW w:w="1146" w:type="dxa"/>
            <w:vAlign w:val="top"/>
          </w:tcPr>
          <w:p w14:paraId="5FD04164">
            <w:pPr>
              <w:spacing w:line="304" w:lineRule="auto"/>
              <w:rPr>
                <w:rFonts w:ascii="Arial"/>
                <w:color w:val="auto"/>
                <w:sz w:val="21"/>
                <w:highlight w:val="none"/>
              </w:rPr>
            </w:pPr>
          </w:p>
          <w:p w14:paraId="2659FF16">
            <w:pPr>
              <w:spacing w:line="305" w:lineRule="auto"/>
              <w:rPr>
                <w:rFonts w:ascii="Arial"/>
                <w:color w:val="auto"/>
                <w:sz w:val="21"/>
                <w:highlight w:val="none"/>
              </w:rPr>
            </w:pPr>
          </w:p>
          <w:p w14:paraId="57C0FF88">
            <w:pPr>
              <w:pStyle w:val="17"/>
              <w:spacing w:before="65" w:line="228" w:lineRule="auto"/>
              <w:ind w:left="156"/>
              <w:rPr>
                <w:color w:val="auto"/>
                <w:highlight w:val="none"/>
              </w:rPr>
            </w:pPr>
            <w:r>
              <w:rPr>
                <w:color w:val="auto"/>
                <w:spacing w:val="7"/>
                <w:highlight w:val="none"/>
              </w:rPr>
              <w:t>测量工程</w:t>
            </w:r>
          </w:p>
        </w:tc>
        <w:tc>
          <w:tcPr>
            <w:tcW w:w="738" w:type="dxa"/>
            <w:vAlign w:val="center"/>
          </w:tcPr>
          <w:p w14:paraId="6732AFBC">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2A034BB2">
            <w:pPr>
              <w:pStyle w:val="17"/>
              <w:spacing w:before="138" w:line="299" w:lineRule="auto"/>
              <w:ind w:left="111" w:right="109" w:firstLine="5"/>
              <w:jc w:val="both"/>
              <w:rPr>
                <w:color w:val="auto"/>
                <w:highlight w:val="none"/>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或具有交通运输部核发的公路工程专业监理工程师资格证书；具有路桥或测量相关专业</w:t>
            </w:r>
            <w:r>
              <w:rPr>
                <w:color w:val="auto"/>
                <w:spacing w:val="13"/>
                <w:highlight w:val="none"/>
                <w:u w:val="single" w:color="auto"/>
              </w:rPr>
              <w:t>中级及</w:t>
            </w:r>
            <w:r>
              <w:rPr>
                <w:color w:val="auto"/>
                <w:spacing w:val="7"/>
                <w:highlight w:val="none"/>
                <w:u w:val="single" w:color="auto"/>
              </w:rPr>
              <w:t>以上</w:t>
            </w:r>
            <w:r>
              <w:rPr>
                <w:color w:val="auto"/>
                <w:spacing w:val="7"/>
                <w:highlight w:val="none"/>
              </w:rPr>
              <w:t>技术职称；从事监理工作</w:t>
            </w:r>
            <w:r>
              <w:rPr>
                <w:color w:val="auto"/>
                <w:spacing w:val="-29"/>
                <w:highlight w:val="none"/>
              </w:rPr>
              <w:t xml:space="preserve"> </w:t>
            </w:r>
            <w:r>
              <w:rPr>
                <w:color w:val="auto"/>
                <w:spacing w:val="7"/>
                <w:highlight w:val="none"/>
              </w:rPr>
              <w:t>5</w:t>
            </w:r>
            <w:r>
              <w:rPr>
                <w:color w:val="auto"/>
                <w:spacing w:val="-37"/>
                <w:highlight w:val="none"/>
              </w:rPr>
              <w:t xml:space="preserve"> </w:t>
            </w:r>
            <w:r>
              <w:rPr>
                <w:color w:val="auto"/>
                <w:spacing w:val="7"/>
                <w:highlight w:val="none"/>
              </w:rPr>
              <w:t>年以上。</w:t>
            </w:r>
          </w:p>
        </w:tc>
      </w:tr>
      <w:tr w14:paraId="68890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635" w:type="dxa"/>
            <w:vMerge w:val="continue"/>
            <w:tcBorders>
              <w:top w:val="nil"/>
            </w:tcBorders>
            <w:textDirection w:val="tbRlV"/>
            <w:vAlign w:val="top"/>
          </w:tcPr>
          <w:p w14:paraId="5CF7D8CF">
            <w:pPr>
              <w:rPr>
                <w:rFonts w:ascii="Arial"/>
                <w:color w:val="auto"/>
                <w:sz w:val="21"/>
                <w:highlight w:val="none"/>
              </w:rPr>
            </w:pPr>
          </w:p>
        </w:tc>
        <w:tc>
          <w:tcPr>
            <w:tcW w:w="1146" w:type="dxa"/>
            <w:vAlign w:val="top"/>
          </w:tcPr>
          <w:p w14:paraId="2D7EE348">
            <w:pPr>
              <w:spacing w:line="430" w:lineRule="auto"/>
              <w:rPr>
                <w:rFonts w:ascii="Arial"/>
                <w:color w:val="auto"/>
                <w:sz w:val="21"/>
                <w:highlight w:val="none"/>
              </w:rPr>
            </w:pPr>
          </w:p>
          <w:p w14:paraId="22FA2BE3">
            <w:pPr>
              <w:pStyle w:val="17"/>
              <w:spacing w:before="65" w:line="228" w:lineRule="auto"/>
              <w:ind w:left="155"/>
              <w:rPr>
                <w:color w:val="auto"/>
                <w:highlight w:val="none"/>
              </w:rPr>
            </w:pPr>
            <w:r>
              <w:rPr>
                <w:color w:val="auto"/>
                <w:spacing w:val="7"/>
                <w:highlight w:val="none"/>
              </w:rPr>
              <w:t>试验检测</w:t>
            </w:r>
          </w:p>
        </w:tc>
        <w:tc>
          <w:tcPr>
            <w:tcW w:w="738" w:type="dxa"/>
            <w:vAlign w:val="center"/>
          </w:tcPr>
          <w:p w14:paraId="068B589E">
            <w:pPr>
              <w:jc w:val="center"/>
              <w:rPr>
                <w:rFonts w:hint="default" w:ascii="Arial" w:eastAsia="宋体"/>
                <w:color w:val="auto"/>
                <w:sz w:val="21"/>
                <w:highlight w:val="none"/>
                <w:lang w:val="en-US" w:eastAsia="zh-CN"/>
              </w:rPr>
            </w:pPr>
            <w:r>
              <w:rPr>
                <w:rFonts w:hint="eastAsia" w:eastAsia="宋体"/>
                <w:color w:val="auto"/>
                <w:sz w:val="21"/>
                <w:highlight w:val="none"/>
                <w:lang w:val="en-US" w:eastAsia="zh-CN"/>
              </w:rPr>
              <w:t>0</w:t>
            </w:r>
          </w:p>
        </w:tc>
        <w:tc>
          <w:tcPr>
            <w:tcW w:w="7059" w:type="dxa"/>
            <w:vAlign w:val="top"/>
          </w:tcPr>
          <w:p w14:paraId="5AA025D0">
            <w:pPr>
              <w:pStyle w:val="17"/>
              <w:spacing w:before="138" w:line="293" w:lineRule="auto"/>
              <w:ind w:left="112" w:right="109" w:firstLine="4"/>
              <w:jc w:val="both"/>
              <w:rPr>
                <w:color w:val="auto"/>
                <w:highlight w:val="none"/>
              </w:rPr>
            </w:pPr>
            <w:r>
              <w:rPr>
                <w:color w:val="auto"/>
                <w:spacing w:val="13"/>
                <w:highlight w:val="none"/>
              </w:rPr>
              <w:t>具有行政主管部门核发的公路水运试验检测师资格证书或试验检测工程师</w:t>
            </w:r>
            <w:r>
              <w:rPr>
                <w:color w:val="auto"/>
                <w:spacing w:val="12"/>
                <w:highlight w:val="none"/>
              </w:rPr>
              <w:t>证书；具有路桥相关专业</w:t>
            </w:r>
            <w:r>
              <w:rPr>
                <w:color w:val="auto"/>
                <w:spacing w:val="12"/>
                <w:highlight w:val="none"/>
                <w:u w:val="single" w:color="auto"/>
              </w:rPr>
              <w:t>中级及以上</w:t>
            </w:r>
            <w:r>
              <w:rPr>
                <w:color w:val="auto"/>
                <w:spacing w:val="12"/>
                <w:highlight w:val="none"/>
              </w:rPr>
              <w:t>技术职称；从事试验检测工作</w:t>
            </w:r>
            <w:r>
              <w:rPr>
                <w:color w:val="auto"/>
                <w:spacing w:val="-19"/>
                <w:highlight w:val="none"/>
              </w:rPr>
              <w:t xml:space="preserve"> </w:t>
            </w:r>
            <w:r>
              <w:rPr>
                <w:color w:val="auto"/>
                <w:spacing w:val="12"/>
                <w:highlight w:val="none"/>
                <w:u w:val="single" w:color="auto"/>
              </w:rPr>
              <w:t>5</w:t>
            </w:r>
            <w:r>
              <w:rPr>
                <w:color w:val="auto"/>
                <w:spacing w:val="-34"/>
                <w:highlight w:val="none"/>
                <w:u w:val="single" w:color="auto"/>
              </w:rPr>
              <w:t xml:space="preserve"> </w:t>
            </w:r>
            <w:r>
              <w:rPr>
                <w:color w:val="auto"/>
                <w:spacing w:val="12"/>
                <w:highlight w:val="none"/>
              </w:rPr>
              <w:t>年以</w:t>
            </w:r>
            <w:r>
              <w:rPr>
                <w:color w:val="auto"/>
                <w:highlight w:val="none"/>
              </w:rPr>
              <w:t>上。</w:t>
            </w:r>
          </w:p>
        </w:tc>
      </w:tr>
    </w:tbl>
    <w:p w14:paraId="4DD219F9">
      <w:pPr>
        <w:spacing w:line="315" w:lineRule="auto"/>
        <w:rPr>
          <w:rFonts w:ascii="Arial"/>
          <w:color w:val="auto"/>
          <w:sz w:val="21"/>
          <w:highlight w:val="none"/>
        </w:rPr>
      </w:pPr>
    </w:p>
    <w:p w14:paraId="6FF9FD5E">
      <w:pPr>
        <w:spacing w:line="316" w:lineRule="auto"/>
        <w:rPr>
          <w:rFonts w:ascii="Arial"/>
          <w:color w:val="auto"/>
          <w:sz w:val="21"/>
          <w:highlight w:val="none"/>
        </w:rPr>
      </w:pPr>
    </w:p>
    <w:p w14:paraId="1BFC9A4B">
      <w:pPr>
        <w:spacing w:line="232" w:lineRule="auto"/>
        <w:rPr>
          <w:rFonts w:ascii="宋体" w:hAnsi="宋体" w:eastAsia="宋体" w:cs="宋体"/>
          <w:color w:val="auto"/>
          <w:sz w:val="18"/>
          <w:szCs w:val="18"/>
          <w:highlight w:val="none"/>
        </w:rPr>
        <w:sectPr>
          <w:footerReference r:id="rId28" w:type="default"/>
          <w:pgSz w:w="11906" w:h="16839"/>
          <w:pgMar w:top="1431" w:right="1161" w:bottom="1297" w:left="1161" w:header="0" w:footer="1067" w:gutter="0"/>
          <w:pgNumType w:fmt="decimal"/>
          <w:cols w:space="720" w:num="1"/>
        </w:sectPr>
      </w:pPr>
      <w:bookmarkStart w:id="53" w:name="bookmark95"/>
      <w:bookmarkEnd w:id="53"/>
    </w:p>
    <w:tbl>
      <w:tblPr>
        <w:tblStyle w:val="16"/>
        <w:tblW w:w="9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46"/>
        <w:gridCol w:w="738"/>
        <w:gridCol w:w="7059"/>
      </w:tblGrid>
      <w:tr w14:paraId="450D5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81" w:type="dxa"/>
            <w:gridSpan w:val="2"/>
            <w:vAlign w:val="top"/>
          </w:tcPr>
          <w:p w14:paraId="03AFEF65">
            <w:pPr>
              <w:pStyle w:val="17"/>
              <w:spacing w:before="201" w:line="229" w:lineRule="auto"/>
              <w:ind w:left="689"/>
              <w:rPr>
                <w:color w:val="auto"/>
                <w:highlight w:val="none"/>
              </w:rPr>
            </w:pPr>
            <w:r>
              <w:rPr>
                <w:color w:val="auto"/>
                <w:spacing w:val="3"/>
                <w:highlight w:val="none"/>
              </w:rPr>
              <w:t>人员</w:t>
            </w:r>
          </w:p>
        </w:tc>
        <w:tc>
          <w:tcPr>
            <w:tcW w:w="738" w:type="dxa"/>
            <w:vAlign w:val="top"/>
          </w:tcPr>
          <w:p w14:paraId="41F0FE75">
            <w:pPr>
              <w:pStyle w:val="17"/>
              <w:spacing w:before="201" w:line="228" w:lineRule="auto"/>
              <w:ind w:left="165"/>
              <w:rPr>
                <w:color w:val="auto"/>
                <w:highlight w:val="none"/>
              </w:rPr>
            </w:pPr>
            <w:r>
              <w:rPr>
                <w:color w:val="auto"/>
                <w:spacing w:val="3"/>
                <w:highlight w:val="none"/>
              </w:rPr>
              <w:t>数量</w:t>
            </w:r>
          </w:p>
        </w:tc>
        <w:tc>
          <w:tcPr>
            <w:tcW w:w="7059" w:type="dxa"/>
            <w:vAlign w:val="top"/>
          </w:tcPr>
          <w:p w14:paraId="2604FCA6">
            <w:pPr>
              <w:pStyle w:val="17"/>
              <w:spacing w:before="201" w:line="228" w:lineRule="auto"/>
              <w:ind w:left="3123"/>
              <w:rPr>
                <w:color w:val="auto"/>
                <w:highlight w:val="none"/>
              </w:rPr>
            </w:pPr>
            <w:r>
              <w:rPr>
                <w:color w:val="auto"/>
                <w:spacing w:val="5"/>
                <w:highlight w:val="none"/>
              </w:rPr>
              <w:t>资格要求</w:t>
            </w:r>
          </w:p>
        </w:tc>
      </w:tr>
      <w:tr w14:paraId="66F9A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635" w:type="dxa"/>
            <w:vMerge w:val="restart"/>
            <w:tcBorders>
              <w:bottom w:val="nil"/>
            </w:tcBorders>
            <w:vAlign w:val="top"/>
          </w:tcPr>
          <w:p w14:paraId="3DCF830C">
            <w:pPr>
              <w:rPr>
                <w:rFonts w:ascii="Arial"/>
                <w:color w:val="auto"/>
                <w:sz w:val="21"/>
                <w:highlight w:val="none"/>
              </w:rPr>
            </w:pPr>
          </w:p>
        </w:tc>
        <w:tc>
          <w:tcPr>
            <w:tcW w:w="1146" w:type="dxa"/>
            <w:vAlign w:val="top"/>
          </w:tcPr>
          <w:p w14:paraId="5834E2AF">
            <w:pPr>
              <w:spacing w:line="256" w:lineRule="auto"/>
              <w:rPr>
                <w:rFonts w:ascii="Arial"/>
                <w:color w:val="auto"/>
                <w:sz w:val="21"/>
                <w:highlight w:val="none"/>
              </w:rPr>
            </w:pPr>
          </w:p>
          <w:p w14:paraId="2FC83E9D">
            <w:pPr>
              <w:spacing w:line="256" w:lineRule="auto"/>
              <w:rPr>
                <w:rFonts w:ascii="Arial"/>
                <w:color w:val="auto"/>
                <w:sz w:val="21"/>
                <w:highlight w:val="none"/>
              </w:rPr>
            </w:pPr>
          </w:p>
          <w:p w14:paraId="26B0566B">
            <w:pPr>
              <w:spacing w:line="257" w:lineRule="auto"/>
              <w:rPr>
                <w:rFonts w:ascii="Arial"/>
                <w:color w:val="auto"/>
                <w:sz w:val="21"/>
                <w:highlight w:val="none"/>
              </w:rPr>
            </w:pPr>
          </w:p>
          <w:p w14:paraId="1FFCFF8E">
            <w:pPr>
              <w:pStyle w:val="17"/>
              <w:spacing w:before="65" w:line="228" w:lineRule="auto"/>
              <w:ind w:left="159"/>
              <w:rPr>
                <w:color w:val="auto"/>
                <w:highlight w:val="none"/>
              </w:rPr>
            </w:pPr>
            <w:r>
              <w:rPr>
                <w:color w:val="auto"/>
                <w:spacing w:val="6"/>
                <w:highlight w:val="none"/>
              </w:rPr>
              <w:t>安全环保</w:t>
            </w:r>
          </w:p>
        </w:tc>
        <w:tc>
          <w:tcPr>
            <w:tcW w:w="738" w:type="dxa"/>
            <w:vAlign w:val="center"/>
          </w:tcPr>
          <w:p w14:paraId="7A6C9BCB">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6DE8D2E4">
            <w:pPr>
              <w:pStyle w:val="17"/>
              <w:spacing w:before="120" w:line="309" w:lineRule="auto"/>
              <w:ind w:left="111" w:right="107" w:firstLine="5"/>
              <w:jc w:val="both"/>
              <w:rPr>
                <w:color w:val="auto"/>
                <w:highlight w:val="none"/>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或具有交通运输部核发的公路工程专业监理工程师资格证书；相关专业</w:t>
            </w:r>
            <w:r>
              <w:rPr>
                <w:color w:val="auto"/>
                <w:spacing w:val="13"/>
                <w:highlight w:val="none"/>
                <w:u w:val="single" w:color="auto"/>
              </w:rPr>
              <w:t>中级及以上</w:t>
            </w:r>
            <w:r>
              <w:rPr>
                <w:color w:val="auto"/>
                <w:spacing w:val="13"/>
                <w:highlight w:val="none"/>
              </w:rPr>
              <w:t>技术职称或应急管理部（原国家安全生产监督管理总局）核发的中级及以上注册安全</w:t>
            </w:r>
            <w:r>
              <w:rPr>
                <w:color w:val="auto"/>
                <w:spacing w:val="7"/>
                <w:highlight w:val="none"/>
              </w:rPr>
              <w:t>工程师证书；从事监理工作</w:t>
            </w:r>
            <w:r>
              <w:rPr>
                <w:color w:val="auto"/>
                <w:spacing w:val="-31"/>
                <w:highlight w:val="none"/>
              </w:rPr>
              <w:t xml:space="preserve"> </w:t>
            </w:r>
            <w:r>
              <w:rPr>
                <w:color w:val="auto"/>
                <w:spacing w:val="7"/>
                <w:highlight w:val="none"/>
                <w:u w:val="single" w:color="auto"/>
              </w:rPr>
              <w:t>5</w:t>
            </w:r>
            <w:r>
              <w:rPr>
                <w:color w:val="auto"/>
                <w:spacing w:val="-37"/>
                <w:highlight w:val="none"/>
                <w:u w:val="single" w:color="auto"/>
              </w:rPr>
              <w:t xml:space="preserve"> </w:t>
            </w:r>
            <w:r>
              <w:rPr>
                <w:color w:val="auto"/>
                <w:spacing w:val="7"/>
                <w:highlight w:val="none"/>
              </w:rPr>
              <w:t>年以上。</w:t>
            </w:r>
          </w:p>
        </w:tc>
      </w:tr>
      <w:tr w14:paraId="210F6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5" w:type="dxa"/>
            <w:vMerge w:val="continue"/>
            <w:tcBorders>
              <w:top w:val="nil"/>
              <w:bottom w:val="nil"/>
            </w:tcBorders>
            <w:vAlign w:val="top"/>
          </w:tcPr>
          <w:p w14:paraId="05BA3EB5">
            <w:pPr>
              <w:rPr>
                <w:rFonts w:ascii="Arial"/>
                <w:color w:val="auto"/>
                <w:sz w:val="21"/>
                <w:highlight w:val="none"/>
              </w:rPr>
            </w:pPr>
          </w:p>
        </w:tc>
        <w:tc>
          <w:tcPr>
            <w:tcW w:w="1146" w:type="dxa"/>
            <w:vAlign w:val="top"/>
          </w:tcPr>
          <w:p w14:paraId="2D0539AA">
            <w:pPr>
              <w:spacing w:line="413" w:lineRule="auto"/>
              <w:rPr>
                <w:rFonts w:ascii="Arial"/>
                <w:color w:val="auto"/>
                <w:sz w:val="21"/>
                <w:highlight w:val="none"/>
              </w:rPr>
            </w:pPr>
          </w:p>
          <w:p w14:paraId="0EE043E2">
            <w:pPr>
              <w:pStyle w:val="17"/>
              <w:spacing w:before="65" w:line="334" w:lineRule="auto"/>
              <w:ind w:left="369" w:right="155" w:hanging="210"/>
              <w:rPr>
                <w:color w:val="auto"/>
                <w:highlight w:val="none"/>
              </w:rPr>
            </w:pPr>
            <w:r>
              <w:rPr>
                <w:color w:val="auto"/>
                <w:spacing w:val="6"/>
                <w:highlight w:val="none"/>
              </w:rPr>
              <w:t>交通安全</w:t>
            </w:r>
            <w:r>
              <w:rPr>
                <w:color w:val="auto"/>
                <w:spacing w:val="3"/>
                <w:highlight w:val="none"/>
              </w:rPr>
              <w:t>设施</w:t>
            </w:r>
          </w:p>
        </w:tc>
        <w:tc>
          <w:tcPr>
            <w:tcW w:w="738" w:type="dxa"/>
            <w:vAlign w:val="center"/>
          </w:tcPr>
          <w:p w14:paraId="22570D78">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0</w:t>
            </w:r>
          </w:p>
        </w:tc>
        <w:tc>
          <w:tcPr>
            <w:tcW w:w="7059" w:type="dxa"/>
            <w:vAlign w:val="top"/>
          </w:tcPr>
          <w:p w14:paraId="3887185E">
            <w:pPr>
              <w:pStyle w:val="17"/>
              <w:spacing w:before="120" w:line="332" w:lineRule="auto"/>
              <w:ind w:left="111" w:right="109" w:firstLine="5"/>
              <w:rPr>
                <w:color w:val="auto"/>
                <w:highlight w:val="none"/>
              </w:rPr>
            </w:pPr>
            <w:r>
              <w:rPr>
                <w:color w:val="auto"/>
                <w:spacing w:val="20"/>
                <w:highlight w:val="none"/>
              </w:rPr>
              <w:t>具有交通运输部和人力资源和社会保障部用印的交通运输工程（公路工</w:t>
            </w:r>
            <w:r>
              <w:rPr>
                <w:color w:val="auto"/>
                <w:spacing w:val="13"/>
                <w:highlight w:val="none"/>
              </w:rPr>
              <w:t>程）专业监理工程师职业资格证书（或电子证书）或具有交通运输部核发</w:t>
            </w:r>
          </w:p>
          <w:p w14:paraId="3FC208A2">
            <w:pPr>
              <w:pStyle w:val="17"/>
              <w:spacing w:line="274" w:lineRule="auto"/>
              <w:ind w:left="112" w:right="109" w:firstLine="17"/>
              <w:rPr>
                <w:color w:val="auto"/>
                <w:highlight w:val="none"/>
              </w:rPr>
            </w:pPr>
            <w:r>
              <w:rPr>
                <w:color w:val="auto"/>
                <w:spacing w:val="13"/>
                <w:highlight w:val="none"/>
              </w:rPr>
              <w:t>的专业监理工程师资格证书；具有路桥相关专业</w:t>
            </w:r>
            <w:r>
              <w:rPr>
                <w:color w:val="auto"/>
                <w:spacing w:val="13"/>
                <w:highlight w:val="none"/>
                <w:u w:val="single" w:color="auto"/>
              </w:rPr>
              <w:t>中级及以上</w:t>
            </w:r>
            <w:r>
              <w:rPr>
                <w:color w:val="auto"/>
                <w:spacing w:val="13"/>
                <w:highlight w:val="none"/>
              </w:rPr>
              <w:t>技术职</w:t>
            </w:r>
            <w:r>
              <w:rPr>
                <w:color w:val="auto"/>
                <w:spacing w:val="12"/>
                <w:highlight w:val="none"/>
              </w:rPr>
              <w:t>称；从</w:t>
            </w:r>
            <w:r>
              <w:rPr>
                <w:color w:val="auto"/>
                <w:spacing w:val="7"/>
                <w:highlight w:val="none"/>
              </w:rPr>
              <w:t>事交通安全设施监理工作</w:t>
            </w:r>
            <w:r>
              <w:rPr>
                <w:color w:val="auto"/>
                <w:spacing w:val="-36"/>
                <w:highlight w:val="none"/>
              </w:rPr>
              <w:t xml:space="preserve"> </w:t>
            </w:r>
            <w:r>
              <w:rPr>
                <w:color w:val="auto"/>
                <w:spacing w:val="7"/>
                <w:highlight w:val="none"/>
                <w:u w:val="single" w:color="auto"/>
              </w:rPr>
              <w:t>5</w:t>
            </w:r>
            <w:r>
              <w:rPr>
                <w:color w:val="auto"/>
                <w:spacing w:val="-37"/>
                <w:highlight w:val="none"/>
                <w:u w:val="single" w:color="auto"/>
              </w:rPr>
              <w:t xml:space="preserve"> </w:t>
            </w:r>
            <w:r>
              <w:rPr>
                <w:color w:val="auto"/>
                <w:spacing w:val="7"/>
                <w:highlight w:val="none"/>
              </w:rPr>
              <w:t>年以上。</w:t>
            </w:r>
          </w:p>
        </w:tc>
      </w:tr>
      <w:tr w14:paraId="146EF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5" w:type="dxa"/>
            <w:vMerge w:val="continue"/>
            <w:tcBorders>
              <w:top w:val="nil"/>
              <w:bottom w:val="nil"/>
            </w:tcBorders>
            <w:vAlign w:val="top"/>
          </w:tcPr>
          <w:p w14:paraId="702928AA">
            <w:pPr>
              <w:rPr>
                <w:rFonts w:ascii="Arial"/>
                <w:color w:val="auto"/>
                <w:sz w:val="21"/>
                <w:highlight w:val="none"/>
              </w:rPr>
            </w:pPr>
          </w:p>
        </w:tc>
        <w:tc>
          <w:tcPr>
            <w:tcW w:w="1146" w:type="dxa"/>
            <w:vAlign w:val="top"/>
          </w:tcPr>
          <w:p w14:paraId="30B1AE91">
            <w:pPr>
              <w:pStyle w:val="17"/>
              <w:spacing w:before="122" w:line="218" w:lineRule="auto"/>
              <w:ind w:left="155"/>
              <w:rPr>
                <w:color w:val="auto"/>
                <w:highlight w:val="none"/>
              </w:rPr>
            </w:pPr>
            <w:r>
              <w:rPr>
                <w:color w:val="auto"/>
                <w:spacing w:val="7"/>
                <w:highlight w:val="none"/>
              </w:rPr>
              <w:t>通信系统</w:t>
            </w:r>
          </w:p>
        </w:tc>
        <w:tc>
          <w:tcPr>
            <w:tcW w:w="738" w:type="dxa"/>
            <w:vMerge w:val="restart"/>
            <w:tcBorders>
              <w:bottom w:val="nil"/>
            </w:tcBorders>
            <w:vAlign w:val="center"/>
          </w:tcPr>
          <w:p w14:paraId="50120A74">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0</w:t>
            </w:r>
          </w:p>
        </w:tc>
        <w:tc>
          <w:tcPr>
            <w:tcW w:w="7059" w:type="dxa"/>
            <w:vMerge w:val="restart"/>
            <w:tcBorders>
              <w:bottom w:val="nil"/>
            </w:tcBorders>
            <w:vAlign w:val="top"/>
          </w:tcPr>
          <w:p w14:paraId="3501C8EA">
            <w:pPr>
              <w:spacing w:line="250" w:lineRule="auto"/>
              <w:rPr>
                <w:rFonts w:ascii="Arial"/>
                <w:color w:val="auto"/>
                <w:sz w:val="21"/>
                <w:highlight w:val="none"/>
              </w:rPr>
            </w:pPr>
          </w:p>
          <w:p w14:paraId="38A3CEF0">
            <w:pPr>
              <w:pStyle w:val="17"/>
              <w:spacing w:before="65" w:line="333" w:lineRule="auto"/>
              <w:ind w:left="111" w:right="109" w:firstLine="5"/>
              <w:jc w:val="both"/>
              <w:rPr>
                <w:color w:val="auto"/>
                <w:highlight w:val="none"/>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或具有交通运输部核发的公路工程机电专业监理工程师资格证书或工业；具有</w:t>
            </w:r>
            <w:r>
              <w:rPr>
                <w:color w:val="auto"/>
                <w:spacing w:val="13"/>
                <w:highlight w:val="none"/>
                <w:u w:val="single" w:color="auto"/>
              </w:rPr>
              <w:t>中级及以上</w:t>
            </w:r>
            <w:r>
              <w:rPr>
                <w:color w:val="auto"/>
                <w:spacing w:val="13"/>
                <w:highlight w:val="none"/>
              </w:rPr>
              <w:t>技术</w:t>
            </w:r>
            <w:r>
              <w:rPr>
                <w:color w:val="auto"/>
                <w:spacing w:val="7"/>
                <w:highlight w:val="none"/>
              </w:rPr>
              <w:t>职称；从事各自专业监理工作</w:t>
            </w:r>
            <w:r>
              <w:rPr>
                <w:color w:val="auto"/>
                <w:spacing w:val="-29"/>
                <w:highlight w:val="none"/>
              </w:rPr>
              <w:t xml:space="preserve"> </w:t>
            </w:r>
            <w:r>
              <w:rPr>
                <w:color w:val="auto"/>
                <w:spacing w:val="7"/>
                <w:highlight w:val="none"/>
                <w:u w:val="single" w:color="auto"/>
              </w:rPr>
              <w:t>5</w:t>
            </w:r>
            <w:r>
              <w:rPr>
                <w:color w:val="auto"/>
                <w:spacing w:val="-37"/>
                <w:highlight w:val="none"/>
                <w:u w:val="single" w:color="auto"/>
              </w:rPr>
              <w:t xml:space="preserve"> </w:t>
            </w:r>
            <w:r>
              <w:rPr>
                <w:color w:val="auto"/>
                <w:spacing w:val="7"/>
                <w:highlight w:val="none"/>
              </w:rPr>
              <w:t>年以上。</w:t>
            </w:r>
          </w:p>
        </w:tc>
      </w:tr>
      <w:tr w14:paraId="55604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35" w:type="dxa"/>
            <w:vMerge w:val="continue"/>
            <w:tcBorders>
              <w:top w:val="nil"/>
              <w:bottom w:val="nil"/>
            </w:tcBorders>
            <w:vAlign w:val="top"/>
          </w:tcPr>
          <w:p w14:paraId="72087344">
            <w:pPr>
              <w:rPr>
                <w:rFonts w:ascii="Arial"/>
                <w:color w:val="auto"/>
                <w:sz w:val="21"/>
                <w:highlight w:val="none"/>
              </w:rPr>
            </w:pPr>
          </w:p>
        </w:tc>
        <w:tc>
          <w:tcPr>
            <w:tcW w:w="1146" w:type="dxa"/>
            <w:vAlign w:val="top"/>
          </w:tcPr>
          <w:p w14:paraId="3257EB54">
            <w:pPr>
              <w:pStyle w:val="17"/>
              <w:spacing w:before="121" w:line="216" w:lineRule="auto"/>
              <w:ind w:left="156"/>
              <w:rPr>
                <w:color w:val="auto"/>
                <w:highlight w:val="none"/>
              </w:rPr>
            </w:pPr>
            <w:r>
              <w:rPr>
                <w:color w:val="auto"/>
                <w:spacing w:val="7"/>
                <w:highlight w:val="none"/>
              </w:rPr>
              <w:t>监控系统</w:t>
            </w:r>
          </w:p>
        </w:tc>
        <w:tc>
          <w:tcPr>
            <w:tcW w:w="738" w:type="dxa"/>
            <w:vMerge w:val="continue"/>
            <w:tcBorders>
              <w:top w:val="nil"/>
              <w:bottom w:val="nil"/>
            </w:tcBorders>
            <w:vAlign w:val="center"/>
          </w:tcPr>
          <w:p w14:paraId="1596BAC5">
            <w:pPr>
              <w:jc w:val="center"/>
              <w:rPr>
                <w:rFonts w:ascii="Arial"/>
                <w:color w:val="auto"/>
                <w:sz w:val="21"/>
                <w:highlight w:val="none"/>
              </w:rPr>
            </w:pPr>
          </w:p>
        </w:tc>
        <w:tc>
          <w:tcPr>
            <w:tcW w:w="7059" w:type="dxa"/>
            <w:vMerge w:val="continue"/>
            <w:tcBorders>
              <w:top w:val="nil"/>
              <w:bottom w:val="nil"/>
            </w:tcBorders>
            <w:vAlign w:val="top"/>
          </w:tcPr>
          <w:p w14:paraId="117DCEF3">
            <w:pPr>
              <w:rPr>
                <w:rFonts w:ascii="Arial"/>
                <w:color w:val="auto"/>
                <w:sz w:val="21"/>
                <w:highlight w:val="none"/>
              </w:rPr>
            </w:pPr>
          </w:p>
        </w:tc>
      </w:tr>
      <w:tr w14:paraId="418AD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35" w:type="dxa"/>
            <w:vMerge w:val="continue"/>
            <w:tcBorders>
              <w:top w:val="nil"/>
              <w:bottom w:val="nil"/>
            </w:tcBorders>
            <w:vAlign w:val="top"/>
          </w:tcPr>
          <w:p w14:paraId="79371286">
            <w:pPr>
              <w:rPr>
                <w:rFonts w:ascii="Arial"/>
                <w:color w:val="auto"/>
                <w:sz w:val="21"/>
                <w:highlight w:val="none"/>
              </w:rPr>
            </w:pPr>
          </w:p>
        </w:tc>
        <w:tc>
          <w:tcPr>
            <w:tcW w:w="1146" w:type="dxa"/>
            <w:vAlign w:val="top"/>
          </w:tcPr>
          <w:p w14:paraId="68872607">
            <w:pPr>
              <w:pStyle w:val="17"/>
              <w:spacing w:before="121" w:line="216" w:lineRule="auto"/>
              <w:ind w:left="163"/>
              <w:rPr>
                <w:color w:val="auto"/>
                <w:highlight w:val="none"/>
              </w:rPr>
            </w:pPr>
            <w:r>
              <w:rPr>
                <w:color w:val="auto"/>
                <w:spacing w:val="5"/>
                <w:highlight w:val="none"/>
              </w:rPr>
              <w:t>收费系统</w:t>
            </w:r>
          </w:p>
        </w:tc>
        <w:tc>
          <w:tcPr>
            <w:tcW w:w="738" w:type="dxa"/>
            <w:vMerge w:val="continue"/>
            <w:tcBorders>
              <w:top w:val="nil"/>
              <w:bottom w:val="nil"/>
            </w:tcBorders>
            <w:vAlign w:val="center"/>
          </w:tcPr>
          <w:p w14:paraId="517EC812">
            <w:pPr>
              <w:jc w:val="center"/>
              <w:rPr>
                <w:rFonts w:ascii="Arial"/>
                <w:color w:val="auto"/>
                <w:sz w:val="21"/>
                <w:highlight w:val="none"/>
              </w:rPr>
            </w:pPr>
          </w:p>
        </w:tc>
        <w:tc>
          <w:tcPr>
            <w:tcW w:w="7059" w:type="dxa"/>
            <w:vMerge w:val="continue"/>
            <w:tcBorders>
              <w:top w:val="nil"/>
              <w:bottom w:val="nil"/>
            </w:tcBorders>
            <w:vAlign w:val="top"/>
          </w:tcPr>
          <w:p w14:paraId="23995212">
            <w:pPr>
              <w:rPr>
                <w:rFonts w:ascii="Arial"/>
                <w:color w:val="auto"/>
                <w:sz w:val="21"/>
                <w:highlight w:val="none"/>
              </w:rPr>
            </w:pPr>
          </w:p>
        </w:tc>
      </w:tr>
      <w:tr w14:paraId="128C7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5" w:type="dxa"/>
            <w:vMerge w:val="continue"/>
            <w:tcBorders>
              <w:top w:val="nil"/>
              <w:bottom w:val="nil"/>
            </w:tcBorders>
            <w:vAlign w:val="top"/>
          </w:tcPr>
          <w:p w14:paraId="31D7E8BC">
            <w:pPr>
              <w:rPr>
                <w:rFonts w:ascii="Arial"/>
                <w:color w:val="auto"/>
                <w:sz w:val="21"/>
                <w:highlight w:val="none"/>
              </w:rPr>
            </w:pPr>
          </w:p>
        </w:tc>
        <w:tc>
          <w:tcPr>
            <w:tcW w:w="1146" w:type="dxa"/>
            <w:vAlign w:val="top"/>
          </w:tcPr>
          <w:p w14:paraId="35EC46EE">
            <w:pPr>
              <w:pStyle w:val="17"/>
              <w:spacing w:before="123" w:line="273" w:lineRule="auto"/>
              <w:ind w:left="476" w:right="155" w:hanging="321"/>
              <w:rPr>
                <w:color w:val="auto"/>
                <w:highlight w:val="none"/>
              </w:rPr>
            </w:pPr>
            <w:r>
              <w:rPr>
                <w:color w:val="auto"/>
                <w:spacing w:val="7"/>
                <w:highlight w:val="none"/>
              </w:rPr>
              <w:t>供配电系</w:t>
            </w:r>
            <w:r>
              <w:rPr>
                <w:color w:val="auto"/>
                <w:highlight w:val="none"/>
              </w:rPr>
              <w:t>统</w:t>
            </w:r>
          </w:p>
        </w:tc>
        <w:tc>
          <w:tcPr>
            <w:tcW w:w="738" w:type="dxa"/>
            <w:vMerge w:val="continue"/>
            <w:tcBorders>
              <w:top w:val="nil"/>
            </w:tcBorders>
            <w:vAlign w:val="center"/>
          </w:tcPr>
          <w:p w14:paraId="693D43CE">
            <w:pPr>
              <w:jc w:val="center"/>
              <w:rPr>
                <w:rFonts w:ascii="Arial"/>
                <w:color w:val="auto"/>
                <w:sz w:val="21"/>
                <w:highlight w:val="none"/>
              </w:rPr>
            </w:pPr>
          </w:p>
        </w:tc>
        <w:tc>
          <w:tcPr>
            <w:tcW w:w="7059" w:type="dxa"/>
            <w:vMerge w:val="continue"/>
            <w:tcBorders>
              <w:top w:val="nil"/>
            </w:tcBorders>
            <w:vAlign w:val="top"/>
          </w:tcPr>
          <w:p w14:paraId="2B442252">
            <w:pPr>
              <w:rPr>
                <w:rFonts w:ascii="Arial"/>
                <w:color w:val="auto"/>
                <w:sz w:val="21"/>
                <w:highlight w:val="none"/>
              </w:rPr>
            </w:pPr>
          </w:p>
        </w:tc>
      </w:tr>
      <w:tr w14:paraId="5825A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35" w:type="dxa"/>
            <w:vMerge w:val="continue"/>
            <w:tcBorders>
              <w:top w:val="nil"/>
              <w:bottom w:val="nil"/>
            </w:tcBorders>
            <w:vAlign w:val="top"/>
          </w:tcPr>
          <w:p w14:paraId="490FD3C8">
            <w:pPr>
              <w:rPr>
                <w:rFonts w:ascii="Arial"/>
                <w:color w:val="auto"/>
                <w:sz w:val="21"/>
                <w:highlight w:val="none"/>
              </w:rPr>
            </w:pPr>
          </w:p>
        </w:tc>
        <w:tc>
          <w:tcPr>
            <w:tcW w:w="1146" w:type="dxa"/>
            <w:vAlign w:val="top"/>
          </w:tcPr>
          <w:p w14:paraId="3F5BF9F3">
            <w:pPr>
              <w:spacing w:line="414" w:lineRule="auto"/>
              <w:rPr>
                <w:rFonts w:ascii="Arial"/>
                <w:color w:val="auto"/>
                <w:sz w:val="21"/>
                <w:highlight w:val="none"/>
              </w:rPr>
            </w:pPr>
          </w:p>
          <w:p w14:paraId="1E486544">
            <w:pPr>
              <w:pStyle w:val="17"/>
              <w:spacing w:before="65" w:line="228" w:lineRule="auto"/>
              <w:ind w:left="156"/>
              <w:rPr>
                <w:color w:val="auto"/>
                <w:highlight w:val="none"/>
              </w:rPr>
            </w:pPr>
            <w:r>
              <w:rPr>
                <w:color w:val="auto"/>
                <w:spacing w:val="7"/>
                <w:highlight w:val="none"/>
              </w:rPr>
              <w:t>房建工程</w:t>
            </w:r>
          </w:p>
        </w:tc>
        <w:tc>
          <w:tcPr>
            <w:tcW w:w="738" w:type="dxa"/>
            <w:vAlign w:val="center"/>
          </w:tcPr>
          <w:p w14:paraId="5B90E800">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0</w:t>
            </w:r>
          </w:p>
        </w:tc>
        <w:tc>
          <w:tcPr>
            <w:tcW w:w="7059" w:type="dxa"/>
            <w:vAlign w:val="top"/>
          </w:tcPr>
          <w:p w14:paraId="535134DD">
            <w:pPr>
              <w:pStyle w:val="17"/>
              <w:spacing w:before="121" w:line="293" w:lineRule="auto"/>
              <w:ind w:left="116" w:right="109"/>
              <w:jc w:val="both"/>
              <w:rPr>
                <w:color w:val="auto"/>
                <w:highlight w:val="none"/>
              </w:rPr>
            </w:pPr>
            <w:r>
              <w:rPr>
                <w:color w:val="auto"/>
                <w:spacing w:val="13"/>
                <w:highlight w:val="none"/>
              </w:rPr>
              <w:t>具有住房和城乡建设部核发的监理工程师证书（注册专业为房屋建筑）或具有住房和城乡建设部门核发的监理培训证书；具有建筑相关专业</w:t>
            </w:r>
            <w:r>
              <w:rPr>
                <w:color w:val="auto"/>
                <w:spacing w:val="13"/>
                <w:highlight w:val="none"/>
                <w:u w:val="single" w:color="auto"/>
              </w:rPr>
              <w:t>中级及</w:t>
            </w:r>
            <w:r>
              <w:rPr>
                <w:color w:val="auto"/>
                <w:spacing w:val="7"/>
                <w:highlight w:val="none"/>
                <w:u w:val="single" w:color="auto"/>
              </w:rPr>
              <w:t>以上</w:t>
            </w:r>
            <w:r>
              <w:rPr>
                <w:color w:val="auto"/>
                <w:spacing w:val="7"/>
                <w:highlight w:val="none"/>
              </w:rPr>
              <w:t>技术职称；从事房建工程监理工作</w:t>
            </w:r>
            <w:r>
              <w:rPr>
                <w:color w:val="auto"/>
                <w:spacing w:val="-22"/>
                <w:highlight w:val="none"/>
              </w:rPr>
              <w:t xml:space="preserve"> </w:t>
            </w:r>
            <w:r>
              <w:rPr>
                <w:color w:val="auto"/>
                <w:spacing w:val="7"/>
                <w:highlight w:val="none"/>
                <w:u w:val="single" w:color="auto"/>
              </w:rPr>
              <w:t>5</w:t>
            </w:r>
            <w:r>
              <w:rPr>
                <w:color w:val="auto"/>
                <w:spacing w:val="-37"/>
                <w:highlight w:val="none"/>
                <w:u w:val="single" w:color="auto"/>
              </w:rPr>
              <w:t xml:space="preserve"> </w:t>
            </w:r>
            <w:r>
              <w:rPr>
                <w:color w:val="auto"/>
                <w:spacing w:val="7"/>
                <w:highlight w:val="none"/>
              </w:rPr>
              <w:t>年以上。</w:t>
            </w:r>
          </w:p>
        </w:tc>
      </w:tr>
      <w:tr w14:paraId="3F8FF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5" w:type="dxa"/>
            <w:vMerge w:val="continue"/>
            <w:tcBorders>
              <w:top w:val="nil"/>
            </w:tcBorders>
            <w:vAlign w:val="top"/>
          </w:tcPr>
          <w:p w14:paraId="1130BC20">
            <w:pPr>
              <w:rPr>
                <w:rFonts w:ascii="Arial"/>
                <w:color w:val="auto"/>
                <w:sz w:val="21"/>
                <w:highlight w:val="none"/>
              </w:rPr>
            </w:pPr>
          </w:p>
        </w:tc>
        <w:tc>
          <w:tcPr>
            <w:tcW w:w="1146" w:type="dxa"/>
            <w:vAlign w:val="top"/>
          </w:tcPr>
          <w:p w14:paraId="1E63D186">
            <w:pPr>
              <w:spacing w:line="297" w:lineRule="auto"/>
              <w:rPr>
                <w:rFonts w:ascii="Arial"/>
                <w:color w:val="auto"/>
                <w:sz w:val="21"/>
                <w:highlight w:val="none"/>
              </w:rPr>
            </w:pPr>
          </w:p>
          <w:p w14:paraId="7DF31284">
            <w:pPr>
              <w:spacing w:line="297" w:lineRule="auto"/>
              <w:rPr>
                <w:rFonts w:ascii="Arial"/>
                <w:color w:val="auto"/>
                <w:sz w:val="21"/>
                <w:highlight w:val="none"/>
              </w:rPr>
            </w:pPr>
          </w:p>
          <w:p w14:paraId="6F4598B0">
            <w:pPr>
              <w:pStyle w:val="17"/>
              <w:spacing w:before="65" w:line="228" w:lineRule="auto"/>
              <w:ind w:left="155"/>
              <w:rPr>
                <w:color w:val="auto"/>
                <w:highlight w:val="none"/>
              </w:rPr>
            </w:pPr>
            <w:r>
              <w:rPr>
                <w:color w:val="auto"/>
                <w:spacing w:val="7"/>
                <w:highlight w:val="none"/>
              </w:rPr>
              <w:t>地质工程</w:t>
            </w:r>
          </w:p>
        </w:tc>
        <w:tc>
          <w:tcPr>
            <w:tcW w:w="738" w:type="dxa"/>
            <w:vAlign w:val="center"/>
          </w:tcPr>
          <w:p w14:paraId="5D427CF3">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0</w:t>
            </w:r>
          </w:p>
        </w:tc>
        <w:tc>
          <w:tcPr>
            <w:tcW w:w="7059" w:type="dxa"/>
            <w:vAlign w:val="top"/>
          </w:tcPr>
          <w:p w14:paraId="46F0CB03">
            <w:pPr>
              <w:pStyle w:val="17"/>
              <w:spacing w:before="123" w:line="332" w:lineRule="auto"/>
              <w:ind w:left="111" w:right="109" w:firstLine="5"/>
              <w:rPr>
                <w:color w:val="auto"/>
                <w:highlight w:val="none"/>
              </w:rPr>
            </w:pPr>
            <w:r>
              <w:rPr>
                <w:color w:val="auto"/>
                <w:spacing w:val="20"/>
                <w:highlight w:val="none"/>
              </w:rPr>
              <w:t>具有交通运输部和人力资源和社会保障部用印的交通运输工程（公路工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w:t>
            </w:r>
          </w:p>
          <w:p w14:paraId="54FCC405">
            <w:pPr>
              <w:pStyle w:val="17"/>
              <w:spacing w:line="226" w:lineRule="auto"/>
              <w:ind w:left="115"/>
              <w:rPr>
                <w:color w:val="auto"/>
                <w:highlight w:val="none"/>
              </w:rPr>
            </w:pPr>
            <w:r>
              <w:rPr>
                <w:color w:val="auto"/>
                <w:spacing w:val="13"/>
                <w:highlight w:val="none"/>
              </w:rPr>
              <w:t>发的专业监理工程师资格证书；具有路桥或地质或岩土相关专业</w:t>
            </w:r>
            <w:r>
              <w:rPr>
                <w:color w:val="auto"/>
                <w:spacing w:val="13"/>
                <w:highlight w:val="none"/>
                <w:u w:val="single" w:color="auto"/>
              </w:rPr>
              <w:t>中级及以</w:t>
            </w:r>
          </w:p>
          <w:p w14:paraId="2FAE1D2E">
            <w:pPr>
              <w:pStyle w:val="17"/>
              <w:spacing w:before="113" w:line="214" w:lineRule="auto"/>
              <w:ind w:left="114"/>
              <w:rPr>
                <w:color w:val="auto"/>
                <w:highlight w:val="none"/>
              </w:rPr>
            </w:pPr>
            <w:r>
              <w:rPr>
                <w:color w:val="auto"/>
                <w:spacing w:val="7"/>
                <w:highlight w:val="none"/>
                <w:u w:val="single" w:color="auto"/>
              </w:rPr>
              <w:t>上</w:t>
            </w:r>
            <w:r>
              <w:rPr>
                <w:color w:val="auto"/>
                <w:spacing w:val="7"/>
                <w:highlight w:val="none"/>
              </w:rPr>
              <w:t>技术职称；从事监理工作</w:t>
            </w:r>
            <w:r>
              <w:rPr>
                <w:color w:val="auto"/>
                <w:spacing w:val="-33"/>
                <w:highlight w:val="none"/>
              </w:rPr>
              <w:t xml:space="preserve"> </w:t>
            </w:r>
            <w:r>
              <w:rPr>
                <w:color w:val="auto"/>
                <w:spacing w:val="7"/>
                <w:highlight w:val="none"/>
                <w:u w:val="single" w:color="auto"/>
              </w:rPr>
              <w:t>5</w:t>
            </w:r>
            <w:r>
              <w:rPr>
                <w:color w:val="auto"/>
                <w:spacing w:val="-37"/>
                <w:highlight w:val="none"/>
                <w:u w:val="single" w:color="auto"/>
              </w:rPr>
              <w:t xml:space="preserve"> </w:t>
            </w:r>
            <w:r>
              <w:rPr>
                <w:color w:val="auto"/>
                <w:spacing w:val="7"/>
                <w:highlight w:val="none"/>
              </w:rPr>
              <w:t>年以上。</w:t>
            </w:r>
          </w:p>
        </w:tc>
      </w:tr>
      <w:tr w14:paraId="5072E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635" w:type="dxa"/>
            <w:vAlign w:val="top"/>
          </w:tcPr>
          <w:p w14:paraId="26F23BFA">
            <w:pPr>
              <w:pStyle w:val="17"/>
              <w:spacing w:before="123" w:line="228" w:lineRule="auto"/>
              <w:ind w:left="217"/>
              <w:rPr>
                <w:color w:val="auto"/>
                <w:highlight w:val="none"/>
              </w:rPr>
            </w:pPr>
            <w:r>
              <w:rPr>
                <w:color w:val="auto"/>
                <w:highlight w:val="none"/>
              </w:rPr>
              <w:t>专</w:t>
            </w:r>
          </w:p>
          <w:p w14:paraId="35C8D8D1">
            <w:pPr>
              <w:pStyle w:val="17"/>
              <w:spacing w:before="112"/>
              <w:ind w:left="216"/>
              <w:rPr>
                <w:color w:val="auto"/>
                <w:highlight w:val="none"/>
              </w:rPr>
            </w:pPr>
            <w:r>
              <w:rPr>
                <w:color w:val="auto"/>
                <w:spacing w:val="1"/>
                <w:highlight w:val="none"/>
              </w:rPr>
              <w:t>业</w:t>
            </w:r>
          </w:p>
          <w:p w14:paraId="0A1604CB">
            <w:pPr>
              <w:pStyle w:val="17"/>
              <w:spacing w:before="100" w:line="236" w:lineRule="auto"/>
              <w:ind w:left="217"/>
              <w:rPr>
                <w:color w:val="auto"/>
                <w:highlight w:val="none"/>
              </w:rPr>
            </w:pPr>
            <w:r>
              <w:rPr>
                <w:color w:val="auto"/>
                <w:highlight w:val="none"/>
              </w:rPr>
              <w:t>监</w:t>
            </w:r>
          </w:p>
          <w:p w14:paraId="6052B47E">
            <w:pPr>
              <w:pStyle w:val="17"/>
              <w:spacing w:before="103" w:line="238" w:lineRule="auto"/>
              <w:ind w:left="219"/>
              <w:rPr>
                <w:color w:val="auto"/>
                <w:highlight w:val="none"/>
              </w:rPr>
            </w:pPr>
            <w:r>
              <w:rPr>
                <w:color w:val="auto"/>
                <w:highlight w:val="none"/>
              </w:rPr>
              <w:t>理</w:t>
            </w:r>
          </w:p>
          <w:p w14:paraId="1C626C95">
            <w:pPr>
              <w:pStyle w:val="17"/>
              <w:spacing w:before="102" w:line="264" w:lineRule="exact"/>
              <w:ind w:left="219"/>
              <w:rPr>
                <w:color w:val="auto"/>
                <w:highlight w:val="none"/>
              </w:rPr>
            </w:pPr>
            <w:r>
              <w:rPr>
                <w:color w:val="auto"/>
                <w:position w:val="1"/>
                <w:highlight w:val="none"/>
              </w:rPr>
              <w:t>工</w:t>
            </w:r>
          </w:p>
          <w:p w14:paraId="17BECA04">
            <w:pPr>
              <w:pStyle w:val="17"/>
              <w:spacing w:before="96" w:line="273" w:lineRule="auto"/>
              <w:ind w:left="170" w:right="156" w:firstLine="46"/>
              <w:rPr>
                <w:color w:val="auto"/>
                <w:sz w:val="10"/>
                <w:szCs w:val="10"/>
                <w:highlight w:val="none"/>
              </w:rPr>
            </w:pPr>
            <w:r>
              <w:rPr>
                <w:color w:val="auto"/>
                <w:spacing w:val="1"/>
                <w:highlight w:val="none"/>
              </w:rPr>
              <w:t>程</w:t>
            </w:r>
            <w:r>
              <w:rPr>
                <w:color w:val="auto"/>
                <w:spacing w:val="1"/>
                <w:position w:val="-2"/>
                <w:highlight w:val="none"/>
              </w:rPr>
              <w:t>师</w:t>
            </w:r>
          </w:p>
        </w:tc>
        <w:tc>
          <w:tcPr>
            <w:tcW w:w="1146" w:type="dxa"/>
            <w:vAlign w:val="top"/>
          </w:tcPr>
          <w:p w14:paraId="463DA7BE">
            <w:pPr>
              <w:spacing w:line="317" w:lineRule="auto"/>
              <w:rPr>
                <w:rFonts w:ascii="Arial"/>
                <w:color w:val="auto"/>
                <w:sz w:val="21"/>
                <w:highlight w:val="none"/>
              </w:rPr>
            </w:pPr>
          </w:p>
          <w:p w14:paraId="2BE54E4F">
            <w:pPr>
              <w:spacing w:line="317" w:lineRule="auto"/>
              <w:rPr>
                <w:rFonts w:ascii="Arial"/>
                <w:color w:val="auto"/>
                <w:sz w:val="21"/>
                <w:highlight w:val="none"/>
              </w:rPr>
            </w:pPr>
          </w:p>
          <w:p w14:paraId="5EBFB0CE">
            <w:pPr>
              <w:spacing w:line="317" w:lineRule="auto"/>
              <w:rPr>
                <w:rFonts w:ascii="Arial"/>
                <w:color w:val="auto"/>
                <w:sz w:val="21"/>
                <w:highlight w:val="none"/>
              </w:rPr>
            </w:pPr>
          </w:p>
          <w:p w14:paraId="7818069A">
            <w:pPr>
              <w:pStyle w:val="17"/>
              <w:spacing w:before="65" w:line="334" w:lineRule="auto"/>
              <w:ind w:left="366" w:right="153" w:firstLine="1"/>
              <w:rPr>
                <w:color w:val="auto"/>
                <w:highlight w:val="none"/>
              </w:rPr>
            </w:pPr>
            <w:r>
              <w:rPr>
                <w:color w:val="auto"/>
                <w:spacing w:val="6"/>
                <w:highlight w:val="none"/>
              </w:rPr>
              <w:t>专业工</w:t>
            </w:r>
            <w:r>
              <w:rPr>
                <w:color w:val="auto"/>
                <w:spacing w:val="5"/>
                <w:highlight w:val="none"/>
              </w:rPr>
              <w:t>程师</w:t>
            </w:r>
          </w:p>
        </w:tc>
        <w:tc>
          <w:tcPr>
            <w:tcW w:w="738" w:type="dxa"/>
            <w:vAlign w:val="center"/>
          </w:tcPr>
          <w:p w14:paraId="31114567">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53472193">
            <w:pPr>
              <w:spacing w:line="317" w:lineRule="auto"/>
              <w:rPr>
                <w:rFonts w:ascii="Arial"/>
                <w:color w:val="auto"/>
                <w:sz w:val="21"/>
                <w:highlight w:val="none"/>
              </w:rPr>
            </w:pPr>
          </w:p>
          <w:p w14:paraId="64EB1FBC">
            <w:pPr>
              <w:spacing w:line="317" w:lineRule="auto"/>
              <w:rPr>
                <w:rFonts w:ascii="Arial"/>
                <w:color w:val="auto"/>
                <w:sz w:val="21"/>
                <w:highlight w:val="none"/>
              </w:rPr>
            </w:pPr>
          </w:p>
          <w:p w14:paraId="5B0C9A15">
            <w:pPr>
              <w:spacing w:line="317" w:lineRule="auto"/>
              <w:rPr>
                <w:rFonts w:ascii="Arial"/>
                <w:color w:val="auto"/>
                <w:sz w:val="21"/>
                <w:highlight w:val="none"/>
              </w:rPr>
            </w:pPr>
          </w:p>
          <w:p w14:paraId="6BF6EB41">
            <w:pPr>
              <w:pStyle w:val="17"/>
              <w:spacing w:before="65" w:line="334" w:lineRule="auto"/>
              <w:ind w:left="111" w:right="109" w:firstLine="5"/>
              <w:rPr>
                <w:color w:val="auto"/>
                <w:highlight w:val="none"/>
              </w:rPr>
            </w:pPr>
            <w:r>
              <w:rPr>
                <w:color w:val="auto"/>
                <w:spacing w:val="14"/>
                <w:highlight w:val="none"/>
              </w:rPr>
              <w:t>具有工程类注册执业资格或具有</w:t>
            </w:r>
            <w:r>
              <w:rPr>
                <w:color w:val="auto"/>
                <w:spacing w:val="14"/>
                <w:highlight w:val="none"/>
                <w:u w:val="single" w:color="auto"/>
              </w:rPr>
              <w:t>中级及以上</w:t>
            </w:r>
            <w:r>
              <w:rPr>
                <w:color w:val="auto"/>
                <w:spacing w:val="14"/>
                <w:highlight w:val="none"/>
              </w:rPr>
              <w:t>专业技术职称；</w:t>
            </w:r>
            <w:r>
              <w:rPr>
                <w:color w:val="auto"/>
                <w:spacing w:val="14"/>
                <w:highlight w:val="none"/>
                <w:u w:val="single" w:color="auto"/>
              </w:rPr>
              <w:t>3</w:t>
            </w:r>
            <w:r>
              <w:rPr>
                <w:color w:val="auto"/>
                <w:spacing w:val="-22"/>
                <w:highlight w:val="none"/>
                <w:u w:val="single" w:color="auto"/>
              </w:rPr>
              <w:t xml:space="preserve"> </w:t>
            </w:r>
            <w:r>
              <w:rPr>
                <w:color w:val="auto"/>
                <w:spacing w:val="14"/>
                <w:highlight w:val="none"/>
              </w:rPr>
              <w:t>年及以上工</w:t>
            </w:r>
            <w:r>
              <w:rPr>
                <w:color w:val="auto"/>
                <w:spacing w:val="9"/>
                <w:highlight w:val="none"/>
              </w:rPr>
              <w:t>程实践经验；经过监理业务培训并经建设单位考核合格的监理人员。</w:t>
            </w:r>
          </w:p>
        </w:tc>
      </w:tr>
      <w:tr w14:paraId="68ACD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781" w:type="dxa"/>
            <w:gridSpan w:val="2"/>
            <w:vAlign w:val="top"/>
          </w:tcPr>
          <w:p w14:paraId="40269ECA">
            <w:pPr>
              <w:pStyle w:val="17"/>
              <w:spacing w:before="123" w:line="273" w:lineRule="auto"/>
              <w:ind w:left="589" w:right="153" w:hanging="427"/>
              <w:rPr>
                <w:color w:val="auto"/>
                <w:highlight w:val="none"/>
              </w:rPr>
            </w:pPr>
            <w:r>
              <w:rPr>
                <w:color w:val="auto"/>
                <w:spacing w:val="8"/>
                <w:highlight w:val="none"/>
              </w:rPr>
              <w:t>档案及竣工资料</w:t>
            </w:r>
            <w:r>
              <w:rPr>
                <w:color w:val="auto"/>
                <w:spacing w:val="4"/>
                <w:highlight w:val="none"/>
              </w:rPr>
              <w:t>负责人</w:t>
            </w:r>
          </w:p>
        </w:tc>
        <w:tc>
          <w:tcPr>
            <w:tcW w:w="738" w:type="dxa"/>
            <w:vAlign w:val="center"/>
          </w:tcPr>
          <w:p w14:paraId="1D0B530B">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72F32129">
            <w:pPr>
              <w:pStyle w:val="17"/>
              <w:spacing w:before="123" w:line="273" w:lineRule="auto"/>
              <w:ind w:left="111" w:right="109" w:firstLine="5"/>
              <w:rPr>
                <w:color w:val="auto"/>
                <w:highlight w:val="none"/>
              </w:rPr>
            </w:pPr>
            <w:r>
              <w:rPr>
                <w:color w:val="auto"/>
                <w:spacing w:val="13"/>
                <w:highlight w:val="none"/>
              </w:rPr>
              <w:t>具有路桥或土建相关专业</w:t>
            </w:r>
            <w:r>
              <w:rPr>
                <w:color w:val="auto"/>
                <w:spacing w:val="13"/>
                <w:highlight w:val="none"/>
                <w:u w:val="single" w:color="auto"/>
              </w:rPr>
              <w:t>初级及以上</w:t>
            </w:r>
            <w:r>
              <w:rPr>
                <w:color w:val="auto"/>
                <w:spacing w:val="13"/>
                <w:highlight w:val="none"/>
              </w:rPr>
              <w:t>技术职称，至少具有一个高速公路工</w:t>
            </w:r>
            <w:r>
              <w:rPr>
                <w:color w:val="auto"/>
                <w:spacing w:val="9"/>
                <w:highlight w:val="none"/>
              </w:rPr>
              <w:t>程项目竣工档案全过程编制和管理工作经验,熟悉计算机办公软件操作。</w:t>
            </w:r>
          </w:p>
        </w:tc>
      </w:tr>
      <w:tr w14:paraId="79DE3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781" w:type="dxa"/>
            <w:gridSpan w:val="2"/>
            <w:vAlign w:val="top"/>
          </w:tcPr>
          <w:p w14:paraId="3CE91647">
            <w:pPr>
              <w:pStyle w:val="17"/>
              <w:spacing w:before="303" w:line="229" w:lineRule="auto"/>
              <w:ind w:left="477"/>
              <w:rPr>
                <w:color w:val="auto"/>
                <w:highlight w:val="none"/>
              </w:rPr>
            </w:pPr>
            <w:r>
              <w:rPr>
                <w:color w:val="auto"/>
                <w:spacing w:val="-1"/>
                <w:highlight w:val="none"/>
              </w:rPr>
              <w:t>监</w:t>
            </w:r>
            <w:r>
              <w:rPr>
                <w:color w:val="auto"/>
                <w:spacing w:val="16"/>
                <w:highlight w:val="none"/>
              </w:rPr>
              <w:t xml:space="preserve"> </w:t>
            </w:r>
            <w:r>
              <w:rPr>
                <w:color w:val="auto"/>
                <w:spacing w:val="-1"/>
                <w:highlight w:val="none"/>
              </w:rPr>
              <w:t>理</w:t>
            </w:r>
            <w:r>
              <w:rPr>
                <w:color w:val="auto"/>
                <w:spacing w:val="24"/>
                <w:highlight w:val="none"/>
              </w:rPr>
              <w:t xml:space="preserve"> </w:t>
            </w:r>
            <w:r>
              <w:rPr>
                <w:color w:val="auto"/>
                <w:spacing w:val="-1"/>
                <w:highlight w:val="none"/>
              </w:rPr>
              <w:t>员</w:t>
            </w:r>
          </w:p>
        </w:tc>
        <w:tc>
          <w:tcPr>
            <w:tcW w:w="738" w:type="dxa"/>
            <w:vAlign w:val="center"/>
          </w:tcPr>
          <w:p w14:paraId="21007C9E">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691BA4EA">
            <w:pPr>
              <w:pStyle w:val="17"/>
              <w:spacing w:before="123" w:line="275" w:lineRule="auto"/>
              <w:ind w:left="113" w:right="109" w:firstLine="3"/>
              <w:rPr>
                <w:color w:val="auto"/>
                <w:highlight w:val="none"/>
              </w:rPr>
            </w:pPr>
            <w:r>
              <w:rPr>
                <w:color w:val="auto"/>
                <w:spacing w:val="13"/>
                <w:highlight w:val="none"/>
              </w:rPr>
              <w:t>具有监理人员培训证书，路桥相关专业</w:t>
            </w:r>
            <w:r>
              <w:rPr>
                <w:color w:val="auto"/>
                <w:spacing w:val="13"/>
                <w:highlight w:val="none"/>
                <w:u w:val="single" w:color="auto"/>
              </w:rPr>
              <w:t>初级及以上</w:t>
            </w:r>
            <w:r>
              <w:rPr>
                <w:color w:val="auto"/>
                <w:spacing w:val="13"/>
                <w:highlight w:val="none"/>
              </w:rPr>
              <w:t>技术职称，从事监理工</w:t>
            </w:r>
            <w:r>
              <w:rPr>
                <w:color w:val="auto"/>
                <w:spacing w:val="2"/>
                <w:highlight w:val="none"/>
              </w:rPr>
              <w:t>作</w:t>
            </w:r>
            <w:r>
              <w:rPr>
                <w:color w:val="auto"/>
                <w:spacing w:val="16"/>
                <w:highlight w:val="none"/>
              </w:rPr>
              <w:t xml:space="preserve"> </w:t>
            </w:r>
            <w:r>
              <w:rPr>
                <w:color w:val="auto"/>
                <w:spacing w:val="2"/>
                <w:highlight w:val="none"/>
                <w:u w:val="single" w:color="auto"/>
              </w:rPr>
              <w:t>2</w:t>
            </w:r>
            <w:r>
              <w:rPr>
                <w:color w:val="auto"/>
                <w:spacing w:val="-37"/>
                <w:highlight w:val="none"/>
                <w:u w:val="single" w:color="auto"/>
              </w:rPr>
              <w:t xml:space="preserve"> </w:t>
            </w:r>
            <w:r>
              <w:rPr>
                <w:color w:val="auto"/>
                <w:spacing w:val="2"/>
                <w:highlight w:val="none"/>
              </w:rPr>
              <w:t>年以上。</w:t>
            </w:r>
          </w:p>
        </w:tc>
      </w:tr>
    </w:tbl>
    <w:p w14:paraId="183ADB5F">
      <w:pPr>
        <w:spacing w:before="31" w:line="455" w:lineRule="auto"/>
        <w:ind w:left="263" w:right="300" w:hanging="1"/>
        <w:rPr>
          <w:rFonts w:ascii="宋体" w:hAnsi="宋体" w:eastAsia="宋体" w:cs="宋体"/>
          <w:color w:val="auto"/>
          <w:spacing w:val="9"/>
          <w:sz w:val="20"/>
          <w:szCs w:val="20"/>
          <w:highlight w:val="none"/>
        </w:rPr>
      </w:pPr>
    </w:p>
    <w:p w14:paraId="478BAC22">
      <w:pPr>
        <w:spacing w:before="31" w:line="455" w:lineRule="auto"/>
        <w:ind w:left="263" w:right="300" w:hanging="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注：附录</w:t>
      </w:r>
      <w:r>
        <w:rPr>
          <w:rFonts w:ascii="宋体" w:hAnsi="宋体" w:eastAsia="宋体" w:cs="宋体"/>
          <w:color w:val="auto"/>
          <w:spacing w:val="-30"/>
          <w:sz w:val="20"/>
          <w:szCs w:val="20"/>
          <w:highlight w:val="none"/>
        </w:rPr>
        <w:t xml:space="preserve"> </w:t>
      </w:r>
      <w:r>
        <w:rPr>
          <w:rFonts w:ascii="宋体" w:hAnsi="宋体" w:eastAsia="宋体" w:cs="宋体"/>
          <w:color w:val="auto"/>
          <w:spacing w:val="9"/>
          <w:sz w:val="20"/>
          <w:szCs w:val="20"/>
          <w:highlight w:val="none"/>
        </w:rPr>
        <w:t>5</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所要求人员须按投标文件投标函的格式承诺，中标人在进场前向招标人提交实际投入的</w:t>
      </w:r>
      <w:bookmarkStart w:id="54" w:name="bookmark97"/>
      <w:bookmarkEnd w:id="54"/>
      <w:r>
        <w:rPr>
          <w:rFonts w:ascii="宋体" w:hAnsi="宋体" w:eastAsia="宋体" w:cs="宋体"/>
          <w:color w:val="auto"/>
          <w:spacing w:val="4"/>
          <w:position w:val="-1"/>
          <w:sz w:val="20"/>
          <w:szCs w:val="20"/>
          <w:highlight w:val="none"/>
        </w:rPr>
        <w:t>人员。</w:t>
      </w:r>
    </w:p>
    <w:p w14:paraId="2749DCC4">
      <w:pPr>
        <w:spacing w:line="220" w:lineRule="auto"/>
        <w:rPr>
          <w:rFonts w:ascii="宋体" w:hAnsi="宋体" w:eastAsia="宋体" w:cs="宋体"/>
          <w:color w:val="auto"/>
          <w:sz w:val="18"/>
          <w:szCs w:val="18"/>
          <w:highlight w:val="none"/>
        </w:rPr>
        <w:sectPr>
          <w:footerReference r:id="rId29" w:type="default"/>
          <w:pgSz w:w="11906" w:h="16839"/>
          <w:pgMar w:top="1416" w:right="1161" w:bottom="1297" w:left="1161" w:header="0" w:footer="1067" w:gutter="0"/>
          <w:pgNumType w:fmt="decimal"/>
          <w:cols w:space="720" w:num="1"/>
        </w:sectPr>
      </w:pPr>
    </w:p>
    <w:p w14:paraId="3058D271">
      <w:pPr>
        <w:spacing w:before="56" w:line="219" w:lineRule="auto"/>
        <w:ind w:left="2641"/>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第二章</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投标人须知正文及附件</w:t>
      </w:r>
    </w:p>
    <w:p w14:paraId="514EB820">
      <w:pPr>
        <w:spacing w:line="262" w:lineRule="auto"/>
        <w:rPr>
          <w:rFonts w:ascii="Arial"/>
          <w:color w:val="auto"/>
          <w:sz w:val="21"/>
          <w:highlight w:val="none"/>
        </w:rPr>
      </w:pPr>
    </w:p>
    <w:p w14:paraId="4F201D68">
      <w:pPr>
        <w:spacing w:line="263" w:lineRule="auto"/>
        <w:rPr>
          <w:rFonts w:ascii="Arial"/>
          <w:color w:val="auto"/>
          <w:sz w:val="21"/>
          <w:highlight w:val="none"/>
        </w:rPr>
      </w:pPr>
    </w:p>
    <w:p w14:paraId="2E647809">
      <w:pPr>
        <w:spacing w:before="91" w:line="221" w:lineRule="auto"/>
        <w:ind w:left="22"/>
        <w:outlineLvl w:val="0"/>
        <w:rPr>
          <w:rFonts w:ascii="宋体" w:hAnsi="宋体" w:eastAsia="宋体" w:cs="宋体"/>
          <w:color w:val="auto"/>
          <w:sz w:val="28"/>
          <w:szCs w:val="28"/>
          <w:highlight w:val="none"/>
        </w:rPr>
      </w:pPr>
      <w:bookmarkStart w:id="55" w:name="_Toc32569"/>
      <w:r>
        <w:rPr>
          <w:rFonts w:ascii="宋体" w:hAnsi="宋体" w:eastAsia="宋体" w:cs="宋体"/>
          <w:b/>
          <w:bCs/>
          <w:color w:val="auto"/>
          <w:spacing w:val="-15"/>
          <w:sz w:val="28"/>
          <w:szCs w:val="28"/>
          <w:highlight w:val="none"/>
        </w:rPr>
        <w:t>1.</w:t>
      </w:r>
      <w:r>
        <w:rPr>
          <w:rFonts w:ascii="宋体" w:hAnsi="宋体" w:eastAsia="宋体" w:cs="宋体"/>
          <w:color w:val="auto"/>
          <w:spacing w:val="19"/>
          <w:sz w:val="28"/>
          <w:szCs w:val="28"/>
          <w:highlight w:val="none"/>
        </w:rPr>
        <w:t xml:space="preserve"> </w:t>
      </w:r>
      <w:r>
        <w:rPr>
          <w:rFonts w:ascii="宋体" w:hAnsi="宋体" w:eastAsia="宋体" w:cs="宋体"/>
          <w:b/>
          <w:bCs/>
          <w:color w:val="auto"/>
          <w:spacing w:val="-15"/>
          <w:sz w:val="28"/>
          <w:szCs w:val="28"/>
          <w:highlight w:val="none"/>
        </w:rPr>
        <w:t>总则</w:t>
      </w:r>
      <w:bookmarkEnd w:id="55"/>
    </w:p>
    <w:p w14:paraId="13DDCEC3">
      <w:pPr>
        <w:spacing w:before="204" w:line="219" w:lineRule="auto"/>
        <w:ind w:left="17"/>
        <w:outlineLvl w:val="1"/>
        <w:rPr>
          <w:rFonts w:ascii="宋体" w:hAnsi="宋体" w:eastAsia="宋体" w:cs="宋体"/>
          <w:color w:val="auto"/>
          <w:sz w:val="24"/>
          <w:szCs w:val="24"/>
          <w:highlight w:val="none"/>
        </w:rPr>
      </w:pPr>
      <w:bookmarkStart w:id="56" w:name="_Toc20207"/>
      <w:bookmarkStart w:id="57" w:name="_Toc16255"/>
      <w:r>
        <w:rPr>
          <w:rFonts w:ascii="宋体" w:hAnsi="宋体" w:eastAsia="宋体" w:cs="宋体"/>
          <w:b/>
          <w:bCs/>
          <w:color w:val="auto"/>
          <w:spacing w:val="-8"/>
          <w:sz w:val="24"/>
          <w:szCs w:val="24"/>
          <w:highlight w:val="none"/>
        </w:rPr>
        <w:t>1.1</w:t>
      </w:r>
      <w:r>
        <w:rPr>
          <w:rFonts w:ascii="宋体" w:hAnsi="宋体" w:eastAsia="宋体" w:cs="宋体"/>
          <w:color w:val="auto"/>
          <w:spacing w:val="17"/>
          <w:sz w:val="24"/>
          <w:szCs w:val="24"/>
          <w:highlight w:val="none"/>
        </w:rPr>
        <w:t xml:space="preserve"> </w:t>
      </w:r>
      <w:r>
        <w:rPr>
          <w:rFonts w:ascii="宋体" w:hAnsi="宋体" w:eastAsia="宋体" w:cs="宋体"/>
          <w:b/>
          <w:bCs/>
          <w:color w:val="auto"/>
          <w:spacing w:val="-8"/>
          <w:sz w:val="24"/>
          <w:szCs w:val="24"/>
          <w:highlight w:val="none"/>
        </w:rPr>
        <w:t>项目概况</w:t>
      </w:r>
      <w:bookmarkEnd w:id="56"/>
      <w:bookmarkEnd w:id="57"/>
    </w:p>
    <w:p w14:paraId="7AF670CA">
      <w:pPr>
        <w:spacing w:before="180" w:line="359" w:lineRule="auto"/>
        <w:ind w:firstLine="497"/>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1.1.1 根据《中华人民共和国招标投标法》《中华人民共和国招标投标法实施条</w:t>
      </w:r>
      <w:r>
        <w:rPr>
          <w:rFonts w:ascii="宋体" w:hAnsi="宋体" w:eastAsia="宋体" w:cs="宋体"/>
          <w:color w:val="auto"/>
          <w:spacing w:val="5"/>
          <w:sz w:val="24"/>
          <w:szCs w:val="24"/>
          <w:highlight w:val="none"/>
        </w:rPr>
        <w:t>例》《广东省实施&lt;中华人民共和国招标投标法&gt;办法》《公路工</w:t>
      </w:r>
      <w:r>
        <w:rPr>
          <w:rFonts w:ascii="宋体" w:hAnsi="宋体" w:eastAsia="宋体" w:cs="宋体"/>
          <w:color w:val="auto"/>
          <w:spacing w:val="4"/>
          <w:sz w:val="24"/>
          <w:szCs w:val="24"/>
          <w:highlight w:val="none"/>
        </w:rPr>
        <w:t>程建设项目招标投标</w:t>
      </w:r>
      <w:r>
        <w:rPr>
          <w:rFonts w:ascii="宋体" w:hAnsi="宋体" w:eastAsia="宋体" w:cs="宋体"/>
          <w:color w:val="auto"/>
          <w:spacing w:val="5"/>
          <w:sz w:val="24"/>
          <w:szCs w:val="24"/>
          <w:highlight w:val="none"/>
        </w:rPr>
        <w:t>管理办法》等有关法律、法规和规章的规定，本招标项目已具备招标条件，</w:t>
      </w:r>
      <w:r>
        <w:rPr>
          <w:rFonts w:ascii="宋体" w:hAnsi="宋体" w:eastAsia="宋体" w:cs="宋体"/>
          <w:color w:val="auto"/>
          <w:spacing w:val="4"/>
          <w:sz w:val="24"/>
          <w:szCs w:val="24"/>
          <w:highlight w:val="none"/>
        </w:rPr>
        <w:t>现对本标</w:t>
      </w:r>
      <w:r>
        <w:rPr>
          <w:rFonts w:ascii="宋体" w:hAnsi="宋体" w:eastAsia="宋体" w:cs="宋体"/>
          <w:color w:val="auto"/>
          <w:spacing w:val="-1"/>
          <w:sz w:val="24"/>
          <w:szCs w:val="24"/>
          <w:highlight w:val="none"/>
        </w:rPr>
        <w:t>段施工监理进行招标。</w:t>
      </w:r>
    </w:p>
    <w:p w14:paraId="101A5CA8">
      <w:pPr>
        <w:spacing w:before="1" w:line="218"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1.1.2 本招标项目招标人：见投标人须知</w:t>
      </w:r>
      <w:r>
        <w:rPr>
          <w:rFonts w:ascii="宋体" w:hAnsi="宋体" w:eastAsia="宋体" w:cs="宋体"/>
          <w:color w:val="auto"/>
          <w:spacing w:val="-2"/>
          <w:sz w:val="24"/>
          <w:szCs w:val="24"/>
          <w:highlight w:val="none"/>
        </w:rPr>
        <w:t>前附表。</w:t>
      </w:r>
    </w:p>
    <w:p w14:paraId="340D2AB7">
      <w:pPr>
        <w:spacing w:before="184"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 本标段招标代理机构：见投标人须知前</w:t>
      </w:r>
      <w:r>
        <w:rPr>
          <w:rFonts w:ascii="宋体" w:hAnsi="宋体" w:eastAsia="宋体" w:cs="宋体"/>
          <w:color w:val="auto"/>
          <w:spacing w:val="-2"/>
          <w:sz w:val="24"/>
          <w:szCs w:val="24"/>
          <w:highlight w:val="none"/>
        </w:rPr>
        <w:t>附表。</w:t>
      </w:r>
    </w:p>
    <w:p w14:paraId="15A173DF">
      <w:pPr>
        <w:spacing w:before="183"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1.1.4 本招标项目名称：见投标人须</w:t>
      </w:r>
      <w:r>
        <w:rPr>
          <w:rFonts w:ascii="宋体" w:hAnsi="宋体" w:eastAsia="宋体" w:cs="宋体"/>
          <w:color w:val="auto"/>
          <w:spacing w:val="-2"/>
          <w:sz w:val="24"/>
          <w:szCs w:val="24"/>
          <w:highlight w:val="none"/>
        </w:rPr>
        <w:t>知前附表。</w:t>
      </w:r>
    </w:p>
    <w:p w14:paraId="7C615C68">
      <w:pPr>
        <w:spacing w:before="181"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1.1.5 本标段建设地点：见投标人须</w:t>
      </w:r>
      <w:r>
        <w:rPr>
          <w:rFonts w:ascii="宋体" w:hAnsi="宋体" w:eastAsia="宋体" w:cs="宋体"/>
          <w:color w:val="auto"/>
          <w:spacing w:val="-2"/>
          <w:sz w:val="24"/>
          <w:szCs w:val="24"/>
          <w:highlight w:val="none"/>
        </w:rPr>
        <w:t>知前附表。</w:t>
      </w:r>
    </w:p>
    <w:p w14:paraId="44A6C853">
      <w:pPr>
        <w:spacing w:before="181"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1.1.6 本标段建设规模：见投标人须</w:t>
      </w:r>
      <w:r>
        <w:rPr>
          <w:rFonts w:ascii="宋体" w:hAnsi="宋体" w:eastAsia="宋体" w:cs="宋体"/>
          <w:color w:val="auto"/>
          <w:spacing w:val="-2"/>
          <w:sz w:val="24"/>
          <w:szCs w:val="24"/>
          <w:highlight w:val="none"/>
        </w:rPr>
        <w:t>知前附表。</w:t>
      </w:r>
    </w:p>
    <w:p w14:paraId="0EECA520">
      <w:pPr>
        <w:spacing w:before="183"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1.1.7 招标项目施工预计开工日期和建设周期：见投标人须知前附表。</w:t>
      </w:r>
    </w:p>
    <w:p w14:paraId="28F9F6DD">
      <w:pPr>
        <w:spacing w:before="183"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1.1.8 建筑安装工程费/工程概算投资额：见投标人须知前附表。</w:t>
      </w:r>
    </w:p>
    <w:p w14:paraId="6AA50795">
      <w:pPr>
        <w:spacing w:before="182" w:line="219" w:lineRule="auto"/>
        <w:ind w:left="17"/>
        <w:outlineLvl w:val="1"/>
        <w:rPr>
          <w:rFonts w:ascii="宋体" w:hAnsi="宋体" w:eastAsia="宋体" w:cs="宋体"/>
          <w:color w:val="auto"/>
          <w:sz w:val="24"/>
          <w:szCs w:val="24"/>
          <w:highlight w:val="none"/>
        </w:rPr>
      </w:pPr>
      <w:bookmarkStart w:id="58" w:name="_Toc7385"/>
      <w:bookmarkStart w:id="59" w:name="_Toc23969"/>
      <w:r>
        <w:rPr>
          <w:rFonts w:ascii="宋体" w:hAnsi="宋体" w:eastAsia="宋体" w:cs="宋体"/>
          <w:b/>
          <w:bCs/>
          <w:color w:val="auto"/>
          <w:spacing w:val="-3"/>
          <w:sz w:val="24"/>
          <w:szCs w:val="24"/>
          <w:highlight w:val="none"/>
        </w:rPr>
        <w:t>1.2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招标项目的资金来源和落实情况</w:t>
      </w:r>
      <w:bookmarkEnd w:id="58"/>
      <w:bookmarkEnd w:id="59"/>
    </w:p>
    <w:p w14:paraId="4A80466D">
      <w:pPr>
        <w:spacing w:before="182"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1.2.1 资金来源及比例：见投标人须</w:t>
      </w:r>
      <w:r>
        <w:rPr>
          <w:rFonts w:ascii="宋体" w:hAnsi="宋体" w:eastAsia="宋体" w:cs="宋体"/>
          <w:color w:val="auto"/>
          <w:spacing w:val="-2"/>
          <w:sz w:val="24"/>
          <w:szCs w:val="24"/>
          <w:highlight w:val="none"/>
        </w:rPr>
        <w:t>知前附表。</w:t>
      </w:r>
    </w:p>
    <w:p w14:paraId="5F70D766">
      <w:pPr>
        <w:spacing w:before="181" w:line="219" w:lineRule="auto"/>
        <w:ind w:left="49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1.2.2 资金落实情况：见投标人须知前附表。</w:t>
      </w:r>
    </w:p>
    <w:p w14:paraId="3212215D">
      <w:pPr>
        <w:spacing w:before="185" w:line="219" w:lineRule="auto"/>
        <w:ind w:left="17"/>
        <w:outlineLvl w:val="1"/>
        <w:rPr>
          <w:rFonts w:ascii="宋体" w:hAnsi="宋体" w:eastAsia="宋体" w:cs="宋体"/>
          <w:color w:val="auto"/>
          <w:sz w:val="24"/>
          <w:szCs w:val="24"/>
          <w:highlight w:val="none"/>
        </w:rPr>
      </w:pPr>
      <w:bookmarkStart w:id="60" w:name="_Toc15947"/>
      <w:bookmarkStart w:id="61" w:name="_Toc31228"/>
      <w:r>
        <w:rPr>
          <w:rFonts w:ascii="宋体" w:hAnsi="宋体" w:eastAsia="宋体" w:cs="宋体"/>
          <w:b/>
          <w:bCs/>
          <w:color w:val="auto"/>
          <w:spacing w:val="-3"/>
          <w:sz w:val="24"/>
          <w:szCs w:val="24"/>
          <w:highlight w:val="none"/>
        </w:rPr>
        <w:t>1.3</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招标范围、监理服务期限、质量要求和安全目标</w:t>
      </w:r>
      <w:bookmarkEnd w:id="60"/>
      <w:bookmarkEnd w:id="61"/>
    </w:p>
    <w:p w14:paraId="0E0F8285">
      <w:pPr>
        <w:spacing w:before="180" w:line="219" w:lineRule="auto"/>
        <w:ind w:left="49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1.3.1 招标范围：见投标人须知前附表。</w:t>
      </w:r>
    </w:p>
    <w:p w14:paraId="4F0948A5">
      <w:pPr>
        <w:spacing w:before="183"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1.3.2 本标段的监理服务期限：见投标人须知前附</w:t>
      </w:r>
      <w:r>
        <w:rPr>
          <w:rFonts w:ascii="宋体" w:hAnsi="宋体" w:eastAsia="宋体" w:cs="宋体"/>
          <w:color w:val="auto"/>
          <w:spacing w:val="-2"/>
          <w:sz w:val="24"/>
          <w:szCs w:val="24"/>
          <w:highlight w:val="none"/>
        </w:rPr>
        <w:t>表。</w:t>
      </w:r>
    </w:p>
    <w:p w14:paraId="125D6DA3">
      <w:pPr>
        <w:spacing w:before="181"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1.3.3 本标段的质量要求：见投标人须知</w:t>
      </w:r>
      <w:r>
        <w:rPr>
          <w:rFonts w:ascii="宋体" w:hAnsi="宋体" w:eastAsia="宋体" w:cs="宋体"/>
          <w:color w:val="auto"/>
          <w:spacing w:val="-2"/>
          <w:sz w:val="24"/>
          <w:szCs w:val="24"/>
          <w:highlight w:val="none"/>
        </w:rPr>
        <w:t>前附表。</w:t>
      </w:r>
    </w:p>
    <w:p w14:paraId="288704E8">
      <w:pPr>
        <w:spacing w:before="183"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1.3.4 本标段的安全目标：见投标人须知</w:t>
      </w:r>
      <w:r>
        <w:rPr>
          <w:rFonts w:ascii="宋体" w:hAnsi="宋体" w:eastAsia="宋体" w:cs="宋体"/>
          <w:color w:val="auto"/>
          <w:spacing w:val="-2"/>
          <w:sz w:val="24"/>
          <w:szCs w:val="24"/>
          <w:highlight w:val="none"/>
        </w:rPr>
        <w:t>前附表。</w:t>
      </w:r>
    </w:p>
    <w:p w14:paraId="3ABBBC06">
      <w:pPr>
        <w:spacing w:before="182" w:line="219" w:lineRule="auto"/>
        <w:ind w:left="17"/>
        <w:outlineLvl w:val="1"/>
        <w:rPr>
          <w:rFonts w:ascii="宋体" w:hAnsi="宋体" w:eastAsia="宋体" w:cs="宋体"/>
          <w:color w:val="auto"/>
          <w:sz w:val="24"/>
          <w:szCs w:val="24"/>
          <w:highlight w:val="none"/>
        </w:rPr>
      </w:pPr>
      <w:bookmarkStart w:id="62" w:name="_Toc9036"/>
      <w:bookmarkStart w:id="63" w:name="_Toc32351"/>
      <w:r>
        <w:rPr>
          <w:rFonts w:ascii="宋体" w:hAnsi="宋体" w:eastAsia="宋体" w:cs="宋体"/>
          <w:b/>
          <w:bCs/>
          <w:color w:val="auto"/>
          <w:spacing w:val="-4"/>
          <w:sz w:val="24"/>
          <w:szCs w:val="24"/>
          <w:highlight w:val="none"/>
        </w:rPr>
        <w:t>1.4</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投标人资格要求</w:t>
      </w:r>
      <w:bookmarkEnd w:id="62"/>
      <w:bookmarkEnd w:id="63"/>
    </w:p>
    <w:p w14:paraId="3BD329C1">
      <w:pPr>
        <w:spacing w:before="182"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1.4.1 投标人应具备承担本标段施工监理的资质条件、能力和信誉。</w:t>
      </w:r>
    </w:p>
    <w:p w14:paraId="5407AC40">
      <w:pPr>
        <w:spacing w:before="184"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（1）资质要求：见投标人须知前附表；</w:t>
      </w:r>
    </w:p>
    <w:p w14:paraId="7326F8B3">
      <w:pPr>
        <w:spacing w:before="180"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（2）业绩要求：见投标人须知前附表；</w:t>
      </w:r>
    </w:p>
    <w:p w14:paraId="52E42DC4">
      <w:pPr>
        <w:spacing w:before="181"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（3）信誉要求：见投标人须知前附表；</w:t>
      </w:r>
    </w:p>
    <w:p w14:paraId="70A46573">
      <w:pPr>
        <w:spacing w:before="184" w:line="219"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（4）总监理工程师或驻地监理工程师资格：见投标人须知前附表；</w:t>
      </w:r>
    </w:p>
    <w:p w14:paraId="52E23D7A">
      <w:pPr>
        <w:spacing w:before="181"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（5）其他要求：见投标人须知前附表。</w:t>
      </w:r>
    </w:p>
    <w:p w14:paraId="718EF9E9">
      <w:pPr>
        <w:spacing w:line="219" w:lineRule="auto"/>
        <w:rPr>
          <w:rFonts w:ascii="宋体" w:hAnsi="宋体" w:eastAsia="宋体" w:cs="宋体"/>
          <w:color w:val="auto"/>
          <w:sz w:val="24"/>
          <w:szCs w:val="24"/>
          <w:highlight w:val="none"/>
        </w:rPr>
        <w:sectPr>
          <w:footerReference r:id="rId30" w:type="default"/>
          <w:pgSz w:w="11906" w:h="16839"/>
          <w:pgMar w:top="1402" w:right="1418" w:bottom="1297" w:left="1425" w:header="0" w:footer="1067" w:gutter="0"/>
          <w:pgNumType w:fmt="decimal"/>
          <w:cols w:space="720" w:num="1"/>
        </w:sectPr>
      </w:pPr>
    </w:p>
    <w:p w14:paraId="5B3299A4">
      <w:pPr>
        <w:spacing w:before="47" w:line="219" w:lineRule="auto"/>
        <w:ind w:left="49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需要提交的相关证明材料见本章第</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3.5</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款的</w:t>
      </w:r>
      <w:r>
        <w:rPr>
          <w:rFonts w:ascii="宋体" w:hAnsi="宋体" w:eastAsia="宋体" w:cs="宋体"/>
          <w:color w:val="auto"/>
          <w:spacing w:val="-3"/>
          <w:sz w:val="24"/>
          <w:szCs w:val="24"/>
          <w:highlight w:val="none"/>
        </w:rPr>
        <w:t>规定。</w:t>
      </w:r>
    </w:p>
    <w:p w14:paraId="307CE805">
      <w:pPr>
        <w:spacing w:before="181" w:line="359" w:lineRule="auto"/>
        <w:ind w:left="4" w:firstLine="49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1.4.2 投标人须知前附表规定接受联合体投标的，联合体除</w:t>
      </w:r>
      <w:r>
        <w:rPr>
          <w:rFonts w:ascii="宋体" w:hAnsi="宋体" w:eastAsia="宋体" w:cs="宋体"/>
          <w:color w:val="auto"/>
          <w:spacing w:val="4"/>
          <w:sz w:val="24"/>
          <w:szCs w:val="24"/>
          <w:highlight w:val="none"/>
        </w:rPr>
        <w:t>应符合本章第</w:t>
      </w:r>
      <w:r>
        <w:rPr>
          <w:rFonts w:ascii="宋体" w:hAnsi="宋体" w:eastAsia="宋体" w:cs="宋体"/>
          <w:color w:val="auto"/>
          <w:spacing w:val="-26"/>
          <w:sz w:val="24"/>
          <w:szCs w:val="24"/>
          <w:highlight w:val="none"/>
        </w:rPr>
        <w:t xml:space="preserve"> </w:t>
      </w:r>
      <w:r>
        <w:rPr>
          <w:rFonts w:ascii="宋体" w:hAnsi="宋体" w:eastAsia="宋体" w:cs="宋体"/>
          <w:color w:val="auto"/>
          <w:spacing w:val="4"/>
          <w:sz w:val="24"/>
          <w:szCs w:val="24"/>
          <w:highlight w:val="none"/>
        </w:rPr>
        <w:t>1.4.1</w:t>
      </w:r>
      <w:r>
        <w:rPr>
          <w:rFonts w:ascii="宋体" w:hAnsi="宋体" w:eastAsia="宋体" w:cs="宋体"/>
          <w:color w:val="auto"/>
          <w:spacing w:val="-1"/>
          <w:sz w:val="24"/>
          <w:szCs w:val="24"/>
          <w:highlight w:val="none"/>
        </w:rPr>
        <w:t>项和投标人须知前附表的要求外，还应遵守以下规定：</w:t>
      </w:r>
    </w:p>
    <w:p w14:paraId="64BFC906">
      <w:pPr>
        <w:spacing w:before="1" w:line="289" w:lineRule="auto"/>
        <w:ind w:left="1" w:firstLine="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（1）联合体各方应按招标文件提供的格式签订联合体协议书，明确联合体牵头人</w:t>
      </w:r>
      <w:r>
        <w:rPr>
          <w:rFonts w:ascii="宋体" w:hAnsi="宋体" w:eastAsia="宋体" w:cs="宋体"/>
          <w:color w:val="auto"/>
          <w:spacing w:val="-1"/>
          <w:sz w:val="24"/>
          <w:szCs w:val="24"/>
          <w:highlight w:val="none"/>
        </w:rPr>
        <w:t>和各方权利义务，并承诺就中标项目向招标人承担连带责任；</w:t>
      </w:r>
    </w:p>
    <w:p w14:paraId="4C68E3B7">
      <w:pPr>
        <w:spacing w:before="180"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（2）由同一专业的单位组成的联合体，按照资质等级较低的单位确定资质等级；</w:t>
      </w:r>
    </w:p>
    <w:p w14:paraId="15383803">
      <w:pPr>
        <w:spacing w:before="183"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（3）联合体各方不得再以自己名义单独或参加其他联合体在同一标段中投标；</w:t>
      </w:r>
    </w:p>
    <w:p w14:paraId="5068C87F">
      <w:pPr>
        <w:spacing w:before="182" w:line="312" w:lineRule="auto"/>
        <w:ind w:firstLine="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（4）联合体各方应分别按照本招标文件的要求，填写投标文件中的相应表格，并</w:t>
      </w:r>
      <w:r>
        <w:rPr>
          <w:rFonts w:ascii="宋体" w:hAnsi="宋体" w:eastAsia="宋体" w:cs="宋体"/>
          <w:color w:val="auto"/>
          <w:spacing w:val="5"/>
          <w:sz w:val="24"/>
          <w:szCs w:val="24"/>
          <w:highlight w:val="none"/>
        </w:rPr>
        <w:t>由联合体牵头人负责对联合体各成员的资料进行统一汇总后一并提交给招标</w:t>
      </w:r>
      <w:r>
        <w:rPr>
          <w:rFonts w:ascii="宋体" w:hAnsi="宋体" w:eastAsia="宋体" w:cs="宋体"/>
          <w:color w:val="auto"/>
          <w:spacing w:val="4"/>
          <w:sz w:val="24"/>
          <w:szCs w:val="24"/>
          <w:highlight w:val="none"/>
        </w:rPr>
        <w:t>人；联合</w:t>
      </w:r>
      <w:r>
        <w:rPr>
          <w:rFonts w:ascii="宋体" w:hAnsi="宋体" w:eastAsia="宋体" w:cs="宋体"/>
          <w:color w:val="auto"/>
          <w:sz w:val="24"/>
          <w:szCs w:val="24"/>
          <w:highlight w:val="none"/>
        </w:rPr>
        <w:t>体牵头人所提交的投标文件应认为已代表了联</w:t>
      </w:r>
      <w:r>
        <w:rPr>
          <w:rFonts w:ascii="宋体" w:hAnsi="宋体" w:eastAsia="宋体" w:cs="宋体"/>
          <w:color w:val="auto"/>
          <w:spacing w:val="-1"/>
          <w:sz w:val="24"/>
          <w:szCs w:val="24"/>
          <w:highlight w:val="none"/>
        </w:rPr>
        <w:t>合体各成员的真实情况；</w:t>
      </w:r>
    </w:p>
    <w:p w14:paraId="63A3C814">
      <w:pPr>
        <w:spacing w:before="183" w:line="289" w:lineRule="auto"/>
        <w:ind w:firstLine="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（5）尽管委任了联合体牵头人，但联合体各成员在投标、签订合同与履行合同过</w:t>
      </w:r>
      <w:r>
        <w:rPr>
          <w:rFonts w:ascii="宋体" w:hAnsi="宋体" w:eastAsia="宋体" w:cs="宋体"/>
          <w:color w:val="auto"/>
          <w:spacing w:val="-1"/>
          <w:sz w:val="24"/>
          <w:szCs w:val="24"/>
          <w:highlight w:val="none"/>
        </w:rPr>
        <w:t>程中，仍负有连带的和各自的法律责任。</w:t>
      </w:r>
    </w:p>
    <w:p w14:paraId="7D8A1EE0">
      <w:pPr>
        <w:spacing w:before="182" w:line="219" w:lineRule="auto"/>
        <w:ind w:left="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1.4.3 投标人（包括联合体各成员）不得与本标段相关单位存在下列关联关系：</w:t>
      </w:r>
    </w:p>
    <w:p w14:paraId="18631133">
      <w:pPr>
        <w:spacing w:before="184"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（1）为招标人不具有独立法人资格的附属机构（单位</w:t>
      </w:r>
      <w:r>
        <w:rPr>
          <w:rFonts w:ascii="宋体" w:hAnsi="宋体" w:eastAsia="宋体" w:cs="宋体"/>
          <w:color w:val="auto"/>
          <w:spacing w:val="1"/>
          <w:sz w:val="24"/>
          <w:szCs w:val="24"/>
          <w:highlight w:val="none"/>
        </w:rPr>
        <w:t>）；</w:t>
      </w:r>
    </w:p>
    <w:p w14:paraId="7CA8C7FB">
      <w:pPr>
        <w:spacing w:before="182"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（2）与招标人存在利害关系且可能影响招标公正性；</w:t>
      </w:r>
    </w:p>
    <w:p w14:paraId="73986C10">
      <w:pPr>
        <w:spacing w:before="182"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（3）与本标段的其他投标人同为一个单位负责人；</w:t>
      </w:r>
    </w:p>
    <w:p w14:paraId="5EF9638C">
      <w:pPr>
        <w:spacing w:before="181"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（4）与本标段的其他投标人存在控股、管理关系；</w:t>
      </w:r>
    </w:p>
    <w:p w14:paraId="1CE17A22">
      <w:pPr>
        <w:spacing w:before="181"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（5）为本标段的代建人；</w:t>
      </w:r>
    </w:p>
    <w:p w14:paraId="481D14B4">
      <w:pPr>
        <w:spacing w:before="183"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（6）为本标段的招标代理机构；</w:t>
      </w:r>
    </w:p>
    <w:p w14:paraId="0B41B44F">
      <w:pPr>
        <w:spacing w:before="183"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（7）与本标段的代建人或招标代理机构同为一个法定代表人；</w:t>
      </w:r>
    </w:p>
    <w:p w14:paraId="0E31AA23">
      <w:pPr>
        <w:spacing w:before="181"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（8）与本标段的代建人或招标代理机构存在控股或参股关系；</w:t>
      </w:r>
    </w:p>
    <w:p w14:paraId="7FB6C89C">
      <w:pPr>
        <w:spacing w:before="184" w:line="289" w:lineRule="auto"/>
        <w:ind w:left="4"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（9）与本标段对应工程的施工承包人以及建筑材料、建筑构配件和设备供应商有</w:t>
      </w:r>
      <w:r>
        <w:rPr>
          <w:rFonts w:ascii="宋体" w:hAnsi="宋体" w:eastAsia="宋体" w:cs="宋体"/>
          <w:color w:val="auto"/>
          <w:spacing w:val="-2"/>
          <w:sz w:val="24"/>
          <w:szCs w:val="24"/>
          <w:highlight w:val="none"/>
        </w:rPr>
        <w:t>隶属关系或其他利害关系；</w:t>
      </w:r>
    </w:p>
    <w:p w14:paraId="7BE3E209">
      <w:pPr>
        <w:spacing w:before="182"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（10）法律法规或投标人须知前附表规定的其他情形。</w:t>
      </w:r>
    </w:p>
    <w:p w14:paraId="18A832C8">
      <w:pPr>
        <w:spacing w:before="184" w:line="219" w:lineRule="auto"/>
        <w:ind w:left="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1.4.4 投标人（包括联合体各成员）不得存在下列不良状况或不良信用记录：</w:t>
      </w:r>
    </w:p>
    <w:p w14:paraId="726533ED">
      <w:pPr>
        <w:spacing w:before="180" w:line="289" w:lineRule="auto"/>
        <w:ind w:left="3" w:firstLine="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（1）被省级及以上交通运输主管部门取消招标项目所在地的投标资格且处于有效</w:t>
      </w:r>
      <w:r>
        <w:rPr>
          <w:rFonts w:ascii="宋体" w:hAnsi="宋体" w:eastAsia="宋体" w:cs="宋体"/>
          <w:color w:val="auto"/>
          <w:spacing w:val="-5"/>
          <w:sz w:val="24"/>
          <w:szCs w:val="24"/>
          <w:highlight w:val="none"/>
        </w:rPr>
        <w:t>期内；</w:t>
      </w:r>
    </w:p>
    <w:p w14:paraId="78FC190A">
      <w:pPr>
        <w:spacing w:before="182"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（2）被责令停业，暂扣或吊销执照，或吊销资质证书；</w:t>
      </w:r>
    </w:p>
    <w:p w14:paraId="1BB5C343">
      <w:pPr>
        <w:spacing w:before="181" w:line="218"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（3）进入清算程序，或被宣告破产，或其他丧失履约能力的情形；</w:t>
      </w:r>
    </w:p>
    <w:p w14:paraId="3FE0E946">
      <w:pPr>
        <w:spacing w:before="186"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（4）在国家企业信用信息公示系统中被列入严重违法失信企业名单；</w:t>
      </w:r>
    </w:p>
    <w:p w14:paraId="23DD7596">
      <w:pPr>
        <w:spacing w:line="219" w:lineRule="auto"/>
        <w:rPr>
          <w:rFonts w:ascii="宋体" w:hAnsi="宋体" w:eastAsia="宋体" w:cs="宋体"/>
          <w:color w:val="auto"/>
          <w:sz w:val="24"/>
          <w:szCs w:val="24"/>
          <w:highlight w:val="none"/>
        </w:rPr>
        <w:sectPr>
          <w:footerReference r:id="rId31" w:type="default"/>
          <w:pgSz w:w="11906" w:h="16839"/>
          <w:pgMar w:top="1405" w:right="1417" w:bottom="1297" w:left="1424" w:header="0" w:footer="1067" w:gutter="0"/>
          <w:pgNumType w:fmt="decimal"/>
          <w:cols w:space="720" w:num="1"/>
        </w:sectPr>
      </w:pPr>
    </w:p>
    <w:p w14:paraId="34112B2B">
      <w:pPr>
        <w:spacing w:before="48" w:line="219" w:lineRule="auto"/>
        <w:ind w:left="49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（5）在“信用中国</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”网站中被列入失信被执行</w:t>
      </w:r>
      <w:r>
        <w:rPr>
          <w:rFonts w:ascii="宋体" w:hAnsi="宋体" w:eastAsia="宋体" w:cs="宋体"/>
          <w:color w:val="auto"/>
          <w:spacing w:val="-3"/>
          <w:sz w:val="24"/>
          <w:szCs w:val="24"/>
          <w:highlight w:val="none"/>
        </w:rPr>
        <w:t>人名单；</w:t>
      </w:r>
    </w:p>
    <w:p w14:paraId="62F25E00">
      <w:pPr>
        <w:spacing w:before="145" w:line="372" w:lineRule="auto"/>
        <w:ind w:left="9" w:firstLine="490"/>
        <w:rPr>
          <w:rFonts w:ascii="宋体" w:hAnsi="宋体" w:eastAsia="宋体" w:cs="宋体"/>
          <w:color w:val="auto"/>
          <w:sz w:val="28"/>
          <w:szCs w:val="28"/>
          <w:highlight w:val="none"/>
        </w:rPr>
      </w:pPr>
      <w:r>
        <w:rPr>
          <w:rFonts w:ascii="宋体" w:hAnsi="宋体" w:eastAsia="宋体" w:cs="宋体"/>
          <w:color w:val="auto"/>
          <w:spacing w:val="5"/>
          <w:sz w:val="24"/>
          <w:szCs w:val="24"/>
          <w:highlight w:val="none"/>
        </w:rPr>
        <w:t>（6）投标人及其法定代表人、拟委任的总监理工程师（含备选</w:t>
      </w:r>
      <w:r>
        <w:rPr>
          <w:rFonts w:ascii="宋体" w:hAnsi="宋体" w:eastAsia="宋体" w:cs="宋体"/>
          <w:color w:val="auto"/>
          <w:spacing w:val="4"/>
          <w:sz w:val="24"/>
          <w:szCs w:val="24"/>
          <w:highlight w:val="none"/>
        </w:rPr>
        <w:t>，如有）</w:t>
      </w:r>
      <w:r>
        <w:rPr>
          <w:color w:val="auto"/>
          <w:highlight w:val="none"/>
        </w:rPr>
        <w:fldChar w:fldCharType="begin"/>
      </w:r>
      <w:r>
        <w:rPr>
          <w:color w:val="auto"/>
          <w:highlight w:val="none"/>
        </w:rPr>
        <w:instrText xml:space="preserve"> HYPERLINK \l "bookmark99" </w:instrText>
      </w:r>
      <w:r>
        <w:rPr>
          <w:color w:val="auto"/>
          <w:highlight w:val="none"/>
        </w:rPr>
        <w:fldChar w:fldCharType="separate"/>
      </w:r>
      <w:r>
        <w:rPr>
          <w:rFonts w:ascii="宋体" w:hAnsi="宋体" w:eastAsia="宋体" w:cs="宋体"/>
          <w:color w:val="auto"/>
          <w:spacing w:val="4"/>
          <w:position w:val="12"/>
          <w:sz w:val="12"/>
          <w:szCs w:val="12"/>
          <w:highlight w:val="none"/>
        </w:rPr>
        <w:t>①</w:t>
      </w:r>
      <w:r>
        <w:rPr>
          <w:rFonts w:ascii="宋体" w:hAnsi="宋体" w:eastAsia="宋体" w:cs="宋体"/>
          <w:color w:val="auto"/>
          <w:spacing w:val="4"/>
          <w:position w:val="12"/>
          <w:sz w:val="12"/>
          <w:szCs w:val="12"/>
          <w:highlight w:val="none"/>
        </w:rPr>
        <w:fldChar w:fldCharType="end"/>
      </w:r>
      <w:r>
        <w:rPr>
          <w:rFonts w:ascii="宋体" w:hAnsi="宋体" w:eastAsia="宋体" w:cs="宋体"/>
          <w:color w:val="auto"/>
          <w:spacing w:val="4"/>
          <w:sz w:val="24"/>
          <w:szCs w:val="24"/>
          <w:highlight w:val="none"/>
        </w:rPr>
        <w:t>或驻地</w:t>
      </w:r>
      <w:r>
        <w:rPr>
          <w:rFonts w:ascii="宋体" w:hAnsi="宋体" w:eastAsia="宋体" w:cs="宋体"/>
          <w:color w:val="auto"/>
          <w:spacing w:val="-1"/>
          <w:sz w:val="24"/>
          <w:szCs w:val="24"/>
          <w:highlight w:val="none"/>
        </w:rPr>
        <w:t>监理工程师（含备选，如有）</w:t>
      </w:r>
      <w:r>
        <w:rPr>
          <w:color w:val="auto"/>
          <w:highlight w:val="none"/>
        </w:rPr>
        <w:fldChar w:fldCharType="begin"/>
      </w:r>
      <w:r>
        <w:rPr>
          <w:color w:val="auto"/>
          <w:highlight w:val="none"/>
        </w:rPr>
        <w:instrText xml:space="preserve"> HYPERLINK \l "bookmark100" </w:instrText>
      </w:r>
      <w:r>
        <w:rPr>
          <w:color w:val="auto"/>
          <w:highlight w:val="none"/>
        </w:rPr>
        <w:fldChar w:fldCharType="separate"/>
      </w:r>
      <w:r>
        <w:rPr>
          <w:rFonts w:ascii="宋体" w:hAnsi="宋体" w:eastAsia="宋体" w:cs="宋体"/>
          <w:color w:val="auto"/>
          <w:spacing w:val="-1"/>
          <w:position w:val="12"/>
          <w:sz w:val="12"/>
          <w:szCs w:val="12"/>
          <w:highlight w:val="none"/>
        </w:rPr>
        <w:t>②</w:t>
      </w:r>
      <w:r>
        <w:rPr>
          <w:rFonts w:ascii="宋体" w:hAnsi="宋体" w:eastAsia="宋体" w:cs="宋体"/>
          <w:color w:val="auto"/>
          <w:spacing w:val="-1"/>
          <w:position w:val="12"/>
          <w:sz w:val="12"/>
          <w:szCs w:val="12"/>
          <w:highlight w:val="none"/>
        </w:rPr>
        <w:fldChar w:fldCharType="end"/>
      </w:r>
      <w:r>
        <w:rPr>
          <w:rFonts w:ascii="宋体" w:hAnsi="宋体" w:eastAsia="宋体" w:cs="宋体"/>
          <w:color w:val="auto"/>
          <w:spacing w:val="-1"/>
          <w:sz w:val="24"/>
          <w:szCs w:val="24"/>
          <w:highlight w:val="none"/>
        </w:rPr>
        <w:t>在近三年内有行贿犯罪行为</w:t>
      </w:r>
      <w:r>
        <w:rPr>
          <w:rFonts w:ascii="宋体" w:hAnsi="宋体" w:eastAsia="宋体" w:cs="宋体"/>
          <w:color w:val="auto"/>
          <w:spacing w:val="-1"/>
          <w:sz w:val="28"/>
          <w:szCs w:val="28"/>
          <w:highlight w:val="none"/>
        </w:rPr>
        <w:t>；</w:t>
      </w:r>
    </w:p>
    <w:p w14:paraId="6D1E4311">
      <w:pPr>
        <w:spacing w:line="218"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（7）法律法规或投标人须知前附表规定的其他情形。</w:t>
      </w:r>
    </w:p>
    <w:p w14:paraId="35F8F3C4">
      <w:pPr>
        <w:spacing w:before="182" w:line="359" w:lineRule="auto"/>
        <w:ind w:left="14" w:right="2" w:firstLine="492"/>
        <w:jc w:val="both"/>
        <w:rPr>
          <w:rFonts w:ascii="宋体" w:hAnsi="宋体" w:eastAsia="宋体" w:cs="宋体"/>
          <w:color w:val="auto"/>
          <w:sz w:val="12"/>
          <w:szCs w:val="12"/>
          <w:highlight w:val="none"/>
        </w:rPr>
      </w:pPr>
      <w:r>
        <w:rPr>
          <w:rFonts w:ascii="宋体" w:hAnsi="宋体" w:eastAsia="宋体" w:cs="宋体"/>
          <w:color w:val="auto"/>
          <w:spacing w:val="4"/>
          <w:sz w:val="24"/>
          <w:szCs w:val="24"/>
          <w:highlight w:val="none"/>
        </w:rPr>
        <w:t>1.4.5 投标人（包括联合体各成员）应进入交通运输部“全国公路建设市场监督管理系统</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””中的公路工程施工监理资质企业名录，且投标人</w:t>
      </w:r>
      <w:r>
        <w:rPr>
          <w:rFonts w:ascii="宋体" w:hAnsi="宋体" w:eastAsia="宋体" w:cs="宋体"/>
          <w:color w:val="auto"/>
          <w:spacing w:val="3"/>
          <w:sz w:val="24"/>
          <w:szCs w:val="24"/>
          <w:highlight w:val="none"/>
        </w:rPr>
        <w:t>名称和资质与该名录中</w:t>
      </w:r>
      <w:r>
        <w:rPr>
          <w:rFonts w:ascii="宋体" w:hAnsi="宋体" w:eastAsia="宋体" w:cs="宋体"/>
          <w:color w:val="auto"/>
          <w:sz w:val="24"/>
          <w:szCs w:val="24"/>
          <w:highlight w:val="none"/>
        </w:rPr>
        <w:t>的相应企业名称和资质完全一致。投标人不满足</w:t>
      </w:r>
      <w:r>
        <w:rPr>
          <w:rFonts w:ascii="宋体" w:hAnsi="宋体" w:eastAsia="宋体" w:cs="宋体"/>
          <w:color w:val="auto"/>
          <w:spacing w:val="-1"/>
          <w:sz w:val="24"/>
          <w:szCs w:val="24"/>
          <w:highlight w:val="none"/>
        </w:rPr>
        <w:t>本项规定条件的，将被否决投标。</w:t>
      </w:r>
      <w:r>
        <w:rPr>
          <w:color w:val="auto"/>
          <w:highlight w:val="none"/>
        </w:rPr>
        <w:fldChar w:fldCharType="begin"/>
      </w:r>
      <w:r>
        <w:rPr>
          <w:color w:val="auto"/>
          <w:highlight w:val="none"/>
        </w:rPr>
        <w:instrText xml:space="preserve"> HYPERLINK \l "bookmark101" </w:instrText>
      </w:r>
      <w:r>
        <w:rPr>
          <w:color w:val="auto"/>
          <w:highlight w:val="none"/>
        </w:rPr>
        <w:fldChar w:fldCharType="separate"/>
      </w:r>
      <w:r>
        <w:rPr>
          <w:rFonts w:ascii="宋体" w:hAnsi="宋体" w:eastAsia="宋体" w:cs="宋体"/>
          <w:color w:val="auto"/>
          <w:spacing w:val="-1"/>
          <w:position w:val="11"/>
          <w:sz w:val="12"/>
          <w:szCs w:val="12"/>
          <w:highlight w:val="none"/>
        </w:rPr>
        <w:t>③</w:t>
      </w:r>
      <w:r>
        <w:rPr>
          <w:rFonts w:ascii="宋体" w:hAnsi="宋体" w:eastAsia="宋体" w:cs="宋体"/>
          <w:color w:val="auto"/>
          <w:spacing w:val="-1"/>
          <w:position w:val="11"/>
          <w:sz w:val="12"/>
          <w:szCs w:val="12"/>
          <w:highlight w:val="none"/>
        </w:rPr>
        <w:fldChar w:fldCharType="end"/>
      </w:r>
    </w:p>
    <w:p w14:paraId="441241A3">
      <w:pPr>
        <w:spacing w:line="219" w:lineRule="auto"/>
        <w:ind w:left="26"/>
        <w:outlineLvl w:val="1"/>
        <w:rPr>
          <w:rFonts w:ascii="宋体" w:hAnsi="宋体" w:eastAsia="宋体" w:cs="宋体"/>
          <w:color w:val="auto"/>
          <w:sz w:val="24"/>
          <w:szCs w:val="24"/>
          <w:highlight w:val="none"/>
        </w:rPr>
      </w:pPr>
      <w:bookmarkStart w:id="64" w:name="_Toc30396"/>
      <w:bookmarkStart w:id="65" w:name="_Toc3201"/>
      <w:r>
        <w:rPr>
          <w:rFonts w:ascii="宋体" w:hAnsi="宋体" w:eastAsia="宋体" w:cs="宋体"/>
          <w:b/>
          <w:bCs/>
          <w:color w:val="auto"/>
          <w:spacing w:val="-9"/>
          <w:sz w:val="24"/>
          <w:szCs w:val="24"/>
          <w:highlight w:val="none"/>
        </w:rPr>
        <w:t>1.5</w:t>
      </w:r>
      <w:r>
        <w:rPr>
          <w:rFonts w:ascii="宋体" w:hAnsi="宋体" w:eastAsia="宋体" w:cs="宋体"/>
          <w:color w:val="auto"/>
          <w:spacing w:val="24"/>
          <w:sz w:val="24"/>
          <w:szCs w:val="24"/>
          <w:highlight w:val="none"/>
        </w:rPr>
        <w:t xml:space="preserve"> </w:t>
      </w:r>
      <w:r>
        <w:rPr>
          <w:rFonts w:ascii="宋体" w:hAnsi="宋体" w:eastAsia="宋体" w:cs="宋体"/>
          <w:b/>
          <w:bCs/>
          <w:color w:val="auto"/>
          <w:spacing w:val="-9"/>
          <w:sz w:val="24"/>
          <w:szCs w:val="24"/>
          <w:highlight w:val="none"/>
        </w:rPr>
        <w:t>费用承担</w:t>
      </w:r>
      <w:bookmarkEnd w:id="64"/>
      <w:bookmarkEnd w:id="65"/>
    </w:p>
    <w:p w14:paraId="11AFE934">
      <w:pPr>
        <w:spacing w:before="181" w:line="220"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投标人准备和参加投标活动发生的费用自理。</w:t>
      </w:r>
    </w:p>
    <w:p w14:paraId="1AA3FC19">
      <w:pPr>
        <w:spacing w:before="182" w:line="220" w:lineRule="auto"/>
        <w:ind w:left="26"/>
        <w:outlineLvl w:val="1"/>
        <w:rPr>
          <w:rFonts w:ascii="宋体" w:hAnsi="宋体" w:eastAsia="宋体" w:cs="宋体"/>
          <w:color w:val="auto"/>
          <w:sz w:val="24"/>
          <w:szCs w:val="24"/>
          <w:highlight w:val="none"/>
        </w:rPr>
      </w:pPr>
      <w:bookmarkStart w:id="66" w:name="_Toc28355"/>
      <w:bookmarkStart w:id="67" w:name="_Toc1064"/>
      <w:r>
        <w:rPr>
          <w:rFonts w:ascii="宋体" w:hAnsi="宋体" w:eastAsia="宋体" w:cs="宋体"/>
          <w:b/>
          <w:bCs/>
          <w:color w:val="auto"/>
          <w:spacing w:val="-10"/>
          <w:sz w:val="24"/>
          <w:szCs w:val="24"/>
          <w:highlight w:val="none"/>
        </w:rPr>
        <w:t>1.6</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10"/>
          <w:sz w:val="24"/>
          <w:szCs w:val="24"/>
          <w:highlight w:val="none"/>
        </w:rPr>
        <w:t>保密</w:t>
      </w:r>
      <w:bookmarkEnd w:id="66"/>
      <w:bookmarkEnd w:id="67"/>
    </w:p>
    <w:p w14:paraId="7F7D7DF2">
      <w:pPr>
        <w:spacing w:before="180" w:line="359" w:lineRule="auto"/>
        <w:ind w:left="15" w:right="61" w:firstLine="47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参与招标投标活动的各方应对招标文件和投标文件中的商业和技术等秘密保密，</w:t>
      </w:r>
      <w:r>
        <w:rPr>
          <w:rFonts w:ascii="宋体" w:hAnsi="宋体" w:eastAsia="宋体" w:cs="宋体"/>
          <w:color w:val="auto"/>
          <w:spacing w:val="-2"/>
          <w:sz w:val="24"/>
          <w:szCs w:val="24"/>
          <w:highlight w:val="none"/>
        </w:rPr>
        <w:t>否则应承担相应的法律责任。</w:t>
      </w:r>
    </w:p>
    <w:p w14:paraId="7B16F103">
      <w:pPr>
        <w:spacing w:line="219" w:lineRule="auto"/>
        <w:ind w:left="26"/>
        <w:outlineLvl w:val="1"/>
        <w:rPr>
          <w:rFonts w:ascii="宋体" w:hAnsi="宋体" w:eastAsia="宋体" w:cs="宋体"/>
          <w:color w:val="auto"/>
          <w:sz w:val="24"/>
          <w:szCs w:val="24"/>
          <w:highlight w:val="none"/>
        </w:rPr>
      </w:pPr>
      <w:bookmarkStart w:id="68" w:name="_Toc6978"/>
      <w:bookmarkStart w:id="69" w:name="_Toc663"/>
      <w:r>
        <w:rPr>
          <w:rFonts w:ascii="宋体" w:hAnsi="宋体" w:eastAsia="宋体" w:cs="宋体"/>
          <w:b/>
          <w:bCs/>
          <w:color w:val="auto"/>
          <w:spacing w:val="-8"/>
          <w:sz w:val="24"/>
          <w:szCs w:val="24"/>
          <w:highlight w:val="none"/>
        </w:rPr>
        <w:t>1.7</w:t>
      </w:r>
      <w:r>
        <w:rPr>
          <w:rFonts w:ascii="宋体" w:hAnsi="宋体" w:eastAsia="宋体" w:cs="宋体"/>
          <w:color w:val="auto"/>
          <w:spacing w:val="17"/>
          <w:sz w:val="24"/>
          <w:szCs w:val="24"/>
          <w:highlight w:val="none"/>
        </w:rPr>
        <w:t xml:space="preserve"> </w:t>
      </w:r>
      <w:r>
        <w:rPr>
          <w:rFonts w:ascii="宋体" w:hAnsi="宋体" w:eastAsia="宋体" w:cs="宋体"/>
          <w:b/>
          <w:bCs/>
          <w:color w:val="auto"/>
          <w:spacing w:val="-8"/>
          <w:sz w:val="24"/>
          <w:szCs w:val="24"/>
          <w:highlight w:val="none"/>
        </w:rPr>
        <w:t>语言文字</w:t>
      </w:r>
      <w:bookmarkEnd w:id="68"/>
      <w:bookmarkEnd w:id="69"/>
    </w:p>
    <w:p w14:paraId="5E444056">
      <w:pPr>
        <w:spacing w:before="183" w:line="219" w:lineRule="auto"/>
        <w:ind w:left="489"/>
        <w:rPr>
          <w:rFonts w:ascii="宋体" w:hAnsi="宋体" w:eastAsia="宋体" w:cs="宋体"/>
          <w:color w:val="auto"/>
          <w:sz w:val="24"/>
          <w:szCs w:val="24"/>
          <w:highlight w:val="none"/>
        </w:rPr>
      </w:pPr>
      <w:r>
        <w:rPr>
          <w:rFonts w:ascii="宋体" w:hAnsi="宋体" w:eastAsia="宋体" w:cs="宋体"/>
          <w:color w:val="auto"/>
          <w:sz w:val="24"/>
          <w:szCs w:val="24"/>
          <w:highlight w:val="none"/>
        </w:rPr>
        <w:t>招标投标文件使用的语言文字为中文。专用术语使用</w:t>
      </w:r>
      <w:r>
        <w:rPr>
          <w:rFonts w:ascii="宋体" w:hAnsi="宋体" w:eastAsia="宋体" w:cs="宋体"/>
          <w:color w:val="auto"/>
          <w:spacing w:val="-1"/>
          <w:sz w:val="24"/>
          <w:szCs w:val="24"/>
          <w:highlight w:val="none"/>
        </w:rPr>
        <w:t>外文的，应附有中文注释。</w:t>
      </w:r>
    </w:p>
    <w:p w14:paraId="18CDD7C1">
      <w:pPr>
        <w:spacing w:before="183" w:line="220" w:lineRule="auto"/>
        <w:ind w:left="26"/>
        <w:outlineLvl w:val="1"/>
        <w:rPr>
          <w:rFonts w:ascii="宋体" w:hAnsi="宋体" w:eastAsia="宋体" w:cs="宋体"/>
          <w:color w:val="auto"/>
          <w:sz w:val="24"/>
          <w:szCs w:val="24"/>
          <w:highlight w:val="none"/>
        </w:rPr>
      </w:pPr>
      <w:bookmarkStart w:id="70" w:name="_Toc6804"/>
      <w:bookmarkStart w:id="71" w:name="_Toc28472"/>
      <w:r>
        <w:rPr>
          <w:rFonts w:ascii="宋体" w:hAnsi="宋体" w:eastAsia="宋体" w:cs="宋体"/>
          <w:b/>
          <w:bCs/>
          <w:color w:val="auto"/>
          <w:spacing w:val="-8"/>
          <w:sz w:val="24"/>
          <w:szCs w:val="24"/>
          <w:highlight w:val="none"/>
        </w:rPr>
        <w:t>1.8</w:t>
      </w:r>
      <w:r>
        <w:rPr>
          <w:rFonts w:ascii="宋体" w:hAnsi="宋体" w:eastAsia="宋体" w:cs="宋体"/>
          <w:color w:val="auto"/>
          <w:spacing w:val="17"/>
          <w:sz w:val="24"/>
          <w:szCs w:val="24"/>
          <w:highlight w:val="none"/>
        </w:rPr>
        <w:t xml:space="preserve"> </w:t>
      </w:r>
      <w:r>
        <w:rPr>
          <w:rFonts w:ascii="宋体" w:hAnsi="宋体" w:eastAsia="宋体" w:cs="宋体"/>
          <w:b/>
          <w:bCs/>
          <w:color w:val="auto"/>
          <w:spacing w:val="-8"/>
          <w:sz w:val="24"/>
          <w:szCs w:val="24"/>
          <w:highlight w:val="none"/>
        </w:rPr>
        <w:t>计量单位</w:t>
      </w:r>
      <w:bookmarkEnd w:id="70"/>
      <w:bookmarkEnd w:id="71"/>
    </w:p>
    <w:p w14:paraId="47088072">
      <w:pPr>
        <w:spacing w:before="179" w:line="219" w:lineRule="auto"/>
        <w:ind w:left="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所有计量均采用中华人民共和国法定计量单位。</w:t>
      </w:r>
    </w:p>
    <w:p w14:paraId="2FF30B00">
      <w:pPr>
        <w:spacing w:before="182" w:line="219" w:lineRule="auto"/>
        <w:ind w:left="26"/>
        <w:outlineLvl w:val="1"/>
        <w:rPr>
          <w:rFonts w:ascii="宋体" w:hAnsi="宋体" w:eastAsia="宋体" w:cs="宋体"/>
          <w:color w:val="auto"/>
          <w:sz w:val="24"/>
          <w:szCs w:val="24"/>
          <w:highlight w:val="none"/>
        </w:rPr>
      </w:pPr>
      <w:bookmarkStart w:id="72" w:name="_Toc17060"/>
      <w:bookmarkStart w:id="73" w:name="_Toc11572"/>
      <w:r>
        <w:rPr>
          <w:rFonts w:ascii="宋体" w:hAnsi="宋体" w:eastAsia="宋体" w:cs="宋体"/>
          <w:b/>
          <w:bCs/>
          <w:color w:val="auto"/>
          <w:spacing w:val="-8"/>
          <w:sz w:val="24"/>
          <w:szCs w:val="24"/>
          <w:highlight w:val="none"/>
        </w:rPr>
        <w:t>1.9</w:t>
      </w:r>
      <w:r>
        <w:rPr>
          <w:rFonts w:ascii="宋体" w:hAnsi="宋体" w:eastAsia="宋体" w:cs="宋体"/>
          <w:color w:val="auto"/>
          <w:spacing w:val="17"/>
          <w:sz w:val="24"/>
          <w:szCs w:val="24"/>
          <w:highlight w:val="none"/>
        </w:rPr>
        <w:t xml:space="preserve"> </w:t>
      </w:r>
      <w:r>
        <w:rPr>
          <w:rFonts w:ascii="宋体" w:hAnsi="宋体" w:eastAsia="宋体" w:cs="宋体"/>
          <w:b/>
          <w:bCs/>
          <w:color w:val="auto"/>
          <w:spacing w:val="-8"/>
          <w:sz w:val="24"/>
          <w:szCs w:val="24"/>
          <w:highlight w:val="none"/>
        </w:rPr>
        <w:t>踏勘现场</w:t>
      </w:r>
      <w:bookmarkEnd w:id="72"/>
      <w:bookmarkEnd w:id="73"/>
    </w:p>
    <w:p w14:paraId="26AB1A61">
      <w:pPr>
        <w:spacing w:before="185" w:line="312" w:lineRule="auto"/>
        <w:ind w:left="14" w:right="2" w:firstLine="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1.9.1 第一章“招标公告</w:t>
      </w:r>
      <w:r>
        <w:rPr>
          <w:rFonts w:ascii="宋体" w:hAnsi="宋体" w:eastAsia="宋体" w:cs="宋体"/>
          <w:color w:val="auto"/>
          <w:spacing w:val="-72"/>
          <w:sz w:val="24"/>
          <w:szCs w:val="24"/>
          <w:highlight w:val="none"/>
        </w:rPr>
        <w:t xml:space="preserve"> </w:t>
      </w:r>
      <w:r>
        <w:rPr>
          <w:rFonts w:ascii="宋体" w:hAnsi="宋体" w:eastAsia="宋体" w:cs="宋体"/>
          <w:color w:val="auto"/>
          <w:spacing w:val="2"/>
          <w:sz w:val="24"/>
          <w:szCs w:val="24"/>
          <w:highlight w:val="none"/>
        </w:rPr>
        <w:t>”或“投标邀请书</w:t>
      </w:r>
      <w:r>
        <w:rPr>
          <w:rFonts w:ascii="宋体" w:hAnsi="宋体" w:eastAsia="宋体" w:cs="宋体"/>
          <w:color w:val="auto"/>
          <w:spacing w:val="-81"/>
          <w:sz w:val="24"/>
          <w:szCs w:val="24"/>
          <w:highlight w:val="none"/>
        </w:rPr>
        <w:t xml:space="preserve"> </w:t>
      </w:r>
      <w:r>
        <w:rPr>
          <w:rFonts w:ascii="宋体" w:hAnsi="宋体" w:eastAsia="宋体" w:cs="宋体"/>
          <w:color w:val="auto"/>
          <w:spacing w:val="2"/>
          <w:sz w:val="24"/>
          <w:szCs w:val="24"/>
          <w:highlight w:val="none"/>
        </w:rPr>
        <w:t>”规定组织踏勘现场的，招标人按规</w:t>
      </w:r>
      <w:r>
        <w:rPr>
          <w:rFonts w:ascii="宋体" w:hAnsi="宋体" w:eastAsia="宋体" w:cs="宋体"/>
          <w:color w:val="auto"/>
          <w:spacing w:val="5"/>
          <w:sz w:val="24"/>
          <w:szCs w:val="24"/>
          <w:highlight w:val="none"/>
        </w:rPr>
        <w:t>定的时间、地点组织投标人踏勘项目现场。部分投标人未按时</w:t>
      </w:r>
      <w:r>
        <w:rPr>
          <w:rFonts w:ascii="宋体" w:hAnsi="宋体" w:eastAsia="宋体" w:cs="宋体"/>
          <w:color w:val="auto"/>
          <w:spacing w:val="4"/>
          <w:sz w:val="24"/>
          <w:szCs w:val="24"/>
          <w:highlight w:val="none"/>
        </w:rPr>
        <w:t>参加踏勘现场的，不影</w:t>
      </w:r>
      <w:r>
        <w:rPr>
          <w:rFonts w:ascii="宋体" w:hAnsi="宋体" w:eastAsia="宋体" w:cs="宋体"/>
          <w:color w:val="auto"/>
          <w:spacing w:val="-1"/>
          <w:sz w:val="24"/>
          <w:szCs w:val="24"/>
          <w:highlight w:val="none"/>
        </w:rPr>
        <w:t>响踏勘现场的正常进行。招标人不得组织单个或部分投标人踏勘项目现场。</w:t>
      </w:r>
    </w:p>
    <w:p w14:paraId="603CBD53">
      <w:pPr>
        <w:spacing w:before="183" w:line="219" w:lineRule="auto"/>
        <w:ind w:left="50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1.9.2 投标人踏勘现场发生的费用自理。</w:t>
      </w:r>
    </w:p>
    <w:p w14:paraId="4C09EC6E">
      <w:pPr>
        <w:spacing w:before="180" w:line="290" w:lineRule="auto"/>
        <w:ind w:left="8" w:right="2" w:firstLine="49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1.9.3 除招标人的原因外，投标人自行负责在踏勘现场中所发生的人员伤亡和财</w:t>
      </w:r>
      <w:r>
        <w:rPr>
          <w:rFonts w:ascii="宋体" w:hAnsi="宋体" w:eastAsia="宋体" w:cs="宋体"/>
          <w:color w:val="auto"/>
          <w:spacing w:val="-3"/>
          <w:sz w:val="24"/>
          <w:szCs w:val="24"/>
          <w:highlight w:val="none"/>
        </w:rPr>
        <w:t>产损失。</w:t>
      </w:r>
    </w:p>
    <w:p w14:paraId="5923206E">
      <w:pPr>
        <w:spacing w:before="180" w:line="290" w:lineRule="auto"/>
        <w:ind w:left="10" w:right="2" w:firstLine="49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1.9.4 招标人在踏勘现场中介绍的工程场地和相关的周边环境情况，供投标人在</w:t>
      </w:r>
      <w:r>
        <w:rPr>
          <w:rFonts w:ascii="宋体" w:hAnsi="宋体" w:eastAsia="宋体" w:cs="宋体"/>
          <w:color w:val="auto"/>
          <w:spacing w:val="-1"/>
          <w:sz w:val="24"/>
          <w:szCs w:val="24"/>
          <w:highlight w:val="none"/>
        </w:rPr>
        <w:t>编制投标文件时参考，招标人不对投标人据此作出的判断和决策负责。</w:t>
      </w:r>
    </w:p>
    <w:p w14:paraId="2A510982">
      <w:pPr>
        <w:spacing w:before="180" w:line="219" w:lineRule="auto"/>
        <w:ind w:left="26"/>
        <w:outlineLvl w:val="1"/>
        <w:rPr>
          <w:rFonts w:ascii="宋体" w:hAnsi="宋体" w:eastAsia="宋体" w:cs="宋体"/>
          <w:color w:val="auto"/>
          <w:sz w:val="24"/>
          <w:szCs w:val="24"/>
          <w:highlight w:val="none"/>
        </w:rPr>
      </w:pPr>
      <w:bookmarkStart w:id="74" w:name="bookmark99"/>
      <w:bookmarkEnd w:id="74"/>
      <w:bookmarkStart w:id="75" w:name="bookmark100"/>
      <w:bookmarkEnd w:id="75"/>
      <w:bookmarkStart w:id="76" w:name="bookmark101"/>
      <w:bookmarkEnd w:id="76"/>
      <w:bookmarkStart w:id="77" w:name="_Toc29845"/>
      <w:bookmarkStart w:id="78" w:name="_Toc31500"/>
      <w:r>
        <w:rPr>
          <w:rFonts w:ascii="宋体" w:hAnsi="宋体" w:eastAsia="宋体" w:cs="宋体"/>
          <w:b/>
          <w:bCs/>
          <w:color w:val="auto"/>
          <w:spacing w:val="-5"/>
          <w:sz w:val="24"/>
          <w:szCs w:val="24"/>
          <w:highlight w:val="none"/>
        </w:rPr>
        <w:t>1.10</w:t>
      </w:r>
      <w:r>
        <w:rPr>
          <w:rFonts w:ascii="宋体" w:hAnsi="宋体" w:eastAsia="宋体" w:cs="宋体"/>
          <w:color w:val="auto"/>
          <w:spacing w:val="-5"/>
          <w:sz w:val="24"/>
          <w:szCs w:val="24"/>
          <w:highlight w:val="none"/>
        </w:rPr>
        <w:t xml:space="preserve"> </w:t>
      </w:r>
      <w:r>
        <w:rPr>
          <w:rFonts w:ascii="宋体" w:hAnsi="宋体" w:eastAsia="宋体" w:cs="宋体"/>
          <w:b/>
          <w:bCs/>
          <w:color w:val="auto"/>
          <w:spacing w:val="-5"/>
          <w:sz w:val="24"/>
          <w:szCs w:val="24"/>
          <w:highlight w:val="none"/>
        </w:rPr>
        <w:t>投标预备会</w:t>
      </w:r>
      <w:bookmarkEnd w:id="77"/>
      <w:bookmarkEnd w:id="78"/>
    </w:p>
    <w:p w14:paraId="240C7839">
      <w:pPr>
        <w:spacing w:before="183" w:line="218" w:lineRule="auto"/>
        <w:ind w:right="2"/>
        <w:jc w:val="right"/>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1.10.1 第一章“招标公告</w:t>
      </w:r>
      <w:r>
        <w:rPr>
          <w:rFonts w:ascii="宋体" w:hAnsi="宋体" w:eastAsia="宋体" w:cs="宋体"/>
          <w:color w:val="auto"/>
          <w:spacing w:val="-70"/>
          <w:sz w:val="24"/>
          <w:szCs w:val="24"/>
          <w:highlight w:val="none"/>
        </w:rPr>
        <w:t xml:space="preserve"> </w:t>
      </w:r>
      <w:r>
        <w:rPr>
          <w:rFonts w:ascii="宋体" w:hAnsi="宋体" w:eastAsia="宋体" w:cs="宋体"/>
          <w:color w:val="auto"/>
          <w:spacing w:val="-1"/>
          <w:sz w:val="24"/>
          <w:szCs w:val="24"/>
          <w:highlight w:val="none"/>
        </w:rPr>
        <w:t>”或“投标邀请书</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”规定召开投标预备会的，招标人按</w:t>
      </w:r>
    </w:p>
    <w:p w14:paraId="250B2A09">
      <w:pPr>
        <w:spacing w:line="269" w:lineRule="auto"/>
        <w:rPr>
          <w:rFonts w:ascii="Arial"/>
          <w:color w:val="auto"/>
          <w:sz w:val="21"/>
          <w:highlight w:val="none"/>
        </w:rPr>
      </w:pPr>
      <w:r>
        <w:rPr>
          <w:color w:val="auto"/>
          <w:highlight w:val="none"/>
        </w:rPr>
        <w:pict>
          <v:shape id="_x0000_s1062" o:spid="_x0000_s1062" style="position:absolute;left:0pt;margin-left:0pt;margin-top:9pt;height:0pt;width:144pt;z-index:251675648;mso-width-relative:page;mso-height-relative:page;" filled="f" stroked="t" coordsize="2880,0" path="m0,0l2880,0e">
            <v:fill on="f" focussize="0,0"/>
            <v:stroke weight="0pt" color="#000000" miterlimit="0" joinstyle="bevel" endcap="square"/>
            <v:imagedata o:title=""/>
            <o:lock v:ext="edit"/>
          </v:shape>
        </w:pict>
      </w:r>
    </w:p>
    <w:p w14:paraId="1D607087">
      <w:pPr>
        <w:spacing w:before="60" w:line="217" w:lineRule="auto"/>
        <w:ind w:left="5"/>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① 适用于总监办招标的，下同。</w:t>
      </w:r>
    </w:p>
    <w:p w14:paraId="3B1931F2">
      <w:pPr>
        <w:spacing w:before="21" w:line="217" w:lineRule="auto"/>
        <w:ind w:left="4"/>
        <w:rPr>
          <w:rFonts w:ascii="宋体" w:hAnsi="宋体" w:eastAsia="宋体" w:cs="宋体"/>
          <w:color w:val="auto"/>
          <w:sz w:val="18"/>
          <w:szCs w:val="18"/>
          <w:highlight w:val="none"/>
        </w:rPr>
      </w:pPr>
      <w:r>
        <w:rPr>
          <w:rFonts w:ascii="宋体" w:hAnsi="宋体" w:eastAsia="宋体" w:cs="宋体"/>
          <w:color w:val="auto"/>
          <w:sz w:val="18"/>
          <w:szCs w:val="18"/>
          <w:highlight w:val="none"/>
        </w:rPr>
        <w:t>② 适用于适用于二级监理机构的驻地监理工程师办公室单独招</w:t>
      </w:r>
      <w:r>
        <w:rPr>
          <w:rFonts w:ascii="宋体" w:hAnsi="宋体" w:eastAsia="宋体" w:cs="宋体"/>
          <w:color w:val="auto"/>
          <w:spacing w:val="-1"/>
          <w:sz w:val="18"/>
          <w:szCs w:val="18"/>
          <w:highlight w:val="none"/>
        </w:rPr>
        <w:t>标的，下同。</w:t>
      </w:r>
    </w:p>
    <w:p w14:paraId="686D209A">
      <w:pPr>
        <w:spacing w:before="22" w:line="232" w:lineRule="auto"/>
        <w:ind w:left="6" w:right="28" w:hanging="2"/>
        <w:rPr>
          <w:rFonts w:ascii="宋体" w:hAnsi="宋体" w:eastAsia="宋体" w:cs="宋体"/>
          <w:color w:val="auto"/>
          <w:sz w:val="18"/>
          <w:szCs w:val="18"/>
          <w:highlight w:val="none"/>
        </w:rPr>
      </w:pPr>
      <w:r>
        <w:rPr>
          <w:rFonts w:ascii="宋体" w:hAnsi="宋体" w:eastAsia="宋体" w:cs="宋体"/>
          <w:color w:val="auto"/>
          <w:sz w:val="18"/>
          <w:szCs w:val="18"/>
          <w:highlight w:val="none"/>
        </w:rPr>
        <w:t>③ 本项规定仅适用于根据《关于发布公路工程从业企业资质名录的通知》（厅公路</w:t>
      </w:r>
      <w:r>
        <w:rPr>
          <w:rFonts w:ascii="宋体" w:hAnsi="宋体" w:eastAsia="宋体" w:cs="宋体"/>
          <w:color w:val="auto"/>
          <w:spacing w:val="-1"/>
          <w:sz w:val="18"/>
          <w:szCs w:val="18"/>
          <w:highlight w:val="none"/>
        </w:rPr>
        <w:t>字〔2011〕114</w:t>
      </w:r>
      <w:r>
        <w:rPr>
          <w:rFonts w:ascii="宋体" w:hAnsi="宋体" w:eastAsia="宋体" w:cs="宋体"/>
          <w:color w:val="auto"/>
          <w:spacing w:val="-34"/>
          <w:sz w:val="18"/>
          <w:szCs w:val="18"/>
          <w:highlight w:val="none"/>
        </w:rPr>
        <w:t xml:space="preserve"> </w:t>
      </w:r>
      <w:r>
        <w:rPr>
          <w:rFonts w:ascii="宋体" w:hAnsi="宋体" w:eastAsia="宋体" w:cs="宋体"/>
          <w:color w:val="auto"/>
          <w:spacing w:val="-1"/>
          <w:sz w:val="18"/>
          <w:szCs w:val="18"/>
          <w:highlight w:val="none"/>
        </w:rPr>
        <w:t>号）要求，招标</w:t>
      </w:r>
      <w:r>
        <w:rPr>
          <w:rFonts w:ascii="宋体" w:hAnsi="宋体" w:eastAsia="宋体" w:cs="宋体"/>
          <w:color w:val="auto"/>
          <w:sz w:val="18"/>
          <w:szCs w:val="18"/>
          <w:highlight w:val="none"/>
        </w:rPr>
        <w:t>人应通过名录对投标人资质条件进行审核的公路施工监理企业。对于房建工程施工监理单独</w:t>
      </w:r>
      <w:r>
        <w:rPr>
          <w:rFonts w:ascii="宋体" w:hAnsi="宋体" w:eastAsia="宋体" w:cs="宋体"/>
          <w:color w:val="auto"/>
          <w:spacing w:val="-1"/>
          <w:sz w:val="18"/>
          <w:szCs w:val="18"/>
          <w:highlight w:val="none"/>
        </w:rPr>
        <w:t>进行招标和资质最低要求为省级相关部门许可资质的监理企业的情形不适用。</w:t>
      </w:r>
    </w:p>
    <w:p w14:paraId="5705914E">
      <w:pPr>
        <w:spacing w:line="232" w:lineRule="auto"/>
        <w:rPr>
          <w:rFonts w:ascii="宋体" w:hAnsi="宋体" w:eastAsia="宋体" w:cs="宋体"/>
          <w:color w:val="auto"/>
          <w:sz w:val="18"/>
          <w:szCs w:val="18"/>
          <w:highlight w:val="none"/>
        </w:rPr>
        <w:sectPr>
          <w:footerReference r:id="rId32" w:type="default"/>
          <w:pgSz w:w="11906" w:h="16839"/>
          <w:pgMar w:top="1405" w:right="1415" w:bottom="1297" w:left="1417" w:header="0" w:footer="1067" w:gutter="0"/>
          <w:pgNumType w:fmt="decimal"/>
          <w:cols w:space="720" w:num="1"/>
        </w:sectPr>
      </w:pPr>
    </w:p>
    <w:p w14:paraId="602A17D9">
      <w:pPr>
        <w:spacing w:before="47"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规定的时间和地点召开投标预备会，澄清投标人提出的问题。</w:t>
      </w:r>
    </w:p>
    <w:p w14:paraId="5D04C805">
      <w:pPr>
        <w:spacing w:before="182" w:line="289" w:lineRule="auto"/>
        <w:ind w:left="27" w:firstLine="47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1.10.2 投标人应按投标人须知前附表规定的时间和形式将提出的问</w:t>
      </w:r>
      <w:r>
        <w:rPr>
          <w:rFonts w:ascii="宋体" w:hAnsi="宋体" w:eastAsia="宋体" w:cs="宋体"/>
          <w:color w:val="auto"/>
          <w:spacing w:val="-3"/>
          <w:sz w:val="24"/>
          <w:szCs w:val="24"/>
          <w:highlight w:val="none"/>
        </w:rPr>
        <w:t>题送达招标人，以便招标人在会议期间澄清。</w:t>
      </w:r>
    </w:p>
    <w:p w14:paraId="031ED541">
      <w:pPr>
        <w:spacing w:before="180" w:line="290" w:lineRule="auto"/>
        <w:ind w:right="109"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1.10.3 投标预备会后，招标人将对投标人所提问题的澄清，以投标人须知前附表</w:t>
      </w:r>
      <w:r>
        <w:rPr>
          <w:rFonts w:ascii="宋体" w:hAnsi="宋体" w:eastAsia="宋体" w:cs="宋体"/>
          <w:color w:val="auto"/>
          <w:spacing w:val="-1"/>
          <w:sz w:val="24"/>
          <w:szCs w:val="24"/>
          <w:highlight w:val="none"/>
        </w:rPr>
        <w:t>规定的形式通知投标人。该澄清内容为招标文件的组成部分。</w:t>
      </w:r>
    </w:p>
    <w:p w14:paraId="644D1E0B">
      <w:pPr>
        <w:spacing w:before="180" w:line="220" w:lineRule="auto"/>
        <w:ind w:left="17"/>
        <w:outlineLvl w:val="1"/>
        <w:rPr>
          <w:rFonts w:ascii="宋体" w:hAnsi="宋体" w:eastAsia="宋体" w:cs="宋体"/>
          <w:color w:val="auto"/>
          <w:sz w:val="24"/>
          <w:szCs w:val="24"/>
          <w:highlight w:val="none"/>
        </w:rPr>
      </w:pPr>
      <w:bookmarkStart w:id="79" w:name="_Toc19880"/>
      <w:bookmarkStart w:id="80" w:name="_Toc32254"/>
      <w:r>
        <w:rPr>
          <w:rFonts w:ascii="宋体" w:hAnsi="宋体" w:eastAsia="宋体" w:cs="宋体"/>
          <w:b/>
          <w:bCs/>
          <w:color w:val="auto"/>
          <w:spacing w:val="-9"/>
          <w:sz w:val="24"/>
          <w:szCs w:val="24"/>
          <w:highlight w:val="none"/>
        </w:rPr>
        <w:t>1.11</w:t>
      </w:r>
      <w:r>
        <w:rPr>
          <w:rFonts w:ascii="宋体" w:hAnsi="宋体" w:eastAsia="宋体" w:cs="宋体"/>
          <w:color w:val="auto"/>
          <w:spacing w:val="15"/>
          <w:sz w:val="24"/>
          <w:szCs w:val="24"/>
          <w:highlight w:val="none"/>
        </w:rPr>
        <w:t xml:space="preserve"> </w:t>
      </w:r>
      <w:r>
        <w:rPr>
          <w:rFonts w:ascii="宋体" w:hAnsi="宋体" w:eastAsia="宋体" w:cs="宋体"/>
          <w:b/>
          <w:bCs/>
          <w:color w:val="auto"/>
          <w:spacing w:val="-9"/>
          <w:sz w:val="24"/>
          <w:szCs w:val="24"/>
          <w:highlight w:val="none"/>
        </w:rPr>
        <w:t>分包</w:t>
      </w:r>
      <w:bookmarkEnd w:id="79"/>
      <w:bookmarkEnd w:id="80"/>
    </w:p>
    <w:p w14:paraId="2B7934BA">
      <w:pPr>
        <w:spacing w:before="181" w:line="219"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本项目严禁分包。</w:t>
      </w:r>
    </w:p>
    <w:p w14:paraId="6B25A984">
      <w:pPr>
        <w:spacing w:before="181" w:line="219" w:lineRule="auto"/>
        <w:ind w:left="17"/>
        <w:outlineLvl w:val="1"/>
        <w:rPr>
          <w:rFonts w:ascii="宋体" w:hAnsi="宋体" w:eastAsia="宋体" w:cs="宋体"/>
          <w:color w:val="auto"/>
          <w:sz w:val="24"/>
          <w:szCs w:val="24"/>
          <w:highlight w:val="none"/>
        </w:rPr>
      </w:pPr>
      <w:bookmarkStart w:id="81" w:name="_Toc30421"/>
      <w:bookmarkStart w:id="82" w:name="_Toc23354"/>
      <w:r>
        <w:rPr>
          <w:rFonts w:ascii="宋体" w:hAnsi="宋体" w:eastAsia="宋体" w:cs="宋体"/>
          <w:b/>
          <w:bCs/>
          <w:color w:val="auto"/>
          <w:spacing w:val="-7"/>
          <w:sz w:val="24"/>
          <w:szCs w:val="24"/>
          <w:highlight w:val="none"/>
        </w:rPr>
        <w:t>1.12</w:t>
      </w:r>
      <w:r>
        <w:rPr>
          <w:rFonts w:ascii="宋体" w:hAnsi="宋体" w:eastAsia="宋体" w:cs="宋体"/>
          <w:color w:val="auto"/>
          <w:spacing w:val="21"/>
          <w:sz w:val="24"/>
          <w:szCs w:val="24"/>
          <w:highlight w:val="none"/>
        </w:rPr>
        <w:t xml:space="preserve"> </w:t>
      </w:r>
      <w:r>
        <w:rPr>
          <w:rFonts w:ascii="宋体" w:hAnsi="宋体" w:eastAsia="宋体" w:cs="宋体"/>
          <w:b/>
          <w:bCs/>
          <w:color w:val="auto"/>
          <w:spacing w:val="-7"/>
          <w:sz w:val="24"/>
          <w:szCs w:val="24"/>
          <w:highlight w:val="none"/>
        </w:rPr>
        <w:t>响应和偏差</w:t>
      </w:r>
      <w:bookmarkEnd w:id="81"/>
      <w:bookmarkEnd w:id="82"/>
    </w:p>
    <w:p w14:paraId="76BDF0D4">
      <w:pPr>
        <w:spacing w:before="183" w:line="289" w:lineRule="auto"/>
        <w:ind w:right="109"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1.12.1 投标文件偏离招标文件某些要求，视为投标文件存在偏差。偏差包括重大</w:t>
      </w:r>
      <w:r>
        <w:rPr>
          <w:rFonts w:ascii="宋体" w:hAnsi="宋体" w:eastAsia="宋体" w:cs="宋体"/>
          <w:color w:val="auto"/>
          <w:spacing w:val="-2"/>
          <w:sz w:val="24"/>
          <w:szCs w:val="24"/>
          <w:highlight w:val="none"/>
        </w:rPr>
        <w:t>偏差和细微偏差。</w:t>
      </w:r>
    </w:p>
    <w:p w14:paraId="0CD7FE56">
      <w:pPr>
        <w:spacing w:before="182" w:line="289" w:lineRule="auto"/>
        <w:ind w:left="19" w:right="109"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1.12.2 投标文件应对招标文件的实质性要求和条件作出满足性或更有利于招标人</w:t>
      </w:r>
      <w:r>
        <w:rPr>
          <w:rFonts w:ascii="宋体" w:hAnsi="宋体" w:eastAsia="宋体" w:cs="宋体"/>
          <w:color w:val="auto"/>
          <w:spacing w:val="-1"/>
          <w:sz w:val="24"/>
          <w:szCs w:val="24"/>
          <w:highlight w:val="none"/>
        </w:rPr>
        <w:t>的响应，否则，视为投标文件存在重大偏差，投标人的投标将被否决。</w:t>
      </w:r>
    </w:p>
    <w:p w14:paraId="371660C5">
      <w:pPr>
        <w:spacing w:before="183" w:line="359" w:lineRule="auto"/>
        <w:ind w:right="109" w:firstLine="48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投标文件存在第三章“评标办法</w:t>
      </w:r>
      <w:r>
        <w:rPr>
          <w:rFonts w:ascii="宋体" w:hAnsi="宋体" w:eastAsia="宋体" w:cs="宋体"/>
          <w:color w:val="auto"/>
          <w:spacing w:val="-82"/>
          <w:sz w:val="24"/>
          <w:szCs w:val="24"/>
          <w:highlight w:val="none"/>
        </w:rPr>
        <w:t xml:space="preserve"> </w:t>
      </w:r>
      <w:r>
        <w:rPr>
          <w:rFonts w:ascii="宋体" w:hAnsi="宋体" w:eastAsia="宋体" w:cs="宋体"/>
          <w:color w:val="auto"/>
          <w:spacing w:val="4"/>
          <w:sz w:val="24"/>
          <w:szCs w:val="24"/>
          <w:highlight w:val="none"/>
        </w:rPr>
        <w:t>”中所列任一否决投标情形的，均属于存在重大</w:t>
      </w:r>
      <w:r>
        <w:rPr>
          <w:rFonts w:ascii="宋体" w:hAnsi="宋体" w:eastAsia="宋体" w:cs="宋体"/>
          <w:color w:val="auto"/>
          <w:spacing w:val="-4"/>
          <w:sz w:val="24"/>
          <w:szCs w:val="24"/>
          <w:highlight w:val="none"/>
        </w:rPr>
        <w:t>偏差。</w:t>
      </w:r>
    </w:p>
    <w:p w14:paraId="27D21279">
      <w:pPr>
        <w:spacing w:line="219" w:lineRule="auto"/>
        <w:ind w:left="49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1.12.3 投标文件中的下列偏差为细微偏差：</w:t>
      </w:r>
    </w:p>
    <w:p w14:paraId="0B1E2D3E">
      <w:pPr>
        <w:spacing w:before="185" w:line="312" w:lineRule="auto"/>
        <w:ind w:right="109" w:firstLine="490"/>
        <w:rPr>
          <w:rFonts w:ascii="宋体" w:hAnsi="宋体" w:eastAsia="宋体" w:cs="宋体"/>
          <w:color w:val="auto"/>
          <w:sz w:val="24"/>
          <w:szCs w:val="24"/>
          <w:highlight w:val="none"/>
        </w:rPr>
      </w:pPr>
      <w:r>
        <w:rPr>
          <w:rFonts w:ascii="宋体" w:hAnsi="宋体" w:eastAsia="宋体" w:cs="宋体"/>
          <w:color w:val="auto"/>
          <w:sz w:val="24"/>
          <w:szCs w:val="24"/>
          <w:highlight w:val="none"/>
        </w:rPr>
        <w:t>（1）在按照第三章“评标办法</w:t>
      </w:r>
      <w:r>
        <w:rPr>
          <w:rFonts w:ascii="宋体" w:hAnsi="宋体" w:eastAsia="宋体" w:cs="宋体"/>
          <w:color w:val="auto"/>
          <w:spacing w:val="-71"/>
          <w:sz w:val="24"/>
          <w:szCs w:val="24"/>
          <w:highlight w:val="none"/>
        </w:rPr>
        <w:t xml:space="preserve"> </w:t>
      </w:r>
      <w:r>
        <w:rPr>
          <w:rFonts w:ascii="宋体" w:hAnsi="宋体" w:eastAsia="宋体" w:cs="宋体"/>
          <w:color w:val="auto"/>
          <w:sz w:val="24"/>
          <w:szCs w:val="24"/>
          <w:highlight w:val="none"/>
        </w:rPr>
        <w:t>”的规定对投标价进行算术性错误修正后，最终投</w:t>
      </w:r>
      <w:r>
        <w:rPr>
          <w:rFonts w:ascii="宋体" w:hAnsi="宋体" w:eastAsia="宋体" w:cs="宋体"/>
          <w:color w:val="auto"/>
          <w:spacing w:val="4"/>
          <w:sz w:val="24"/>
          <w:szCs w:val="24"/>
          <w:highlight w:val="none"/>
        </w:rPr>
        <w:t>标报价未超过最高投标限价（如有）的情况下，出现第三章“评标办法</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3"/>
          <w:sz w:val="24"/>
          <w:szCs w:val="24"/>
          <w:highlight w:val="none"/>
        </w:rPr>
        <w:t>规定的算术</w:t>
      </w:r>
      <w:r>
        <w:rPr>
          <w:rFonts w:ascii="宋体" w:hAnsi="宋体" w:eastAsia="宋体" w:cs="宋体"/>
          <w:color w:val="auto"/>
          <w:spacing w:val="-3"/>
          <w:sz w:val="24"/>
          <w:szCs w:val="24"/>
          <w:highlight w:val="none"/>
        </w:rPr>
        <w:t>性错误；</w:t>
      </w:r>
    </w:p>
    <w:p w14:paraId="4676047B">
      <w:pPr>
        <w:spacing w:before="180"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（2）技术建议书不够完善；</w:t>
      </w:r>
    </w:p>
    <w:p w14:paraId="615A9059">
      <w:pPr>
        <w:spacing w:before="183" w:line="289" w:lineRule="auto"/>
        <w:ind w:right="109" w:firstLine="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（3）投标文件页码不连续、个别文字有遗漏错误等不影响投标文件实质性内容的</w:t>
      </w:r>
      <w:r>
        <w:rPr>
          <w:rFonts w:ascii="宋体" w:hAnsi="宋体" w:eastAsia="宋体" w:cs="宋体"/>
          <w:color w:val="auto"/>
          <w:spacing w:val="-4"/>
          <w:sz w:val="24"/>
          <w:szCs w:val="24"/>
          <w:highlight w:val="none"/>
        </w:rPr>
        <w:t>偏差。</w:t>
      </w:r>
    </w:p>
    <w:p w14:paraId="64FE0F64">
      <w:pPr>
        <w:spacing w:before="183"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1.12.4 评标委员会对投标文件中的细微偏差按如下规定处理：</w:t>
      </w:r>
    </w:p>
    <w:p w14:paraId="121BA670">
      <w:pPr>
        <w:spacing w:before="180" w:line="290" w:lineRule="auto"/>
        <w:ind w:right="109" w:firstLine="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（1）对于本章第</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1.12.3</w:t>
      </w:r>
      <w:r>
        <w:rPr>
          <w:rFonts w:ascii="宋体" w:hAnsi="宋体" w:eastAsia="宋体" w:cs="宋体"/>
          <w:color w:val="auto"/>
          <w:spacing w:val="-44"/>
          <w:sz w:val="24"/>
          <w:szCs w:val="24"/>
          <w:highlight w:val="none"/>
        </w:rPr>
        <w:t xml:space="preserve"> </w:t>
      </w:r>
      <w:r>
        <w:rPr>
          <w:rFonts w:ascii="宋体" w:hAnsi="宋体" w:eastAsia="宋体" w:cs="宋体"/>
          <w:color w:val="auto"/>
          <w:spacing w:val="-2"/>
          <w:sz w:val="24"/>
          <w:szCs w:val="24"/>
          <w:highlight w:val="none"/>
        </w:rPr>
        <w:t>项（1）</w:t>
      </w:r>
      <w:r>
        <w:rPr>
          <w:rFonts w:ascii="宋体" w:hAnsi="宋体" w:eastAsia="宋体" w:cs="宋体"/>
          <w:color w:val="auto"/>
          <w:spacing w:val="-60"/>
          <w:sz w:val="24"/>
          <w:szCs w:val="24"/>
          <w:highlight w:val="none"/>
        </w:rPr>
        <w:t xml:space="preserve"> </w:t>
      </w:r>
      <w:r>
        <w:rPr>
          <w:rFonts w:ascii="宋体" w:hAnsi="宋体" w:eastAsia="宋体" w:cs="宋体"/>
          <w:color w:val="auto"/>
          <w:spacing w:val="-2"/>
          <w:sz w:val="24"/>
          <w:szCs w:val="24"/>
          <w:highlight w:val="none"/>
        </w:rPr>
        <w:t>目所述的细微偏差，按照第三章</w:t>
      </w:r>
      <w:r>
        <w:rPr>
          <w:rFonts w:ascii="宋体" w:hAnsi="宋体" w:eastAsia="宋体" w:cs="宋体"/>
          <w:color w:val="auto"/>
          <w:spacing w:val="-3"/>
          <w:sz w:val="24"/>
          <w:szCs w:val="24"/>
          <w:highlight w:val="none"/>
        </w:rPr>
        <w:t>“评标办法</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”的</w:t>
      </w:r>
      <w:r>
        <w:rPr>
          <w:rFonts w:ascii="宋体" w:hAnsi="宋体" w:eastAsia="宋体" w:cs="宋体"/>
          <w:color w:val="auto"/>
          <w:spacing w:val="-1"/>
          <w:sz w:val="24"/>
          <w:szCs w:val="24"/>
          <w:highlight w:val="none"/>
        </w:rPr>
        <w:t>规定予以修正并要求投标人进行澄清；</w:t>
      </w:r>
    </w:p>
    <w:p w14:paraId="40E89B72">
      <w:pPr>
        <w:spacing w:before="183" w:line="289" w:lineRule="auto"/>
        <w:ind w:left="19" w:right="109" w:firstLine="47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（2）对于本章第</w:t>
      </w:r>
      <w:r>
        <w:rPr>
          <w:rFonts w:ascii="宋体" w:hAnsi="宋体" w:eastAsia="宋体" w:cs="宋体"/>
          <w:color w:val="auto"/>
          <w:spacing w:val="-12"/>
          <w:sz w:val="24"/>
          <w:szCs w:val="24"/>
          <w:highlight w:val="none"/>
        </w:rPr>
        <w:t xml:space="preserve"> </w:t>
      </w:r>
      <w:r>
        <w:rPr>
          <w:rFonts w:ascii="宋体" w:hAnsi="宋体" w:eastAsia="宋体" w:cs="宋体"/>
          <w:color w:val="auto"/>
          <w:spacing w:val="1"/>
          <w:sz w:val="24"/>
          <w:szCs w:val="24"/>
          <w:highlight w:val="none"/>
        </w:rPr>
        <w:t>1.12.3</w:t>
      </w:r>
      <w:r>
        <w:rPr>
          <w:rFonts w:ascii="宋体" w:hAnsi="宋体" w:eastAsia="宋体" w:cs="宋体"/>
          <w:color w:val="auto"/>
          <w:spacing w:val="-42"/>
          <w:sz w:val="24"/>
          <w:szCs w:val="24"/>
          <w:highlight w:val="none"/>
        </w:rPr>
        <w:t xml:space="preserve"> </w:t>
      </w:r>
      <w:r>
        <w:rPr>
          <w:rFonts w:ascii="宋体" w:hAnsi="宋体" w:eastAsia="宋体" w:cs="宋体"/>
          <w:color w:val="auto"/>
          <w:spacing w:val="1"/>
          <w:sz w:val="24"/>
          <w:szCs w:val="24"/>
          <w:highlight w:val="none"/>
        </w:rPr>
        <w:t>项（2）、（3）</w:t>
      </w:r>
      <w:r>
        <w:rPr>
          <w:rFonts w:ascii="宋体" w:hAnsi="宋体" w:eastAsia="宋体" w:cs="宋体"/>
          <w:color w:val="auto"/>
          <w:spacing w:val="-55"/>
          <w:sz w:val="24"/>
          <w:szCs w:val="24"/>
          <w:highlight w:val="none"/>
        </w:rPr>
        <w:t xml:space="preserve"> </w:t>
      </w:r>
      <w:r>
        <w:rPr>
          <w:rFonts w:ascii="宋体" w:hAnsi="宋体" w:eastAsia="宋体" w:cs="宋体"/>
          <w:color w:val="auto"/>
          <w:spacing w:val="1"/>
          <w:sz w:val="24"/>
          <w:szCs w:val="24"/>
          <w:highlight w:val="none"/>
        </w:rPr>
        <w:t>目所述的细微偏差，可在相关评分因素</w:t>
      </w:r>
      <w:r>
        <w:rPr>
          <w:rFonts w:ascii="宋体" w:hAnsi="宋体" w:eastAsia="宋体" w:cs="宋体"/>
          <w:color w:val="auto"/>
          <w:spacing w:val="-4"/>
          <w:sz w:val="24"/>
          <w:szCs w:val="24"/>
          <w:highlight w:val="none"/>
        </w:rPr>
        <w:t>的评分中酌情扣分。</w:t>
      </w:r>
    </w:p>
    <w:p w14:paraId="6E9543D3">
      <w:pPr>
        <w:spacing w:before="180" w:line="363" w:lineRule="auto"/>
        <w:ind w:right="109"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1.12.5 投标人应根据招标文件的要求提供技术建议书等内容以对招标文件作出响</w:t>
      </w:r>
      <w:r>
        <w:rPr>
          <w:rFonts w:ascii="宋体" w:hAnsi="宋体" w:eastAsia="宋体" w:cs="宋体"/>
          <w:color w:val="auto"/>
          <w:spacing w:val="-5"/>
          <w:sz w:val="24"/>
          <w:szCs w:val="24"/>
          <w:highlight w:val="none"/>
        </w:rPr>
        <w:t>应。</w:t>
      </w:r>
    </w:p>
    <w:p w14:paraId="026BDA70">
      <w:pPr>
        <w:spacing w:line="363" w:lineRule="auto"/>
        <w:rPr>
          <w:rFonts w:ascii="宋体" w:hAnsi="宋体" w:eastAsia="宋体" w:cs="宋体"/>
          <w:color w:val="auto"/>
          <w:sz w:val="24"/>
          <w:szCs w:val="24"/>
          <w:highlight w:val="none"/>
        </w:rPr>
        <w:sectPr>
          <w:footerReference r:id="rId33" w:type="default"/>
          <w:pgSz w:w="11906" w:h="16839"/>
          <w:pgMar w:top="1405" w:right="1308" w:bottom="1297" w:left="1425" w:header="0" w:footer="1069" w:gutter="0"/>
          <w:pgNumType w:fmt="decimal"/>
          <w:cols w:space="720" w:num="1"/>
        </w:sectPr>
      </w:pPr>
    </w:p>
    <w:p w14:paraId="21AB209D">
      <w:pPr>
        <w:spacing w:before="56" w:line="220" w:lineRule="auto"/>
        <w:ind w:left="6"/>
        <w:outlineLvl w:val="0"/>
        <w:rPr>
          <w:rFonts w:ascii="宋体" w:hAnsi="宋体" w:eastAsia="宋体" w:cs="宋体"/>
          <w:color w:val="auto"/>
          <w:sz w:val="28"/>
          <w:szCs w:val="28"/>
          <w:highlight w:val="none"/>
        </w:rPr>
      </w:pPr>
      <w:bookmarkStart w:id="83" w:name="_Toc13499"/>
      <w:r>
        <w:rPr>
          <w:rFonts w:ascii="宋体" w:hAnsi="宋体" w:eastAsia="宋体" w:cs="宋体"/>
          <w:b/>
          <w:bCs/>
          <w:color w:val="auto"/>
          <w:spacing w:val="-7"/>
          <w:sz w:val="28"/>
          <w:szCs w:val="28"/>
          <w:highlight w:val="none"/>
        </w:rPr>
        <w:t>2.</w:t>
      </w:r>
      <w:r>
        <w:rPr>
          <w:rFonts w:ascii="宋体" w:hAnsi="宋体" w:eastAsia="宋体" w:cs="宋体"/>
          <w:color w:val="auto"/>
          <w:spacing w:val="14"/>
          <w:sz w:val="28"/>
          <w:szCs w:val="28"/>
          <w:highlight w:val="none"/>
        </w:rPr>
        <w:t xml:space="preserve"> </w:t>
      </w:r>
      <w:r>
        <w:rPr>
          <w:rFonts w:ascii="宋体" w:hAnsi="宋体" w:eastAsia="宋体" w:cs="宋体"/>
          <w:b/>
          <w:bCs/>
          <w:color w:val="auto"/>
          <w:spacing w:val="-7"/>
          <w:sz w:val="28"/>
          <w:szCs w:val="28"/>
          <w:highlight w:val="none"/>
        </w:rPr>
        <w:t>招标文件</w:t>
      </w:r>
      <w:bookmarkEnd w:id="83"/>
    </w:p>
    <w:p w14:paraId="04E93C64">
      <w:pPr>
        <w:spacing w:before="203" w:line="219" w:lineRule="auto"/>
        <w:ind w:left="4"/>
        <w:outlineLvl w:val="1"/>
        <w:rPr>
          <w:rFonts w:ascii="宋体" w:hAnsi="宋体" w:eastAsia="宋体" w:cs="宋体"/>
          <w:color w:val="auto"/>
          <w:sz w:val="24"/>
          <w:szCs w:val="24"/>
          <w:highlight w:val="none"/>
        </w:rPr>
      </w:pPr>
      <w:bookmarkStart w:id="84" w:name="_Toc14715"/>
      <w:bookmarkStart w:id="85" w:name="_Toc31508"/>
      <w:r>
        <w:rPr>
          <w:rFonts w:ascii="宋体" w:hAnsi="宋体" w:eastAsia="宋体" w:cs="宋体"/>
          <w:b/>
          <w:bCs/>
          <w:color w:val="auto"/>
          <w:spacing w:val="-3"/>
          <w:sz w:val="24"/>
          <w:szCs w:val="24"/>
          <w:highlight w:val="none"/>
        </w:rPr>
        <w:t>2.1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招标文件的组成</w:t>
      </w:r>
      <w:bookmarkEnd w:id="84"/>
      <w:bookmarkEnd w:id="85"/>
    </w:p>
    <w:p w14:paraId="231521C8">
      <w:pPr>
        <w:spacing w:before="182" w:line="219"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本招标文件包括：</w:t>
      </w:r>
    </w:p>
    <w:p w14:paraId="594DD1DF">
      <w:pPr>
        <w:spacing w:before="183" w:line="218"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（1）招标公告（或投标邀请书</w:t>
      </w:r>
      <w:r>
        <w:rPr>
          <w:rFonts w:ascii="宋体" w:hAnsi="宋体" w:eastAsia="宋体" w:cs="宋体"/>
          <w:color w:val="auto"/>
          <w:spacing w:val="3"/>
          <w:sz w:val="24"/>
          <w:szCs w:val="24"/>
          <w:highlight w:val="none"/>
        </w:rPr>
        <w:t>）；</w:t>
      </w:r>
    </w:p>
    <w:p w14:paraId="0DF9593C">
      <w:pPr>
        <w:spacing w:before="182" w:line="220" w:lineRule="auto"/>
        <w:ind w:left="49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（2）投标人须知；</w:t>
      </w:r>
    </w:p>
    <w:p w14:paraId="28DA5929">
      <w:pPr>
        <w:spacing w:before="182" w:line="219" w:lineRule="auto"/>
        <w:ind w:left="49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（3）评标办法；</w:t>
      </w:r>
    </w:p>
    <w:p w14:paraId="14604A07">
      <w:pPr>
        <w:spacing w:before="181"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（4）合同条款及格式；</w:t>
      </w:r>
    </w:p>
    <w:p w14:paraId="223A0B2D">
      <w:pPr>
        <w:spacing w:before="183" w:line="221" w:lineRule="auto"/>
        <w:ind w:left="49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（5）委托人要求；</w:t>
      </w:r>
    </w:p>
    <w:p w14:paraId="2205083B">
      <w:pPr>
        <w:spacing w:before="178" w:line="220" w:lineRule="auto"/>
        <w:ind w:left="49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（6）图纸和资料；</w:t>
      </w:r>
    </w:p>
    <w:p w14:paraId="706DDD99">
      <w:pPr>
        <w:spacing w:before="183" w:line="219" w:lineRule="auto"/>
        <w:ind w:left="49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（7）投标文件格式；</w:t>
      </w:r>
    </w:p>
    <w:p w14:paraId="754EFE33">
      <w:pPr>
        <w:spacing w:before="179"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（8）投标人须知前附表规定的其他资料。</w:t>
      </w:r>
    </w:p>
    <w:p w14:paraId="05F8D101">
      <w:pPr>
        <w:spacing w:before="185" w:line="359" w:lineRule="auto"/>
        <w:ind w:left="2" w:right="2"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根据本章第</w:t>
      </w:r>
      <w:r>
        <w:rPr>
          <w:rFonts w:ascii="宋体" w:hAnsi="宋体" w:eastAsia="宋体" w:cs="宋体"/>
          <w:color w:val="auto"/>
          <w:spacing w:val="-27"/>
          <w:sz w:val="24"/>
          <w:szCs w:val="24"/>
          <w:highlight w:val="none"/>
        </w:rPr>
        <w:t xml:space="preserve"> </w:t>
      </w:r>
      <w:r>
        <w:rPr>
          <w:rFonts w:ascii="宋体" w:hAnsi="宋体" w:eastAsia="宋体" w:cs="宋体"/>
          <w:color w:val="auto"/>
          <w:spacing w:val="-1"/>
          <w:sz w:val="24"/>
          <w:szCs w:val="24"/>
          <w:highlight w:val="none"/>
        </w:rPr>
        <w:t>1.10</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款、第</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2.2</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款和第</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2.3</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款对招标文件所作的澄清、修改，构成招</w:t>
      </w:r>
      <w:r>
        <w:rPr>
          <w:rFonts w:ascii="宋体" w:hAnsi="宋体" w:eastAsia="宋体" w:cs="宋体"/>
          <w:color w:val="auto"/>
          <w:spacing w:val="-2"/>
          <w:sz w:val="24"/>
          <w:szCs w:val="24"/>
          <w:highlight w:val="none"/>
        </w:rPr>
        <w:t>标文件的组成部分。</w:t>
      </w:r>
    </w:p>
    <w:p w14:paraId="33280B31">
      <w:pPr>
        <w:spacing w:line="359" w:lineRule="auto"/>
        <w:ind w:left="22" w:right="2" w:firstLine="47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当招标文件、招标文件的澄清或修改等在同一内容的表述上</w:t>
      </w:r>
      <w:r>
        <w:rPr>
          <w:rFonts w:ascii="宋体" w:hAnsi="宋体" w:eastAsia="宋体" w:cs="宋体"/>
          <w:color w:val="auto"/>
          <w:spacing w:val="4"/>
          <w:sz w:val="24"/>
          <w:szCs w:val="24"/>
          <w:highlight w:val="none"/>
        </w:rPr>
        <w:t>不一致时，以最后发</w:t>
      </w:r>
      <w:r>
        <w:rPr>
          <w:rFonts w:ascii="宋体" w:hAnsi="宋体" w:eastAsia="宋体" w:cs="宋体"/>
          <w:color w:val="auto"/>
          <w:spacing w:val="-4"/>
          <w:sz w:val="24"/>
          <w:szCs w:val="24"/>
          <w:highlight w:val="none"/>
        </w:rPr>
        <w:t>出的书面文件为准。</w:t>
      </w:r>
    </w:p>
    <w:p w14:paraId="36FD6C13">
      <w:pPr>
        <w:spacing w:line="219" w:lineRule="auto"/>
        <w:ind w:left="4"/>
        <w:outlineLvl w:val="1"/>
        <w:rPr>
          <w:rFonts w:ascii="宋体" w:hAnsi="宋体" w:eastAsia="宋体" w:cs="宋体"/>
          <w:color w:val="auto"/>
          <w:sz w:val="24"/>
          <w:szCs w:val="24"/>
          <w:highlight w:val="none"/>
        </w:rPr>
      </w:pPr>
      <w:bookmarkStart w:id="86" w:name="_Toc2261"/>
      <w:bookmarkStart w:id="87" w:name="_Toc24935"/>
      <w:r>
        <w:rPr>
          <w:rFonts w:ascii="宋体" w:hAnsi="宋体" w:eastAsia="宋体" w:cs="宋体"/>
          <w:b/>
          <w:bCs/>
          <w:color w:val="auto"/>
          <w:spacing w:val="-3"/>
          <w:sz w:val="24"/>
          <w:szCs w:val="24"/>
          <w:highlight w:val="none"/>
        </w:rPr>
        <w:t>2.2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招标文件的澄清</w:t>
      </w:r>
      <w:bookmarkEnd w:id="86"/>
      <w:bookmarkEnd w:id="87"/>
    </w:p>
    <w:p w14:paraId="6B4C112E">
      <w:pPr>
        <w:spacing w:before="181" w:line="313" w:lineRule="auto"/>
        <w:ind w:left="1" w:right="2" w:firstLine="48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2.2.1 投标人应仔细阅读和检查招标文件的全部内容</w:t>
      </w:r>
      <w:r>
        <w:rPr>
          <w:rFonts w:ascii="宋体" w:hAnsi="宋体" w:eastAsia="宋体" w:cs="宋体"/>
          <w:color w:val="auto"/>
          <w:spacing w:val="4"/>
          <w:sz w:val="24"/>
          <w:szCs w:val="24"/>
          <w:highlight w:val="none"/>
        </w:rPr>
        <w:t>。如发现缺页或附件不全，</w:t>
      </w:r>
      <w:r>
        <w:rPr>
          <w:rFonts w:ascii="宋体" w:hAnsi="宋体" w:eastAsia="宋体" w:cs="宋体"/>
          <w:color w:val="auto"/>
          <w:spacing w:val="5"/>
          <w:sz w:val="24"/>
          <w:szCs w:val="24"/>
          <w:highlight w:val="none"/>
        </w:rPr>
        <w:t>应及时向招标人提出，以便补齐。如有疑问，应按投标人须知前附表规定的</w:t>
      </w:r>
      <w:r>
        <w:rPr>
          <w:rFonts w:ascii="宋体" w:hAnsi="宋体" w:eastAsia="宋体" w:cs="宋体"/>
          <w:color w:val="auto"/>
          <w:spacing w:val="4"/>
          <w:sz w:val="24"/>
          <w:szCs w:val="24"/>
          <w:highlight w:val="none"/>
        </w:rPr>
        <w:t>时间和形</w:t>
      </w:r>
      <w:r>
        <w:rPr>
          <w:rFonts w:ascii="宋体" w:hAnsi="宋体" w:eastAsia="宋体" w:cs="宋体"/>
          <w:color w:val="auto"/>
          <w:spacing w:val="-1"/>
          <w:sz w:val="24"/>
          <w:szCs w:val="24"/>
          <w:highlight w:val="none"/>
        </w:rPr>
        <w:t>式将提出的问题送达招标人，要求招标人对招标文件予以澄清。</w:t>
      </w:r>
    </w:p>
    <w:p w14:paraId="154F9F1C">
      <w:pPr>
        <w:spacing w:before="182" w:line="312" w:lineRule="auto"/>
        <w:ind w:firstLine="48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2.2.2 招标文件的澄清以投标人须知前附表规定的形式发给</w:t>
      </w:r>
      <w:r>
        <w:rPr>
          <w:rFonts w:ascii="宋体" w:hAnsi="宋体" w:eastAsia="宋体" w:cs="宋体"/>
          <w:color w:val="auto"/>
          <w:spacing w:val="4"/>
          <w:sz w:val="24"/>
          <w:szCs w:val="24"/>
          <w:highlight w:val="none"/>
        </w:rPr>
        <w:t>所有登记的投标人，但不指明澄清问题的来源。澄清发出的时间距本章第</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4.2.1</w:t>
      </w:r>
      <w:r>
        <w:rPr>
          <w:rFonts w:ascii="宋体" w:hAnsi="宋体" w:eastAsia="宋体" w:cs="宋体"/>
          <w:color w:val="auto"/>
          <w:spacing w:val="-40"/>
          <w:sz w:val="24"/>
          <w:szCs w:val="24"/>
          <w:highlight w:val="none"/>
        </w:rPr>
        <w:t xml:space="preserve"> </w:t>
      </w:r>
      <w:r>
        <w:rPr>
          <w:rFonts w:ascii="宋体" w:hAnsi="宋体" w:eastAsia="宋体" w:cs="宋体"/>
          <w:color w:val="auto"/>
          <w:spacing w:val="4"/>
          <w:sz w:val="24"/>
          <w:szCs w:val="24"/>
          <w:highlight w:val="none"/>
        </w:rPr>
        <w:t>项规定的投标截</w:t>
      </w:r>
      <w:r>
        <w:rPr>
          <w:rFonts w:ascii="宋体" w:hAnsi="宋体" w:eastAsia="宋体" w:cs="宋体"/>
          <w:color w:val="auto"/>
          <w:spacing w:val="3"/>
          <w:sz w:val="24"/>
          <w:szCs w:val="24"/>
          <w:highlight w:val="none"/>
        </w:rPr>
        <w:t>止时间不</w:t>
      </w:r>
      <w:r>
        <w:rPr>
          <w:rFonts w:ascii="宋体" w:hAnsi="宋体" w:eastAsia="宋体" w:cs="宋体"/>
          <w:color w:val="auto"/>
          <w:spacing w:val="-3"/>
          <w:sz w:val="24"/>
          <w:szCs w:val="24"/>
          <w:highlight w:val="none"/>
        </w:rPr>
        <w:t>足</w:t>
      </w:r>
      <w:r>
        <w:rPr>
          <w:rFonts w:ascii="宋体" w:hAnsi="宋体" w:eastAsia="宋体" w:cs="宋体"/>
          <w:color w:val="auto"/>
          <w:spacing w:val="-24"/>
          <w:sz w:val="24"/>
          <w:szCs w:val="24"/>
          <w:highlight w:val="none"/>
        </w:rPr>
        <w:t xml:space="preserve"> </w:t>
      </w:r>
      <w:r>
        <w:rPr>
          <w:rFonts w:ascii="宋体" w:hAnsi="宋体" w:eastAsia="宋体" w:cs="宋体"/>
          <w:color w:val="auto"/>
          <w:spacing w:val="-3"/>
          <w:sz w:val="24"/>
          <w:szCs w:val="24"/>
          <w:highlight w:val="none"/>
        </w:rPr>
        <w:t>15 日，且澄清内容可能影响投标文件编制的，将相应延长投标截止时间。</w:t>
      </w:r>
    </w:p>
    <w:p w14:paraId="75A5BCFB">
      <w:pPr>
        <w:spacing w:before="183" w:line="289" w:lineRule="auto"/>
        <w:ind w:left="1" w:right="2" w:firstLine="48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2.2.3 投标人应注意及时浏览网上发出的澄清，因投</w:t>
      </w:r>
      <w:r>
        <w:rPr>
          <w:rFonts w:ascii="宋体" w:hAnsi="宋体" w:eastAsia="宋体" w:cs="宋体"/>
          <w:color w:val="auto"/>
          <w:spacing w:val="4"/>
          <w:sz w:val="24"/>
          <w:szCs w:val="24"/>
          <w:highlight w:val="none"/>
        </w:rPr>
        <w:t>标人自身原因未及时获知澄</w:t>
      </w:r>
      <w:r>
        <w:rPr>
          <w:rFonts w:ascii="宋体" w:hAnsi="宋体" w:eastAsia="宋体" w:cs="宋体"/>
          <w:color w:val="auto"/>
          <w:spacing w:val="-1"/>
          <w:sz w:val="24"/>
          <w:szCs w:val="24"/>
          <w:highlight w:val="none"/>
        </w:rPr>
        <w:t>清内容而导致的任何后果将由投标人自行承担。</w:t>
      </w:r>
    </w:p>
    <w:p w14:paraId="0B6F27DF">
      <w:pPr>
        <w:spacing w:before="182" w:line="289" w:lineRule="auto"/>
        <w:ind w:left="1" w:right="2" w:firstLine="48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2.2.4 除非招标人认为确有必要答复，否则，招标人</w:t>
      </w:r>
      <w:r>
        <w:rPr>
          <w:rFonts w:ascii="宋体" w:hAnsi="宋体" w:eastAsia="宋体" w:cs="宋体"/>
          <w:color w:val="auto"/>
          <w:spacing w:val="4"/>
          <w:sz w:val="24"/>
          <w:szCs w:val="24"/>
          <w:highlight w:val="none"/>
        </w:rPr>
        <w:t>有权拒绝回复投标人在本章</w:t>
      </w:r>
      <w:r>
        <w:rPr>
          <w:rFonts w:ascii="宋体" w:hAnsi="宋体" w:eastAsia="宋体" w:cs="宋体"/>
          <w:color w:val="auto"/>
          <w:spacing w:val="-2"/>
          <w:sz w:val="24"/>
          <w:szCs w:val="24"/>
          <w:highlight w:val="none"/>
        </w:rPr>
        <w:t>第</w:t>
      </w:r>
      <w:r>
        <w:rPr>
          <w:rFonts w:ascii="宋体" w:hAnsi="宋体" w:eastAsia="宋体" w:cs="宋体"/>
          <w:color w:val="auto"/>
          <w:spacing w:val="-42"/>
          <w:sz w:val="24"/>
          <w:szCs w:val="24"/>
          <w:highlight w:val="none"/>
        </w:rPr>
        <w:t xml:space="preserve"> </w:t>
      </w:r>
      <w:r>
        <w:rPr>
          <w:rFonts w:ascii="宋体" w:hAnsi="宋体" w:eastAsia="宋体" w:cs="宋体"/>
          <w:color w:val="auto"/>
          <w:spacing w:val="-2"/>
          <w:sz w:val="24"/>
          <w:szCs w:val="24"/>
          <w:highlight w:val="none"/>
        </w:rPr>
        <w:t>2.2.1</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项规定的时间后的任何澄清要求。</w:t>
      </w:r>
    </w:p>
    <w:p w14:paraId="0E690818">
      <w:pPr>
        <w:spacing w:before="183" w:line="219" w:lineRule="auto"/>
        <w:ind w:left="4"/>
        <w:outlineLvl w:val="1"/>
        <w:rPr>
          <w:rFonts w:ascii="宋体" w:hAnsi="宋体" w:eastAsia="宋体" w:cs="宋体"/>
          <w:color w:val="auto"/>
          <w:sz w:val="24"/>
          <w:szCs w:val="24"/>
          <w:highlight w:val="none"/>
        </w:rPr>
      </w:pPr>
      <w:bookmarkStart w:id="88" w:name="_Toc30502"/>
      <w:bookmarkStart w:id="89" w:name="_Toc11404"/>
      <w:r>
        <w:rPr>
          <w:rFonts w:ascii="宋体" w:hAnsi="宋体" w:eastAsia="宋体" w:cs="宋体"/>
          <w:b/>
          <w:bCs/>
          <w:color w:val="auto"/>
          <w:spacing w:val="-3"/>
          <w:sz w:val="24"/>
          <w:szCs w:val="24"/>
          <w:highlight w:val="none"/>
        </w:rPr>
        <w:t>2.3</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招标文件的修改</w:t>
      </w:r>
      <w:bookmarkEnd w:id="88"/>
      <w:bookmarkEnd w:id="89"/>
    </w:p>
    <w:p w14:paraId="509237AB">
      <w:pPr>
        <w:spacing w:before="181" w:line="358" w:lineRule="auto"/>
        <w:ind w:left="1" w:right="2" w:firstLine="482"/>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2.3.1 招标人以投标人须知前附表规定的形式修改招</w:t>
      </w:r>
      <w:r>
        <w:rPr>
          <w:rFonts w:ascii="宋体" w:hAnsi="宋体" w:eastAsia="宋体" w:cs="宋体"/>
          <w:color w:val="auto"/>
          <w:spacing w:val="4"/>
          <w:sz w:val="24"/>
          <w:szCs w:val="24"/>
          <w:highlight w:val="none"/>
        </w:rPr>
        <w:t>标文件，并通知所有已登记</w:t>
      </w:r>
      <w:r>
        <w:rPr>
          <w:rFonts w:ascii="宋体" w:hAnsi="宋体" w:eastAsia="宋体" w:cs="宋体"/>
          <w:color w:val="auto"/>
          <w:sz w:val="24"/>
          <w:szCs w:val="24"/>
          <w:highlight w:val="none"/>
        </w:rPr>
        <w:t>的投标人。修改招标文件的时间距本章第4.2.1</w:t>
      </w:r>
      <w:r>
        <w:rPr>
          <w:rFonts w:ascii="宋体" w:hAnsi="宋体" w:eastAsia="宋体" w:cs="宋体"/>
          <w:color w:val="auto"/>
          <w:spacing w:val="-26"/>
          <w:sz w:val="24"/>
          <w:szCs w:val="24"/>
          <w:highlight w:val="none"/>
        </w:rPr>
        <w:t xml:space="preserve"> </w:t>
      </w:r>
      <w:r>
        <w:rPr>
          <w:rFonts w:ascii="宋体" w:hAnsi="宋体" w:eastAsia="宋体" w:cs="宋体"/>
          <w:color w:val="auto"/>
          <w:sz w:val="24"/>
          <w:szCs w:val="24"/>
          <w:highlight w:val="none"/>
        </w:rPr>
        <w:t>项规定的投标截止时间不足</w:t>
      </w:r>
      <w:r>
        <w:rPr>
          <w:rFonts w:ascii="宋体" w:hAnsi="宋体" w:eastAsia="宋体" w:cs="宋体"/>
          <w:color w:val="auto"/>
          <w:spacing w:val="-33"/>
          <w:sz w:val="24"/>
          <w:szCs w:val="24"/>
          <w:highlight w:val="none"/>
        </w:rPr>
        <w:t xml:space="preserve"> </w:t>
      </w:r>
      <w:r>
        <w:rPr>
          <w:rFonts w:ascii="宋体" w:hAnsi="宋体" w:eastAsia="宋体" w:cs="宋体"/>
          <w:color w:val="auto"/>
          <w:sz w:val="24"/>
          <w:szCs w:val="24"/>
          <w:highlight w:val="none"/>
        </w:rPr>
        <w:t>15 日，且</w:t>
      </w:r>
      <w:r>
        <w:rPr>
          <w:rFonts w:ascii="宋体" w:hAnsi="宋体" w:eastAsia="宋体" w:cs="宋体"/>
          <w:color w:val="auto"/>
          <w:spacing w:val="-1"/>
          <w:sz w:val="24"/>
          <w:szCs w:val="24"/>
          <w:highlight w:val="none"/>
        </w:rPr>
        <w:t>修改内容可能影响投标文件编制的，将相应延长投标截止时间。</w:t>
      </w:r>
    </w:p>
    <w:p w14:paraId="44E783B9">
      <w:pPr>
        <w:spacing w:line="358" w:lineRule="auto"/>
        <w:rPr>
          <w:rFonts w:ascii="宋体" w:hAnsi="宋体" w:eastAsia="宋体" w:cs="宋体"/>
          <w:color w:val="auto"/>
          <w:sz w:val="24"/>
          <w:szCs w:val="24"/>
          <w:highlight w:val="none"/>
        </w:rPr>
        <w:sectPr>
          <w:footerReference r:id="rId34" w:type="default"/>
          <w:pgSz w:w="11906" w:h="16839"/>
          <w:pgMar w:top="1402" w:right="1415" w:bottom="1297" w:left="1423" w:header="0" w:footer="1067" w:gutter="0"/>
          <w:pgNumType w:fmt="decimal"/>
          <w:cols w:space="720" w:num="1"/>
        </w:sectPr>
      </w:pPr>
    </w:p>
    <w:p w14:paraId="5732A3D0">
      <w:pPr>
        <w:spacing w:before="48" w:line="359" w:lineRule="auto"/>
        <w:ind w:left="7" w:firstLine="47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2.3.2 投标人应注意及时浏览网上发出的修改，因投</w:t>
      </w:r>
      <w:r>
        <w:rPr>
          <w:rFonts w:ascii="宋体" w:hAnsi="宋体" w:eastAsia="宋体" w:cs="宋体"/>
          <w:color w:val="auto"/>
          <w:spacing w:val="4"/>
          <w:sz w:val="24"/>
          <w:szCs w:val="24"/>
          <w:highlight w:val="none"/>
        </w:rPr>
        <w:t>标人自身原因未及时获知修</w:t>
      </w:r>
      <w:r>
        <w:rPr>
          <w:rFonts w:ascii="宋体" w:hAnsi="宋体" w:eastAsia="宋体" w:cs="宋体"/>
          <w:color w:val="auto"/>
          <w:spacing w:val="-1"/>
          <w:sz w:val="24"/>
          <w:szCs w:val="24"/>
          <w:highlight w:val="none"/>
        </w:rPr>
        <w:t>改内容而导致的任何后果将由投标人自行承担。</w:t>
      </w:r>
    </w:p>
    <w:p w14:paraId="3747A3DC">
      <w:pPr>
        <w:spacing w:line="219" w:lineRule="auto"/>
        <w:ind w:left="1"/>
        <w:outlineLvl w:val="1"/>
        <w:rPr>
          <w:rFonts w:ascii="宋体" w:hAnsi="宋体" w:eastAsia="宋体" w:cs="宋体"/>
          <w:color w:val="auto"/>
          <w:sz w:val="24"/>
          <w:szCs w:val="24"/>
          <w:highlight w:val="none"/>
        </w:rPr>
      </w:pPr>
      <w:bookmarkStart w:id="90" w:name="_Toc5237"/>
      <w:bookmarkStart w:id="91" w:name="_Toc30602"/>
      <w:r>
        <w:rPr>
          <w:rFonts w:ascii="宋体" w:hAnsi="宋体" w:eastAsia="宋体" w:cs="宋体"/>
          <w:b/>
          <w:bCs/>
          <w:color w:val="auto"/>
          <w:spacing w:val="-3"/>
          <w:sz w:val="24"/>
          <w:szCs w:val="24"/>
          <w:highlight w:val="none"/>
        </w:rPr>
        <w:t>2.4</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招标文件的异议</w:t>
      </w:r>
      <w:bookmarkEnd w:id="90"/>
      <w:bookmarkEnd w:id="91"/>
    </w:p>
    <w:p w14:paraId="4A45E351">
      <w:pPr>
        <w:spacing w:before="179" w:line="361" w:lineRule="auto"/>
        <w:ind w:firstLine="481"/>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投标人或其他利害关系人对招标文件有异议的，应当在投标截止时间</w:t>
      </w:r>
      <w:r>
        <w:rPr>
          <w:rFonts w:ascii="宋体" w:hAnsi="宋体" w:eastAsia="宋体" w:cs="宋体"/>
          <w:color w:val="auto"/>
          <w:spacing w:val="-25"/>
          <w:sz w:val="24"/>
          <w:szCs w:val="24"/>
          <w:highlight w:val="none"/>
        </w:rPr>
        <w:t xml:space="preserve"> </w:t>
      </w:r>
      <w:r>
        <w:rPr>
          <w:rFonts w:ascii="宋体" w:hAnsi="宋体" w:eastAsia="宋体" w:cs="宋体"/>
          <w:color w:val="auto"/>
          <w:spacing w:val="-1"/>
          <w:sz w:val="24"/>
          <w:szCs w:val="24"/>
          <w:highlight w:val="none"/>
        </w:rPr>
        <w:t>10 日前以书</w:t>
      </w:r>
      <w:r>
        <w:rPr>
          <w:rFonts w:ascii="宋体" w:hAnsi="宋体" w:eastAsia="宋体" w:cs="宋体"/>
          <w:color w:val="auto"/>
          <w:spacing w:val="3"/>
          <w:sz w:val="24"/>
          <w:szCs w:val="24"/>
          <w:highlight w:val="none"/>
        </w:rPr>
        <w:t>面形式提出。招标人将在收到异议之日起</w:t>
      </w:r>
      <w:r>
        <w:rPr>
          <w:rFonts w:ascii="宋体" w:hAnsi="宋体" w:eastAsia="宋体" w:cs="宋体"/>
          <w:color w:val="auto"/>
          <w:spacing w:val="-41"/>
          <w:sz w:val="24"/>
          <w:szCs w:val="24"/>
          <w:highlight w:val="none"/>
        </w:rPr>
        <w:t xml:space="preserve"> </w:t>
      </w:r>
      <w:r>
        <w:rPr>
          <w:rFonts w:ascii="宋体" w:hAnsi="宋体" w:eastAsia="宋体" w:cs="宋体"/>
          <w:color w:val="auto"/>
          <w:spacing w:val="3"/>
          <w:sz w:val="24"/>
          <w:szCs w:val="24"/>
          <w:highlight w:val="none"/>
        </w:rPr>
        <w:t>3 日内作出答</w:t>
      </w:r>
      <w:r>
        <w:rPr>
          <w:rFonts w:ascii="宋体" w:hAnsi="宋体" w:eastAsia="宋体" w:cs="宋体"/>
          <w:color w:val="auto"/>
          <w:spacing w:val="2"/>
          <w:sz w:val="24"/>
          <w:szCs w:val="24"/>
          <w:highlight w:val="none"/>
        </w:rPr>
        <w:t>复；作出答复前，将暂停招标</w:t>
      </w:r>
      <w:r>
        <w:rPr>
          <w:rFonts w:ascii="宋体" w:hAnsi="宋体" w:eastAsia="宋体" w:cs="宋体"/>
          <w:color w:val="auto"/>
          <w:spacing w:val="-3"/>
          <w:sz w:val="24"/>
          <w:szCs w:val="24"/>
          <w:highlight w:val="none"/>
        </w:rPr>
        <w:t>投标活动。</w:t>
      </w:r>
    </w:p>
    <w:p w14:paraId="6C6814B5">
      <w:pPr>
        <w:spacing w:line="220" w:lineRule="auto"/>
        <w:ind w:left="6"/>
        <w:outlineLvl w:val="0"/>
        <w:rPr>
          <w:rFonts w:ascii="宋体" w:hAnsi="宋体" w:eastAsia="宋体" w:cs="宋体"/>
          <w:color w:val="auto"/>
          <w:sz w:val="28"/>
          <w:szCs w:val="28"/>
          <w:highlight w:val="none"/>
        </w:rPr>
      </w:pPr>
      <w:bookmarkStart w:id="92" w:name="_Toc13062"/>
      <w:r>
        <w:rPr>
          <w:rFonts w:ascii="宋体" w:hAnsi="宋体" w:eastAsia="宋体" w:cs="宋体"/>
          <w:b/>
          <w:bCs/>
          <w:color w:val="auto"/>
          <w:spacing w:val="-8"/>
          <w:sz w:val="28"/>
          <w:szCs w:val="28"/>
          <w:highlight w:val="none"/>
        </w:rPr>
        <w:t>3.</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8"/>
          <w:sz w:val="28"/>
          <w:szCs w:val="28"/>
          <w:highlight w:val="none"/>
        </w:rPr>
        <w:t>投标文件</w:t>
      </w:r>
      <w:bookmarkEnd w:id="92"/>
    </w:p>
    <w:p w14:paraId="7AB88A03">
      <w:pPr>
        <w:spacing w:before="205" w:line="219" w:lineRule="auto"/>
        <w:ind w:left="3"/>
        <w:outlineLvl w:val="1"/>
        <w:rPr>
          <w:rFonts w:ascii="宋体" w:hAnsi="宋体" w:eastAsia="宋体" w:cs="宋体"/>
          <w:color w:val="auto"/>
          <w:sz w:val="24"/>
          <w:szCs w:val="24"/>
          <w:highlight w:val="none"/>
        </w:rPr>
      </w:pPr>
      <w:bookmarkStart w:id="93" w:name="_Toc11914"/>
      <w:bookmarkStart w:id="94" w:name="_Toc26778"/>
      <w:r>
        <w:rPr>
          <w:rFonts w:ascii="宋体" w:hAnsi="宋体" w:eastAsia="宋体" w:cs="宋体"/>
          <w:b/>
          <w:bCs/>
          <w:color w:val="auto"/>
          <w:spacing w:val="-3"/>
          <w:sz w:val="24"/>
          <w:szCs w:val="24"/>
          <w:highlight w:val="none"/>
        </w:rPr>
        <w:t>3.1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投标文件的组成</w:t>
      </w:r>
      <w:bookmarkEnd w:id="93"/>
      <w:bookmarkEnd w:id="94"/>
    </w:p>
    <w:p w14:paraId="30A53DDE">
      <w:pPr>
        <w:spacing w:before="180"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3.1.1 投标文件应采用双信封形式，包括下列内容：</w:t>
      </w:r>
    </w:p>
    <w:p w14:paraId="7C081402">
      <w:pPr>
        <w:spacing w:before="184" w:line="219"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第一个信封（商务及技术文件</w:t>
      </w:r>
      <w:r>
        <w:rPr>
          <w:rFonts w:ascii="宋体" w:hAnsi="宋体" w:eastAsia="宋体" w:cs="宋体"/>
          <w:color w:val="auto"/>
          <w:spacing w:val="1"/>
          <w:sz w:val="24"/>
          <w:szCs w:val="24"/>
          <w:highlight w:val="none"/>
        </w:rPr>
        <w:t>）：</w:t>
      </w:r>
    </w:p>
    <w:p w14:paraId="69B6809E">
      <w:pPr>
        <w:spacing w:before="181" w:line="220" w:lineRule="auto"/>
        <w:ind w:left="49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（1）投标函；</w:t>
      </w:r>
    </w:p>
    <w:p w14:paraId="311E75F8">
      <w:pPr>
        <w:spacing w:before="181" w:line="219" w:lineRule="auto"/>
        <w:ind w:left="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（2）授权委托书或法定代表人身份证明；</w:t>
      </w:r>
    </w:p>
    <w:p w14:paraId="2F33580A">
      <w:pPr>
        <w:spacing w:before="181" w:line="219" w:lineRule="auto"/>
        <w:ind w:left="49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（3）联合体协议书；</w:t>
      </w:r>
    </w:p>
    <w:p w14:paraId="16BE061F">
      <w:pPr>
        <w:spacing w:before="184" w:line="220" w:lineRule="auto"/>
        <w:ind w:left="49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（4）投标保证金；</w:t>
      </w:r>
    </w:p>
    <w:p w14:paraId="73336754">
      <w:pPr>
        <w:spacing w:before="182" w:line="219" w:lineRule="auto"/>
        <w:ind w:left="49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（5）资格审查资料；</w:t>
      </w:r>
    </w:p>
    <w:p w14:paraId="0D409725">
      <w:pPr>
        <w:spacing w:before="180" w:line="219" w:lineRule="auto"/>
        <w:ind w:left="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（6）投标人须知前附表规定的其他资料；</w:t>
      </w:r>
    </w:p>
    <w:p w14:paraId="7246395D">
      <w:pPr>
        <w:spacing w:before="181" w:line="219" w:lineRule="auto"/>
        <w:ind w:left="49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（7）技术建议书。</w:t>
      </w:r>
    </w:p>
    <w:p w14:paraId="4B88E717">
      <w:pPr>
        <w:spacing w:before="184" w:line="218"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第二个信封（报价文件</w:t>
      </w:r>
      <w:r>
        <w:rPr>
          <w:rFonts w:ascii="宋体" w:hAnsi="宋体" w:eastAsia="宋体" w:cs="宋体"/>
          <w:color w:val="auto"/>
          <w:sz w:val="24"/>
          <w:szCs w:val="24"/>
          <w:highlight w:val="none"/>
        </w:rPr>
        <w:t>）：</w:t>
      </w:r>
    </w:p>
    <w:p w14:paraId="378A3E57">
      <w:pPr>
        <w:spacing w:before="184" w:line="220" w:lineRule="auto"/>
        <w:ind w:left="49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（1）投标函；</w:t>
      </w:r>
    </w:p>
    <w:p w14:paraId="4038A035">
      <w:pPr>
        <w:spacing w:before="180" w:line="219" w:lineRule="auto"/>
        <w:ind w:left="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（2）监理服务费用清单。</w:t>
      </w:r>
    </w:p>
    <w:p w14:paraId="1BE05BF8">
      <w:pPr>
        <w:spacing w:before="183" w:line="359" w:lineRule="auto"/>
        <w:ind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投标人在评标过程中作出的符合法律法规和招标文件规定的澄清确认，构成投标</w:t>
      </w:r>
      <w:r>
        <w:rPr>
          <w:rFonts w:ascii="宋体" w:hAnsi="宋体" w:eastAsia="宋体" w:cs="宋体"/>
          <w:color w:val="auto"/>
          <w:spacing w:val="-2"/>
          <w:sz w:val="24"/>
          <w:szCs w:val="24"/>
          <w:highlight w:val="none"/>
        </w:rPr>
        <w:t>文件的组成部分。</w:t>
      </w:r>
    </w:p>
    <w:p w14:paraId="233C8982">
      <w:pPr>
        <w:spacing w:before="1" w:line="288" w:lineRule="auto"/>
        <w:ind w:left="1" w:right="10"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3.1.2 投标人须知前附表规定不接受联合体投标的，或投标人没有组成联合体的，</w:t>
      </w:r>
      <w:r>
        <w:rPr>
          <w:rFonts w:ascii="宋体" w:hAnsi="宋体" w:eastAsia="宋体" w:cs="宋体"/>
          <w:color w:val="auto"/>
          <w:spacing w:val="-3"/>
          <w:sz w:val="24"/>
          <w:szCs w:val="24"/>
          <w:highlight w:val="none"/>
        </w:rPr>
        <w:t>投标文件不包括本章第</w:t>
      </w:r>
      <w:r>
        <w:rPr>
          <w:rFonts w:ascii="宋体" w:hAnsi="宋体" w:eastAsia="宋体" w:cs="宋体"/>
          <w:color w:val="auto"/>
          <w:spacing w:val="-42"/>
          <w:sz w:val="24"/>
          <w:szCs w:val="24"/>
          <w:highlight w:val="none"/>
        </w:rPr>
        <w:t xml:space="preserve"> </w:t>
      </w:r>
      <w:r>
        <w:rPr>
          <w:rFonts w:ascii="宋体" w:hAnsi="宋体" w:eastAsia="宋体" w:cs="宋体"/>
          <w:color w:val="auto"/>
          <w:spacing w:val="-3"/>
          <w:sz w:val="24"/>
          <w:szCs w:val="24"/>
          <w:highlight w:val="none"/>
        </w:rPr>
        <w:t>3.1.1（3）</w:t>
      </w:r>
      <w:r>
        <w:rPr>
          <w:rFonts w:ascii="宋体" w:hAnsi="宋体" w:eastAsia="宋体" w:cs="宋体"/>
          <w:color w:val="auto"/>
          <w:spacing w:val="-65"/>
          <w:sz w:val="24"/>
          <w:szCs w:val="24"/>
          <w:highlight w:val="none"/>
        </w:rPr>
        <w:t xml:space="preserve"> </w:t>
      </w:r>
      <w:r>
        <w:rPr>
          <w:rFonts w:ascii="宋体" w:hAnsi="宋体" w:eastAsia="宋体" w:cs="宋体"/>
          <w:color w:val="auto"/>
          <w:spacing w:val="-3"/>
          <w:sz w:val="24"/>
          <w:szCs w:val="24"/>
          <w:highlight w:val="none"/>
        </w:rPr>
        <w:t>目所指的联合体协议书。</w:t>
      </w:r>
    </w:p>
    <w:p w14:paraId="294A1C10">
      <w:pPr>
        <w:spacing w:before="185" w:line="289" w:lineRule="auto"/>
        <w:ind w:left="10" w:firstLine="473"/>
        <w:rPr>
          <w:rFonts w:ascii="宋体" w:hAnsi="宋体" w:eastAsia="宋体" w:cs="宋体"/>
          <w:color w:val="auto"/>
          <w:sz w:val="24"/>
          <w:szCs w:val="24"/>
          <w:highlight w:val="none"/>
        </w:rPr>
      </w:pPr>
      <w:r>
        <w:rPr>
          <w:rFonts w:ascii="宋体" w:hAnsi="宋体" w:eastAsia="宋体" w:cs="宋体"/>
          <w:color w:val="auto"/>
          <w:sz w:val="24"/>
          <w:szCs w:val="24"/>
          <w:highlight w:val="none"/>
        </w:rPr>
        <w:t>3.1.3 投标人须知前附表未要求提交投标保证</w:t>
      </w:r>
      <w:r>
        <w:rPr>
          <w:rFonts w:ascii="宋体" w:hAnsi="宋体" w:eastAsia="宋体" w:cs="宋体"/>
          <w:color w:val="auto"/>
          <w:spacing w:val="-1"/>
          <w:sz w:val="24"/>
          <w:szCs w:val="24"/>
          <w:highlight w:val="none"/>
        </w:rPr>
        <w:t>金的，投标文件不包括本章第</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3.1.1</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（4）</w:t>
      </w:r>
      <w:r>
        <w:rPr>
          <w:rFonts w:ascii="宋体" w:hAnsi="宋体" w:eastAsia="宋体" w:cs="宋体"/>
          <w:color w:val="auto"/>
          <w:spacing w:val="-64"/>
          <w:sz w:val="24"/>
          <w:szCs w:val="24"/>
          <w:highlight w:val="none"/>
        </w:rPr>
        <w:t xml:space="preserve"> </w:t>
      </w:r>
      <w:r>
        <w:rPr>
          <w:rFonts w:ascii="宋体" w:hAnsi="宋体" w:eastAsia="宋体" w:cs="宋体"/>
          <w:color w:val="auto"/>
          <w:spacing w:val="-6"/>
          <w:sz w:val="24"/>
          <w:szCs w:val="24"/>
          <w:highlight w:val="none"/>
        </w:rPr>
        <w:t>目所指的投标保证金。</w:t>
      </w:r>
    </w:p>
    <w:p w14:paraId="3C472FB8">
      <w:pPr>
        <w:spacing w:before="181" w:line="218" w:lineRule="auto"/>
        <w:ind w:left="3"/>
        <w:outlineLvl w:val="1"/>
        <w:rPr>
          <w:rFonts w:ascii="宋体" w:hAnsi="宋体" w:eastAsia="宋体" w:cs="宋体"/>
          <w:color w:val="auto"/>
          <w:sz w:val="24"/>
          <w:szCs w:val="24"/>
          <w:highlight w:val="none"/>
        </w:rPr>
      </w:pPr>
      <w:bookmarkStart w:id="95" w:name="_Toc26791"/>
      <w:bookmarkStart w:id="96" w:name="_Toc17991"/>
      <w:r>
        <w:rPr>
          <w:rFonts w:ascii="宋体" w:hAnsi="宋体" w:eastAsia="宋体" w:cs="宋体"/>
          <w:b/>
          <w:bCs/>
          <w:color w:val="auto"/>
          <w:spacing w:val="-6"/>
          <w:sz w:val="24"/>
          <w:szCs w:val="24"/>
          <w:highlight w:val="none"/>
        </w:rPr>
        <w:t>3.2</w:t>
      </w:r>
      <w:r>
        <w:rPr>
          <w:rFonts w:ascii="宋体" w:hAnsi="宋体" w:eastAsia="宋体" w:cs="宋体"/>
          <w:color w:val="auto"/>
          <w:spacing w:val="16"/>
          <w:sz w:val="24"/>
          <w:szCs w:val="24"/>
          <w:highlight w:val="none"/>
        </w:rPr>
        <w:t xml:space="preserve"> </w:t>
      </w:r>
      <w:r>
        <w:rPr>
          <w:rFonts w:ascii="宋体" w:hAnsi="宋体" w:eastAsia="宋体" w:cs="宋体"/>
          <w:b/>
          <w:bCs/>
          <w:color w:val="auto"/>
          <w:spacing w:val="-6"/>
          <w:sz w:val="24"/>
          <w:szCs w:val="24"/>
          <w:highlight w:val="none"/>
        </w:rPr>
        <w:t>投标报价</w:t>
      </w:r>
      <w:bookmarkEnd w:id="95"/>
      <w:bookmarkEnd w:id="96"/>
    </w:p>
    <w:p w14:paraId="65B1D4D3">
      <w:pPr>
        <w:spacing w:before="183" w:line="358" w:lineRule="auto"/>
        <w:ind w:firstLine="483"/>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3.2.1 投标报价应包括国家规定的增值税税金，除投标人须知前附表另有规定外，</w:t>
      </w:r>
      <w:r>
        <w:rPr>
          <w:rFonts w:ascii="宋体" w:hAnsi="宋体" w:eastAsia="宋体" w:cs="宋体"/>
          <w:color w:val="auto"/>
          <w:spacing w:val="4"/>
          <w:sz w:val="24"/>
          <w:szCs w:val="24"/>
          <w:highlight w:val="none"/>
        </w:rPr>
        <w:t>增值税税金按一般计税方法计算。投标人应按第七章“投标文件格式</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”的</w:t>
      </w:r>
      <w:r>
        <w:rPr>
          <w:rFonts w:ascii="宋体" w:hAnsi="宋体" w:eastAsia="宋体" w:cs="宋体"/>
          <w:color w:val="auto"/>
          <w:spacing w:val="3"/>
          <w:sz w:val="24"/>
          <w:szCs w:val="24"/>
          <w:highlight w:val="none"/>
        </w:rPr>
        <w:t>要求在投标</w:t>
      </w:r>
      <w:r>
        <w:rPr>
          <w:rFonts w:ascii="宋体" w:hAnsi="宋体" w:eastAsia="宋体" w:cs="宋体"/>
          <w:color w:val="auto"/>
          <w:spacing w:val="-1"/>
          <w:sz w:val="24"/>
          <w:szCs w:val="24"/>
          <w:highlight w:val="none"/>
        </w:rPr>
        <w:t>函中进行报价并填写监理服务费用清单相应表格。</w:t>
      </w:r>
    </w:p>
    <w:p w14:paraId="6894211D">
      <w:pPr>
        <w:spacing w:line="358" w:lineRule="auto"/>
        <w:rPr>
          <w:rFonts w:ascii="宋体" w:hAnsi="宋体" w:eastAsia="宋体" w:cs="宋体"/>
          <w:color w:val="auto"/>
          <w:sz w:val="24"/>
          <w:szCs w:val="24"/>
          <w:highlight w:val="none"/>
        </w:rPr>
        <w:sectPr>
          <w:footerReference r:id="rId35" w:type="default"/>
          <w:pgSz w:w="11906" w:h="16839"/>
          <w:pgMar w:top="1405" w:right="1417" w:bottom="1297" w:left="1426" w:header="0" w:footer="1065" w:gutter="0"/>
          <w:pgNumType w:fmt="decimal"/>
          <w:cols w:space="720" w:num="1"/>
        </w:sectPr>
      </w:pPr>
    </w:p>
    <w:p w14:paraId="20367BD3">
      <w:pPr>
        <w:spacing w:before="48" w:line="359" w:lineRule="auto"/>
        <w:ind w:left="1" w:right="8" w:firstLine="484"/>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3.2.2 投标人应充分了解本项目的总体情况以及</w:t>
      </w:r>
      <w:r>
        <w:rPr>
          <w:rFonts w:ascii="宋体" w:hAnsi="宋体" w:eastAsia="宋体" w:cs="宋体"/>
          <w:color w:val="auto"/>
          <w:spacing w:val="4"/>
          <w:sz w:val="24"/>
          <w:szCs w:val="24"/>
          <w:highlight w:val="none"/>
        </w:rPr>
        <w:t>影响投标报价的其他要素，按照</w:t>
      </w:r>
      <w:r>
        <w:rPr>
          <w:rFonts w:ascii="宋体" w:hAnsi="宋体" w:eastAsia="宋体" w:cs="宋体"/>
          <w:color w:val="auto"/>
          <w:spacing w:val="3"/>
          <w:sz w:val="24"/>
          <w:szCs w:val="24"/>
          <w:highlight w:val="none"/>
        </w:rPr>
        <w:t>招标文件规定的施工监理工作内容和计划工作量，</w:t>
      </w:r>
      <w:r>
        <w:rPr>
          <w:rFonts w:ascii="宋体" w:hAnsi="宋体" w:eastAsia="宋体" w:cs="宋体"/>
          <w:color w:val="auto"/>
          <w:spacing w:val="-50"/>
          <w:sz w:val="24"/>
          <w:szCs w:val="24"/>
          <w:highlight w:val="none"/>
        </w:rPr>
        <w:t xml:space="preserve"> </w:t>
      </w:r>
      <w:r>
        <w:rPr>
          <w:rFonts w:ascii="宋体" w:hAnsi="宋体" w:eastAsia="宋体" w:cs="宋体"/>
          <w:color w:val="auto"/>
          <w:spacing w:val="3"/>
          <w:sz w:val="24"/>
          <w:szCs w:val="24"/>
          <w:highlight w:val="none"/>
        </w:rPr>
        <w:t>自行测算监理服务费用。投标报价</w:t>
      </w:r>
      <w:r>
        <w:rPr>
          <w:rFonts w:ascii="宋体" w:hAnsi="宋体" w:eastAsia="宋体" w:cs="宋体"/>
          <w:color w:val="auto"/>
          <w:spacing w:val="5"/>
          <w:sz w:val="24"/>
          <w:szCs w:val="24"/>
          <w:highlight w:val="none"/>
        </w:rPr>
        <w:t>应涵盖投标人完成施工准备阶段、施工阶段、验收与缺陷责任期阶段监理工</w:t>
      </w:r>
      <w:r>
        <w:rPr>
          <w:rFonts w:ascii="宋体" w:hAnsi="宋体" w:eastAsia="宋体" w:cs="宋体"/>
          <w:color w:val="auto"/>
          <w:spacing w:val="4"/>
          <w:sz w:val="24"/>
          <w:szCs w:val="24"/>
          <w:highlight w:val="none"/>
        </w:rPr>
        <w:t>作所需的</w:t>
      </w:r>
      <w:r>
        <w:rPr>
          <w:rFonts w:ascii="宋体" w:hAnsi="宋体" w:eastAsia="宋体" w:cs="宋体"/>
          <w:color w:val="auto"/>
          <w:spacing w:val="-2"/>
          <w:sz w:val="24"/>
          <w:szCs w:val="24"/>
          <w:highlight w:val="none"/>
        </w:rPr>
        <w:t>全部费用。</w:t>
      </w:r>
    </w:p>
    <w:p w14:paraId="12B8E42E">
      <w:pPr>
        <w:spacing w:before="2" w:line="358" w:lineRule="auto"/>
        <w:ind w:firstLine="484"/>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投标人应按照“投标文件格式</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”中“监理服务费用清单</w:t>
      </w:r>
      <w:r>
        <w:rPr>
          <w:rFonts w:ascii="宋体" w:hAnsi="宋体" w:eastAsia="宋体" w:cs="宋体"/>
          <w:color w:val="auto"/>
          <w:spacing w:val="-89"/>
          <w:sz w:val="24"/>
          <w:szCs w:val="24"/>
          <w:highlight w:val="none"/>
        </w:rPr>
        <w:t xml:space="preserve"> </w:t>
      </w:r>
      <w:r>
        <w:rPr>
          <w:rFonts w:ascii="宋体" w:hAnsi="宋体" w:eastAsia="宋体" w:cs="宋体"/>
          <w:color w:val="auto"/>
          <w:spacing w:val="-3"/>
          <w:sz w:val="24"/>
          <w:szCs w:val="24"/>
          <w:highlight w:val="none"/>
        </w:rPr>
        <w:t>”的要</w:t>
      </w:r>
      <w:r>
        <w:rPr>
          <w:rFonts w:ascii="宋体" w:hAnsi="宋体" w:eastAsia="宋体" w:cs="宋体"/>
          <w:color w:val="auto"/>
          <w:spacing w:val="-4"/>
          <w:sz w:val="24"/>
          <w:szCs w:val="24"/>
          <w:highlight w:val="none"/>
        </w:rPr>
        <w:t>求填报监理服务费。</w:t>
      </w:r>
      <w:r>
        <w:rPr>
          <w:rFonts w:ascii="宋体" w:hAnsi="宋体" w:eastAsia="宋体" w:cs="宋体"/>
          <w:color w:val="auto"/>
          <w:spacing w:val="5"/>
          <w:sz w:val="24"/>
          <w:szCs w:val="24"/>
          <w:highlight w:val="none"/>
        </w:rPr>
        <w:t>投标人未填报的部分，在工程实施时委托人将不予支付，并认为该部分费用已包</w:t>
      </w:r>
      <w:r>
        <w:rPr>
          <w:rFonts w:ascii="宋体" w:hAnsi="宋体" w:eastAsia="宋体" w:cs="宋体"/>
          <w:color w:val="auto"/>
          <w:spacing w:val="4"/>
          <w:sz w:val="24"/>
          <w:szCs w:val="24"/>
          <w:highlight w:val="none"/>
        </w:rPr>
        <w:t>含在</w:t>
      </w:r>
      <w:r>
        <w:rPr>
          <w:rFonts w:ascii="宋体" w:hAnsi="宋体" w:eastAsia="宋体" w:cs="宋体"/>
          <w:color w:val="auto"/>
          <w:spacing w:val="-2"/>
          <w:sz w:val="24"/>
          <w:szCs w:val="24"/>
          <w:highlight w:val="none"/>
        </w:rPr>
        <w:t>报价中。</w:t>
      </w:r>
    </w:p>
    <w:p w14:paraId="76EB5DD3">
      <w:pPr>
        <w:spacing w:before="1" w:line="359" w:lineRule="auto"/>
        <w:ind w:left="2" w:right="8" w:firstLine="48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3.2.3 本项目的报价方式见投标人须知前附表。</w:t>
      </w:r>
      <w:r>
        <w:rPr>
          <w:rFonts w:ascii="宋体" w:hAnsi="宋体" w:eastAsia="宋体" w:cs="宋体"/>
          <w:color w:val="auto"/>
          <w:spacing w:val="4"/>
          <w:sz w:val="24"/>
          <w:szCs w:val="24"/>
          <w:highlight w:val="none"/>
        </w:rPr>
        <w:t>投标人在投标截止时间前修改投标函中的投标报价总额，应同时修改投标文件“监理服务费用清单</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”中的</w:t>
      </w:r>
      <w:r>
        <w:rPr>
          <w:rFonts w:ascii="宋体" w:hAnsi="宋体" w:eastAsia="宋体" w:cs="宋体"/>
          <w:color w:val="auto"/>
          <w:spacing w:val="3"/>
          <w:sz w:val="24"/>
          <w:szCs w:val="24"/>
          <w:highlight w:val="none"/>
        </w:rPr>
        <w:t>相应报价。</w:t>
      </w:r>
      <w:r>
        <w:rPr>
          <w:rFonts w:ascii="宋体" w:hAnsi="宋体" w:eastAsia="宋体" w:cs="宋体"/>
          <w:color w:val="auto"/>
          <w:spacing w:val="2"/>
          <w:sz w:val="24"/>
          <w:szCs w:val="24"/>
          <w:highlight w:val="none"/>
        </w:rPr>
        <w:t>此修改须符合本章第4.3</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款的有关要求。</w:t>
      </w:r>
    </w:p>
    <w:p w14:paraId="2AF41066">
      <w:pPr>
        <w:spacing w:line="288" w:lineRule="auto"/>
        <w:ind w:left="4" w:right="66" w:firstLine="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3.2.4 招标人设有最高投标限价的，投标人的投标报价不得超过最高投标限价，</w:t>
      </w:r>
      <w:r>
        <w:rPr>
          <w:rFonts w:ascii="宋体" w:hAnsi="宋体" w:eastAsia="宋体" w:cs="宋体"/>
          <w:color w:val="auto"/>
          <w:spacing w:val="-1"/>
          <w:sz w:val="24"/>
          <w:szCs w:val="24"/>
          <w:highlight w:val="none"/>
        </w:rPr>
        <w:t>最高投标限价在投标人须知前附表中载明。</w:t>
      </w:r>
    </w:p>
    <w:p w14:paraId="588CF3CB">
      <w:pPr>
        <w:spacing w:before="184" w:line="218"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3.2.5 投标报价的其他要求见投标人须知前附表。</w:t>
      </w:r>
    </w:p>
    <w:p w14:paraId="70BECF8F">
      <w:pPr>
        <w:spacing w:before="185" w:line="220" w:lineRule="auto"/>
        <w:ind w:left="6"/>
        <w:outlineLvl w:val="1"/>
        <w:rPr>
          <w:rFonts w:ascii="宋体" w:hAnsi="宋体" w:eastAsia="宋体" w:cs="宋体"/>
          <w:color w:val="auto"/>
          <w:sz w:val="24"/>
          <w:szCs w:val="24"/>
          <w:highlight w:val="none"/>
        </w:rPr>
      </w:pPr>
      <w:bookmarkStart w:id="97" w:name="_Toc18498"/>
      <w:bookmarkStart w:id="98" w:name="_Toc25506"/>
      <w:r>
        <w:rPr>
          <w:rFonts w:ascii="宋体" w:hAnsi="宋体" w:eastAsia="宋体" w:cs="宋体"/>
          <w:b/>
          <w:bCs/>
          <w:color w:val="auto"/>
          <w:spacing w:val="-5"/>
          <w:sz w:val="24"/>
          <w:szCs w:val="24"/>
          <w:highlight w:val="none"/>
        </w:rPr>
        <w:t>3.3</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5"/>
          <w:sz w:val="24"/>
          <w:szCs w:val="24"/>
          <w:highlight w:val="none"/>
        </w:rPr>
        <w:t>投标有效期</w:t>
      </w:r>
      <w:bookmarkEnd w:id="97"/>
      <w:bookmarkEnd w:id="98"/>
    </w:p>
    <w:p w14:paraId="08FFF43C">
      <w:pPr>
        <w:spacing w:before="179"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3.3.1 除投标人须知前附表另有规定外，投标有效期为90</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天。</w:t>
      </w:r>
    </w:p>
    <w:p w14:paraId="31BB9247">
      <w:pPr>
        <w:spacing w:before="183" w:line="289" w:lineRule="auto"/>
        <w:ind w:left="10" w:right="8" w:firstLine="47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3.3.2 在投标有效期内，投标人撤销投标文件的</w:t>
      </w:r>
      <w:r>
        <w:rPr>
          <w:rFonts w:ascii="宋体" w:hAnsi="宋体" w:eastAsia="宋体" w:cs="宋体"/>
          <w:color w:val="auto"/>
          <w:spacing w:val="4"/>
          <w:sz w:val="24"/>
          <w:szCs w:val="24"/>
          <w:highlight w:val="none"/>
        </w:rPr>
        <w:t>，应承担招标文件和法律规定的</w:t>
      </w:r>
      <w:r>
        <w:rPr>
          <w:rFonts w:ascii="宋体" w:hAnsi="宋体" w:eastAsia="宋体" w:cs="宋体"/>
          <w:color w:val="auto"/>
          <w:spacing w:val="-6"/>
          <w:sz w:val="24"/>
          <w:szCs w:val="24"/>
          <w:highlight w:val="none"/>
        </w:rPr>
        <w:t>责任。</w:t>
      </w:r>
    </w:p>
    <w:p w14:paraId="583897B9">
      <w:pPr>
        <w:spacing w:before="180" w:line="332" w:lineRule="auto"/>
        <w:ind w:left="2" w:right="8" w:firstLine="48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3.3.3</w:t>
      </w:r>
      <w:r>
        <w:rPr>
          <w:rFonts w:ascii="宋体" w:hAnsi="宋体" w:eastAsia="宋体" w:cs="宋体"/>
          <w:color w:val="auto"/>
          <w:spacing w:val="37"/>
          <w:sz w:val="24"/>
          <w:szCs w:val="24"/>
          <w:highlight w:val="none"/>
        </w:rPr>
        <w:t xml:space="preserve"> </w:t>
      </w:r>
      <w:r>
        <w:rPr>
          <w:rFonts w:ascii="宋体" w:hAnsi="宋体" w:eastAsia="宋体" w:cs="宋体"/>
          <w:color w:val="auto"/>
          <w:spacing w:val="4"/>
          <w:sz w:val="24"/>
          <w:szCs w:val="24"/>
          <w:highlight w:val="none"/>
        </w:rPr>
        <w:t>出现特殊情况需要延长投标有效期的，招标人以书面</w:t>
      </w:r>
      <w:r>
        <w:rPr>
          <w:rFonts w:ascii="宋体" w:hAnsi="宋体" w:eastAsia="宋体" w:cs="宋体"/>
          <w:color w:val="auto"/>
          <w:spacing w:val="3"/>
          <w:sz w:val="24"/>
          <w:szCs w:val="24"/>
          <w:highlight w:val="none"/>
        </w:rPr>
        <w:t>形式通知所有投标人</w:t>
      </w:r>
      <w:r>
        <w:rPr>
          <w:rFonts w:ascii="宋体" w:hAnsi="宋体" w:eastAsia="宋体" w:cs="宋体"/>
          <w:color w:val="auto"/>
          <w:spacing w:val="5"/>
          <w:sz w:val="24"/>
          <w:szCs w:val="24"/>
          <w:highlight w:val="none"/>
        </w:rPr>
        <w:t>延长投标有效期。投标人应予以书面答复，同意延长的，应相应延长其投</w:t>
      </w:r>
      <w:r>
        <w:rPr>
          <w:rFonts w:ascii="宋体" w:hAnsi="宋体" w:eastAsia="宋体" w:cs="宋体"/>
          <w:color w:val="auto"/>
          <w:spacing w:val="4"/>
          <w:sz w:val="24"/>
          <w:szCs w:val="24"/>
          <w:highlight w:val="none"/>
        </w:rPr>
        <w:t>标保证金的</w:t>
      </w:r>
      <w:r>
        <w:rPr>
          <w:rFonts w:ascii="宋体" w:hAnsi="宋体" w:eastAsia="宋体" w:cs="宋体"/>
          <w:color w:val="auto"/>
          <w:spacing w:val="5"/>
          <w:sz w:val="24"/>
          <w:szCs w:val="24"/>
          <w:highlight w:val="none"/>
        </w:rPr>
        <w:t>有效期，但不得要求或被允许修改其投标文件；投标人拒绝延长的，其投</w:t>
      </w:r>
      <w:r>
        <w:rPr>
          <w:rFonts w:ascii="宋体" w:hAnsi="宋体" w:eastAsia="宋体" w:cs="宋体"/>
          <w:color w:val="auto"/>
          <w:spacing w:val="4"/>
          <w:sz w:val="24"/>
          <w:szCs w:val="24"/>
          <w:highlight w:val="none"/>
        </w:rPr>
        <w:t>标失效，但</w:t>
      </w:r>
      <w:r>
        <w:rPr>
          <w:rFonts w:ascii="宋体" w:hAnsi="宋体" w:eastAsia="宋体" w:cs="宋体"/>
          <w:color w:val="auto"/>
          <w:spacing w:val="5"/>
          <w:sz w:val="24"/>
          <w:szCs w:val="24"/>
          <w:highlight w:val="none"/>
        </w:rPr>
        <w:t>投标人有权收回其投标保证金及以现金或支票形式递交的投标保证金的银</w:t>
      </w:r>
      <w:r>
        <w:rPr>
          <w:rFonts w:ascii="宋体" w:hAnsi="宋体" w:eastAsia="宋体" w:cs="宋体"/>
          <w:color w:val="auto"/>
          <w:spacing w:val="4"/>
          <w:sz w:val="24"/>
          <w:szCs w:val="24"/>
          <w:highlight w:val="none"/>
        </w:rPr>
        <w:t>行同期存款</w:t>
      </w:r>
      <w:r>
        <w:rPr>
          <w:rFonts w:ascii="宋体" w:hAnsi="宋体" w:eastAsia="宋体" w:cs="宋体"/>
          <w:color w:val="auto"/>
          <w:spacing w:val="-4"/>
          <w:sz w:val="24"/>
          <w:szCs w:val="24"/>
          <w:highlight w:val="none"/>
        </w:rPr>
        <w:t>利息。</w:t>
      </w:r>
    </w:p>
    <w:p w14:paraId="27FB168D">
      <w:pPr>
        <w:spacing w:before="178" w:line="220" w:lineRule="auto"/>
        <w:ind w:left="6"/>
        <w:outlineLvl w:val="1"/>
        <w:rPr>
          <w:rFonts w:ascii="宋体" w:hAnsi="宋体" w:eastAsia="宋体" w:cs="宋体"/>
          <w:color w:val="auto"/>
          <w:sz w:val="24"/>
          <w:szCs w:val="24"/>
          <w:highlight w:val="none"/>
        </w:rPr>
      </w:pPr>
      <w:bookmarkStart w:id="99" w:name="_Toc5003"/>
      <w:bookmarkStart w:id="100" w:name="_Toc2595"/>
      <w:r>
        <w:rPr>
          <w:rFonts w:ascii="宋体" w:hAnsi="宋体" w:eastAsia="宋体" w:cs="宋体"/>
          <w:b/>
          <w:bCs/>
          <w:color w:val="auto"/>
          <w:spacing w:val="-5"/>
          <w:sz w:val="24"/>
          <w:szCs w:val="24"/>
          <w:highlight w:val="none"/>
        </w:rPr>
        <w:t>3.4</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5"/>
          <w:sz w:val="24"/>
          <w:szCs w:val="24"/>
          <w:highlight w:val="none"/>
        </w:rPr>
        <w:t>投标保证金</w:t>
      </w:r>
      <w:bookmarkEnd w:id="99"/>
      <w:bookmarkEnd w:id="100"/>
    </w:p>
    <w:p w14:paraId="75FBEACA">
      <w:pPr>
        <w:spacing w:before="182" w:line="359" w:lineRule="auto"/>
        <w:ind w:left="2" w:right="8" w:firstLine="483"/>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3.4.1 投标人在递交投标文件的同时，应按投标</w:t>
      </w:r>
      <w:r>
        <w:rPr>
          <w:rFonts w:ascii="宋体" w:hAnsi="宋体" w:eastAsia="宋体" w:cs="宋体"/>
          <w:color w:val="auto"/>
          <w:spacing w:val="4"/>
          <w:sz w:val="24"/>
          <w:szCs w:val="24"/>
          <w:highlight w:val="none"/>
        </w:rPr>
        <w:t>人须知前附表规定的金额和第七章“投标文件格式</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”规定的投标保证金格式递交投标保证金，并作为其投</w:t>
      </w:r>
      <w:r>
        <w:rPr>
          <w:rFonts w:ascii="宋体" w:hAnsi="宋体" w:eastAsia="宋体" w:cs="宋体"/>
          <w:color w:val="auto"/>
          <w:spacing w:val="3"/>
          <w:sz w:val="24"/>
          <w:szCs w:val="24"/>
          <w:highlight w:val="none"/>
        </w:rPr>
        <w:t>标文件的组</w:t>
      </w:r>
      <w:r>
        <w:rPr>
          <w:rFonts w:ascii="宋体" w:hAnsi="宋体" w:eastAsia="宋体" w:cs="宋体"/>
          <w:color w:val="auto"/>
          <w:spacing w:val="5"/>
          <w:sz w:val="24"/>
          <w:szCs w:val="24"/>
          <w:highlight w:val="none"/>
        </w:rPr>
        <w:t>成部分。联合体投标的，其投标保证金由牵头人递交，并应符合投标人须</w:t>
      </w:r>
      <w:r>
        <w:rPr>
          <w:rFonts w:ascii="宋体" w:hAnsi="宋体" w:eastAsia="宋体" w:cs="宋体"/>
          <w:color w:val="auto"/>
          <w:spacing w:val="4"/>
          <w:sz w:val="24"/>
          <w:szCs w:val="24"/>
          <w:highlight w:val="none"/>
        </w:rPr>
        <w:t>知前附表的</w:t>
      </w:r>
      <w:r>
        <w:rPr>
          <w:rFonts w:ascii="宋体" w:hAnsi="宋体" w:eastAsia="宋体" w:cs="宋体"/>
          <w:color w:val="auto"/>
          <w:spacing w:val="-4"/>
          <w:sz w:val="24"/>
          <w:szCs w:val="24"/>
          <w:highlight w:val="none"/>
        </w:rPr>
        <w:t>规定。</w:t>
      </w:r>
    </w:p>
    <w:p w14:paraId="61315682">
      <w:pPr>
        <w:spacing w:line="359" w:lineRule="auto"/>
        <w:ind w:left="1" w:right="8" w:firstLine="48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投标保证金应采用现金、支票、银行保函或招标人在投标人须知前附表规定的其</w:t>
      </w:r>
      <w:r>
        <w:rPr>
          <w:rFonts w:ascii="宋体" w:hAnsi="宋体" w:eastAsia="宋体" w:cs="宋体"/>
          <w:color w:val="auto"/>
          <w:spacing w:val="-3"/>
          <w:sz w:val="24"/>
          <w:szCs w:val="24"/>
          <w:highlight w:val="none"/>
        </w:rPr>
        <w:t>他形式。</w:t>
      </w:r>
    </w:p>
    <w:p w14:paraId="6CD8F635">
      <w:pPr>
        <w:spacing w:before="1" w:line="218" w:lineRule="auto"/>
        <w:ind w:right="8"/>
        <w:jc w:val="right"/>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（1）若采用现金或支票，投标人应在递交投标文件截止时间之前，将投标保证金</w:t>
      </w:r>
    </w:p>
    <w:p w14:paraId="4B6DEB01">
      <w:pPr>
        <w:spacing w:line="218" w:lineRule="auto"/>
        <w:rPr>
          <w:rFonts w:ascii="宋体" w:hAnsi="宋体" w:eastAsia="宋体" w:cs="宋体"/>
          <w:color w:val="auto"/>
          <w:sz w:val="24"/>
          <w:szCs w:val="24"/>
          <w:highlight w:val="none"/>
        </w:rPr>
        <w:sectPr>
          <w:footerReference r:id="rId36" w:type="default"/>
          <w:pgSz w:w="11906" w:h="16839"/>
          <w:pgMar w:top="1405" w:right="1409" w:bottom="1297" w:left="1423" w:header="0" w:footer="1065" w:gutter="0"/>
          <w:pgNumType w:fmt="decimal"/>
          <w:cols w:space="720" w:num="1"/>
        </w:sectPr>
      </w:pPr>
    </w:p>
    <w:p w14:paraId="5052DC3C">
      <w:pPr>
        <w:spacing w:before="48" w:line="359" w:lineRule="auto"/>
        <w:ind w:left="9" w:right="8" w:firstLine="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由投标人的基本账户转入招标人指定账户，否则视为投标保证金无效。招标人指定的</w:t>
      </w:r>
      <w:r>
        <w:rPr>
          <w:rFonts w:ascii="宋体" w:hAnsi="宋体" w:eastAsia="宋体" w:cs="宋体"/>
          <w:color w:val="auto"/>
          <w:spacing w:val="-1"/>
          <w:sz w:val="24"/>
          <w:szCs w:val="24"/>
          <w:highlight w:val="none"/>
        </w:rPr>
        <w:t>开户银行及账号见投标人须知前附表。</w:t>
      </w:r>
    </w:p>
    <w:p w14:paraId="768322A4">
      <w:pPr>
        <w:spacing w:line="359" w:lineRule="auto"/>
        <w:ind w:left="10" w:right="8" w:firstLine="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（2）若采用银行保函，则应由符合投标人须知前附表规定级别的银行开具，并采</w:t>
      </w:r>
      <w:r>
        <w:rPr>
          <w:rFonts w:ascii="宋体" w:hAnsi="宋体" w:eastAsia="宋体" w:cs="宋体"/>
          <w:color w:val="auto"/>
          <w:spacing w:val="-1"/>
          <w:sz w:val="24"/>
          <w:szCs w:val="24"/>
          <w:highlight w:val="none"/>
        </w:rPr>
        <w:t>用招标文件提供的格式。银行保函扫描件装订在投标文件内。</w:t>
      </w:r>
    </w:p>
    <w:p w14:paraId="2EB8F23E">
      <w:pPr>
        <w:spacing w:before="2" w:line="358" w:lineRule="auto"/>
        <w:ind w:left="9" w:right="8" w:firstLine="48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无论采取何种形式的投标保证金，投标保证金有效期均应与投标有效期一致。招</w:t>
      </w:r>
      <w:r>
        <w:rPr>
          <w:rFonts w:ascii="宋体" w:hAnsi="宋体" w:eastAsia="宋体" w:cs="宋体"/>
          <w:color w:val="auto"/>
          <w:spacing w:val="4"/>
          <w:sz w:val="24"/>
          <w:szCs w:val="24"/>
          <w:highlight w:val="none"/>
        </w:rPr>
        <w:t>标人如果按本章第</w:t>
      </w:r>
      <w:r>
        <w:rPr>
          <w:rFonts w:ascii="宋体" w:hAnsi="宋体" w:eastAsia="宋体" w:cs="宋体"/>
          <w:color w:val="auto"/>
          <w:spacing w:val="-39"/>
          <w:sz w:val="24"/>
          <w:szCs w:val="24"/>
          <w:highlight w:val="none"/>
        </w:rPr>
        <w:t xml:space="preserve"> </w:t>
      </w:r>
      <w:r>
        <w:rPr>
          <w:rFonts w:ascii="宋体" w:hAnsi="宋体" w:eastAsia="宋体" w:cs="宋体"/>
          <w:color w:val="auto"/>
          <w:spacing w:val="4"/>
          <w:sz w:val="24"/>
          <w:szCs w:val="24"/>
          <w:highlight w:val="none"/>
        </w:rPr>
        <w:t>3.3.3</w:t>
      </w:r>
      <w:r>
        <w:rPr>
          <w:rFonts w:ascii="宋体" w:hAnsi="宋体" w:eastAsia="宋体" w:cs="宋体"/>
          <w:color w:val="auto"/>
          <w:spacing w:val="-42"/>
          <w:sz w:val="24"/>
          <w:szCs w:val="24"/>
          <w:highlight w:val="none"/>
        </w:rPr>
        <w:t xml:space="preserve"> </w:t>
      </w:r>
      <w:r>
        <w:rPr>
          <w:rFonts w:ascii="宋体" w:hAnsi="宋体" w:eastAsia="宋体" w:cs="宋体"/>
          <w:color w:val="auto"/>
          <w:spacing w:val="4"/>
          <w:sz w:val="24"/>
          <w:szCs w:val="24"/>
          <w:highlight w:val="none"/>
        </w:rPr>
        <w:t>项的规定延长了投标有效</w:t>
      </w:r>
      <w:r>
        <w:rPr>
          <w:rFonts w:ascii="宋体" w:hAnsi="宋体" w:eastAsia="宋体" w:cs="宋体"/>
          <w:color w:val="auto"/>
          <w:spacing w:val="3"/>
          <w:sz w:val="24"/>
          <w:szCs w:val="24"/>
          <w:highlight w:val="none"/>
        </w:rPr>
        <w:t>期，则投标保证金的有效期也相应</w:t>
      </w:r>
      <w:r>
        <w:rPr>
          <w:rFonts w:ascii="宋体" w:hAnsi="宋体" w:eastAsia="宋体" w:cs="宋体"/>
          <w:color w:val="auto"/>
          <w:spacing w:val="-4"/>
          <w:sz w:val="24"/>
          <w:szCs w:val="24"/>
          <w:highlight w:val="none"/>
        </w:rPr>
        <w:t>延长。</w:t>
      </w:r>
    </w:p>
    <w:p w14:paraId="63535794">
      <w:pPr>
        <w:spacing w:line="290" w:lineRule="auto"/>
        <w:ind w:left="11" w:right="8" w:firstLine="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3.4.2 投标人不按本章第</w:t>
      </w:r>
      <w:r>
        <w:rPr>
          <w:rFonts w:ascii="宋体" w:hAnsi="宋体" w:eastAsia="宋体" w:cs="宋体"/>
          <w:color w:val="auto"/>
          <w:spacing w:val="-24"/>
          <w:sz w:val="24"/>
          <w:szCs w:val="24"/>
          <w:highlight w:val="none"/>
        </w:rPr>
        <w:t xml:space="preserve"> </w:t>
      </w:r>
      <w:r>
        <w:rPr>
          <w:rFonts w:ascii="宋体" w:hAnsi="宋体" w:eastAsia="宋体" w:cs="宋体"/>
          <w:color w:val="auto"/>
          <w:spacing w:val="3"/>
          <w:sz w:val="24"/>
          <w:szCs w:val="24"/>
          <w:highlight w:val="none"/>
        </w:rPr>
        <w:t>3.4.1</w:t>
      </w:r>
      <w:r>
        <w:rPr>
          <w:rFonts w:ascii="宋体" w:hAnsi="宋体" w:eastAsia="宋体" w:cs="宋体"/>
          <w:color w:val="auto"/>
          <w:spacing w:val="-40"/>
          <w:sz w:val="24"/>
          <w:szCs w:val="24"/>
          <w:highlight w:val="none"/>
        </w:rPr>
        <w:t xml:space="preserve"> </w:t>
      </w:r>
      <w:r>
        <w:rPr>
          <w:rFonts w:ascii="宋体" w:hAnsi="宋体" w:eastAsia="宋体" w:cs="宋体"/>
          <w:color w:val="auto"/>
          <w:spacing w:val="3"/>
          <w:sz w:val="24"/>
          <w:szCs w:val="24"/>
          <w:highlight w:val="none"/>
        </w:rPr>
        <w:t>项要求提交投标保证金的，评标委员会将否决其</w:t>
      </w:r>
      <w:r>
        <w:rPr>
          <w:rFonts w:ascii="宋体" w:hAnsi="宋体" w:eastAsia="宋体" w:cs="宋体"/>
          <w:color w:val="auto"/>
          <w:spacing w:val="-5"/>
          <w:sz w:val="24"/>
          <w:szCs w:val="24"/>
          <w:highlight w:val="none"/>
        </w:rPr>
        <w:t>投标。</w:t>
      </w:r>
    </w:p>
    <w:p w14:paraId="231E4CE2">
      <w:pPr>
        <w:spacing w:before="178" w:line="336" w:lineRule="auto"/>
        <w:ind w:left="9" w:firstLine="48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3.4.3 根据《广东省实施&lt;中华人民共和国招标投标法&gt;办</w:t>
      </w:r>
      <w:r>
        <w:rPr>
          <w:rFonts w:ascii="宋体" w:hAnsi="宋体" w:eastAsia="宋体" w:cs="宋体"/>
          <w:color w:val="auto"/>
          <w:spacing w:val="4"/>
          <w:sz w:val="24"/>
          <w:szCs w:val="24"/>
          <w:highlight w:val="none"/>
        </w:rPr>
        <w:t>法》第二十五条规定，</w:t>
      </w:r>
      <w:r>
        <w:rPr>
          <w:rFonts w:ascii="宋体" w:hAnsi="宋体" w:eastAsia="宋体" w:cs="宋体"/>
          <w:color w:val="auto"/>
          <w:spacing w:val="5"/>
          <w:sz w:val="24"/>
          <w:szCs w:val="24"/>
          <w:highlight w:val="none"/>
        </w:rPr>
        <w:t>招标人应当在中标通知书发出之日起五日内将投标保证金退回中标候选人</w:t>
      </w:r>
      <w:r>
        <w:rPr>
          <w:rFonts w:ascii="宋体" w:hAnsi="宋体" w:eastAsia="宋体" w:cs="宋体"/>
          <w:color w:val="auto"/>
          <w:spacing w:val="4"/>
          <w:sz w:val="24"/>
          <w:szCs w:val="24"/>
          <w:highlight w:val="none"/>
        </w:rPr>
        <w:t>以外的投标</w:t>
      </w:r>
      <w:r>
        <w:rPr>
          <w:rFonts w:ascii="宋体" w:hAnsi="宋体" w:eastAsia="宋体" w:cs="宋体"/>
          <w:color w:val="auto"/>
          <w:spacing w:val="-1"/>
          <w:sz w:val="24"/>
          <w:szCs w:val="24"/>
          <w:highlight w:val="none"/>
        </w:rPr>
        <w:t>人，在书面合同订立之日起五日内将投标保证金退回中</w:t>
      </w:r>
      <w:r>
        <w:rPr>
          <w:rFonts w:ascii="宋体" w:hAnsi="宋体" w:eastAsia="宋体" w:cs="宋体"/>
          <w:color w:val="auto"/>
          <w:spacing w:val="-2"/>
          <w:sz w:val="24"/>
          <w:szCs w:val="24"/>
          <w:highlight w:val="none"/>
        </w:rPr>
        <w:t>标人和其他中标候选人。法律、</w:t>
      </w:r>
      <w:r>
        <w:rPr>
          <w:rFonts w:ascii="宋体" w:hAnsi="宋体" w:eastAsia="宋体" w:cs="宋体"/>
          <w:color w:val="auto"/>
          <w:spacing w:val="5"/>
          <w:sz w:val="24"/>
          <w:szCs w:val="24"/>
          <w:highlight w:val="none"/>
        </w:rPr>
        <w:t>行政法规规定不予退还或者可以不退还投标保证金的，从其规定。投标保</w:t>
      </w:r>
      <w:r>
        <w:rPr>
          <w:rFonts w:ascii="宋体" w:hAnsi="宋体" w:eastAsia="宋体" w:cs="宋体"/>
          <w:color w:val="auto"/>
          <w:spacing w:val="4"/>
          <w:sz w:val="24"/>
          <w:szCs w:val="24"/>
          <w:highlight w:val="none"/>
        </w:rPr>
        <w:t>证金以现金</w:t>
      </w:r>
      <w:r>
        <w:rPr>
          <w:rFonts w:ascii="宋体" w:hAnsi="宋体" w:eastAsia="宋体" w:cs="宋体"/>
          <w:color w:val="auto"/>
          <w:spacing w:val="5"/>
          <w:sz w:val="24"/>
          <w:szCs w:val="24"/>
          <w:highlight w:val="none"/>
        </w:rPr>
        <w:t>或支票形式递交的，招标人应同时退还投标保证金的银行同期活期存款利</w:t>
      </w:r>
      <w:r>
        <w:rPr>
          <w:rFonts w:ascii="宋体" w:hAnsi="宋体" w:eastAsia="宋体" w:cs="宋体"/>
          <w:color w:val="auto"/>
          <w:spacing w:val="4"/>
          <w:sz w:val="24"/>
          <w:szCs w:val="24"/>
          <w:highlight w:val="none"/>
        </w:rPr>
        <w:t>息，且退还</w:t>
      </w:r>
      <w:r>
        <w:rPr>
          <w:rFonts w:ascii="宋体" w:hAnsi="宋体" w:eastAsia="宋体" w:cs="宋体"/>
          <w:color w:val="auto"/>
          <w:spacing w:val="-2"/>
          <w:sz w:val="24"/>
          <w:szCs w:val="24"/>
          <w:highlight w:val="none"/>
        </w:rPr>
        <w:t>至投标人的基本账户。</w:t>
      </w:r>
    </w:p>
    <w:p w14:paraId="59E2125D">
      <w:pPr>
        <w:spacing w:before="183" w:line="219" w:lineRule="auto"/>
        <w:ind w:left="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利息计算原则见投标人须知前附表。</w:t>
      </w:r>
    </w:p>
    <w:p w14:paraId="5E9F2F40">
      <w:pPr>
        <w:spacing w:before="181"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3.4.4 有下列情形之一的，投标保证金将不予退还：</w:t>
      </w:r>
    </w:p>
    <w:p w14:paraId="170CB682">
      <w:pPr>
        <w:spacing w:before="181" w:line="219" w:lineRule="auto"/>
        <w:ind w:left="49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（1）投标人在投标有效期内撤销投标文件；</w:t>
      </w:r>
    </w:p>
    <w:p w14:paraId="4EC243D4">
      <w:pPr>
        <w:spacing w:before="184" w:line="289" w:lineRule="auto"/>
        <w:ind w:left="19" w:right="8"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（2）中标人在收到中标通知书后，无正当理由不与招标人订立合同，在签订合同</w:t>
      </w:r>
      <w:r>
        <w:rPr>
          <w:rFonts w:ascii="宋体" w:hAnsi="宋体" w:eastAsia="宋体" w:cs="宋体"/>
          <w:color w:val="auto"/>
          <w:spacing w:val="-1"/>
          <w:sz w:val="24"/>
          <w:szCs w:val="24"/>
          <w:highlight w:val="none"/>
        </w:rPr>
        <w:t>时向招标人提出附加条件，或不按照招标文件要求提交履约保证金；</w:t>
      </w:r>
    </w:p>
    <w:p w14:paraId="319E7311">
      <w:pPr>
        <w:spacing w:before="181"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（3）发生投标人须知前附表规定的其他可以不予退还投标保证金的情形。</w:t>
      </w:r>
    </w:p>
    <w:p w14:paraId="00FF8D59">
      <w:pPr>
        <w:spacing w:before="184" w:line="219" w:lineRule="auto"/>
        <w:ind w:left="13"/>
        <w:outlineLvl w:val="1"/>
        <w:rPr>
          <w:rFonts w:ascii="宋体" w:hAnsi="宋体" w:eastAsia="宋体" w:cs="宋体"/>
          <w:color w:val="auto"/>
          <w:sz w:val="24"/>
          <w:szCs w:val="24"/>
          <w:highlight w:val="none"/>
        </w:rPr>
      </w:pPr>
      <w:bookmarkStart w:id="101" w:name="_Toc25241"/>
      <w:bookmarkStart w:id="102" w:name="_Toc2768"/>
      <w:r>
        <w:rPr>
          <w:rFonts w:ascii="宋体" w:hAnsi="宋体" w:eastAsia="宋体" w:cs="宋体"/>
          <w:b/>
          <w:bCs/>
          <w:color w:val="auto"/>
          <w:spacing w:val="-6"/>
          <w:sz w:val="24"/>
          <w:szCs w:val="24"/>
          <w:highlight w:val="none"/>
        </w:rPr>
        <w:t>3.5</w:t>
      </w:r>
      <w:r>
        <w:rPr>
          <w:rFonts w:ascii="宋体" w:hAnsi="宋体" w:eastAsia="宋体" w:cs="宋体"/>
          <w:color w:val="auto"/>
          <w:spacing w:val="25"/>
          <w:sz w:val="24"/>
          <w:szCs w:val="24"/>
          <w:highlight w:val="none"/>
        </w:rPr>
        <w:t xml:space="preserve"> </w:t>
      </w:r>
      <w:r>
        <w:rPr>
          <w:rFonts w:ascii="宋体" w:hAnsi="宋体" w:eastAsia="宋体" w:cs="宋体"/>
          <w:b/>
          <w:bCs/>
          <w:color w:val="auto"/>
          <w:spacing w:val="-6"/>
          <w:sz w:val="24"/>
          <w:szCs w:val="24"/>
          <w:highlight w:val="none"/>
        </w:rPr>
        <w:t>资格审查资料</w:t>
      </w:r>
      <w:bookmarkEnd w:id="101"/>
      <w:bookmarkEnd w:id="102"/>
    </w:p>
    <w:p w14:paraId="7616A5C0">
      <w:pPr>
        <w:spacing w:before="180" w:line="360" w:lineRule="auto"/>
        <w:ind w:left="30" w:right="8" w:firstLine="47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除投标人须知前附表另有规定外，投标人应按下列规定提供资</w:t>
      </w:r>
      <w:r>
        <w:rPr>
          <w:rFonts w:ascii="宋体" w:hAnsi="宋体" w:eastAsia="宋体" w:cs="宋体"/>
          <w:color w:val="auto"/>
          <w:spacing w:val="4"/>
          <w:sz w:val="24"/>
          <w:szCs w:val="24"/>
          <w:highlight w:val="none"/>
        </w:rPr>
        <w:t>格审查资料，以证</w:t>
      </w:r>
      <w:r>
        <w:rPr>
          <w:rFonts w:ascii="宋体" w:hAnsi="宋体" w:eastAsia="宋体" w:cs="宋体"/>
          <w:color w:val="auto"/>
          <w:spacing w:val="-3"/>
          <w:sz w:val="24"/>
          <w:szCs w:val="24"/>
          <w:highlight w:val="none"/>
        </w:rPr>
        <w:t>明其满足本章第</w:t>
      </w:r>
      <w:r>
        <w:rPr>
          <w:rFonts w:ascii="宋体" w:hAnsi="宋体" w:eastAsia="宋体" w:cs="宋体"/>
          <w:color w:val="auto"/>
          <w:spacing w:val="-26"/>
          <w:sz w:val="24"/>
          <w:szCs w:val="24"/>
          <w:highlight w:val="none"/>
        </w:rPr>
        <w:t xml:space="preserve"> </w:t>
      </w:r>
      <w:r>
        <w:rPr>
          <w:rFonts w:ascii="宋体" w:hAnsi="宋体" w:eastAsia="宋体" w:cs="宋体"/>
          <w:color w:val="auto"/>
          <w:spacing w:val="-3"/>
          <w:sz w:val="24"/>
          <w:szCs w:val="24"/>
          <w:highlight w:val="none"/>
        </w:rPr>
        <w:t>1.4</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款规定的资质、业绩、信誉等要求。</w:t>
      </w:r>
    </w:p>
    <w:p w14:paraId="5F6CA3D3">
      <w:pPr>
        <w:spacing w:before="1" w:line="413" w:lineRule="auto"/>
        <w:ind w:left="8" w:right="8" w:firstLine="484"/>
        <w:rPr>
          <w:rFonts w:ascii="宋体" w:hAnsi="宋体" w:eastAsia="宋体" w:cs="宋体"/>
          <w:color w:val="auto"/>
          <w:sz w:val="24"/>
          <w:szCs w:val="24"/>
          <w:highlight w:val="none"/>
        </w:rPr>
      </w:pPr>
      <w:r>
        <w:rPr>
          <w:color w:val="auto"/>
          <w:highlight w:val="none"/>
        </w:rPr>
        <w:pict>
          <v:shape id="_x0000_s1063" o:spid="_x0000_s1063" style="position:absolute;left:0pt;margin-left:0pt;margin-top:114.5pt;height:0pt;width:144pt;z-index:251676672;mso-width-relative:page;mso-height-relative:page;" filled="f" stroked="t" coordsize="2880,0" path="m0,0l2880,0e">
            <v:fill on="f" focussize="0,0"/>
            <v:stroke weight="0pt" color="#000000" miterlimit="0" joinstyle="bevel" endcap="square"/>
            <v:imagedata o:title=""/>
            <o:lock v:ext="edit"/>
          </v:shape>
        </w:pict>
      </w:r>
      <w:r>
        <w:rPr>
          <w:rFonts w:ascii="宋体" w:hAnsi="宋体" w:eastAsia="宋体" w:cs="宋体"/>
          <w:color w:val="auto"/>
          <w:spacing w:val="4"/>
          <w:sz w:val="24"/>
          <w:szCs w:val="24"/>
          <w:highlight w:val="none"/>
        </w:rPr>
        <w:t>3.5.1 “投标人基本情况表</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”应附企业法人营</w:t>
      </w:r>
      <w:r>
        <w:rPr>
          <w:rFonts w:ascii="宋体" w:hAnsi="宋体" w:eastAsia="宋体" w:cs="宋体"/>
          <w:color w:val="auto"/>
          <w:spacing w:val="3"/>
          <w:sz w:val="24"/>
          <w:szCs w:val="24"/>
          <w:highlight w:val="none"/>
        </w:rPr>
        <w:t>业执照副本、监理资质证书副本、</w:t>
      </w:r>
      <w:r>
        <w:rPr>
          <w:rFonts w:ascii="宋体" w:hAnsi="宋体" w:eastAsia="宋体" w:cs="宋体"/>
          <w:color w:val="auto"/>
          <w:spacing w:val="5"/>
          <w:sz w:val="24"/>
          <w:szCs w:val="24"/>
          <w:highlight w:val="none"/>
        </w:rPr>
        <w:t>基本账户开户许可证（如企业所在地已取消企业银行账户许可而无法提供开</w:t>
      </w:r>
      <w:r>
        <w:rPr>
          <w:rFonts w:ascii="宋体" w:hAnsi="宋体" w:eastAsia="宋体" w:cs="宋体"/>
          <w:color w:val="auto"/>
          <w:spacing w:val="4"/>
          <w:sz w:val="24"/>
          <w:szCs w:val="24"/>
          <w:highlight w:val="none"/>
        </w:rPr>
        <w:t>户许可证的，则需附上开户银行出具的“基本存款账户信息</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”或“人民银行账户管理</w:t>
      </w:r>
      <w:r>
        <w:rPr>
          <w:rFonts w:ascii="宋体" w:hAnsi="宋体" w:eastAsia="宋体" w:cs="宋体"/>
          <w:color w:val="auto"/>
          <w:spacing w:val="3"/>
          <w:sz w:val="24"/>
          <w:szCs w:val="24"/>
          <w:highlight w:val="none"/>
        </w:rPr>
        <w:t>系统查询</w:t>
      </w:r>
      <w:bookmarkStart w:id="103" w:name="bookmark102"/>
      <w:bookmarkEnd w:id="103"/>
      <w:r>
        <w:rPr>
          <w:rFonts w:ascii="宋体" w:hAnsi="宋体" w:eastAsia="宋体" w:cs="宋体"/>
          <w:color w:val="auto"/>
          <w:spacing w:val="-2"/>
          <w:sz w:val="24"/>
          <w:szCs w:val="24"/>
          <w:highlight w:val="none"/>
        </w:rPr>
        <w:t>的基本账户信息截图</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”）的扫描件</w:t>
      </w:r>
      <w:r>
        <w:rPr>
          <w:color w:val="auto"/>
          <w:highlight w:val="none"/>
        </w:rPr>
        <w:fldChar w:fldCharType="begin"/>
      </w:r>
      <w:r>
        <w:rPr>
          <w:color w:val="auto"/>
          <w:highlight w:val="none"/>
        </w:rPr>
        <w:instrText xml:space="preserve"> HYPERLINK \l "bookmark102" </w:instrText>
      </w:r>
      <w:r>
        <w:rPr>
          <w:color w:val="auto"/>
          <w:highlight w:val="none"/>
        </w:rPr>
        <w:fldChar w:fldCharType="separate"/>
      </w:r>
      <w:r>
        <w:rPr>
          <w:rFonts w:ascii="宋体" w:hAnsi="宋体" w:eastAsia="宋体" w:cs="宋体"/>
          <w:color w:val="auto"/>
          <w:spacing w:val="-2"/>
          <w:position w:val="12"/>
          <w:sz w:val="12"/>
          <w:szCs w:val="12"/>
          <w:highlight w:val="none"/>
        </w:rPr>
        <w:t>①</w:t>
      </w:r>
      <w:r>
        <w:rPr>
          <w:rFonts w:ascii="宋体" w:hAnsi="宋体" w:eastAsia="宋体" w:cs="宋体"/>
          <w:color w:val="auto"/>
          <w:spacing w:val="-2"/>
          <w:position w:val="12"/>
          <w:sz w:val="12"/>
          <w:szCs w:val="12"/>
          <w:highlight w:val="none"/>
        </w:rPr>
        <w:fldChar w:fldCharType="end"/>
      </w:r>
      <w:r>
        <w:rPr>
          <w:rFonts w:ascii="宋体" w:hAnsi="宋体" w:eastAsia="宋体" w:cs="宋体"/>
          <w:color w:val="auto"/>
          <w:spacing w:val="-28"/>
          <w:position w:val="12"/>
          <w:sz w:val="12"/>
          <w:szCs w:val="12"/>
          <w:highlight w:val="none"/>
        </w:rPr>
        <w:t xml:space="preserve"> </w:t>
      </w:r>
      <w:r>
        <w:rPr>
          <w:rFonts w:ascii="宋体" w:hAnsi="宋体" w:eastAsia="宋体" w:cs="宋体"/>
          <w:color w:val="auto"/>
          <w:spacing w:val="-2"/>
          <w:sz w:val="24"/>
          <w:szCs w:val="24"/>
          <w:highlight w:val="none"/>
        </w:rPr>
        <w:t>,</w:t>
      </w:r>
      <w:r>
        <w:rPr>
          <w:rFonts w:ascii="宋体" w:hAnsi="宋体" w:eastAsia="宋体" w:cs="宋体"/>
          <w:color w:val="auto"/>
          <w:spacing w:val="68"/>
          <w:sz w:val="24"/>
          <w:szCs w:val="24"/>
          <w:highlight w:val="none"/>
        </w:rPr>
        <w:t xml:space="preserve"> </w:t>
      </w:r>
      <w:r>
        <w:rPr>
          <w:rFonts w:ascii="宋体" w:hAnsi="宋体" w:eastAsia="宋体" w:cs="宋体"/>
          <w:color w:val="auto"/>
          <w:spacing w:val="-2"/>
          <w:sz w:val="24"/>
          <w:szCs w:val="24"/>
          <w:highlight w:val="none"/>
        </w:rPr>
        <w:t>投标人在交通运输部“全国公路建设市场监督管</w:t>
      </w:r>
    </w:p>
    <w:p w14:paraId="2038C1F9">
      <w:pPr>
        <w:spacing w:before="291" w:line="217" w:lineRule="auto"/>
        <w:ind w:left="5"/>
        <w:rPr>
          <w:rFonts w:ascii="宋体" w:hAnsi="宋体" w:eastAsia="宋体" w:cs="宋体"/>
          <w:color w:val="auto"/>
          <w:sz w:val="18"/>
          <w:szCs w:val="18"/>
          <w:highlight w:val="none"/>
        </w:rPr>
      </w:pPr>
      <w:r>
        <w:rPr>
          <w:rFonts w:ascii="宋体" w:hAnsi="宋体" w:eastAsia="宋体" w:cs="宋体"/>
          <w:color w:val="auto"/>
          <w:sz w:val="18"/>
          <w:szCs w:val="18"/>
          <w:highlight w:val="none"/>
        </w:rPr>
        <w:t>① 招标文件中要求投标人提供的各类证照扫描件均指彩色扫描件，其他资料的扫描件可</w:t>
      </w:r>
      <w:r>
        <w:rPr>
          <w:rFonts w:ascii="宋体" w:hAnsi="宋体" w:eastAsia="宋体" w:cs="宋体"/>
          <w:color w:val="auto"/>
          <w:spacing w:val="-1"/>
          <w:sz w:val="18"/>
          <w:szCs w:val="18"/>
          <w:highlight w:val="none"/>
        </w:rPr>
        <w:t>为黑白扫描件。</w:t>
      </w:r>
    </w:p>
    <w:p w14:paraId="5684A347">
      <w:pPr>
        <w:spacing w:line="217" w:lineRule="auto"/>
        <w:rPr>
          <w:rFonts w:ascii="宋体" w:hAnsi="宋体" w:eastAsia="宋体" w:cs="宋体"/>
          <w:color w:val="auto"/>
          <w:sz w:val="18"/>
          <w:szCs w:val="18"/>
          <w:highlight w:val="none"/>
        </w:rPr>
        <w:sectPr>
          <w:footerReference r:id="rId37" w:type="default"/>
          <w:pgSz w:w="11906" w:h="16839"/>
          <w:pgMar w:top="1405" w:right="1409" w:bottom="1297" w:left="1417" w:header="0" w:footer="1067" w:gutter="0"/>
          <w:pgNumType w:fmt="decimal"/>
          <w:cols w:space="720" w:num="1"/>
        </w:sectPr>
      </w:pPr>
    </w:p>
    <w:p w14:paraId="0EE81033">
      <w:pPr>
        <w:spacing w:before="94" w:line="316" w:lineRule="auto"/>
        <w:ind w:left="7" w:right="163" w:firstLine="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理系统</w:t>
      </w:r>
      <w:r>
        <w:rPr>
          <w:rFonts w:ascii="宋体" w:hAnsi="宋体" w:eastAsia="宋体" w:cs="宋体"/>
          <w:color w:val="auto"/>
          <w:spacing w:val="-72"/>
          <w:sz w:val="24"/>
          <w:szCs w:val="24"/>
          <w:highlight w:val="none"/>
        </w:rPr>
        <w:t xml:space="preserve"> </w:t>
      </w:r>
      <w:r>
        <w:rPr>
          <w:rFonts w:ascii="宋体" w:hAnsi="宋体" w:eastAsia="宋体" w:cs="宋体"/>
          <w:color w:val="auto"/>
          <w:spacing w:val="-3"/>
          <w:sz w:val="24"/>
          <w:szCs w:val="24"/>
          <w:highlight w:val="none"/>
        </w:rPr>
        <w:t>”公路工程施工监理资质企业名录中的网页截图扫描件</w:t>
      </w:r>
      <w:r>
        <w:rPr>
          <w:color w:val="auto"/>
          <w:highlight w:val="none"/>
        </w:rPr>
        <w:fldChar w:fldCharType="begin"/>
      </w:r>
      <w:r>
        <w:rPr>
          <w:color w:val="auto"/>
          <w:highlight w:val="none"/>
        </w:rPr>
        <w:instrText xml:space="preserve"> HYPERLINK \l "bookmark103" </w:instrText>
      </w:r>
      <w:r>
        <w:rPr>
          <w:color w:val="auto"/>
          <w:highlight w:val="none"/>
        </w:rPr>
        <w:fldChar w:fldCharType="separate"/>
      </w:r>
      <w:r>
        <w:rPr>
          <w:rFonts w:ascii="宋体" w:hAnsi="宋体" w:eastAsia="宋体" w:cs="宋体"/>
          <w:color w:val="auto"/>
          <w:spacing w:val="-3"/>
          <w:position w:val="12"/>
          <w:sz w:val="12"/>
          <w:szCs w:val="12"/>
          <w:highlight w:val="none"/>
        </w:rPr>
        <w:t>①</w:t>
      </w:r>
      <w:r>
        <w:rPr>
          <w:rFonts w:ascii="宋体" w:hAnsi="宋体" w:eastAsia="宋体" w:cs="宋体"/>
          <w:color w:val="auto"/>
          <w:spacing w:val="-3"/>
          <w:position w:val="12"/>
          <w:sz w:val="12"/>
          <w:szCs w:val="12"/>
          <w:highlight w:val="none"/>
        </w:rPr>
        <w:fldChar w:fldCharType="end"/>
      </w:r>
      <w:r>
        <w:rPr>
          <w:rFonts w:ascii="宋体" w:hAnsi="宋体" w:eastAsia="宋体" w:cs="宋体"/>
          <w:color w:val="auto"/>
          <w:spacing w:val="-28"/>
          <w:position w:val="12"/>
          <w:sz w:val="12"/>
          <w:szCs w:val="12"/>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92"/>
          <w:sz w:val="24"/>
          <w:szCs w:val="24"/>
          <w:highlight w:val="none"/>
        </w:rPr>
        <w:t xml:space="preserve"> </w:t>
      </w:r>
      <w:r>
        <w:rPr>
          <w:rFonts w:ascii="宋体" w:hAnsi="宋体" w:eastAsia="宋体" w:cs="宋体"/>
          <w:color w:val="auto"/>
          <w:spacing w:val="-3"/>
          <w:sz w:val="24"/>
          <w:szCs w:val="24"/>
          <w:highlight w:val="none"/>
        </w:rPr>
        <w:t>以及投标人在国家企</w:t>
      </w:r>
      <w:r>
        <w:rPr>
          <w:rFonts w:ascii="宋体" w:hAnsi="宋体" w:eastAsia="宋体" w:cs="宋体"/>
          <w:color w:val="auto"/>
          <w:sz w:val="24"/>
          <w:szCs w:val="24"/>
          <w:highlight w:val="none"/>
        </w:rPr>
        <w:t>业信用信息公示系统中基础信息（体现股东及出资详</w:t>
      </w:r>
      <w:r>
        <w:rPr>
          <w:rFonts w:ascii="宋体" w:hAnsi="宋体" w:eastAsia="宋体" w:cs="宋体"/>
          <w:color w:val="auto"/>
          <w:spacing w:val="-1"/>
          <w:sz w:val="24"/>
          <w:szCs w:val="24"/>
          <w:highlight w:val="none"/>
        </w:rPr>
        <w:t>细信息）的网页截图。</w:t>
      </w:r>
    </w:p>
    <w:p w14:paraId="2C7B71AF">
      <w:pPr>
        <w:spacing w:before="149" w:line="356" w:lineRule="auto"/>
        <w:ind w:left="8" w:right="162" w:firstLine="483"/>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企业法人营业执照副本、监理资质证书副本、基本账户开户许可证（如企业所在地已取消企业银行账户许可而无法提供开户许可证的，则需附上开户银行出</w:t>
      </w:r>
      <w:r>
        <w:rPr>
          <w:rFonts w:ascii="宋体" w:hAnsi="宋体" w:eastAsia="宋体" w:cs="宋体"/>
          <w:color w:val="auto"/>
          <w:spacing w:val="4"/>
          <w:sz w:val="24"/>
          <w:szCs w:val="24"/>
          <w:highlight w:val="none"/>
        </w:rPr>
        <w:t>具的“基</w:t>
      </w:r>
      <w:r>
        <w:rPr>
          <w:rFonts w:ascii="宋体" w:hAnsi="宋体" w:eastAsia="宋体" w:cs="宋体"/>
          <w:color w:val="auto"/>
          <w:spacing w:val="3"/>
          <w:sz w:val="24"/>
          <w:szCs w:val="24"/>
          <w:highlight w:val="none"/>
        </w:rPr>
        <w:t>本存款账户信息</w:t>
      </w:r>
      <w:r>
        <w:rPr>
          <w:rFonts w:ascii="宋体" w:hAnsi="宋体" w:eastAsia="宋体" w:cs="宋体"/>
          <w:color w:val="auto"/>
          <w:spacing w:val="-81"/>
          <w:sz w:val="24"/>
          <w:szCs w:val="24"/>
          <w:highlight w:val="none"/>
        </w:rPr>
        <w:t xml:space="preserve"> </w:t>
      </w:r>
      <w:r>
        <w:rPr>
          <w:rFonts w:ascii="宋体" w:hAnsi="宋体" w:eastAsia="宋体" w:cs="宋体"/>
          <w:color w:val="auto"/>
          <w:spacing w:val="3"/>
          <w:sz w:val="24"/>
          <w:szCs w:val="24"/>
          <w:highlight w:val="none"/>
        </w:rPr>
        <w:t>”或“人民银行账户管理系统查询的基本账户信息</w:t>
      </w:r>
      <w:r>
        <w:rPr>
          <w:rFonts w:ascii="宋体" w:hAnsi="宋体" w:eastAsia="宋体" w:cs="宋体"/>
          <w:color w:val="auto"/>
          <w:spacing w:val="2"/>
          <w:sz w:val="24"/>
          <w:szCs w:val="24"/>
          <w:highlight w:val="none"/>
        </w:rPr>
        <w:t>截图</w:t>
      </w:r>
      <w:r>
        <w:rPr>
          <w:rFonts w:ascii="宋体" w:hAnsi="宋体" w:eastAsia="宋体" w:cs="宋体"/>
          <w:color w:val="auto"/>
          <w:spacing w:val="-81"/>
          <w:sz w:val="24"/>
          <w:szCs w:val="24"/>
          <w:highlight w:val="none"/>
        </w:rPr>
        <w:t xml:space="preserve"> </w:t>
      </w:r>
      <w:r>
        <w:rPr>
          <w:rFonts w:ascii="宋体" w:hAnsi="宋体" w:eastAsia="宋体" w:cs="宋体"/>
          <w:color w:val="auto"/>
          <w:spacing w:val="2"/>
          <w:sz w:val="24"/>
          <w:szCs w:val="24"/>
          <w:highlight w:val="none"/>
        </w:rPr>
        <w:t>”）的扫描件</w:t>
      </w:r>
      <w:r>
        <w:rPr>
          <w:rFonts w:ascii="宋体" w:hAnsi="宋体" w:eastAsia="宋体" w:cs="宋体"/>
          <w:color w:val="auto"/>
          <w:spacing w:val="4"/>
          <w:sz w:val="24"/>
          <w:szCs w:val="24"/>
          <w:highlight w:val="none"/>
        </w:rPr>
        <w:t>应提供全本（证书封面、封底、空白页除外</w:t>
      </w:r>
      <w:r>
        <w:rPr>
          <w:rFonts w:ascii="宋体" w:hAnsi="宋体" w:eastAsia="宋体" w:cs="宋体"/>
          <w:color w:val="auto"/>
          <w:spacing w:val="20"/>
          <w:sz w:val="24"/>
          <w:szCs w:val="24"/>
          <w:highlight w:val="none"/>
        </w:rPr>
        <w:t>），</w:t>
      </w:r>
      <w:r>
        <w:rPr>
          <w:rFonts w:ascii="宋体" w:hAnsi="宋体" w:eastAsia="宋体" w:cs="宋体"/>
          <w:color w:val="auto"/>
          <w:spacing w:val="4"/>
          <w:sz w:val="24"/>
          <w:szCs w:val="24"/>
          <w:highlight w:val="none"/>
        </w:rPr>
        <w:t>应包括投标人名称、投标人其他相关</w:t>
      </w:r>
      <w:r>
        <w:rPr>
          <w:rFonts w:ascii="宋体" w:hAnsi="宋体" w:eastAsia="宋体" w:cs="宋体"/>
          <w:color w:val="auto"/>
          <w:spacing w:val="-1"/>
          <w:sz w:val="24"/>
          <w:szCs w:val="24"/>
          <w:highlight w:val="none"/>
        </w:rPr>
        <w:t>信息、颁发机构名称、投标人信息变更情况等关键页在内。</w:t>
      </w:r>
    </w:p>
    <w:p w14:paraId="1D8E8ED5">
      <w:pPr>
        <w:spacing w:before="1" w:line="364" w:lineRule="auto"/>
        <w:ind w:left="13" w:right="163"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3.5.2</w:t>
      </w:r>
      <w:r>
        <w:rPr>
          <w:color w:val="auto"/>
          <w:highlight w:val="none"/>
        </w:rPr>
        <w:fldChar w:fldCharType="begin"/>
      </w:r>
      <w:r>
        <w:rPr>
          <w:color w:val="auto"/>
          <w:highlight w:val="none"/>
        </w:rPr>
        <w:instrText xml:space="preserve"> HYPERLINK \l "bookmark104" </w:instrText>
      </w:r>
      <w:r>
        <w:rPr>
          <w:color w:val="auto"/>
          <w:highlight w:val="none"/>
        </w:rPr>
        <w:fldChar w:fldCharType="separate"/>
      </w:r>
      <w:r>
        <w:rPr>
          <w:rFonts w:ascii="宋体" w:hAnsi="宋体" w:eastAsia="宋体" w:cs="宋体"/>
          <w:color w:val="auto"/>
          <w:spacing w:val="1"/>
          <w:position w:val="11"/>
          <w:sz w:val="12"/>
          <w:szCs w:val="12"/>
          <w:highlight w:val="none"/>
        </w:rPr>
        <w:t>②</w:t>
      </w:r>
      <w:r>
        <w:rPr>
          <w:rFonts w:ascii="宋体" w:hAnsi="宋体" w:eastAsia="宋体" w:cs="宋体"/>
          <w:color w:val="auto"/>
          <w:spacing w:val="1"/>
          <w:position w:val="11"/>
          <w:sz w:val="12"/>
          <w:szCs w:val="12"/>
          <w:highlight w:val="none"/>
        </w:rPr>
        <w:fldChar w:fldCharType="end"/>
      </w:r>
      <w:r>
        <w:rPr>
          <w:rFonts w:ascii="宋体" w:hAnsi="宋体" w:eastAsia="宋体" w:cs="宋体"/>
          <w:color w:val="auto"/>
          <w:spacing w:val="1"/>
          <w:sz w:val="24"/>
          <w:szCs w:val="24"/>
          <w:highlight w:val="none"/>
        </w:rPr>
        <w:t>(A)“近年完成的类似项目</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”应是</w:t>
      </w:r>
      <w:r>
        <w:rPr>
          <w:rFonts w:ascii="宋体" w:hAnsi="宋体" w:eastAsia="宋体" w:cs="宋体"/>
          <w:color w:val="auto"/>
          <w:sz w:val="24"/>
          <w:szCs w:val="24"/>
          <w:highlight w:val="none"/>
        </w:rPr>
        <w:t>已列入交通运输部“全国公路建设市场监</w:t>
      </w:r>
      <w:r>
        <w:rPr>
          <w:rFonts w:ascii="宋体" w:hAnsi="宋体" w:eastAsia="宋体" w:cs="宋体"/>
          <w:color w:val="auto"/>
          <w:spacing w:val="-2"/>
          <w:sz w:val="24"/>
          <w:szCs w:val="24"/>
          <w:highlight w:val="none"/>
        </w:rPr>
        <w:t>督管理系统</w:t>
      </w:r>
      <w:r>
        <w:rPr>
          <w:rFonts w:ascii="宋体" w:hAnsi="宋体" w:eastAsia="宋体" w:cs="宋体"/>
          <w:color w:val="auto"/>
          <w:spacing w:val="-74"/>
          <w:sz w:val="24"/>
          <w:szCs w:val="24"/>
          <w:highlight w:val="none"/>
        </w:rPr>
        <w:t xml:space="preserve"> </w:t>
      </w:r>
      <w:r>
        <w:rPr>
          <w:rFonts w:ascii="宋体" w:hAnsi="宋体" w:eastAsia="宋体" w:cs="宋体"/>
          <w:color w:val="auto"/>
          <w:spacing w:val="-2"/>
          <w:sz w:val="24"/>
          <w:szCs w:val="24"/>
          <w:highlight w:val="none"/>
        </w:rPr>
        <w:t>”并公开的已建业绩，具体时间要求见投标人须知前附表。</w:t>
      </w:r>
    </w:p>
    <w:p w14:paraId="1EDA6893">
      <w:pPr>
        <w:spacing w:before="4" w:line="359" w:lineRule="auto"/>
        <w:ind w:left="8" w:right="160" w:firstLine="468"/>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“近年完成的类似项目情况表</w:t>
      </w:r>
      <w:r>
        <w:rPr>
          <w:rFonts w:ascii="宋体" w:hAnsi="宋体" w:eastAsia="宋体" w:cs="宋体"/>
          <w:color w:val="auto"/>
          <w:spacing w:val="-67"/>
          <w:sz w:val="24"/>
          <w:szCs w:val="24"/>
          <w:highlight w:val="none"/>
        </w:rPr>
        <w:t xml:space="preserve"> </w:t>
      </w:r>
      <w:r>
        <w:rPr>
          <w:rFonts w:ascii="宋体" w:hAnsi="宋体" w:eastAsia="宋体" w:cs="宋体"/>
          <w:color w:val="auto"/>
          <w:spacing w:val="4"/>
          <w:sz w:val="24"/>
          <w:szCs w:val="24"/>
          <w:highlight w:val="none"/>
        </w:rPr>
        <w:t>”应附在交通运输部“全国公路建设市场监督管理</w:t>
      </w:r>
      <w:r>
        <w:rPr>
          <w:rFonts w:ascii="宋体" w:hAnsi="宋体" w:eastAsia="宋体" w:cs="宋体"/>
          <w:color w:val="auto"/>
          <w:spacing w:val="2"/>
          <w:sz w:val="24"/>
          <w:szCs w:val="24"/>
          <w:highlight w:val="none"/>
        </w:rPr>
        <w:t>系统</w:t>
      </w:r>
      <w:r>
        <w:rPr>
          <w:rFonts w:ascii="宋体" w:hAnsi="宋体" w:eastAsia="宋体" w:cs="宋体"/>
          <w:color w:val="auto"/>
          <w:spacing w:val="-81"/>
          <w:sz w:val="24"/>
          <w:szCs w:val="24"/>
          <w:highlight w:val="none"/>
        </w:rPr>
        <w:t xml:space="preserve"> </w:t>
      </w:r>
      <w:r>
        <w:rPr>
          <w:rFonts w:ascii="宋体" w:hAnsi="宋体" w:eastAsia="宋体" w:cs="宋体"/>
          <w:color w:val="auto"/>
          <w:spacing w:val="2"/>
          <w:sz w:val="24"/>
          <w:szCs w:val="24"/>
          <w:highlight w:val="none"/>
        </w:rPr>
        <w:t>”中查询到的企业“业绩信息</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”相关项目网页截图扫描</w:t>
      </w:r>
      <w:r>
        <w:rPr>
          <w:rFonts w:ascii="宋体" w:hAnsi="宋体" w:eastAsia="宋体" w:cs="宋体"/>
          <w:color w:val="auto"/>
          <w:spacing w:val="1"/>
          <w:sz w:val="24"/>
          <w:szCs w:val="24"/>
          <w:highlight w:val="none"/>
        </w:rPr>
        <w:t>件（或网页打印件</w:t>
      </w:r>
      <w:r>
        <w:rPr>
          <w:rFonts w:ascii="宋体" w:hAnsi="宋体" w:eastAsia="宋体" w:cs="宋体"/>
          <w:color w:val="auto"/>
          <w:spacing w:val="22"/>
          <w:sz w:val="24"/>
          <w:szCs w:val="24"/>
          <w:highlight w:val="none"/>
        </w:rPr>
        <w:t>），</w:t>
      </w:r>
      <w:r>
        <w:rPr>
          <w:rFonts w:ascii="宋体" w:hAnsi="宋体" w:eastAsia="宋体" w:cs="宋体"/>
          <w:color w:val="auto"/>
          <w:spacing w:val="1"/>
          <w:sz w:val="24"/>
          <w:szCs w:val="24"/>
          <w:highlight w:val="none"/>
        </w:rPr>
        <w:t>即包括“项目名称</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”、“标段类型</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”、“合同价</w:t>
      </w:r>
      <w:r>
        <w:rPr>
          <w:rFonts w:ascii="宋体" w:hAnsi="宋体" w:eastAsia="宋体" w:cs="宋体"/>
          <w:color w:val="auto"/>
          <w:spacing w:val="-81"/>
          <w:sz w:val="24"/>
          <w:szCs w:val="24"/>
          <w:highlight w:val="none"/>
        </w:rPr>
        <w:t xml:space="preserve"> </w:t>
      </w:r>
      <w:r>
        <w:rPr>
          <w:rFonts w:ascii="宋体" w:hAnsi="宋体" w:eastAsia="宋体" w:cs="宋体"/>
          <w:color w:val="auto"/>
          <w:spacing w:val="1"/>
          <w:sz w:val="24"/>
          <w:szCs w:val="24"/>
          <w:highlight w:val="none"/>
        </w:rPr>
        <w:t>”、“主要工程量</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”等栏目在内</w:t>
      </w:r>
      <w:r>
        <w:rPr>
          <w:rFonts w:ascii="宋体" w:hAnsi="宋体" w:eastAsia="宋体" w:cs="宋体"/>
          <w:color w:val="auto"/>
          <w:sz w:val="24"/>
          <w:szCs w:val="24"/>
          <w:highlight w:val="none"/>
        </w:rPr>
        <w:t>的项目</w:t>
      </w:r>
      <w:r>
        <w:rPr>
          <w:rFonts w:ascii="宋体" w:hAnsi="宋体" w:eastAsia="宋体" w:cs="宋体"/>
          <w:color w:val="auto"/>
          <w:spacing w:val="-1"/>
          <w:sz w:val="24"/>
          <w:szCs w:val="24"/>
          <w:highlight w:val="none"/>
        </w:rPr>
        <w:t>详细信息网页截图扫描件（或网页打印件）。</w:t>
      </w:r>
      <w:r>
        <w:rPr>
          <w:rFonts w:ascii="宋体" w:hAnsi="宋体" w:eastAsia="宋体" w:cs="宋体"/>
          <w:color w:val="auto"/>
          <w:spacing w:val="-2"/>
          <w:sz w:val="24"/>
          <w:szCs w:val="24"/>
          <w:highlight w:val="none"/>
        </w:rPr>
        <w:t>除网页截图扫描件（或网页打印件）外，</w:t>
      </w:r>
      <w:r>
        <w:rPr>
          <w:rFonts w:ascii="宋体" w:hAnsi="宋体" w:eastAsia="宋体" w:cs="宋体"/>
          <w:color w:val="auto"/>
          <w:spacing w:val="-1"/>
          <w:sz w:val="24"/>
          <w:szCs w:val="24"/>
          <w:highlight w:val="none"/>
        </w:rPr>
        <w:t>投标人无需再提供任何业绩证明材料。</w:t>
      </w:r>
    </w:p>
    <w:p w14:paraId="70A2CD1D">
      <w:pPr>
        <w:spacing w:before="2" w:line="358" w:lineRule="auto"/>
        <w:ind w:left="9" w:right="163" w:firstLine="482"/>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如投标人未提供相关项目网页截图扫描件或相关项目网页截图中的信息无法证实投标人满足招标文件规定的资格审查条件（业绩最低要求）或评标办法评</w:t>
      </w:r>
      <w:r>
        <w:rPr>
          <w:rFonts w:ascii="宋体" w:hAnsi="宋体" w:eastAsia="宋体" w:cs="宋体"/>
          <w:color w:val="auto"/>
          <w:spacing w:val="4"/>
          <w:sz w:val="24"/>
          <w:szCs w:val="24"/>
          <w:highlight w:val="none"/>
        </w:rPr>
        <w:t>分标准（如</w:t>
      </w:r>
      <w:r>
        <w:rPr>
          <w:rFonts w:ascii="宋体" w:hAnsi="宋体" w:eastAsia="宋体" w:cs="宋体"/>
          <w:color w:val="auto"/>
          <w:spacing w:val="-3"/>
          <w:sz w:val="24"/>
          <w:szCs w:val="24"/>
          <w:highlight w:val="none"/>
        </w:rPr>
        <w:t>有</w:t>
      </w:r>
      <w:r>
        <w:rPr>
          <w:rFonts w:ascii="宋体" w:hAnsi="宋体" w:eastAsia="宋体" w:cs="宋体"/>
          <w:color w:val="auto"/>
          <w:spacing w:val="12"/>
          <w:sz w:val="24"/>
          <w:szCs w:val="24"/>
          <w:highlight w:val="none"/>
        </w:rPr>
        <w:t>），</w:t>
      </w:r>
      <w:r>
        <w:rPr>
          <w:rFonts w:ascii="宋体" w:hAnsi="宋体" w:eastAsia="宋体" w:cs="宋体"/>
          <w:color w:val="auto"/>
          <w:spacing w:val="-3"/>
          <w:sz w:val="24"/>
          <w:szCs w:val="24"/>
          <w:highlight w:val="none"/>
        </w:rPr>
        <w:t>则该项目业绩不予认定。</w:t>
      </w:r>
    </w:p>
    <w:p w14:paraId="2B9B14B5">
      <w:pPr>
        <w:spacing w:line="360" w:lineRule="auto"/>
        <w:ind w:left="11" w:right="163"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如近年来，投标人法人机构发生合法变更或重组或法人名称变更时，应提供相关</w:t>
      </w:r>
      <w:r>
        <w:rPr>
          <w:rFonts w:ascii="宋体" w:hAnsi="宋体" w:eastAsia="宋体" w:cs="宋体"/>
          <w:color w:val="auto"/>
          <w:spacing w:val="-1"/>
          <w:sz w:val="24"/>
          <w:szCs w:val="24"/>
          <w:highlight w:val="none"/>
        </w:rPr>
        <w:t>部门的合法批件或其他相关证明材料来证明其所附业绩的继承性。</w:t>
      </w:r>
    </w:p>
    <w:p w14:paraId="30190C73">
      <w:pPr>
        <w:spacing w:line="359" w:lineRule="auto"/>
        <w:ind w:left="9" w:right="163"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3.5.2</w:t>
      </w:r>
      <w:r>
        <w:rPr>
          <w:color w:val="auto"/>
          <w:highlight w:val="none"/>
        </w:rPr>
        <w:fldChar w:fldCharType="begin"/>
      </w:r>
      <w:r>
        <w:rPr>
          <w:color w:val="auto"/>
          <w:highlight w:val="none"/>
        </w:rPr>
        <w:instrText xml:space="preserve"> HYPERLINK \l "bookmark105" </w:instrText>
      </w:r>
      <w:r>
        <w:rPr>
          <w:color w:val="auto"/>
          <w:highlight w:val="none"/>
        </w:rPr>
        <w:fldChar w:fldCharType="separate"/>
      </w:r>
      <w:r>
        <w:rPr>
          <w:rFonts w:ascii="宋体" w:hAnsi="宋体" w:eastAsia="宋体" w:cs="宋体"/>
          <w:color w:val="auto"/>
          <w:spacing w:val="3"/>
          <w:position w:val="10"/>
          <w:sz w:val="10"/>
          <w:szCs w:val="10"/>
          <w:highlight w:val="none"/>
        </w:rPr>
        <w:t>③</w:t>
      </w:r>
      <w:r>
        <w:rPr>
          <w:rFonts w:ascii="宋体" w:hAnsi="宋体" w:eastAsia="宋体" w:cs="宋体"/>
          <w:color w:val="auto"/>
          <w:spacing w:val="3"/>
          <w:position w:val="10"/>
          <w:sz w:val="10"/>
          <w:szCs w:val="10"/>
          <w:highlight w:val="none"/>
        </w:rPr>
        <w:fldChar w:fldCharType="end"/>
      </w:r>
      <w:r>
        <w:rPr>
          <w:rFonts w:ascii="宋体" w:hAnsi="宋体" w:eastAsia="宋体" w:cs="宋体"/>
          <w:color w:val="auto"/>
          <w:spacing w:val="3"/>
          <w:sz w:val="20"/>
          <w:szCs w:val="20"/>
          <w:highlight w:val="none"/>
        </w:rPr>
        <w:t>(B)</w:t>
      </w:r>
      <w:r>
        <w:rPr>
          <w:rFonts w:ascii="宋体" w:hAnsi="宋体" w:eastAsia="宋体" w:cs="宋体"/>
          <w:color w:val="auto"/>
          <w:spacing w:val="3"/>
          <w:sz w:val="24"/>
          <w:szCs w:val="24"/>
          <w:highlight w:val="none"/>
        </w:rPr>
        <w:t>“近年完成的类似项目</w:t>
      </w:r>
      <w:r>
        <w:rPr>
          <w:rFonts w:ascii="宋体" w:hAnsi="宋体" w:eastAsia="宋体" w:cs="宋体"/>
          <w:color w:val="auto"/>
          <w:spacing w:val="-84"/>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应是已列入交通运输主管部门“公路建设市场</w:t>
      </w:r>
      <w:r>
        <w:rPr>
          <w:rFonts w:ascii="宋体" w:hAnsi="宋体" w:eastAsia="宋体" w:cs="宋体"/>
          <w:color w:val="auto"/>
          <w:spacing w:val="-2"/>
          <w:sz w:val="24"/>
          <w:szCs w:val="24"/>
          <w:highlight w:val="none"/>
        </w:rPr>
        <w:t>监督管理系统</w:t>
      </w:r>
      <w:r>
        <w:rPr>
          <w:rFonts w:ascii="宋体" w:hAnsi="宋体" w:eastAsia="宋体" w:cs="宋体"/>
          <w:color w:val="auto"/>
          <w:spacing w:val="-72"/>
          <w:sz w:val="24"/>
          <w:szCs w:val="24"/>
          <w:highlight w:val="none"/>
        </w:rPr>
        <w:t xml:space="preserve"> </w:t>
      </w:r>
      <w:r>
        <w:rPr>
          <w:rFonts w:ascii="宋体" w:hAnsi="宋体" w:eastAsia="宋体" w:cs="宋体"/>
          <w:color w:val="auto"/>
          <w:spacing w:val="-2"/>
          <w:sz w:val="24"/>
          <w:szCs w:val="24"/>
          <w:highlight w:val="none"/>
        </w:rPr>
        <w:t>”并公开的业绩，具体时间要求见投标人须知前附表。</w:t>
      </w:r>
    </w:p>
    <w:p w14:paraId="26ECF7FF">
      <w:pPr>
        <w:spacing w:before="3" w:line="359" w:lineRule="auto"/>
        <w:ind w:left="8" w:firstLine="468"/>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“近年完成的类似项目情况表</w:t>
      </w:r>
      <w:r>
        <w:rPr>
          <w:rFonts w:ascii="宋体" w:hAnsi="宋体" w:eastAsia="宋体" w:cs="宋体"/>
          <w:color w:val="auto"/>
          <w:spacing w:val="-67"/>
          <w:sz w:val="24"/>
          <w:szCs w:val="24"/>
          <w:highlight w:val="none"/>
        </w:rPr>
        <w:t xml:space="preserve"> </w:t>
      </w:r>
      <w:r>
        <w:rPr>
          <w:rFonts w:ascii="宋体" w:hAnsi="宋体" w:eastAsia="宋体" w:cs="宋体"/>
          <w:color w:val="auto"/>
          <w:spacing w:val="4"/>
          <w:sz w:val="24"/>
          <w:szCs w:val="24"/>
          <w:highlight w:val="none"/>
        </w:rPr>
        <w:t>”应附在交通运输部“全国公路建设市场监督管理</w:t>
      </w:r>
      <w:r>
        <w:rPr>
          <w:rFonts w:ascii="宋体" w:hAnsi="宋体" w:eastAsia="宋体" w:cs="宋体"/>
          <w:color w:val="auto"/>
          <w:spacing w:val="3"/>
          <w:sz w:val="24"/>
          <w:szCs w:val="24"/>
          <w:highlight w:val="none"/>
        </w:rPr>
        <w:t>系统</w:t>
      </w:r>
      <w:r>
        <w:rPr>
          <w:rFonts w:ascii="宋体" w:hAnsi="宋体" w:eastAsia="宋体" w:cs="宋体"/>
          <w:color w:val="auto"/>
          <w:spacing w:val="-81"/>
          <w:sz w:val="24"/>
          <w:szCs w:val="24"/>
          <w:highlight w:val="none"/>
        </w:rPr>
        <w:t xml:space="preserve"> </w:t>
      </w:r>
      <w:r>
        <w:rPr>
          <w:rFonts w:ascii="宋体" w:hAnsi="宋体" w:eastAsia="宋体" w:cs="宋体"/>
          <w:color w:val="auto"/>
          <w:spacing w:val="3"/>
          <w:sz w:val="24"/>
          <w:szCs w:val="24"/>
          <w:highlight w:val="none"/>
        </w:rPr>
        <w:t>”中查询到的企业“业绩信息</w:t>
      </w:r>
      <w:r>
        <w:rPr>
          <w:rFonts w:ascii="宋体" w:hAnsi="宋体" w:eastAsia="宋体" w:cs="宋体"/>
          <w:color w:val="auto"/>
          <w:spacing w:val="-83"/>
          <w:sz w:val="24"/>
          <w:szCs w:val="24"/>
          <w:highlight w:val="none"/>
        </w:rPr>
        <w:t xml:space="preserve"> </w:t>
      </w:r>
      <w:r>
        <w:rPr>
          <w:rFonts w:ascii="宋体" w:hAnsi="宋体" w:eastAsia="宋体" w:cs="宋体"/>
          <w:color w:val="auto"/>
          <w:spacing w:val="3"/>
          <w:sz w:val="24"/>
          <w:szCs w:val="24"/>
          <w:highlight w:val="none"/>
        </w:rPr>
        <w:t>”相关项目网页截图扫描件（或网页</w:t>
      </w:r>
      <w:r>
        <w:rPr>
          <w:rFonts w:ascii="宋体" w:hAnsi="宋体" w:eastAsia="宋体" w:cs="宋体"/>
          <w:color w:val="auto"/>
          <w:spacing w:val="2"/>
          <w:sz w:val="24"/>
          <w:szCs w:val="24"/>
          <w:highlight w:val="none"/>
        </w:rPr>
        <w:t>打印件）。即</w:t>
      </w:r>
      <w:r>
        <w:rPr>
          <w:rFonts w:ascii="宋体" w:hAnsi="宋体" w:eastAsia="宋体" w:cs="宋体"/>
          <w:color w:val="auto"/>
          <w:spacing w:val="1"/>
          <w:sz w:val="24"/>
          <w:szCs w:val="24"/>
          <w:highlight w:val="none"/>
        </w:rPr>
        <w:t>包括“项目名称</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”、“标段类型</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”、“合同价</w:t>
      </w:r>
      <w:r>
        <w:rPr>
          <w:rFonts w:ascii="宋体" w:hAnsi="宋体" w:eastAsia="宋体" w:cs="宋体"/>
          <w:color w:val="auto"/>
          <w:spacing w:val="-81"/>
          <w:sz w:val="24"/>
          <w:szCs w:val="24"/>
          <w:highlight w:val="none"/>
        </w:rPr>
        <w:t xml:space="preserve"> </w:t>
      </w:r>
      <w:r>
        <w:rPr>
          <w:rFonts w:ascii="宋体" w:hAnsi="宋体" w:eastAsia="宋体" w:cs="宋体"/>
          <w:color w:val="auto"/>
          <w:spacing w:val="1"/>
          <w:sz w:val="24"/>
          <w:szCs w:val="24"/>
          <w:highlight w:val="none"/>
        </w:rPr>
        <w:t>”、“主要工程量</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”等栏目在内</w:t>
      </w:r>
      <w:r>
        <w:rPr>
          <w:rFonts w:ascii="宋体" w:hAnsi="宋体" w:eastAsia="宋体" w:cs="宋体"/>
          <w:color w:val="auto"/>
          <w:sz w:val="24"/>
          <w:szCs w:val="24"/>
          <w:highlight w:val="none"/>
        </w:rPr>
        <w:t>的项目</w:t>
      </w:r>
      <w:r>
        <w:rPr>
          <w:rFonts w:ascii="宋体" w:hAnsi="宋体" w:eastAsia="宋体" w:cs="宋体"/>
          <w:color w:val="auto"/>
          <w:spacing w:val="5"/>
          <w:sz w:val="24"/>
          <w:szCs w:val="24"/>
          <w:highlight w:val="none"/>
        </w:rPr>
        <w:t>详细信息网页截图扫描件（或网页打印件）。在交通运输部“全国公路建设</w:t>
      </w:r>
      <w:r>
        <w:rPr>
          <w:rFonts w:ascii="宋体" w:hAnsi="宋体" w:eastAsia="宋体" w:cs="宋体"/>
          <w:color w:val="auto"/>
          <w:spacing w:val="4"/>
          <w:sz w:val="24"/>
          <w:szCs w:val="24"/>
          <w:highlight w:val="none"/>
        </w:rPr>
        <w:t>市场监督</w:t>
      </w:r>
      <w:r>
        <w:rPr>
          <w:rFonts w:ascii="宋体" w:hAnsi="宋体" w:eastAsia="宋体" w:cs="宋体"/>
          <w:color w:val="auto"/>
          <w:spacing w:val="1"/>
          <w:sz w:val="24"/>
          <w:szCs w:val="24"/>
          <w:highlight w:val="none"/>
        </w:rPr>
        <w:t>管理系统</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”中无法查询，但可在省级交通运输主管部门“公路建设市场监督管理系统</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w:t>
      </w:r>
      <w:bookmarkStart w:id="104" w:name="bookmark103"/>
      <w:bookmarkEnd w:id="104"/>
      <w:bookmarkStart w:id="105" w:name="bookmark105"/>
      <w:bookmarkEnd w:id="105"/>
      <w:bookmarkStart w:id="106" w:name="bookmark104"/>
      <w:bookmarkEnd w:id="106"/>
      <w:r>
        <w:rPr>
          <w:rFonts w:ascii="宋体" w:hAnsi="宋体" w:eastAsia="宋体" w:cs="宋体"/>
          <w:color w:val="auto"/>
          <w:spacing w:val="4"/>
          <w:sz w:val="24"/>
          <w:szCs w:val="24"/>
          <w:highlight w:val="none"/>
        </w:rPr>
        <w:t>中查询的，应附省级交通运输主管部门“公路建设市场监督管理系统</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”中查</w:t>
      </w:r>
      <w:r>
        <w:rPr>
          <w:rFonts w:ascii="宋体" w:hAnsi="宋体" w:eastAsia="宋体" w:cs="宋体"/>
          <w:color w:val="auto"/>
          <w:spacing w:val="3"/>
          <w:sz w:val="24"/>
          <w:szCs w:val="24"/>
          <w:highlight w:val="none"/>
        </w:rPr>
        <w:t>询到以上</w:t>
      </w:r>
    </w:p>
    <w:p w14:paraId="5830A668">
      <w:pPr>
        <w:spacing w:line="276" w:lineRule="auto"/>
        <w:rPr>
          <w:rFonts w:ascii="Arial"/>
          <w:color w:val="auto"/>
          <w:sz w:val="21"/>
          <w:highlight w:val="none"/>
        </w:rPr>
      </w:pPr>
      <w:r>
        <w:rPr>
          <w:color w:val="auto"/>
          <w:highlight w:val="none"/>
        </w:rPr>
        <w:pict>
          <v:shape id="_x0000_s1064" o:spid="_x0000_s1064" style="position:absolute;left:0pt;margin-left:0pt;margin-top:9.4pt;height:0pt;width:144pt;z-index:251677696;mso-width-relative:page;mso-height-relative:page;" filled="f" stroked="t" coordsize="2880,0" path="m0,0l2880,0e">
            <v:fill on="f" focussize="0,0"/>
            <v:stroke weight="0pt" color="#000000" miterlimit="0" joinstyle="bevel" endcap="square"/>
            <v:imagedata o:title=""/>
            <o:lock v:ext="edit"/>
          </v:shape>
        </w:pict>
      </w:r>
    </w:p>
    <w:p w14:paraId="20D69021">
      <w:pPr>
        <w:spacing w:before="59" w:line="217" w:lineRule="auto"/>
        <w:ind w:left="5"/>
        <w:rPr>
          <w:rFonts w:ascii="宋体" w:hAnsi="宋体" w:eastAsia="宋体" w:cs="宋体"/>
          <w:color w:val="auto"/>
          <w:sz w:val="18"/>
          <w:szCs w:val="18"/>
          <w:highlight w:val="none"/>
        </w:rPr>
      </w:pPr>
      <w:r>
        <w:rPr>
          <w:rFonts w:ascii="宋体" w:hAnsi="宋体" w:eastAsia="宋体" w:cs="宋体"/>
          <w:color w:val="auto"/>
          <w:sz w:val="18"/>
          <w:szCs w:val="18"/>
          <w:highlight w:val="none"/>
        </w:rPr>
        <w:t>① 不适用于房建工程施工监理单独进行招标以及资质最低要求为省级相关部门许可资质的监</w:t>
      </w:r>
      <w:r>
        <w:rPr>
          <w:rFonts w:ascii="宋体" w:hAnsi="宋体" w:eastAsia="宋体" w:cs="宋体"/>
          <w:color w:val="auto"/>
          <w:spacing w:val="-1"/>
          <w:sz w:val="18"/>
          <w:szCs w:val="18"/>
          <w:highlight w:val="none"/>
        </w:rPr>
        <w:t>理企业的情形。</w:t>
      </w:r>
    </w:p>
    <w:p w14:paraId="76C4075C">
      <w:pPr>
        <w:spacing w:before="139" w:line="217" w:lineRule="auto"/>
        <w:ind w:left="4"/>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②</w:t>
      </w:r>
      <w:r>
        <w:rPr>
          <w:rFonts w:ascii="宋体" w:hAnsi="宋体" w:eastAsia="宋体" w:cs="宋体"/>
          <w:color w:val="auto"/>
          <w:spacing w:val="70"/>
          <w:sz w:val="18"/>
          <w:szCs w:val="18"/>
          <w:highlight w:val="none"/>
        </w:rPr>
        <w:t xml:space="preserve"> </w:t>
      </w:r>
      <w:r>
        <w:rPr>
          <w:rFonts w:ascii="宋体" w:hAnsi="宋体" w:eastAsia="宋体" w:cs="宋体"/>
          <w:color w:val="auto"/>
          <w:spacing w:val="-1"/>
          <w:sz w:val="18"/>
          <w:szCs w:val="18"/>
          <w:highlight w:val="none"/>
        </w:rPr>
        <w:t>适用于资质最低要求为国家相关部门许可资质的监理企业的情形。</w:t>
      </w:r>
    </w:p>
    <w:p w14:paraId="6AA9CAFA">
      <w:pPr>
        <w:spacing w:before="139" w:line="217" w:lineRule="auto"/>
        <w:ind w:left="4"/>
        <w:rPr>
          <w:rFonts w:ascii="宋体" w:hAnsi="宋体" w:eastAsia="宋体" w:cs="宋体"/>
          <w:color w:val="auto"/>
          <w:sz w:val="18"/>
          <w:szCs w:val="18"/>
          <w:highlight w:val="none"/>
        </w:rPr>
      </w:pPr>
      <w:r>
        <w:rPr>
          <w:rFonts w:ascii="宋体" w:hAnsi="宋体" w:eastAsia="宋体" w:cs="宋体"/>
          <w:color w:val="auto"/>
          <w:sz w:val="18"/>
          <w:szCs w:val="18"/>
          <w:highlight w:val="none"/>
        </w:rPr>
        <w:t>③ 适用于资质最低要求为省级相关部门许可资质的监理</w:t>
      </w:r>
      <w:r>
        <w:rPr>
          <w:rFonts w:ascii="宋体" w:hAnsi="宋体" w:eastAsia="宋体" w:cs="宋体"/>
          <w:color w:val="auto"/>
          <w:spacing w:val="-1"/>
          <w:sz w:val="18"/>
          <w:szCs w:val="18"/>
          <w:highlight w:val="none"/>
        </w:rPr>
        <w:t>企业的情形。</w:t>
      </w:r>
    </w:p>
    <w:p w14:paraId="533527E3">
      <w:pPr>
        <w:spacing w:line="217" w:lineRule="auto"/>
        <w:rPr>
          <w:rFonts w:ascii="宋体" w:hAnsi="宋体" w:eastAsia="宋体" w:cs="宋体"/>
          <w:color w:val="auto"/>
          <w:sz w:val="18"/>
          <w:szCs w:val="18"/>
          <w:highlight w:val="none"/>
        </w:rPr>
        <w:sectPr>
          <w:footerReference r:id="rId38" w:type="default"/>
          <w:pgSz w:w="11906" w:h="16839"/>
          <w:pgMar w:top="1323" w:right="1255" w:bottom="1297" w:left="1417" w:header="0" w:footer="1065" w:gutter="0"/>
          <w:pgNumType w:fmt="decimal"/>
          <w:cols w:space="720" w:num="1"/>
        </w:sectPr>
      </w:pPr>
    </w:p>
    <w:p w14:paraId="3A45CF4C">
      <w:pPr>
        <w:spacing w:before="48" w:line="359" w:lineRule="auto"/>
        <w:ind w:left="16" w:hanging="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信息的网页截图扫描件（或网页打印件）并注明查询路径。除网页截图扫描</w:t>
      </w:r>
      <w:r>
        <w:rPr>
          <w:rFonts w:ascii="宋体" w:hAnsi="宋体" w:eastAsia="宋体" w:cs="宋体"/>
          <w:color w:val="auto"/>
          <w:spacing w:val="4"/>
          <w:sz w:val="24"/>
          <w:szCs w:val="24"/>
          <w:highlight w:val="none"/>
        </w:rPr>
        <w:t>件（或网</w:t>
      </w:r>
      <w:r>
        <w:rPr>
          <w:rFonts w:ascii="宋体" w:hAnsi="宋体" w:eastAsia="宋体" w:cs="宋体"/>
          <w:color w:val="auto"/>
          <w:spacing w:val="-1"/>
          <w:sz w:val="24"/>
          <w:szCs w:val="24"/>
          <w:highlight w:val="none"/>
        </w:rPr>
        <w:t>页打印件）外，投标人无须再提供任何业绩证明材料。</w:t>
      </w:r>
    </w:p>
    <w:p w14:paraId="27ED8DF9">
      <w:pPr>
        <w:spacing w:before="2" w:line="358" w:lineRule="auto"/>
        <w:ind w:left="14" w:firstLine="48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如投标人未提供相关项目网页截图扫描件（或网页打印件</w:t>
      </w:r>
      <w:r>
        <w:rPr>
          <w:rFonts w:ascii="宋体" w:hAnsi="宋体" w:eastAsia="宋体" w:cs="宋体"/>
          <w:color w:val="auto"/>
          <w:spacing w:val="22"/>
          <w:sz w:val="24"/>
          <w:szCs w:val="24"/>
          <w:highlight w:val="none"/>
        </w:rPr>
        <w:t>），</w:t>
      </w:r>
      <w:r>
        <w:rPr>
          <w:rFonts w:ascii="宋体" w:hAnsi="宋体" w:eastAsia="宋体" w:cs="宋体"/>
          <w:color w:val="auto"/>
          <w:spacing w:val="4"/>
          <w:sz w:val="24"/>
          <w:szCs w:val="24"/>
          <w:highlight w:val="none"/>
        </w:rPr>
        <w:t>或网页截图扫描件</w:t>
      </w:r>
      <w:r>
        <w:rPr>
          <w:rFonts w:ascii="宋体" w:hAnsi="宋体" w:eastAsia="宋体" w:cs="宋体"/>
          <w:color w:val="auto"/>
          <w:spacing w:val="5"/>
          <w:sz w:val="24"/>
          <w:szCs w:val="24"/>
          <w:highlight w:val="none"/>
        </w:rPr>
        <w:t>（或网页打印件）中的信息无法证实投标人满足招标文件规定的资格</w:t>
      </w:r>
      <w:r>
        <w:rPr>
          <w:rFonts w:ascii="宋体" w:hAnsi="宋体" w:eastAsia="宋体" w:cs="宋体"/>
          <w:color w:val="auto"/>
          <w:spacing w:val="4"/>
          <w:sz w:val="24"/>
          <w:szCs w:val="24"/>
          <w:highlight w:val="none"/>
        </w:rPr>
        <w:t>审查条件（业绩</w:t>
      </w:r>
      <w:r>
        <w:rPr>
          <w:rFonts w:ascii="宋体" w:hAnsi="宋体" w:eastAsia="宋体" w:cs="宋体"/>
          <w:color w:val="auto"/>
          <w:spacing w:val="-1"/>
          <w:sz w:val="24"/>
          <w:szCs w:val="24"/>
          <w:highlight w:val="none"/>
        </w:rPr>
        <w:t>最低要求）或评标办法评分标准（如有</w:t>
      </w:r>
      <w:r>
        <w:rPr>
          <w:rFonts w:ascii="宋体" w:hAnsi="宋体" w:eastAsia="宋体" w:cs="宋体"/>
          <w:color w:val="auto"/>
          <w:spacing w:val="7"/>
          <w:sz w:val="24"/>
          <w:szCs w:val="24"/>
          <w:highlight w:val="none"/>
        </w:rPr>
        <w:t>），</w:t>
      </w:r>
      <w:r>
        <w:rPr>
          <w:rFonts w:ascii="宋体" w:hAnsi="宋体" w:eastAsia="宋体" w:cs="宋体"/>
          <w:color w:val="auto"/>
          <w:spacing w:val="-1"/>
          <w:sz w:val="24"/>
          <w:szCs w:val="24"/>
          <w:highlight w:val="none"/>
        </w:rPr>
        <w:t>则该项目业绩不予认定。</w:t>
      </w:r>
    </w:p>
    <w:p w14:paraId="50879F4E">
      <w:pPr>
        <w:spacing w:line="359" w:lineRule="auto"/>
        <w:ind w:left="14"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如近年来，投标人法人机构发生合法变更或重组或法人名称变更时，应提供相关</w:t>
      </w:r>
      <w:r>
        <w:rPr>
          <w:rFonts w:ascii="宋体" w:hAnsi="宋体" w:eastAsia="宋体" w:cs="宋体"/>
          <w:color w:val="auto"/>
          <w:spacing w:val="-1"/>
          <w:sz w:val="24"/>
          <w:szCs w:val="24"/>
          <w:highlight w:val="none"/>
        </w:rPr>
        <w:t>部门的合法批件或其他相关证明材料来证明其所附业绩的继承性。</w:t>
      </w:r>
    </w:p>
    <w:p w14:paraId="7C772CBE">
      <w:pPr>
        <w:spacing w:line="212" w:lineRule="auto"/>
        <w:ind w:left="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3.5.2</w:t>
      </w:r>
      <w:r>
        <w:rPr>
          <w:color w:val="auto"/>
          <w:highlight w:val="none"/>
        </w:rPr>
        <w:fldChar w:fldCharType="begin"/>
      </w:r>
      <w:r>
        <w:rPr>
          <w:color w:val="auto"/>
          <w:highlight w:val="none"/>
        </w:rPr>
        <w:instrText xml:space="preserve"> HYPERLINK \l "bookmark106" </w:instrText>
      </w:r>
      <w:r>
        <w:rPr>
          <w:color w:val="auto"/>
          <w:highlight w:val="none"/>
        </w:rPr>
        <w:fldChar w:fldCharType="separate"/>
      </w:r>
      <w:r>
        <w:rPr>
          <w:rFonts w:ascii="宋体" w:hAnsi="宋体" w:eastAsia="宋体" w:cs="宋体"/>
          <w:color w:val="auto"/>
          <w:spacing w:val="-1"/>
          <w:position w:val="10"/>
          <w:sz w:val="10"/>
          <w:szCs w:val="10"/>
          <w:highlight w:val="none"/>
        </w:rPr>
        <w:t>①</w:t>
      </w:r>
      <w:r>
        <w:rPr>
          <w:rFonts w:ascii="宋体" w:hAnsi="宋体" w:eastAsia="宋体" w:cs="宋体"/>
          <w:color w:val="auto"/>
          <w:spacing w:val="-1"/>
          <w:position w:val="10"/>
          <w:sz w:val="10"/>
          <w:szCs w:val="10"/>
          <w:highlight w:val="none"/>
        </w:rPr>
        <w:fldChar w:fldCharType="end"/>
      </w:r>
      <w:r>
        <w:rPr>
          <w:rFonts w:ascii="宋体" w:hAnsi="宋体" w:eastAsia="宋体" w:cs="宋体"/>
          <w:color w:val="auto"/>
          <w:spacing w:val="-1"/>
          <w:sz w:val="24"/>
          <w:szCs w:val="24"/>
          <w:highlight w:val="none"/>
        </w:rPr>
        <w:t>(C)“近年完成的类似项目</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”具体时间要求见投标人</w:t>
      </w:r>
      <w:r>
        <w:rPr>
          <w:rFonts w:ascii="宋体" w:hAnsi="宋体" w:eastAsia="宋体" w:cs="宋体"/>
          <w:color w:val="auto"/>
          <w:spacing w:val="-2"/>
          <w:sz w:val="24"/>
          <w:szCs w:val="24"/>
          <w:highlight w:val="none"/>
        </w:rPr>
        <w:t>须知前附表。</w:t>
      </w:r>
    </w:p>
    <w:p w14:paraId="606CD6C6">
      <w:pPr>
        <w:spacing w:before="192" w:line="359" w:lineRule="auto"/>
        <w:ind w:left="10" w:firstLine="709"/>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“近年完成的类似项目情况表</w:t>
      </w:r>
      <w:r>
        <w:rPr>
          <w:rFonts w:ascii="宋体" w:hAnsi="宋体" w:eastAsia="宋体" w:cs="宋体"/>
          <w:color w:val="auto"/>
          <w:spacing w:val="-63"/>
          <w:sz w:val="24"/>
          <w:szCs w:val="24"/>
          <w:highlight w:val="none"/>
        </w:rPr>
        <w:t xml:space="preserve"> </w:t>
      </w:r>
      <w:r>
        <w:rPr>
          <w:rFonts w:ascii="宋体" w:hAnsi="宋体" w:eastAsia="宋体" w:cs="宋体"/>
          <w:color w:val="auto"/>
          <w:spacing w:val="4"/>
          <w:sz w:val="24"/>
          <w:szCs w:val="24"/>
          <w:highlight w:val="none"/>
        </w:rPr>
        <w:t>”应同时附合同协议书、项目已交（竣）工证明</w:t>
      </w:r>
      <w:r>
        <w:rPr>
          <w:rFonts w:ascii="宋体" w:hAnsi="宋体" w:eastAsia="宋体" w:cs="宋体"/>
          <w:color w:val="auto"/>
          <w:spacing w:val="5"/>
          <w:sz w:val="24"/>
          <w:szCs w:val="24"/>
          <w:highlight w:val="none"/>
        </w:rPr>
        <w:t>文件（交工验收证书或竣工验收备案表或竣工验收证明材料或建设单位出具的</w:t>
      </w:r>
      <w:r>
        <w:rPr>
          <w:rFonts w:ascii="宋体" w:hAnsi="宋体" w:eastAsia="宋体" w:cs="宋体"/>
          <w:color w:val="auto"/>
          <w:spacing w:val="4"/>
          <w:sz w:val="24"/>
          <w:szCs w:val="24"/>
          <w:highlight w:val="none"/>
        </w:rPr>
        <w:t>完工证</w:t>
      </w:r>
      <w:r>
        <w:rPr>
          <w:rFonts w:ascii="宋体" w:hAnsi="宋体" w:eastAsia="宋体" w:cs="宋体"/>
          <w:color w:val="auto"/>
          <w:spacing w:val="5"/>
          <w:sz w:val="24"/>
          <w:szCs w:val="24"/>
          <w:highlight w:val="none"/>
        </w:rPr>
        <w:t>明或完工验收鉴定书等）扫描件；如果投标人提供的上述证明材料均无法体现</w:t>
      </w:r>
      <w:r>
        <w:rPr>
          <w:rFonts w:ascii="宋体" w:hAnsi="宋体" w:eastAsia="宋体" w:cs="宋体"/>
          <w:color w:val="auto"/>
          <w:spacing w:val="4"/>
          <w:sz w:val="24"/>
          <w:szCs w:val="24"/>
          <w:highlight w:val="none"/>
        </w:rPr>
        <w:t>投标人</w:t>
      </w:r>
      <w:r>
        <w:rPr>
          <w:rFonts w:ascii="宋体" w:hAnsi="宋体" w:eastAsia="宋体" w:cs="宋体"/>
          <w:color w:val="auto"/>
          <w:spacing w:val="5"/>
          <w:sz w:val="24"/>
          <w:szCs w:val="24"/>
          <w:highlight w:val="none"/>
        </w:rPr>
        <w:t>满足招标文件规定的资格审查条件（业绩最低要求）或评标办法评分标准</w:t>
      </w:r>
      <w:r>
        <w:rPr>
          <w:rFonts w:ascii="宋体" w:hAnsi="宋体" w:eastAsia="宋体" w:cs="宋体"/>
          <w:color w:val="auto"/>
          <w:spacing w:val="4"/>
          <w:sz w:val="24"/>
          <w:szCs w:val="24"/>
          <w:highlight w:val="none"/>
        </w:rPr>
        <w:t>（如有</w:t>
      </w:r>
      <w:r>
        <w:rPr>
          <w:rFonts w:ascii="宋体" w:hAnsi="宋体" w:eastAsia="宋体" w:cs="宋体"/>
          <w:color w:val="auto"/>
          <w:spacing w:val="5"/>
          <w:sz w:val="24"/>
          <w:szCs w:val="24"/>
          <w:highlight w:val="none"/>
        </w:rPr>
        <w:t>），则投标人还应提供项目业主（或其上级单位）或行业主管部门出具的证明材料</w:t>
      </w:r>
      <w:r>
        <w:rPr>
          <w:rFonts w:ascii="宋体" w:hAnsi="宋体" w:eastAsia="宋体" w:cs="宋体"/>
          <w:color w:val="auto"/>
          <w:spacing w:val="4"/>
          <w:sz w:val="24"/>
          <w:szCs w:val="24"/>
          <w:highlight w:val="none"/>
        </w:rPr>
        <w:t>的扫描</w:t>
      </w:r>
      <w:r>
        <w:rPr>
          <w:rFonts w:ascii="宋体" w:hAnsi="宋体" w:eastAsia="宋体" w:cs="宋体"/>
          <w:color w:val="auto"/>
          <w:spacing w:val="-5"/>
          <w:sz w:val="24"/>
          <w:szCs w:val="24"/>
          <w:highlight w:val="none"/>
        </w:rPr>
        <w:t>件。</w:t>
      </w:r>
    </w:p>
    <w:p w14:paraId="7C3FD191">
      <w:pPr>
        <w:spacing w:line="359" w:lineRule="auto"/>
        <w:ind w:left="14"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如投标人未提供证明材料或证明材料无法证实投标人满足招标文件规定的资格审</w:t>
      </w:r>
      <w:r>
        <w:rPr>
          <w:rFonts w:ascii="宋体" w:hAnsi="宋体" w:eastAsia="宋体" w:cs="宋体"/>
          <w:color w:val="auto"/>
          <w:spacing w:val="-1"/>
          <w:sz w:val="24"/>
          <w:szCs w:val="24"/>
          <w:highlight w:val="none"/>
        </w:rPr>
        <w:t>查条件（业绩最低要求）或评标办法评分标准（如有</w:t>
      </w:r>
      <w:r>
        <w:rPr>
          <w:rFonts w:ascii="宋体" w:hAnsi="宋体" w:eastAsia="宋体" w:cs="宋体"/>
          <w:color w:val="auto"/>
          <w:spacing w:val="10"/>
          <w:sz w:val="24"/>
          <w:szCs w:val="24"/>
          <w:highlight w:val="none"/>
        </w:rPr>
        <w:t>），</w:t>
      </w:r>
      <w:r>
        <w:rPr>
          <w:rFonts w:ascii="宋体" w:hAnsi="宋体" w:eastAsia="宋体" w:cs="宋体"/>
          <w:color w:val="auto"/>
          <w:spacing w:val="-1"/>
          <w:sz w:val="24"/>
          <w:szCs w:val="24"/>
          <w:highlight w:val="none"/>
        </w:rPr>
        <w:t>则该项目业绩不予认定。</w:t>
      </w:r>
    </w:p>
    <w:p w14:paraId="4414F44B">
      <w:pPr>
        <w:spacing w:line="359" w:lineRule="auto"/>
        <w:ind w:left="14"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如近年来，投标人法人机构发生合法变更或重组或法人名称变更时，应提供相关</w:t>
      </w:r>
      <w:r>
        <w:rPr>
          <w:rFonts w:ascii="宋体" w:hAnsi="宋体" w:eastAsia="宋体" w:cs="宋体"/>
          <w:color w:val="auto"/>
          <w:spacing w:val="-1"/>
          <w:sz w:val="24"/>
          <w:szCs w:val="24"/>
          <w:highlight w:val="none"/>
        </w:rPr>
        <w:t>部门的合法批件或其他相关证明材料来证明其所附业绩的继承性。</w:t>
      </w:r>
    </w:p>
    <w:p w14:paraId="7C8721D6">
      <w:pPr>
        <w:spacing w:before="2" w:line="312" w:lineRule="auto"/>
        <w:ind w:left="10" w:firstLine="48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3.5.3 “投标人的信誉情况</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”应附投标人在国</w:t>
      </w:r>
      <w:r>
        <w:rPr>
          <w:rFonts w:ascii="宋体" w:hAnsi="宋体" w:eastAsia="宋体" w:cs="宋体"/>
          <w:color w:val="auto"/>
          <w:spacing w:val="3"/>
          <w:sz w:val="24"/>
          <w:szCs w:val="24"/>
          <w:highlight w:val="none"/>
        </w:rPr>
        <w:t>家企业信用信息公示系统中未被列</w:t>
      </w:r>
      <w:r>
        <w:rPr>
          <w:rFonts w:ascii="宋体" w:hAnsi="宋体" w:eastAsia="宋体" w:cs="宋体"/>
          <w:color w:val="auto"/>
          <w:spacing w:val="2"/>
          <w:sz w:val="24"/>
          <w:szCs w:val="24"/>
          <w:highlight w:val="none"/>
        </w:rPr>
        <w:t>入严重违法失信企业名单、在“信用中国</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”或“</w:t>
      </w:r>
      <w:r>
        <w:rPr>
          <w:rFonts w:ascii="宋体" w:hAnsi="宋体" w:eastAsia="宋体" w:cs="宋体"/>
          <w:color w:val="auto"/>
          <w:spacing w:val="-84"/>
          <w:sz w:val="24"/>
          <w:szCs w:val="24"/>
          <w:highlight w:val="none"/>
        </w:rPr>
        <w:t xml:space="preserve"> </w:t>
      </w:r>
      <w:r>
        <w:rPr>
          <w:rFonts w:ascii="宋体" w:hAnsi="宋体" w:eastAsia="宋体" w:cs="宋体"/>
          <w:color w:val="auto"/>
          <w:spacing w:val="2"/>
          <w:sz w:val="24"/>
          <w:szCs w:val="24"/>
          <w:highlight w:val="none"/>
        </w:rPr>
        <w:t>中国执行信息公开网站</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”网站中</w:t>
      </w:r>
      <w:r>
        <w:rPr>
          <w:rFonts w:ascii="宋体" w:hAnsi="宋体" w:eastAsia="宋体" w:cs="宋体"/>
          <w:color w:val="auto"/>
          <w:spacing w:val="1"/>
          <w:sz w:val="24"/>
          <w:szCs w:val="24"/>
          <w:highlight w:val="none"/>
        </w:rPr>
        <w:t>未被</w:t>
      </w:r>
      <w:r>
        <w:rPr>
          <w:rFonts w:ascii="宋体" w:hAnsi="宋体" w:eastAsia="宋体" w:cs="宋体"/>
          <w:color w:val="auto"/>
          <w:spacing w:val="-1"/>
          <w:sz w:val="24"/>
          <w:szCs w:val="24"/>
          <w:highlight w:val="none"/>
        </w:rPr>
        <w:t>列入失信被执行人名单的网页截图扫描件。</w:t>
      </w:r>
    </w:p>
    <w:p w14:paraId="7502C474">
      <w:pPr>
        <w:spacing w:before="164" w:line="334" w:lineRule="auto"/>
        <w:ind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3.5.4</w:t>
      </w:r>
      <w:r>
        <w:rPr>
          <w:color w:val="auto"/>
          <w:highlight w:val="none"/>
        </w:rPr>
        <w:fldChar w:fldCharType="begin"/>
      </w:r>
      <w:r>
        <w:rPr>
          <w:color w:val="auto"/>
          <w:highlight w:val="none"/>
        </w:rPr>
        <w:instrText xml:space="preserve"> HYPERLINK \l "bookmark107" </w:instrText>
      </w:r>
      <w:r>
        <w:rPr>
          <w:color w:val="auto"/>
          <w:highlight w:val="none"/>
        </w:rPr>
        <w:fldChar w:fldCharType="separate"/>
      </w:r>
      <w:r>
        <w:rPr>
          <w:rFonts w:ascii="宋体" w:hAnsi="宋体" w:eastAsia="宋体" w:cs="宋体"/>
          <w:color w:val="auto"/>
          <w:spacing w:val="1"/>
          <w:position w:val="12"/>
          <w:sz w:val="12"/>
          <w:szCs w:val="12"/>
          <w:highlight w:val="none"/>
        </w:rPr>
        <w:t>②</w:t>
      </w:r>
      <w:r>
        <w:rPr>
          <w:rFonts w:ascii="宋体" w:hAnsi="宋体" w:eastAsia="宋体" w:cs="宋体"/>
          <w:color w:val="auto"/>
          <w:spacing w:val="1"/>
          <w:position w:val="12"/>
          <w:sz w:val="12"/>
          <w:szCs w:val="12"/>
          <w:highlight w:val="none"/>
        </w:rPr>
        <w:fldChar w:fldCharType="end"/>
      </w:r>
      <w:r>
        <w:rPr>
          <w:rFonts w:ascii="宋体" w:hAnsi="宋体" w:eastAsia="宋体" w:cs="宋体"/>
          <w:color w:val="auto"/>
          <w:spacing w:val="1"/>
          <w:sz w:val="24"/>
          <w:szCs w:val="24"/>
          <w:highlight w:val="none"/>
        </w:rPr>
        <w:t>(A)“拟委任的总监理工程师或驻</w:t>
      </w:r>
      <w:r>
        <w:rPr>
          <w:rFonts w:ascii="宋体" w:hAnsi="宋体" w:eastAsia="宋体" w:cs="宋体"/>
          <w:color w:val="auto"/>
          <w:sz w:val="24"/>
          <w:szCs w:val="24"/>
          <w:highlight w:val="none"/>
        </w:rPr>
        <w:t>地监理工程师资历表</w:t>
      </w:r>
      <w:r>
        <w:rPr>
          <w:rFonts w:ascii="宋体" w:hAnsi="宋体" w:eastAsia="宋体" w:cs="宋体"/>
          <w:color w:val="auto"/>
          <w:spacing w:val="-86"/>
          <w:sz w:val="24"/>
          <w:szCs w:val="24"/>
          <w:highlight w:val="none"/>
        </w:rPr>
        <w:t xml:space="preserve"> </w:t>
      </w:r>
      <w:r>
        <w:rPr>
          <w:rFonts w:ascii="宋体" w:hAnsi="宋体" w:eastAsia="宋体" w:cs="宋体"/>
          <w:color w:val="auto"/>
          <w:sz w:val="24"/>
          <w:szCs w:val="24"/>
          <w:highlight w:val="none"/>
        </w:rPr>
        <w:t>”应同时附：①交通</w:t>
      </w:r>
      <w:r>
        <w:rPr>
          <w:rFonts w:ascii="宋体" w:hAnsi="宋体" w:eastAsia="宋体" w:cs="宋体"/>
          <w:color w:val="auto"/>
          <w:spacing w:val="4"/>
          <w:sz w:val="24"/>
          <w:szCs w:val="24"/>
          <w:highlight w:val="none"/>
        </w:rPr>
        <w:t>运输部“全国公路建设市场监督管理系统</w:t>
      </w:r>
      <w:r>
        <w:rPr>
          <w:rFonts w:ascii="宋体" w:hAnsi="宋体" w:eastAsia="宋体" w:cs="宋体"/>
          <w:color w:val="auto"/>
          <w:spacing w:val="-75"/>
          <w:sz w:val="24"/>
          <w:szCs w:val="24"/>
          <w:highlight w:val="none"/>
        </w:rPr>
        <w:t xml:space="preserve"> </w:t>
      </w:r>
      <w:r>
        <w:rPr>
          <w:rFonts w:ascii="宋体" w:hAnsi="宋体" w:eastAsia="宋体" w:cs="宋体"/>
          <w:color w:val="auto"/>
          <w:spacing w:val="4"/>
          <w:sz w:val="24"/>
          <w:szCs w:val="24"/>
          <w:highlight w:val="none"/>
        </w:rPr>
        <w:t>”中查询到的企业人员信息相关网页截图扫</w:t>
      </w:r>
      <w:r>
        <w:rPr>
          <w:rFonts w:ascii="宋体" w:hAnsi="宋体" w:eastAsia="宋体" w:cs="宋体"/>
          <w:color w:val="auto"/>
          <w:spacing w:val="1"/>
          <w:sz w:val="24"/>
          <w:szCs w:val="24"/>
          <w:highlight w:val="none"/>
        </w:rPr>
        <w:t>描件（网页打印件</w:t>
      </w:r>
      <w:r>
        <w:rPr>
          <w:rFonts w:ascii="宋体" w:hAnsi="宋体" w:eastAsia="宋体" w:cs="宋体"/>
          <w:color w:val="auto"/>
          <w:spacing w:val="25"/>
          <w:sz w:val="24"/>
          <w:szCs w:val="24"/>
          <w:highlight w:val="none"/>
        </w:rPr>
        <w:t>），</w:t>
      </w:r>
      <w:r>
        <w:rPr>
          <w:rFonts w:ascii="宋体" w:hAnsi="宋体" w:eastAsia="宋体" w:cs="宋体"/>
          <w:color w:val="auto"/>
          <w:spacing w:val="1"/>
          <w:sz w:val="24"/>
          <w:szCs w:val="24"/>
          <w:highlight w:val="none"/>
        </w:rPr>
        <w:t>即包括人员的“基本信息</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”、“职称信息</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”、“执业资格</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“个人业绩</w:t>
      </w:r>
      <w:r>
        <w:rPr>
          <w:rFonts w:ascii="宋体" w:hAnsi="宋体" w:eastAsia="宋体" w:cs="宋体"/>
          <w:color w:val="auto"/>
          <w:spacing w:val="-75"/>
          <w:sz w:val="24"/>
          <w:szCs w:val="24"/>
          <w:highlight w:val="none"/>
        </w:rPr>
        <w:t xml:space="preserve"> </w:t>
      </w:r>
      <w:r>
        <w:rPr>
          <w:rFonts w:ascii="宋体" w:hAnsi="宋体" w:eastAsia="宋体" w:cs="宋体"/>
          <w:color w:val="auto"/>
          <w:spacing w:val="4"/>
          <w:sz w:val="24"/>
          <w:szCs w:val="24"/>
          <w:highlight w:val="none"/>
        </w:rPr>
        <w:t>”等栏目在内）的网页截图扫描件（或网页打印件）。②交通运输工程监</w:t>
      </w:r>
      <w:r>
        <w:rPr>
          <w:rFonts w:ascii="宋体" w:hAnsi="宋体" w:eastAsia="宋体" w:cs="宋体"/>
          <w:color w:val="auto"/>
          <w:sz w:val="24"/>
          <w:szCs w:val="24"/>
          <w:highlight w:val="none"/>
        </w:rPr>
        <w:t>理工程师注册服务系统截图。</w:t>
      </w:r>
    </w:p>
    <w:p w14:paraId="7BB68C38">
      <w:pPr>
        <w:spacing w:before="181" w:line="362" w:lineRule="auto"/>
        <w:ind w:left="23" w:firstLine="47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如投标人未提供相关网页截图扫描件（或网页打印件</w:t>
      </w:r>
      <w:r>
        <w:rPr>
          <w:rFonts w:ascii="宋体" w:hAnsi="宋体" w:eastAsia="宋体" w:cs="宋体"/>
          <w:color w:val="auto"/>
          <w:spacing w:val="22"/>
          <w:sz w:val="24"/>
          <w:szCs w:val="24"/>
          <w:highlight w:val="none"/>
        </w:rPr>
        <w:t>），</w:t>
      </w:r>
      <w:r>
        <w:rPr>
          <w:rFonts w:ascii="宋体" w:hAnsi="宋体" w:eastAsia="宋体" w:cs="宋体"/>
          <w:color w:val="auto"/>
          <w:spacing w:val="4"/>
          <w:sz w:val="24"/>
          <w:szCs w:val="24"/>
          <w:highlight w:val="none"/>
        </w:rPr>
        <w:t>或相关网页截图扫描件</w:t>
      </w:r>
      <w:bookmarkStart w:id="107" w:name="bookmark106"/>
      <w:bookmarkEnd w:id="107"/>
      <w:bookmarkStart w:id="108" w:name="bookmark107"/>
      <w:bookmarkEnd w:id="108"/>
      <w:r>
        <w:rPr>
          <w:rFonts w:ascii="宋体" w:hAnsi="宋体" w:eastAsia="宋体" w:cs="宋体"/>
          <w:color w:val="auto"/>
          <w:spacing w:val="5"/>
          <w:sz w:val="24"/>
          <w:szCs w:val="24"/>
          <w:highlight w:val="none"/>
        </w:rPr>
        <w:t>（或网页打印件）中的信息无法证实投标人满足</w:t>
      </w:r>
      <w:r>
        <w:rPr>
          <w:rFonts w:ascii="宋体" w:hAnsi="宋体" w:eastAsia="宋体" w:cs="宋体"/>
          <w:color w:val="auto"/>
          <w:spacing w:val="4"/>
          <w:sz w:val="24"/>
          <w:szCs w:val="24"/>
          <w:highlight w:val="none"/>
        </w:rPr>
        <w:t>招标文件规定的资格审查条件（人员</w:t>
      </w:r>
    </w:p>
    <w:p w14:paraId="3B757BB8">
      <w:pPr>
        <w:spacing w:line="391" w:lineRule="auto"/>
        <w:rPr>
          <w:rFonts w:ascii="Arial"/>
          <w:color w:val="auto"/>
          <w:sz w:val="21"/>
          <w:highlight w:val="none"/>
        </w:rPr>
      </w:pPr>
      <w:r>
        <w:rPr>
          <w:color w:val="auto"/>
          <w:highlight w:val="none"/>
        </w:rPr>
        <w:pict>
          <v:shape id="_x0000_s1065" o:spid="_x0000_s1065" style="position:absolute;left:0pt;margin-left:0.15pt;margin-top:15.05pt;height:0pt;width:144pt;z-index:251678720;mso-width-relative:page;mso-height-relative:page;" filled="f" stroked="t" coordsize="2880,0" path="m0,0l2880,0e">
            <v:fill on="f" focussize="0,0"/>
            <v:stroke weight="0pt" color="#000000" miterlimit="0" joinstyle="bevel" endcap="square"/>
            <v:imagedata o:title=""/>
            <o:lock v:ext="edit"/>
          </v:shape>
        </w:pict>
      </w:r>
    </w:p>
    <w:p w14:paraId="4A440A31">
      <w:pPr>
        <w:spacing w:before="59" w:line="217" w:lineRule="auto"/>
        <w:ind w:left="8"/>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① 适用于房建监理单独招标的情形。</w:t>
      </w:r>
    </w:p>
    <w:p w14:paraId="2BB9AB8C">
      <w:pPr>
        <w:spacing w:before="18" w:line="220" w:lineRule="auto"/>
        <w:ind w:left="8"/>
        <w:rPr>
          <w:rFonts w:ascii="宋体" w:hAnsi="宋体" w:eastAsia="宋体" w:cs="宋体"/>
          <w:color w:val="auto"/>
          <w:sz w:val="18"/>
          <w:szCs w:val="18"/>
          <w:highlight w:val="none"/>
        </w:rPr>
      </w:pPr>
      <w:r>
        <w:rPr>
          <w:rFonts w:ascii="宋体" w:hAnsi="宋体" w:eastAsia="宋体" w:cs="宋体"/>
          <w:color w:val="auto"/>
          <w:sz w:val="18"/>
          <w:szCs w:val="18"/>
          <w:highlight w:val="none"/>
        </w:rPr>
        <w:t>② 适用于资质最低要求为国家相关部门许可资质的监理</w:t>
      </w:r>
      <w:r>
        <w:rPr>
          <w:rFonts w:ascii="宋体" w:hAnsi="宋体" w:eastAsia="宋体" w:cs="宋体"/>
          <w:color w:val="auto"/>
          <w:spacing w:val="-1"/>
          <w:sz w:val="18"/>
          <w:szCs w:val="18"/>
          <w:highlight w:val="none"/>
        </w:rPr>
        <w:t>企业的情形。</w:t>
      </w:r>
    </w:p>
    <w:p w14:paraId="720B27F4">
      <w:pPr>
        <w:spacing w:line="220" w:lineRule="auto"/>
        <w:rPr>
          <w:rFonts w:ascii="宋体" w:hAnsi="宋体" w:eastAsia="宋体" w:cs="宋体"/>
          <w:color w:val="auto"/>
          <w:sz w:val="18"/>
          <w:szCs w:val="18"/>
          <w:highlight w:val="none"/>
        </w:rPr>
        <w:sectPr>
          <w:footerReference r:id="rId39" w:type="default"/>
          <w:pgSz w:w="11906" w:h="16839"/>
          <w:pgMar w:top="1405" w:right="1417" w:bottom="1297" w:left="1413" w:header="0" w:footer="1067" w:gutter="0"/>
          <w:pgNumType w:fmt="decimal"/>
          <w:cols w:space="720" w:num="1"/>
        </w:sectPr>
      </w:pPr>
    </w:p>
    <w:p w14:paraId="435C5BBC">
      <w:pPr>
        <w:spacing w:before="48" w:line="219" w:lineRule="auto"/>
        <w:ind w:left="1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最低要求）或评标办法评分标准（如有</w:t>
      </w:r>
      <w:r>
        <w:rPr>
          <w:rFonts w:ascii="宋体" w:hAnsi="宋体" w:eastAsia="宋体" w:cs="宋体"/>
          <w:color w:val="auto"/>
          <w:spacing w:val="8"/>
          <w:sz w:val="24"/>
          <w:szCs w:val="24"/>
          <w:highlight w:val="none"/>
        </w:rPr>
        <w:t>），</w:t>
      </w:r>
      <w:r>
        <w:rPr>
          <w:rFonts w:ascii="宋体" w:hAnsi="宋体" w:eastAsia="宋体" w:cs="宋体"/>
          <w:color w:val="auto"/>
          <w:spacing w:val="-1"/>
          <w:sz w:val="24"/>
          <w:szCs w:val="24"/>
          <w:highlight w:val="none"/>
        </w:rPr>
        <w:t>则该人员相应信息不予认定。</w:t>
      </w:r>
    </w:p>
    <w:p w14:paraId="4D574CF7">
      <w:pPr>
        <w:spacing w:before="180" w:line="359" w:lineRule="auto"/>
        <w:ind w:left="8" w:right="8" w:firstLine="478"/>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③投标人所属社保机构出具的拟委任的总监理工程师（以及备选人，如有）或驻地监理工程师（以及备选人，如有）的社保缴费证明或其他有效社保证明材</w:t>
      </w:r>
      <w:r>
        <w:rPr>
          <w:rFonts w:ascii="宋体" w:hAnsi="宋体" w:eastAsia="宋体" w:cs="宋体"/>
          <w:color w:val="auto"/>
          <w:spacing w:val="4"/>
          <w:sz w:val="24"/>
          <w:szCs w:val="24"/>
          <w:highlight w:val="none"/>
        </w:rPr>
        <w:t>料扫描件</w:t>
      </w:r>
      <w:r>
        <w:rPr>
          <w:rFonts w:ascii="宋体" w:hAnsi="宋体" w:eastAsia="宋体" w:cs="宋体"/>
          <w:color w:val="auto"/>
          <w:spacing w:val="5"/>
          <w:sz w:val="24"/>
          <w:szCs w:val="24"/>
          <w:highlight w:val="none"/>
        </w:rPr>
        <w:t>（社保时段为投标文件递交截止日前半年时间内连续不少于三个月，总公司</w:t>
      </w:r>
      <w:r>
        <w:rPr>
          <w:rFonts w:ascii="宋体" w:hAnsi="宋体" w:eastAsia="宋体" w:cs="宋体"/>
          <w:color w:val="auto"/>
          <w:spacing w:val="4"/>
          <w:sz w:val="24"/>
          <w:szCs w:val="24"/>
          <w:highlight w:val="none"/>
        </w:rPr>
        <w:t>参与投标</w:t>
      </w:r>
      <w:r>
        <w:rPr>
          <w:rFonts w:ascii="宋体" w:hAnsi="宋体" w:eastAsia="宋体" w:cs="宋体"/>
          <w:color w:val="auto"/>
          <w:spacing w:val="-1"/>
          <w:sz w:val="24"/>
          <w:szCs w:val="24"/>
          <w:highlight w:val="none"/>
        </w:rPr>
        <w:t>的，提供的分公司人员的社保也视为有效）。</w:t>
      </w:r>
    </w:p>
    <w:p w14:paraId="78B59FAD">
      <w:pPr>
        <w:spacing w:line="218" w:lineRule="auto"/>
        <w:ind w:left="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除上述资料外，投标人无需再提供任何证明</w:t>
      </w:r>
      <w:r>
        <w:rPr>
          <w:rFonts w:ascii="宋体" w:hAnsi="宋体" w:eastAsia="宋体" w:cs="宋体"/>
          <w:color w:val="auto"/>
          <w:spacing w:val="-2"/>
          <w:sz w:val="24"/>
          <w:szCs w:val="24"/>
          <w:highlight w:val="none"/>
        </w:rPr>
        <w:t>材料。</w:t>
      </w:r>
    </w:p>
    <w:p w14:paraId="61AB58C4">
      <w:pPr>
        <w:spacing w:before="182" w:line="359" w:lineRule="auto"/>
        <w:ind w:left="12" w:right="8"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如总监理工程师（以及备选人，如有）或驻地监</w:t>
      </w:r>
      <w:r>
        <w:rPr>
          <w:rFonts w:ascii="宋体" w:hAnsi="宋体" w:eastAsia="宋体" w:cs="宋体"/>
          <w:color w:val="auto"/>
          <w:spacing w:val="4"/>
          <w:sz w:val="24"/>
          <w:szCs w:val="24"/>
          <w:highlight w:val="none"/>
        </w:rPr>
        <w:t>理工程师（以及备选人，如有）</w:t>
      </w:r>
      <w:r>
        <w:rPr>
          <w:rFonts w:ascii="宋体" w:hAnsi="宋体" w:eastAsia="宋体" w:cs="宋体"/>
          <w:color w:val="auto"/>
          <w:spacing w:val="5"/>
          <w:sz w:val="24"/>
          <w:szCs w:val="24"/>
          <w:highlight w:val="none"/>
        </w:rPr>
        <w:t>目前仍在其他项目上任职，则投标人应按投标函的格式承诺上述人</w:t>
      </w:r>
      <w:r>
        <w:rPr>
          <w:rFonts w:ascii="宋体" w:hAnsi="宋体" w:eastAsia="宋体" w:cs="宋体"/>
          <w:color w:val="auto"/>
          <w:spacing w:val="4"/>
          <w:sz w:val="24"/>
          <w:szCs w:val="24"/>
          <w:highlight w:val="none"/>
        </w:rPr>
        <w:t>员能够从该项目撤</w:t>
      </w:r>
      <w:r>
        <w:rPr>
          <w:rFonts w:ascii="宋体" w:hAnsi="宋体" w:eastAsia="宋体" w:cs="宋体"/>
          <w:color w:val="auto"/>
          <w:spacing w:val="-5"/>
          <w:sz w:val="24"/>
          <w:szCs w:val="24"/>
          <w:highlight w:val="none"/>
        </w:rPr>
        <w:t>离）。</w:t>
      </w:r>
    </w:p>
    <w:p w14:paraId="5E343F59">
      <w:pPr>
        <w:spacing w:before="3" w:line="331" w:lineRule="auto"/>
        <w:ind w:left="8" w:firstLine="48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3.5.4</w:t>
      </w:r>
      <w:r>
        <w:rPr>
          <w:color w:val="auto"/>
          <w:highlight w:val="none"/>
        </w:rPr>
        <w:fldChar w:fldCharType="begin"/>
      </w:r>
      <w:r>
        <w:rPr>
          <w:color w:val="auto"/>
          <w:highlight w:val="none"/>
        </w:rPr>
        <w:instrText xml:space="preserve"> HYPERLINK \l "bookmark108" </w:instrText>
      </w:r>
      <w:r>
        <w:rPr>
          <w:color w:val="auto"/>
          <w:highlight w:val="none"/>
        </w:rPr>
        <w:fldChar w:fldCharType="separate"/>
      </w:r>
      <w:r>
        <w:rPr>
          <w:rFonts w:ascii="宋体" w:hAnsi="宋体" w:eastAsia="宋体" w:cs="宋体"/>
          <w:color w:val="auto"/>
          <w:spacing w:val="4"/>
          <w:position w:val="10"/>
          <w:sz w:val="10"/>
          <w:szCs w:val="10"/>
          <w:highlight w:val="none"/>
        </w:rPr>
        <w:t>①</w:t>
      </w:r>
      <w:r>
        <w:rPr>
          <w:rFonts w:ascii="宋体" w:hAnsi="宋体" w:eastAsia="宋体" w:cs="宋体"/>
          <w:color w:val="auto"/>
          <w:spacing w:val="4"/>
          <w:position w:val="10"/>
          <w:sz w:val="10"/>
          <w:szCs w:val="10"/>
          <w:highlight w:val="none"/>
        </w:rPr>
        <w:fldChar w:fldCharType="end"/>
      </w:r>
      <w:r>
        <w:rPr>
          <w:rFonts w:ascii="宋体" w:hAnsi="宋体" w:eastAsia="宋体" w:cs="宋体"/>
          <w:color w:val="auto"/>
          <w:spacing w:val="4"/>
          <w:sz w:val="24"/>
          <w:szCs w:val="24"/>
          <w:highlight w:val="none"/>
        </w:rPr>
        <w:t>(B) “拟委任的总监理工程师或驻地监理工程师资历表</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”应同时附</w:t>
      </w:r>
      <w:r>
        <w:rPr>
          <w:rFonts w:ascii="宋体" w:hAnsi="宋体" w:eastAsia="宋体" w:cs="宋体"/>
          <w:color w:val="auto"/>
          <w:spacing w:val="3"/>
          <w:sz w:val="24"/>
          <w:szCs w:val="24"/>
          <w:highlight w:val="none"/>
        </w:rPr>
        <w:t>：①总</w:t>
      </w:r>
      <w:r>
        <w:rPr>
          <w:rFonts w:ascii="宋体" w:hAnsi="宋体" w:eastAsia="宋体" w:cs="宋体"/>
          <w:color w:val="auto"/>
          <w:spacing w:val="-1"/>
          <w:sz w:val="24"/>
          <w:szCs w:val="24"/>
          <w:highlight w:val="none"/>
        </w:rPr>
        <w:t>监理工程师（以及备选人，如有）或驻地监理工程师（以</w:t>
      </w:r>
      <w:r>
        <w:rPr>
          <w:rFonts w:ascii="宋体" w:hAnsi="宋体" w:eastAsia="宋体" w:cs="宋体"/>
          <w:color w:val="auto"/>
          <w:spacing w:val="-2"/>
          <w:sz w:val="24"/>
          <w:szCs w:val="24"/>
          <w:highlight w:val="none"/>
        </w:rPr>
        <w:t>及备选人，如有）的身份证、</w:t>
      </w:r>
      <w:r>
        <w:rPr>
          <w:rFonts w:ascii="宋体" w:hAnsi="宋体" w:eastAsia="宋体" w:cs="宋体"/>
          <w:color w:val="auto"/>
          <w:spacing w:val="10"/>
          <w:sz w:val="24"/>
          <w:szCs w:val="24"/>
          <w:highlight w:val="none"/>
        </w:rPr>
        <w:t>职称资格证书（如职称证书不能体现专业类型的，还应提供最高学历证书）</w:t>
      </w:r>
      <w:r>
        <w:rPr>
          <w:rFonts w:ascii="宋体" w:hAnsi="宋体" w:eastAsia="宋体" w:cs="宋体"/>
          <w:color w:val="auto"/>
          <w:spacing w:val="-59"/>
          <w:sz w:val="24"/>
          <w:szCs w:val="24"/>
          <w:highlight w:val="none"/>
        </w:rPr>
        <w:t xml:space="preserve"> </w:t>
      </w:r>
      <w:r>
        <w:rPr>
          <w:rFonts w:ascii="宋体" w:hAnsi="宋体" w:eastAsia="宋体" w:cs="宋体"/>
          <w:color w:val="auto"/>
          <w:spacing w:val="10"/>
          <w:sz w:val="24"/>
          <w:szCs w:val="24"/>
          <w:highlight w:val="none"/>
        </w:rPr>
        <w:t>、注册</w:t>
      </w:r>
      <w:r>
        <w:rPr>
          <w:rFonts w:ascii="宋体" w:hAnsi="宋体" w:eastAsia="宋体" w:cs="宋体"/>
          <w:color w:val="auto"/>
          <w:spacing w:val="5"/>
          <w:sz w:val="24"/>
          <w:szCs w:val="24"/>
          <w:highlight w:val="none"/>
        </w:rPr>
        <w:t>（或从业登记）截图和资格审查条件所要求的其他相关证书（如公路工程监</w:t>
      </w:r>
      <w:r>
        <w:rPr>
          <w:rFonts w:ascii="宋体" w:hAnsi="宋体" w:eastAsia="宋体" w:cs="宋体"/>
          <w:color w:val="auto"/>
          <w:spacing w:val="4"/>
          <w:sz w:val="24"/>
          <w:szCs w:val="24"/>
          <w:highlight w:val="none"/>
        </w:rPr>
        <w:t>理工程师</w:t>
      </w:r>
      <w:r>
        <w:rPr>
          <w:rFonts w:ascii="宋体" w:hAnsi="宋体" w:eastAsia="宋体" w:cs="宋体"/>
          <w:color w:val="auto"/>
          <w:spacing w:val="-2"/>
          <w:sz w:val="24"/>
          <w:szCs w:val="24"/>
          <w:highlight w:val="none"/>
        </w:rPr>
        <w:t>证书）扫描件。</w:t>
      </w:r>
    </w:p>
    <w:p w14:paraId="7835EEC1">
      <w:pPr>
        <w:spacing w:before="180" w:line="324" w:lineRule="auto"/>
        <w:ind w:left="8" w:right="8" w:firstLine="47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②投标人所属社保机构出具的拟委任的总监理工程师（以及备选人，如有）或驻地监理工程师（以及备选人，如有）的社保缴费证明或其他有效社保证明材</w:t>
      </w:r>
      <w:r>
        <w:rPr>
          <w:rFonts w:ascii="宋体" w:hAnsi="宋体" w:eastAsia="宋体" w:cs="宋体"/>
          <w:color w:val="auto"/>
          <w:spacing w:val="4"/>
          <w:sz w:val="24"/>
          <w:szCs w:val="24"/>
          <w:highlight w:val="none"/>
        </w:rPr>
        <w:t>料扫描件</w:t>
      </w:r>
      <w:r>
        <w:rPr>
          <w:rFonts w:ascii="宋体" w:hAnsi="宋体" w:eastAsia="宋体" w:cs="宋体"/>
          <w:color w:val="auto"/>
          <w:spacing w:val="5"/>
          <w:sz w:val="24"/>
          <w:szCs w:val="24"/>
          <w:highlight w:val="none"/>
        </w:rPr>
        <w:t>或扫描件（社保时段为投标文件递交截止日前半年时间内连续不少于三个月</w:t>
      </w:r>
      <w:r>
        <w:rPr>
          <w:rFonts w:ascii="宋体" w:hAnsi="宋体" w:eastAsia="宋体" w:cs="宋体"/>
          <w:color w:val="auto"/>
          <w:spacing w:val="4"/>
          <w:sz w:val="24"/>
          <w:szCs w:val="24"/>
          <w:highlight w:val="none"/>
        </w:rPr>
        <w:t>，总公司</w:t>
      </w:r>
      <w:r>
        <w:rPr>
          <w:rFonts w:ascii="宋体" w:hAnsi="宋体" w:eastAsia="宋体" w:cs="宋体"/>
          <w:color w:val="auto"/>
          <w:spacing w:val="-1"/>
          <w:sz w:val="24"/>
          <w:szCs w:val="24"/>
          <w:highlight w:val="none"/>
        </w:rPr>
        <w:t>参与投标的，提供的分公司人员的社保也视为有效）。</w:t>
      </w:r>
    </w:p>
    <w:p w14:paraId="728FC4E2">
      <w:pPr>
        <w:spacing w:before="187" w:line="339" w:lineRule="auto"/>
        <w:ind w:left="7" w:firstLine="47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③交通运输部“全国公路建设市场监督管理系统</w:t>
      </w:r>
      <w:r>
        <w:rPr>
          <w:rFonts w:ascii="宋体" w:hAnsi="宋体" w:eastAsia="宋体" w:cs="宋体"/>
          <w:color w:val="auto"/>
          <w:spacing w:val="-77"/>
          <w:sz w:val="24"/>
          <w:szCs w:val="24"/>
          <w:highlight w:val="none"/>
        </w:rPr>
        <w:t xml:space="preserve"> </w:t>
      </w:r>
      <w:r>
        <w:rPr>
          <w:rFonts w:ascii="宋体" w:hAnsi="宋体" w:eastAsia="宋体" w:cs="宋体"/>
          <w:color w:val="auto"/>
          <w:spacing w:val="4"/>
          <w:sz w:val="24"/>
          <w:szCs w:val="24"/>
          <w:highlight w:val="none"/>
        </w:rPr>
        <w:t>”中载明的、能够证明总监理工</w:t>
      </w:r>
      <w:r>
        <w:rPr>
          <w:rFonts w:ascii="宋体" w:hAnsi="宋体" w:eastAsia="宋体" w:cs="宋体"/>
          <w:color w:val="auto"/>
          <w:spacing w:val="5"/>
          <w:sz w:val="24"/>
          <w:szCs w:val="24"/>
          <w:highlight w:val="none"/>
        </w:rPr>
        <w:t>程师或驻地监理工程师具有相关业绩的网页截图。在交通运输部“全国公路建设市场</w:t>
      </w:r>
      <w:r>
        <w:rPr>
          <w:rFonts w:ascii="宋体" w:hAnsi="宋体" w:eastAsia="宋体" w:cs="宋体"/>
          <w:color w:val="auto"/>
          <w:spacing w:val="4"/>
          <w:sz w:val="24"/>
          <w:szCs w:val="24"/>
          <w:highlight w:val="none"/>
        </w:rPr>
        <w:t>监督管理系统</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”中无法查询的，但可在省级交通运输主管部门“公路建设市场</w:t>
      </w:r>
      <w:r>
        <w:rPr>
          <w:rFonts w:ascii="宋体" w:hAnsi="宋体" w:eastAsia="宋体" w:cs="宋体"/>
          <w:color w:val="auto"/>
          <w:spacing w:val="3"/>
          <w:sz w:val="24"/>
          <w:szCs w:val="24"/>
          <w:highlight w:val="none"/>
        </w:rPr>
        <w:t>监督管理系统</w:t>
      </w:r>
      <w:r>
        <w:rPr>
          <w:rFonts w:ascii="宋体" w:hAnsi="宋体" w:eastAsia="宋体" w:cs="宋体"/>
          <w:color w:val="auto"/>
          <w:spacing w:val="-81"/>
          <w:sz w:val="24"/>
          <w:szCs w:val="24"/>
          <w:highlight w:val="none"/>
        </w:rPr>
        <w:t xml:space="preserve"> </w:t>
      </w:r>
      <w:r>
        <w:rPr>
          <w:rFonts w:ascii="宋体" w:hAnsi="宋体" w:eastAsia="宋体" w:cs="宋体"/>
          <w:color w:val="auto"/>
          <w:spacing w:val="3"/>
          <w:sz w:val="24"/>
          <w:szCs w:val="24"/>
          <w:highlight w:val="none"/>
        </w:rPr>
        <w:t>”中查询的，应附省级交通运输主管部门“公路建设市场监督</w:t>
      </w:r>
      <w:r>
        <w:rPr>
          <w:rFonts w:ascii="宋体" w:hAnsi="宋体" w:eastAsia="宋体" w:cs="宋体"/>
          <w:color w:val="auto"/>
          <w:spacing w:val="2"/>
          <w:sz w:val="24"/>
          <w:szCs w:val="24"/>
          <w:highlight w:val="none"/>
        </w:rPr>
        <w:t>管理系统</w:t>
      </w:r>
      <w:r>
        <w:rPr>
          <w:rFonts w:ascii="宋体" w:hAnsi="宋体" w:eastAsia="宋体" w:cs="宋体"/>
          <w:color w:val="auto"/>
          <w:spacing w:val="-81"/>
          <w:sz w:val="24"/>
          <w:szCs w:val="24"/>
          <w:highlight w:val="none"/>
        </w:rPr>
        <w:t xml:space="preserve"> </w:t>
      </w:r>
      <w:r>
        <w:rPr>
          <w:rFonts w:ascii="宋体" w:hAnsi="宋体" w:eastAsia="宋体" w:cs="宋体"/>
          <w:color w:val="auto"/>
          <w:spacing w:val="2"/>
          <w:sz w:val="24"/>
          <w:szCs w:val="24"/>
          <w:highlight w:val="none"/>
        </w:rPr>
        <w:t>”中查</w:t>
      </w:r>
      <w:r>
        <w:rPr>
          <w:rFonts w:ascii="宋体" w:hAnsi="宋体" w:eastAsia="宋体" w:cs="宋体"/>
          <w:color w:val="auto"/>
          <w:spacing w:val="5"/>
          <w:sz w:val="24"/>
          <w:szCs w:val="24"/>
          <w:highlight w:val="none"/>
        </w:rPr>
        <w:t>询到的网页截图。除网页截图外，投标人无需再提供任何业绩证明材料。如投</w:t>
      </w:r>
      <w:r>
        <w:rPr>
          <w:rFonts w:ascii="宋体" w:hAnsi="宋体" w:eastAsia="宋体" w:cs="宋体"/>
          <w:color w:val="auto"/>
          <w:spacing w:val="4"/>
          <w:sz w:val="24"/>
          <w:szCs w:val="24"/>
          <w:highlight w:val="none"/>
        </w:rPr>
        <w:t>标人未</w:t>
      </w:r>
      <w:r>
        <w:rPr>
          <w:rFonts w:ascii="宋体" w:hAnsi="宋体" w:eastAsia="宋体" w:cs="宋体"/>
          <w:color w:val="auto"/>
          <w:spacing w:val="5"/>
          <w:sz w:val="24"/>
          <w:szCs w:val="24"/>
          <w:highlight w:val="none"/>
        </w:rPr>
        <w:t>提供相关业绩网页截图或相关业绩网页截图中的信息无法证实投标人满足招标</w:t>
      </w:r>
      <w:r>
        <w:rPr>
          <w:rFonts w:ascii="宋体" w:hAnsi="宋体" w:eastAsia="宋体" w:cs="宋体"/>
          <w:color w:val="auto"/>
          <w:spacing w:val="4"/>
          <w:sz w:val="24"/>
          <w:szCs w:val="24"/>
          <w:highlight w:val="none"/>
        </w:rPr>
        <w:t>文件规</w:t>
      </w:r>
      <w:r>
        <w:rPr>
          <w:rFonts w:ascii="宋体" w:hAnsi="宋体" w:eastAsia="宋体" w:cs="宋体"/>
          <w:color w:val="auto"/>
          <w:spacing w:val="-2"/>
          <w:sz w:val="24"/>
          <w:szCs w:val="24"/>
          <w:highlight w:val="none"/>
        </w:rPr>
        <w:t>定的资格审查条件（总监理工程师或驻地监理工程师最低要求</w:t>
      </w:r>
      <w:r>
        <w:rPr>
          <w:rFonts w:ascii="宋体" w:hAnsi="宋体" w:eastAsia="宋体" w:cs="宋体"/>
          <w:color w:val="auto"/>
          <w:spacing w:val="11"/>
          <w:sz w:val="24"/>
          <w:szCs w:val="24"/>
          <w:highlight w:val="none"/>
        </w:rPr>
        <w:t>），</w:t>
      </w:r>
      <w:r>
        <w:rPr>
          <w:rFonts w:ascii="宋体" w:hAnsi="宋体" w:eastAsia="宋体" w:cs="宋体"/>
          <w:color w:val="auto"/>
          <w:spacing w:val="-2"/>
          <w:sz w:val="24"/>
          <w:szCs w:val="24"/>
          <w:highlight w:val="none"/>
        </w:rPr>
        <w:t>则该业绩不予认定。</w:t>
      </w:r>
    </w:p>
    <w:p w14:paraId="67C6C74D">
      <w:pPr>
        <w:spacing w:before="180" w:line="219" w:lineRule="auto"/>
        <w:ind w:left="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除上述资料外，投标人无需再提供任何证明</w:t>
      </w:r>
      <w:r>
        <w:rPr>
          <w:rFonts w:ascii="宋体" w:hAnsi="宋体" w:eastAsia="宋体" w:cs="宋体"/>
          <w:color w:val="auto"/>
          <w:spacing w:val="-2"/>
          <w:sz w:val="24"/>
          <w:szCs w:val="24"/>
          <w:highlight w:val="none"/>
        </w:rPr>
        <w:t>材料。</w:t>
      </w:r>
    </w:p>
    <w:p w14:paraId="646AB528">
      <w:pPr>
        <w:spacing w:before="180" w:line="361" w:lineRule="auto"/>
        <w:ind w:left="12" w:right="8" w:firstLine="480"/>
        <w:rPr>
          <w:rFonts w:ascii="宋体" w:hAnsi="宋体" w:eastAsia="宋体" w:cs="宋体"/>
          <w:color w:val="auto"/>
          <w:sz w:val="24"/>
          <w:szCs w:val="24"/>
          <w:highlight w:val="none"/>
        </w:rPr>
      </w:pPr>
      <w:r>
        <w:rPr>
          <w:color w:val="auto"/>
          <w:highlight w:val="none"/>
        </w:rPr>
        <w:pict>
          <v:shape id="_x0000_s1066" o:spid="_x0000_s1066" style="position:absolute;left:0pt;margin-left:0pt;margin-top:76.95pt;height:0pt;width:144pt;z-index:251679744;mso-width-relative:page;mso-height-relative:page;" filled="f" stroked="t" coordsize="2880,0" path="m0,0l2880,0e">
            <v:fill on="f" focussize="0,0"/>
            <v:stroke weight="0pt" color="#000000" miterlimit="0" joinstyle="bevel" endcap="square"/>
            <v:imagedata o:title=""/>
            <o:lock v:ext="edit"/>
          </v:shape>
        </w:pict>
      </w:r>
      <w:r>
        <w:rPr>
          <w:rFonts w:ascii="宋体" w:hAnsi="宋体" w:eastAsia="宋体" w:cs="宋体"/>
          <w:color w:val="auto"/>
          <w:spacing w:val="5"/>
          <w:sz w:val="24"/>
          <w:szCs w:val="24"/>
          <w:highlight w:val="none"/>
        </w:rPr>
        <w:t>如总监理工程师（以及备选人，如有）或驻地监</w:t>
      </w:r>
      <w:r>
        <w:rPr>
          <w:rFonts w:ascii="宋体" w:hAnsi="宋体" w:eastAsia="宋体" w:cs="宋体"/>
          <w:color w:val="auto"/>
          <w:spacing w:val="4"/>
          <w:sz w:val="24"/>
          <w:szCs w:val="24"/>
          <w:highlight w:val="none"/>
        </w:rPr>
        <w:t>理工程师（以及备选人，如有）</w:t>
      </w:r>
      <w:r>
        <w:rPr>
          <w:rFonts w:ascii="宋体" w:hAnsi="宋体" w:eastAsia="宋体" w:cs="宋体"/>
          <w:color w:val="auto"/>
          <w:spacing w:val="5"/>
          <w:sz w:val="24"/>
          <w:szCs w:val="24"/>
          <w:highlight w:val="none"/>
        </w:rPr>
        <w:t>目前仍在其他项目上任职，则投标人应按投标函的格式承诺上述人</w:t>
      </w:r>
      <w:r>
        <w:rPr>
          <w:rFonts w:ascii="宋体" w:hAnsi="宋体" w:eastAsia="宋体" w:cs="宋体"/>
          <w:color w:val="auto"/>
          <w:spacing w:val="4"/>
          <w:sz w:val="24"/>
          <w:szCs w:val="24"/>
          <w:highlight w:val="none"/>
        </w:rPr>
        <w:t>员能够从该项目撤</w:t>
      </w:r>
      <w:bookmarkStart w:id="109" w:name="bookmark108"/>
      <w:bookmarkEnd w:id="109"/>
      <w:r>
        <w:rPr>
          <w:rFonts w:ascii="宋体" w:hAnsi="宋体" w:eastAsia="宋体" w:cs="宋体"/>
          <w:color w:val="auto"/>
          <w:spacing w:val="-5"/>
          <w:sz w:val="24"/>
          <w:szCs w:val="24"/>
          <w:highlight w:val="none"/>
        </w:rPr>
        <w:t>离）。</w:t>
      </w:r>
    </w:p>
    <w:p w14:paraId="4FFB4279">
      <w:pPr>
        <w:spacing w:before="102" w:line="217" w:lineRule="auto"/>
        <w:ind w:left="5"/>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①</w:t>
      </w:r>
      <w:r>
        <w:rPr>
          <w:rFonts w:ascii="宋体" w:hAnsi="宋体" w:eastAsia="宋体" w:cs="宋体"/>
          <w:color w:val="auto"/>
          <w:spacing w:val="69"/>
          <w:sz w:val="18"/>
          <w:szCs w:val="18"/>
          <w:highlight w:val="none"/>
        </w:rPr>
        <w:t xml:space="preserve"> </w:t>
      </w:r>
      <w:r>
        <w:rPr>
          <w:rFonts w:ascii="宋体" w:hAnsi="宋体" w:eastAsia="宋体" w:cs="宋体"/>
          <w:color w:val="auto"/>
          <w:spacing w:val="-1"/>
          <w:sz w:val="18"/>
          <w:szCs w:val="18"/>
          <w:highlight w:val="none"/>
        </w:rPr>
        <w:t>适用于资质最低要求为省级相关部门许可资质的监理企业的情形。</w:t>
      </w:r>
    </w:p>
    <w:p w14:paraId="36D5B1A5">
      <w:pPr>
        <w:spacing w:line="217" w:lineRule="auto"/>
        <w:rPr>
          <w:rFonts w:ascii="宋体" w:hAnsi="宋体" w:eastAsia="宋体" w:cs="宋体"/>
          <w:color w:val="auto"/>
          <w:sz w:val="18"/>
          <w:szCs w:val="18"/>
          <w:highlight w:val="none"/>
        </w:rPr>
        <w:sectPr>
          <w:footerReference r:id="rId40" w:type="default"/>
          <w:pgSz w:w="11906" w:h="16839"/>
          <w:pgMar w:top="1405" w:right="1409" w:bottom="1297" w:left="1417" w:header="0" w:footer="1067" w:gutter="0"/>
          <w:pgNumType w:fmt="decimal"/>
          <w:cols w:space="720" w:num="1"/>
        </w:sectPr>
      </w:pPr>
    </w:p>
    <w:p w14:paraId="7447E68C">
      <w:pPr>
        <w:spacing w:before="47" w:line="331" w:lineRule="auto"/>
        <w:ind w:left="8" w:firstLine="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3.5.4</w:t>
      </w:r>
      <w:r>
        <w:rPr>
          <w:color w:val="auto"/>
          <w:highlight w:val="none"/>
        </w:rPr>
        <w:fldChar w:fldCharType="begin"/>
      </w:r>
      <w:r>
        <w:rPr>
          <w:color w:val="auto"/>
          <w:highlight w:val="none"/>
        </w:rPr>
        <w:instrText xml:space="preserve"> HYPERLINK \l "bookmark109" </w:instrText>
      </w:r>
      <w:r>
        <w:rPr>
          <w:color w:val="auto"/>
          <w:highlight w:val="none"/>
        </w:rPr>
        <w:fldChar w:fldCharType="separate"/>
      </w:r>
      <w:r>
        <w:rPr>
          <w:rFonts w:ascii="宋体" w:hAnsi="宋体" w:eastAsia="宋体" w:cs="宋体"/>
          <w:color w:val="auto"/>
          <w:spacing w:val="2"/>
          <w:position w:val="10"/>
          <w:sz w:val="10"/>
          <w:szCs w:val="10"/>
          <w:highlight w:val="none"/>
        </w:rPr>
        <w:t>①</w:t>
      </w:r>
      <w:r>
        <w:rPr>
          <w:rFonts w:ascii="宋体" w:hAnsi="宋体" w:eastAsia="宋体" w:cs="宋体"/>
          <w:color w:val="auto"/>
          <w:spacing w:val="2"/>
          <w:position w:val="10"/>
          <w:sz w:val="10"/>
          <w:szCs w:val="10"/>
          <w:highlight w:val="none"/>
        </w:rPr>
        <w:fldChar w:fldCharType="end"/>
      </w:r>
      <w:r>
        <w:rPr>
          <w:rFonts w:ascii="宋体" w:hAnsi="宋体" w:eastAsia="宋体" w:cs="宋体"/>
          <w:color w:val="auto"/>
          <w:spacing w:val="2"/>
          <w:sz w:val="24"/>
          <w:szCs w:val="24"/>
          <w:highlight w:val="none"/>
        </w:rPr>
        <w:t>(C)</w:t>
      </w:r>
      <w:r>
        <w:rPr>
          <w:rFonts w:ascii="宋体" w:hAnsi="宋体" w:eastAsia="宋体" w:cs="宋体"/>
          <w:color w:val="auto"/>
          <w:spacing w:val="2"/>
          <w:sz w:val="20"/>
          <w:szCs w:val="20"/>
          <w:highlight w:val="none"/>
        </w:rPr>
        <w:t>“</w:t>
      </w:r>
      <w:r>
        <w:rPr>
          <w:rFonts w:ascii="宋体" w:hAnsi="宋体" w:eastAsia="宋体" w:cs="宋体"/>
          <w:color w:val="auto"/>
          <w:spacing w:val="2"/>
          <w:sz w:val="24"/>
          <w:szCs w:val="24"/>
          <w:highlight w:val="none"/>
        </w:rPr>
        <w:t>拟委任的总监理工程师或驻地监理工程师资历表</w:t>
      </w:r>
      <w:r>
        <w:rPr>
          <w:rFonts w:ascii="宋体" w:hAnsi="宋体" w:eastAsia="宋体" w:cs="宋体"/>
          <w:color w:val="auto"/>
          <w:spacing w:val="-81"/>
          <w:sz w:val="24"/>
          <w:szCs w:val="24"/>
          <w:highlight w:val="none"/>
        </w:rPr>
        <w:t xml:space="preserve"> </w:t>
      </w:r>
      <w:r>
        <w:rPr>
          <w:rFonts w:ascii="宋体" w:hAnsi="宋体" w:eastAsia="宋体" w:cs="宋体"/>
          <w:color w:val="auto"/>
          <w:spacing w:val="2"/>
          <w:sz w:val="24"/>
          <w:szCs w:val="24"/>
          <w:highlight w:val="none"/>
        </w:rPr>
        <w:t>”应同时附：①总监</w:t>
      </w:r>
      <w:r>
        <w:rPr>
          <w:rFonts w:ascii="宋体" w:hAnsi="宋体" w:eastAsia="宋体" w:cs="宋体"/>
          <w:color w:val="auto"/>
          <w:spacing w:val="5"/>
          <w:sz w:val="24"/>
          <w:szCs w:val="24"/>
          <w:highlight w:val="none"/>
        </w:rPr>
        <w:t>理工程师（以及备选人，如有）或驻地监理工程师（以及备选人，如有）的身份证、</w:t>
      </w:r>
      <w:r>
        <w:rPr>
          <w:rFonts w:ascii="宋体" w:hAnsi="宋体" w:eastAsia="宋体" w:cs="宋体"/>
          <w:color w:val="auto"/>
          <w:spacing w:val="10"/>
          <w:sz w:val="24"/>
          <w:szCs w:val="24"/>
          <w:highlight w:val="none"/>
        </w:rPr>
        <w:t>职称资格证书（如职称证书不能体现专业类型的，还应提供最高学历证书）</w:t>
      </w:r>
      <w:r>
        <w:rPr>
          <w:rFonts w:ascii="宋体" w:hAnsi="宋体" w:eastAsia="宋体" w:cs="宋体"/>
          <w:color w:val="auto"/>
          <w:spacing w:val="-59"/>
          <w:sz w:val="24"/>
          <w:szCs w:val="24"/>
          <w:highlight w:val="none"/>
        </w:rPr>
        <w:t xml:space="preserve"> </w:t>
      </w:r>
      <w:r>
        <w:rPr>
          <w:rFonts w:ascii="宋体" w:hAnsi="宋体" w:eastAsia="宋体" w:cs="宋体"/>
          <w:color w:val="auto"/>
          <w:spacing w:val="10"/>
          <w:sz w:val="24"/>
          <w:szCs w:val="24"/>
          <w:highlight w:val="none"/>
        </w:rPr>
        <w:t>、注册</w:t>
      </w:r>
      <w:r>
        <w:rPr>
          <w:rFonts w:ascii="宋体" w:hAnsi="宋体" w:eastAsia="宋体" w:cs="宋体"/>
          <w:color w:val="auto"/>
          <w:spacing w:val="5"/>
          <w:sz w:val="24"/>
          <w:szCs w:val="24"/>
          <w:highlight w:val="none"/>
        </w:rPr>
        <w:t>（或从业登记）截图和资格审查条件所要求的其他相关证书（如公路工程监</w:t>
      </w:r>
      <w:r>
        <w:rPr>
          <w:rFonts w:ascii="宋体" w:hAnsi="宋体" w:eastAsia="宋体" w:cs="宋体"/>
          <w:color w:val="auto"/>
          <w:spacing w:val="4"/>
          <w:sz w:val="24"/>
          <w:szCs w:val="24"/>
          <w:highlight w:val="none"/>
        </w:rPr>
        <w:t>理工程师</w:t>
      </w:r>
      <w:r>
        <w:rPr>
          <w:rFonts w:ascii="宋体" w:hAnsi="宋体" w:eastAsia="宋体" w:cs="宋体"/>
          <w:color w:val="auto"/>
          <w:spacing w:val="-2"/>
          <w:sz w:val="24"/>
          <w:szCs w:val="24"/>
          <w:highlight w:val="none"/>
        </w:rPr>
        <w:t>证书）扫描件；</w:t>
      </w:r>
    </w:p>
    <w:p w14:paraId="2D0AC975">
      <w:pPr>
        <w:spacing w:before="182" w:line="324" w:lineRule="auto"/>
        <w:ind w:left="8" w:right="2" w:firstLine="47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②投标人所属社保机构出具的拟委任的总监理工程师（以及备选人，如有）或驻地监理工程师（以及备选人，如有）的社保缴费证明或其他有效社保证明材</w:t>
      </w:r>
      <w:r>
        <w:rPr>
          <w:rFonts w:ascii="宋体" w:hAnsi="宋体" w:eastAsia="宋体" w:cs="宋体"/>
          <w:color w:val="auto"/>
          <w:spacing w:val="4"/>
          <w:sz w:val="24"/>
          <w:szCs w:val="24"/>
          <w:highlight w:val="none"/>
        </w:rPr>
        <w:t>料扫描件</w:t>
      </w:r>
      <w:r>
        <w:rPr>
          <w:rFonts w:ascii="宋体" w:hAnsi="宋体" w:eastAsia="宋体" w:cs="宋体"/>
          <w:color w:val="auto"/>
          <w:spacing w:val="5"/>
          <w:sz w:val="24"/>
          <w:szCs w:val="24"/>
          <w:highlight w:val="none"/>
        </w:rPr>
        <w:t>（社保时段为投标文件递交截止日前半年时间内连续不少于三个月，总公司</w:t>
      </w:r>
      <w:r>
        <w:rPr>
          <w:rFonts w:ascii="宋体" w:hAnsi="宋体" w:eastAsia="宋体" w:cs="宋体"/>
          <w:color w:val="auto"/>
          <w:spacing w:val="4"/>
          <w:sz w:val="24"/>
          <w:szCs w:val="24"/>
          <w:highlight w:val="none"/>
        </w:rPr>
        <w:t>参与投标</w:t>
      </w:r>
      <w:r>
        <w:rPr>
          <w:rFonts w:ascii="宋体" w:hAnsi="宋体" w:eastAsia="宋体" w:cs="宋体"/>
          <w:color w:val="auto"/>
          <w:spacing w:val="-1"/>
          <w:sz w:val="24"/>
          <w:szCs w:val="24"/>
          <w:highlight w:val="none"/>
        </w:rPr>
        <w:t>的，提供的分公司人员的社保也视为有效）。</w:t>
      </w:r>
    </w:p>
    <w:p w14:paraId="32E8ABAA">
      <w:pPr>
        <w:spacing w:before="182" w:line="312" w:lineRule="auto"/>
        <w:ind w:left="7" w:right="2" w:firstLine="47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③相关业绩证明材料（业绩证明材料应是合同协议书、项目已交（竣）工证明文件（交工验收证书或竣工验收备案表或竣工验收证明材料或建设单位出具的完</w:t>
      </w:r>
      <w:r>
        <w:rPr>
          <w:rFonts w:ascii="宋体" w:hAnsi="宋体" w:eastAsia="宋体" w:cs="宋体"/>
          <w:color w:val="auto"/>
          <w:spacing w:val="4"/>
          <w:sz w:val="24"/>
          <w:szCs w:val="24"/>
          <w:highlight w:val="none"/>
        </w:rPr>
        <w:t>工证明</w:t>
      </w:r>
      <w:r>
        <w:rPr>
          <w:rFonts w:ascii="宋体" w:hAnsi="宋体" w:eastAsia="宋体" w:cs="宋体"/>
          <w:color w:val="auto"/>
          <w:spacing w:val="-1"/>
          <w:sz w:val="24"/>
          <w:szCs w:val="24"/>
          <w:highlight w:val="none"/>
        </w:rPr>
        <w:t>或完工验收鉴定书等）扫描件）。</w:t>
      </w:r>
    </w:p>
    <w:p w14:paraId="69592BE1">
      <w:pPr>
        <w:spacing w:before="184" w:line="359" w:lineRule="auto"/>
        <w:ind w:left="9" w:right="2" w:firstLine="48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如投标人提供的上述资料无法证实投标人满足招标文件规定的资格审查条件（总</w:t>
      </w:r>
      <w:r>
        <w:rPr>
          <w:rFonts w:ascii="宋体" w:hAnsi="宋体" w:eastAsia="宋体" w:cs="宋体"/>
          <w:color w:val="auto"/>
          <w:spacing w:val="-1"/>
          <w:sz w:val="24"/>
          <w:szCs w:val="24"/>
          <w:highlight w:val="none"/>
        </w:rPr>
        <w:t>监理工程师或驻地监理工程师最低要求</w:t>
      </w:r>
      <w:r>
        <w:rPr>
          <w:rFonts w:ascii="宋体" w:hAnsi="宋体" w:eastAsia="宋体" w:cs="宋体"/>
          <w:color w:val="auto"/>
          <w:spacing w:val="7"/>
          <w:sz w:val="24"/>
          <w:szCs w:val="24"/>
          <w:highlight w:val="none"/>
        </w:rPr>
        <w:t>），</w:t>
      </w:r>
      <w:r>
        <w:rPr>
          <w:rFonts w:ascii="宋体" w:hAnsi="宋体" w:eastAsia="宋体" w:cs="宋体"/>
          <w:color w:val="auto"/>
          <w:spacing w:val="-1"/>
          <w:sz w:val="24"/>
          <w:szCs w:val="24"/>
          <w:highlight w:val="none"/>
        </w:rPr>
        <w:t>则该业绩不予认定。</w:t>
      </w:r>
    </w:p>
    <w:p w14:paraId="2C8486D8">
      <w:pPr>
        <w:spacing w:before="2" w:line="358" w:lineRule="auto"/>
        <w:ind w:left="12" w:right="2" w:firstLine="48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如总监理工程师（以及备选人，如有）或驻地监</w:t>
      </w:r>
      <w:r>
        <w:rPr>
          <w:rFonts w:ascii="宋体" w:hAnsi="宋体" w:eastAsia="宋体" w:cs="宋体"/>
          <w:color w:val="auto"/>
          <w:spacing w:val="4"/>
          <w:sz w:val="24"/>
          <w:szCs w:val="24"/>
          <w:highlight w:val="none"/>
        </w:rPr>
        <w:t>理工程师（以及备选人，如有）</w:t>
      </w:r>
      <w:r>
        <w:rPr>
          <w:rFonts w:ascii="宋体" w:hAnsi="宋体" w:eastAsia="宋体" w:cs="宋体"/>
          <w:color w:val="auto"/>
          <w:spacing w:val="5"/>
          <w:sz w:val="24"/>
          <w:szCs w:val="24"/>
          <w:highlight w:val="none"/>
        </w:rPr>
        <w:t>目前仍在其他项目上任职，则投标人应按投标函的格式承诺上述人</w:t>
      </w:r>
      <w:r>
        <w:rPr>
          <w:rFonts w:ascii="宋体" w:hAnsi="宋体" w:eastAsia="宋体" w:cs="宋体"/>
          <w:color w:val="auto"/>
          <w:spacing w:val="4"/>
          <w:sz w:val="24"/>
          <w:szCs w:val="24"/>
          <w:highlight w:val="none"/>
        </w:rPr>
        <w:t>员能够从该项目撤</w:t>
      </w:r>
      <w:r>
        <w:rPr>
          <w:rFonts w:ascii="宋体" w:hAnsi="宋体" w:eastAsia="宋体" w:cs="宋体"/>
          <w:color w:val="auto"/>
          <w:spacing w:val="-5"/>
          <w:sz w:val="24"/>
          <w:szCs w:val="24"/>
          <w:highlight w:val="none"/>
        </w:rPr>
        <w:t>离）。</w:t>
      </w:r>
    </w:p>
    <w:p w14:paraId="7543C55C">
      <w:pPr>
        <w:spacing w:before="7" w:line="335" w:lineRule="auto"/>
        <w:ind w:left="7" w:firstLine="48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3.5.5 “拟委任的其他主要监理人员汇总表</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3"/>
          <w:sz w:val="24"/>
          <w:szCs w:val="24"/>
          <w:highlight w:val="none"/>
        </w:rPr>
        <w:t>（如有）应填报满足投标人须知前</w:t>
      </w:r>
      <w:r>
        <w:rPr>
          <w:rFonts w:ascii="宋体" w:hAnsi="宋体" w:eastAsia="宋体" w:cs="宋体"/>
          <w:color w:val="auto"/>
          <w:spacing w:val="4"/>
          <w:sz w:val="24"/>
          <w:szCs w:val="24"/>
          <w:highlight w:val="none"/>
        </w:rPr>
        <w:t>附表附录</w:t>
      </w:r>
      <w:r>
        <w:rPr>
          <w:rFonts w:ascii="宋体" w:hAnsi="宋体" w:eastAsia="宋体" w:cs="宋体"/>
          <w:color w:val="auto"/>
          <w:spacing w:val="-41"/>
          <w:sz w:val="24"/>
          <w:szCs w:val="24"/>
          <w:highlight w:val="none"/>
        </w:rPr>
        <w:t xml:space="preserve"> </w:t>
      </w:r>
      <w:r>
        <w:rPr>
          <w:rFonts w:ascii="宋体" w:hAnsi="宋体" w:eastAsia="宋体" w:cs="宋体"/>
          <w:color w:val="auto"/>
          <w:spacing w:val="4"/>
          <w:sz w:val="24"/>
          <w:szCs w:val="24"/>
          <w:highlight w:val="none"/>
        </w:rPr>
        <w:t>5</w:t>
      </w:r>
      <w:r>
        <w:rPr>
          <w:rFonts w:ascii="宋体" w:hAnsi="宋体" w:eastAsia="宋体" w:cs="宋体"/>
          <w:color w:val="auto"/>
          <w:spacing w:val="-45"/>
          <w:sz w:val="24"/>
          <w:szCs w:val="24"/>
          <w:highlight w:val="none"/>
        </w:rPr>
        <w:t xml:space="preserve"> </w:t>
      </w:r>
      <w:r>
        <w:rPr>
          <w:rFonts w:ascii="宋体" w:hAnsi="宋体" w:eastAsia="宋体" w:cs="宋体"/>
          <w:color w:val="auto"/>
          <w:spacing w:val="4"/>
          <w:sz w:val="24"/>
          <w:szCs w:val="24"/>
          <w:highlight w:val="none"/>
        </w:rPr>
        <w:t>规定的其他主要监理人员的相关信息。“拟委任的其他主要监理人员资历表</w:t>
      </w:r>
      <w:r>
        <w:rPr>
          <w:rFonts w:ascii="宋体" w:hAnsi="宋体" w:eastAsia="宋体" w:cs="宋体"/>
          <w:color w:val="auto"/>
          <w:spacing w:val="-84"/>
          <w:sz w:val="24"/>
          <w:szCs w:val="24"/>
          <w:highlight w:val="none"/>
        </w:rPr>
        <w:t xml:space="preserve"> </w:t>
      </w:r>
      <w:r>
        <w:rPr>
          <w:rFonts w:ascii="宋体" w:hAnsi="宋体" w:eastAsia="宋体" w:cs="宋体"/>
          <w:color w:val="auto"/>
          <w:spacing w:val="4"/>
          <w:sz w:val="24"/>
          <w:szCs w:val="24"/>
          <w:highlight w:val="none"/>
        </w:rPr>
        <w:t>”（如有）中相关人员应附身份证、职称资格证书和资格审查条件所要求的其他相</w:t>
      </w:r>
      <w:r>
        <w:rPr>
          <w:rFonts w:ascii="宋体" w:hAnsi="宋体" w:eastAsia="宋体" w:cs="宋体"/>
          <w:color w:val="auto"/>
          <w:spacing w:val="5"/>
          <w:sz w:val="24"/>
          <w:szCs w:val="24"/>
          <w:highlight w:val="none"/>
        </w:rPr>
        <w:t>关证书（如公路工程监理工程师证书等）的扫描件，相关业绩证明材料扫描件</w:t>
      </w:r>
      <w:r>
        <w:rPr>
          <w:rFonts w:ascii="宋体" w:hAnsi="宋体" w:eastAsia="宋体" w:cs="宋体"/>
          <w:color w:val="auto"/>
          <w:spacing w:val="4"/>
          <w:sz w:val="24"/>
          <w:szCs w:val="24"/>
          <w:highlight w:val="none"/>
        </w:rPr>
        <w:t>，以及</w:t>
      </w:r>
      <w:r>
        <w:rPr>
          <w:rFonts w:ascii="宋体" w:hAnsi="宋体" w:eastAsia="宋体" w:cs="宋体"/>
          <w:color w:val="auto"/>
          <w:spacing w:val="5"/>
          <w:sz w:val="24"/>
          <w:szCs w:val="24"/>
          <w:highlight w:val="none"/>
        </w:rPr>
        <w:t>投标人所属社保机构出具的社保缴费证明或其他能够证明其参加社保的有效证</w:t>
      </w:r>
      <w:r>
        <w:rPr>
          <w:rFonts w:ascii="宋体" w:hAnsi="宋体" w:eastAsia="宋体" w:cs="宋体"/>
          <w:color w:val="auto"/>
          <w:spacing w:val="4"/>
          <w:sz w:val="24"/>
          <w:szCs w:val="24"/>
          <w:highlight w:val="none"/>
        </w:rPr>
        <w:t>明材料</w:t>
      </w:r>
      <w:r>
        <w:rPr>
          <w:rFonts w:ascii="宋体" w:hAnsi="宋体" w:eastAsia="宋体" w:cs="宋体"/>
          <w:color w:val="auto"/>
          <w:spacing w:val="-3"/>
          <w:sz w:val="24"/>
          <w:szCs w:val="24"/>
          <w:highlight w:val="none"/>
        </w:rPr>
        <w:t>扫描件。</w:t>
      </w:r>
    </w:p>
    <w:p w14:paraId="73731359">
      <w:pPr>
        <w:spacing w:before="182" w:line="290" w:lineRule="auto"/>
        <w:ind w:left="9" w:right="2" w:firstLine="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3.5.6 投标人须知前附表规定接受联合体投标的，本章第</w:t>
      </w:r>
      <w:r>
        <w:rPr>
          <w:rFonts w:ascii="宋体" w:hAnsi="宋体" w:eastAsia="宋体" w:cs="宋体"/>
          <w:color w:val="auto"/>
          <w:spacing w:val="-27"/>
          <w:sz w:val="24"/>
          <w:szCs w:val="24"/>
          <w:highlight w:val="none"/>
        </w:rPr>
        <w:t xml:space="preserve"> </w:t>
      </w:r>
      <w:r>
        <w:rPr>
          <w:rFonts w:ascii="宋体" w:hAnsi="宋体" w:eastAsia="宋体" w:cs="宋体"/>
          <w:color w:val="auto"/>
          <w:spacing w:val="2"/>
          <w:sz w:val="24"/>
          <w:szCs w:val="24"/>
          <w:highlight w:val="none"/>
        </w:rPr>
        <w:t>3.5.1</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项至第</w:t>
      </w:r>
      <w:r>
        <w:rPr>
          <w:rFonts w:ascii="宋体" w:hAnsi="宋体" w:eastAsia="宋体" w:cs="宋体"/>
          <w:color w:val="auto"/>
          <w:spacing w:val="-41"/>
          <w:sz w:val="24"/>
          <w:szCs w:val="24"/>
          <w:highlight w:val="none"/>
        </w:rPr>
        <w:t xml:space="preserve"> </w:t>
      </w:r>
      <w:r>
        <w:rPr>
          <w:rFonts w:ascii="宋体" w:hAnsi="宋体" w:eastAsia="宋体" w:cs="宋体"/>
          <w:color w:val="auto"/>
          <w:spacing w:val="2"/>
          <w:sz w:val="24"/>
          <w:szCs w:val="24"/>
          <w:highlight w:val="none"/>
        </w:rPr>
        <w:t>3.5.5</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项</w:t>
      </w:r>
      <w:r>
        <w:rPr>
          <w:rFonts w:ascii="宋体" w:hAnsi="宋体" w:eastAsia="宋体" w:cs="宋体"/>
          <w:color w:val="auto"/>
          <w:spacing w:val="-1"/>
          <w:sz w:val="24"/>
          <w:szCs w:val="24"/>
          <w:highlight w:val="none"/>
        </w:rPr>
        <w:t>规定的表格和资料应包括联合体各方相关情况。</w:t>
      </w:r>
    </w:p>
    <w:p w14:paraId="71977A5F">
      <w:pPr>
        <w:spacing w:before="180" w:line="289" w:lineRule="auto"/>
        <w:ind w:left="11" w:right="2" w:firstLine="48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3.5.7 除合同条款约定的特殊情形外，投标人在</w:t>
      </w:r>
      <w:r>
        <w:rPr>
          <w:rFonts w:ascii="宋体" w:hAnsi="宋体" w:eastAsia="宋体" w:cs="宋体"/>
          <w:color w:val="auto"/>
          <w:spacing w:val="4"/>
          <w:sz w:val="24"/>
          <w:szCs w:val="24"/>
          <w:highlight w:val="none"/>
        </w:rPr>
        <w:t>投标文件中填报的总监理工程师</w:t>
      </w:r>
      <w:r>
        <w:rPr>
          <w:rFonts w:ascii="宋体" w:hAnsi="宋体" w:eastAsia="宋体" w:cs="宋体"/>
          <w:color w:val="auto"/>
          <w:spacing w:val="-1"/>
          <w:sz w:val="24"/>
          <w:szCs w:val="24"/>
          <w:highlight w:val="none"/>
        </w:rPr>
        <w:t>或驻地监理工程师不允许更换。</w:t>
      </w:r>
    </w:p>
    <w:p w14:paraId="558E8327">
      <w:pPr>
        <w:spacing w:before="182" w:line="289" w:lineRule="auto"/>
        <w:ind w:left="8" w:right="2" w:firstLine="484"/>
        <w:rPr>
          <w:rFonts w:ascii="宋体" w:hAnsi="宋体" w:eastAsia="宋体" w:cs="宋体"/>
          <w:color w:val="auto"/>
          <w:sz w:val="24"/>
          <w:szCs w:val="24"/>
          <w:highlight w:val="none"/>
        </w:rPr>
      </w:pPr>
      <w:r>
        <w:rPr>
          <w:color w:val="auto"/>
          <w:highlight w:val="none"/>
        </w:rPr>
        <w:pict>
          <v:shape id="_x0000_s1067" o:spid="_x0000_s1067" style="position:absolute;left:0pt;margin-left:0pt;margin-top:53.65pt;height:0pt;width:144pt;z-index:251680768;mso-width-relative:page;mso-height-relative:page;" filled="f" stroked="t" coordsize="2880,0" path="m0,0l2880,0e">
            <v:fill on="f" focussize="0,0"/>
            <v:stroke weight="0pt" color="#000000" miterlimit="0" joinstyle="bevel" endcap="square"/>
            <v:imagedata o:title=""/>
            <o:lock v:ext="edit"/>
          </v:shape>
        </w:pict>
      </w:r>
      <w:r>
        <w:rPr>
          <w:rFonts w:ascii="宋体" w:hAnsi="宋体" w:eastAsia="宋体" w:cs="宋体"/>
          <w:color w:val="auto"/>
          <w:spacing w:val="5"/>
          <w:sz w:val="24"/>
          <w:szCs w:val="24"/>
          <w:highlight w:val="none"/>
        </w:rPr>
        <w:t>3.5.8 投标人在投标文件中填报的资质、业绩、</w:t>
      </w:r>
      <w:r>
        <w:rPr>
          <w:rFonts w:ascii="宋体" w:hAnsi="宋体" w:eastAsia="宋体" w:cs="宋体"/>
          <w:color w:val="auto"/>
          <w:spacing w:val="4"/>
          <w:sz w:val="24"/>
          <w:szCs w:val="24"/>
          <w:highlight w:val="none"/>
        </w:rPr>
        <w:t>主要人员资历和目前在岗情况、</w:t>
      </w:r>
      <w:bookmarkStart w:id="110" w:name="bookmark109"/>
      <w:bookmarkEnd w:id="110"/>
      <w:r>
        <w:rPr>
          <w:rFonts w:ascii="宋体" w:hAnsi="宋体" w:eastAsia="宋体" w:cs="宋体"/>
          <w:color w:val="auto"/>
          <w:spacing w:val="4"/>
          <w:sz w:val="24"/>
          <w:szCs w:val="24"/>
          <w:highlight w:val="none"/>
        </w:rPr>
        <w:t>信用等级等信息，应与其在交通运输主管部门“公路建设市场监督管理</w:t>
      </w:r>
      <w:r>
        <w:rPr>
          <w:rFonts w:ascii="宋体" w:hAnsi="宋体" w:eastAsia="宋体" w:cs="宋体"/>
          <w:color w:val="auto"/>
          <w:spacing w:val="3"/>
          <w:sz w:val="24"/>
          <w:szCs w:val="24"/>
          <w:highlight w:val="none"/>
        </w:rPr>
        <w:t>系统</w:t>
      </w:r>
      <w:r>
        <w:rPr>
          <w:rFonts w:ascii="宋体" w:hAnsi="宋体" w:eastAsia="宋体" w:cs="宋体"/>
          <w:color w:val="auto"/>
          <w:spacing w:val="-81"/>
          <w:sz w:val="24"/>
          <w:szCs w:val="24"/>
          <w:highlight w:val="none"/>
        </w:rPr>
        <w:t xml:space="preserve"> </w:t>
      </w:r>
      <w:r>
        <w:rPr>
          <w:rFonts w:ascii="宋体" w:hAnsi="宋体" w:eastAsia="宋体" w:cs="宋体"/>
          <w:color w:val="auto"/>
          <w:spacing w:val="3"/>
          <w:sz w:val="24"/>
          <w:szCs w:val="24"/>
          <w:highlight w:val="none"/>
        </w:rPr>
        <w:t>”上填报</w:t>
      </w:r>
    </w:p>
    <w:p w14:paraId="2A5E188B">
      <w:pPr>
        <w:spacing w:before="290" w:line="217" w:lineRule="auto"/>
        <w:ind w:left="5"/>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① 仅适用于房建工程施工监理单独招标。</w:t>
      </w:r>
    </w:p>
    <w:p w14:paraId="6F39CEFB">
      <w:pPr>
        <w:spacing w:line="217" w:lineRule="auto"/>
        <w:rPr>
          <w:rFonts w:ascii="宋体" w:hAnsi="宋体" w:eastAsia="宋体" w:cs="宋体"/>
          <w:color w:val="auto"/>
          <w:sz w:val="18"/>
          <w:szCs w:val="18"/>
          <w:highlight w:val="none"/>
        </w:rPr>
        <w:sectPr>
          <w:footerReference r:id="rId41" w:type="default"/>
          <w:pgSz w:w="11906" w:h="16839"/>
          <w:pgMar w:top="1405" w:right="1415" w:bottom="1297" w:left="1417" w:header="0" w:footer="1066" w:gutter="0"/>
          <w:pgNumType w:fmt="decimal"/>
          <w:cols w:space="720" w:num="1"/>
        </w:sectPr>
      </w:pPr>
    </w:p>
    <w:p w14:paraId="0A7C1E5A">
      <w:pPr>
        <w:spacing w:before="94" w:line="316" w:lineRule="auto"/>
        <w:ind w:left="7" w:right="128" w:firstLine="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并发布的相关信息一致</w:t>
      </w:r>
      <w:r>
        <w:rPr>
          <w:color w:val="auto"/>
          <w:highlight w:val="none"/>
        </w:rPr>
        <w:fldChar w:fldCharType="begin"/>
      </w:r>
      <w:r>
        <w:rPr>
          <w:color w:val="auto"/>
          <w:highlight w:val="none"/>
        </w:rPr>
        <w:instrText xml:space="preserve"> HYPERLINK \l "bookmark110" </w:instrText>
      </w:r>
      <w:r>
        <w:rPr>
          <w:color w:val="auto"/>
          <w:highlight w:val="none"/>
        </w:rPr>
        <w:fldChar w:fldCharType="separate"/>
      </w:r>
      <w:r>
        <w:rPr>
          <w:rFonts w:ascii="宋体" w:hAnsi="宋体" w:eastAsia="宋体" w:cs="宋体"/>
          <w:color w:val="auto"/>
          <w:spacing w:val="1"/>
          <w:position w:val="12"/>
          <w:sz w:val="12"/>
          <w:szCs w:val="12"/>
          <w:highlight w:val="none"/>
        </w:rPr>
        <w:t>①</w:t>
      </w:r>
      <w:r>
        <w:rPr>
          <w:rFonts w:ascii="宋体" w:hAnsi="宋体" w:eastAsia="宋体" w:cs="宋体"/>
          <w:color w:val="auto"/>
          <w:spacing w:val="1"/>
          <w:position w:val="12"/>
          <w:sz w:val="12"/>
          <w:szCs w:val="12"/>
          <w:highlight w:val="none"/>
        </w:rPr>
        <w:fldChar w:fldCharType="end"/>
      </w:r>
      <w:r>
        <w:rPr>
          <w:rFonts w:ascii="宋体" w:hAnsi="宋体" w:eastAsia="宋体" w:cs="宋体"/>
          <w:color w:val="auto"/>
          <w:spacing w:val="-25"/>
          <w:position w:val="12"/>
          <w:sz w:val="12"/>
          <w:szCs w:val="12"/>
          <w:highlight w:val="none"/>
        </w:rPr>
        <w:t xml:space="preserve"> </w:t>
      </w:r>
      <w:r>
        <w:rPr>
          <w:rFonts w:ascii="宋体" w:hAnsi="宋体" w:eastAsia="宋体" w:cs="宋体"/>
          <w:color w:val="auto"/>
          <w:spacing w:val="1"/>
          <w:sz w:val="24"/>
          <w:szCs w:val="24"/>
          <w:highlight w:val="none"/>
        </w:rPr>
        <w:t>。投标人应根据本单</w:t>
      </w:r>
      <w:r>
        <w:rPr>
          <w:rFonts w:ascii="宋体" w:hAnsi="宋体" w:eastAsia="宋体" w:cs="宋体"/>
          <w:color w:val="auto"/>
          <w:sz w:val="24"/>
          <w:szCs w:val="24"/>
          <w:highlight w:val="none"/>
        </w:rPr>
        <w:t>位实际情况及时完成相关信息的申报、录</w:t>
      </w:r>
      <w:r>
        <w:rPr>
          <w:rFonts w:ascii="宋体" w:hAnsi="宋体" w:eastAsia="宋体" w:cs="宋体"/>
          <w:color w:val="auto"/>
          <w:spacing w:val="-1"/>
          <w:sz w:val="24"/>
          <w:szCs w:val="24"/>
          <w:highlight w:val="none"/>
        </w:rPr>
        <w:t>入和动态更新，并对相关信息的真实性、完整性和准确性负责。</w:t>
      </w:r>
    </w:p>
    <w:p w14:paraId="1CFD400F">
      <w:pPr>
        <w:spacing w:before="147" w:line="359" w:lineRule="auto"/>
        <w:ind w:left="7" w:right="128" w:firstLine="485"/>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3.5.9 招标人有权核查投标人在资格预审申请文</w:t>
      </w:r>
      <w:r>
        <w:rPr>
          <w:rFonts w:ascii="宋体" w:hAnsi="宋体" w:eastAsia="宋体" w:cs="宋体"/>
          <w:color w:val="auto"/>
          <w:spacing w:val="4"/>
          <w:sz w:val="24"/>
          <w:szCs w:val="24"/>
          <w:highlight w:val="none"/>
        </w:rPr>
        <w:t>件和投标文件中提供的资料，若</w:t>
      </w:r>
      <w:r>
        <w:rPr>
          <w:rFonts w:ascii="宋体" w:hAnsi="宋体" w:eastAsia="宋体" w:cs="宋体"/>
          <w:color w:val="auto"/>
          <w:spacing w:val="5"/>
          <w:sz w:val="24"/>
          <w:szCs w:val="24"/>
          <w:highlight w:val="none"/>
        </w:rPr>
        <w:t>在评标期间发现投标人提供了虚假资料，其投标将被否决；若在签订合同前发</w:t>
      </w:r>
      <w:r>
        <w:rPr>
          <w:rFonts w:ascii="宋体" w:hAnsi="宋体" w:eastAsia="宋体" w:cs="宋体"/>
          <w:color w:val="auto"/>
          <w:spacing w:val="4"/>
          <w:sz w:val="24"/>
          <w:szCs w:val="24"/>
          <w:highlight w:val="none"/>
        </w:rPr>
        <w:t>现作为</w:t>
      </w:r>
      <w:r>
        <w:rPr>
          <w:rFonts w:ascii="宋体" w:hAnsi="宋体" w:eastAsia="宋体" w:cs="宋体"/>
          <w:color w:val="auto"/>
          <w:spacing w:val="5"/>
          <w:sz w:val="24"/>
          <w:szCs w:val="24"/>
          <w:highlight w:val="none"/>
        </w:rPr>
        <w:t>中标候选人的投标人提供了虚假资料，招标人有权取消其中标资格；若在合同</w:t>
      </w:r>
      <w:r>
        <w:rPr>
          <w:rFonts w:ascii="宋体" w:hAnsi="宋体" w:eastAsia="宋体" w:cs="宋体"/>
          <w:color w:val="auto"/>
          <w:spacing w:val="4"/>
          <w:sz w:val="24"/>
          <w:szCs w:val="24"/>
          <w:highlight w:val="none"/>
        </w:rPr>
        <w:t>实施期</w:t>
      </w:r>
      <w:r>
        <w:rPr>
          <w:rFonts w:ascii="宋体" w:hAnsi="宋体" w:eastAsia="宋体" w:cs="宋体"/>
          <w:color w:val="auto"/>
          <w:spacing w:val="2"/>
          <w:sz w:val="24"/>
          <w:szCs w:val="24"/>
          <w:highlight w:val="none"/>
        </w:rPr>
        <w:t>间发现投标人提供了虚假资料，招标人有权从合同价款或履约保证金中扣除不超过</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5%</w:t>
      </w:r>
      <w:r>
        <w:rPr>
          <w:rFonts w:ascii="宋体" w:hAnsi="宋体" w:eastAsia="宋体" w:cs="宋体"/>
          <w:color w:val="auto"/>
          <w:spacing w:val="5"/>
          <w:sz w:val="24"/>
          <w:szCs w:val="24"/>
          <w:highlight w:val="none"/>
        </w:rPr>
        <w:t>签约合同价的金额作为违约金。同时招标人将投标人上述弄虚作假行为上报省</w:t>
      </w:r>
      <w:r>
        <w:rPr>
          <w:rFonts w:ascii="宋体" w:hAnsi="宋体" w:eastAsia="宋体" w:cs="宋体"/>
          <w:color w:val="auto"/>
          <w:spacing w:val="4"/>
          <w:sz w:val="24"/>
          <w:szCs w:val="24"/>
          <w:highlight w:val="none"/>
        </w:rPr>
        <w:t>级交通</w:t>
      </w:r>
      <w:r>
        <w:rPr>
          <w:rFonts w:ascii="宋体" w:hAnsi="宋体" w:eastAsia="宋体" w:cs="宋体"/>
          <w:color w:val="auto"/>
          <w:spacing w:val="-1"/>
          <w:sz w:val="24"/>
          <w:szCs w:val="24"/>
          <w:highlight w:val="none"/>
        </w:rPr>
        <w:t>运输主管部门，作为不良记录纳入公路建设市场监督管理系统。</w:t>
      </w:r>
    </w:p>
    <w:p w14:paraId="14D01D26">
      <w:pPr>
        <w:spacing w:line="220" w:lineRule="auto"/>
        <w:ind w:left="13"/>
        <w:outlineLvl w:val="1"/>
        <w:rPr>
          <w:rFonts w:ascii="宋体" w:hAnsi="宋体" w:eastAsia="宋体" w:cs="宋体"/>
          <w:color w:val="auto"/>
          <w:sz w:val="24"/>
          <w:szCs w:val="24"/>
          <w:highlight w:val="none"/>
        </w:rPr>
      </w:pPr>
      <w:bookmarkStart w:id="111" w:name="_Toc29492"/>
      <w:bookmarkStart w:id="112" w:name="_Toc32348"/>
      <w:r>
        <w:rPr>
          <w:rFonts w:ascii="宋体" w:hAnsi="宋体" w:eastAsia="宋体" w:cs="宋体"/>
          <w:b/>
          <w:bCs/>
          <w:color w:val="auto"/>
          <w:spacing w:val="-3"/>
          <w:sz w:val="24"/>
          <w:szCs w:val="24"/>
          <w:highlight w:val="none"/>
        </w:rPr>
        <w:t>3.6</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备选投标方案</w:t>
      </w:r>
      <w:bookmarkEnd w:id="111"/>
      <w:bookmarkEnd w:id="112"/>
    </w:p>
    <w:p w14:paraId="25668672">
      <w:pPr>
        <w:spacing w:before="178" w:line="290" w:lineRule="auto"/>
        <w:ind w:left="11" w:right="128" w:firstLine="48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3.6.1 除投标人须知前附表规定允许外，投标人</w:t>
      </w:r>
      <w:r>
        <w:rPr>
          <w:rFonts w:ascii="宋体" w:hAnsi="宋体" w:eastAsia="宋体" w:cs="宋体"/>
          <w:color w:val="auto"/>
          <w:spacing w:val="4"/>
          <w:sz w:val="24"/>
          <w:szCs w:val="24"/>
          <w:highlight w:val="none"/>
        </w:rPr>
        <w:t>不得递交备选投标方案，否则其</w:t>
      </w:r>
      <w:r>
        <w:rPr>
          <w:rFonts w:ascii="宋体" w:hAnsi="宋体" w:eastAsia="宋体" w:cs="宋体"/>
          <w:color w:val="auto"/>
          <w:spacing w:val="-2"/>
          <w:sz w:val="24"/>
          <w:szCs w:val="24"/>
          <w:highlight w:val="none"/>
        </w:rPr>
        <w:t>投标将被否决。</w:t>
      </w:r>
    </w:p>
    <w:p w14:paraId="2F0A03B6">
      <w:pPr>
        <w:spacing w:before="181" w:line="313" w:lineRule="auto"/>
        <w:ind w:left="9" w:right="128" w:firstLine="48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3.6.2 允许投标人递交备选投标方案的，只有中</w:t>
      </w:r>
      <w:r>
        <w:rPr>
          <w:rFonts w:ascii="宋体" w:hAnsi="宋体" w:eastAsia="宋体" w:cs="宋体"/>
          <w:color w:val="auto"/>
          <w:spacing w:val="4"/>
          <w:sz w:val="24"/>
          <w:szCs w:val="24"/>
          <w:highlight w:val="none"/>
        </w:rPr>
        <w:t>标人所递交的备选投标方案方可</w:t>
      </w:r>
      <w:r>
        <w:rPr>
          <w:rFonts w:ascii="宋体" w:hAnsi="宋体" w:eastAsia="宋体" w:cs="宋体"/>
          <w:color w:val="auto"/>
          <w:spacing w:val="5"/>
          <w:sz w:val="24"/>
          <w:szCs w:val="24"/>
          <w:highlight w:val="none"/>
        </w:rPr>
        <w:t>予以考虑。评标委员会认为中标人的备选投标方案优于其按照招标文件要</w:t>
      </w:r>
      <w:r>
        <w:rPr>
          <w:rFonts w:ascii="宋体" w:hAnsi="宋体" w:eastAsia="宋体" w:cs="宋体"/>
          <w:color w:val="auto"/>
          <w:spacing w:val="4"/>
          <w:sz w:val="24"/>
          <w:szCs w:val="24"/>
          <w:highlight w:val="none"/>
        </w:rPr>
        <w:t>求编制的投</w:t>
      </w:r>
      <w:r>
        <w:rPr>
          <w:rFonts w:ascii="宋体" w:hAnsi="宋体" w:eastAsia="宋体" w:cs="宋体"/>
          <w:color w:val="auto"/>
          <w:spacing w:val="-1"/>
          <w:sz w:val="24"/>
          <w:szCs w:val="24"/>
          <w:highlight w:val="none"/>
        </w:rPr>
        <w:t>标方案的，招标人可以接受该备选投标方案。</w:t>
      </w:r>
    </w:p>
    <w:p w14:paraId="198806EE">
      <w:pPr>
        <w:spacing w:before="180" w:line="289" w:lineRule="auto"/>
        <w:ind w:left="31" w:right="128" w:firstLine="46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3.6.3 投标人提供两个或两个以上投标报价，或</w:t>
      </w:r>
      <w:r>
        <w:rPr>
          <w:rFonts w:ascii="宋体" w:hAnsi="宋体" w:eastAsia="宋体" w:cs="宋体"/>
          <w:color w:val="auto"/>
          <w:spacing w:val="4"/>
          <w:sz w:val="24"/>
          <w:szCs w:val="24"/>
          <w:highlight w:val="none"/>
        </w:rPr>
        <w:t>在投标文件中提供一个报价，但</w:t>
      </w:r>
      <w:r>
        <w:rPr>
          <w:rFonts w:ascii="宋体" w:hAnsi="宋体" w:eastAsia="宋体" w:cs="宋体"/>
          <w:color w:val="auto"/>
          <w:spacing w:val="-2"/>
          <w:sz w:val="24"/>
          <w:szCs w:val="24"/>
          <w:highlight w:val="none"/>
        </w:rPr>
        <w:t>同时提供两个或两个以上监理方案的，视为提供备选方案。</w:t>
      </w:r>
    </w:p>
    <w:p w14:paraId="0C4F9A27">
      <w:pPr>
        <w:spacing w:before="182" w:line="219" w:lineRule="auto"/>
        <w:ind w:left="13"/>
        <w:outlineLvl w:val="1"/>
        <w:rPr>
          <w:rFonts w:ascii="宋体" w:hAnsi="宋体" w:eastAsia="宋体" w:cs="宋体"/>
          <w:color w:val="auto"/>
          <w:sz w:val="24"/>
          <w:szCs w:val="24"/>
          <w:highlight w:val="none"/>
        </w:rPr>
      </w:pPr>
      <w:bookmarkStart w:id="113" w:name="_Toc32084"/>
      <w:bookmarkStart w:id="114" w:name="_Toc26079"/>
      <w:r>
        <w:rPr>
          <w:rFonts w:ascii="宋体" w:hAnsi="宋体" w:eastAsia="宋体" w:cs="宋体"/>
          <w:b/>
          <w:bCs/>
          <w:color w:val="auto"/>
          <w:spacing w:val="-3"/>
          <w:sz w:val="24"/>
          <w:szCs w:val="24"/>
          <w:highlight w:val="none"/>
        </w:rPr>
        <w:t>3.7</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投标文件的编制</w:t>
      </w:r>
      <w:bookmarkEnd w:id="113"/>
      <w:bookmarkEnd w:id="114"/>
    </w:p>
    <w:p w14:paraId="102D1C11">
      <w:pPr>
        <w:spacing w:before="180" w:line="290" w:lineRule="auto"/>
        <w:ind w:left="14" w:right="128" w:firstLine="47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3.7.1 投标文件应按第七章“投标文件格式</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3"/>
          <w:sz w:val="24"/>
          <w:szCs w:val="24"/>
          <w:highlight w:val="none"/>
        </w:rPr>
        <w:t>进行编写，如有必要，可以增加附</w:t>
      </w:r>
      <w:r>
        <w:rPr>
          <w:rFonts w:ascii="宋体" w:hAnsi="宋体" w:eastAsia="宋体" w:cs="宋体"/>
          <w:color w:val="auto"/>
          <w:spacing w:val="-2"/>
          <w:sz w:val="24"/>
          <w:szCs w:val="24"/>
          <w:highlight w:val="none"/>
        </w:rPr>
        <w:t>页，作为投标文件的组成部分。</w:t>
      </w:r>
    </w:p>
    <w:p w14:paraId="239E1353">
      <w:pPr>
        <w:spacing w:before="182" w:line="289" w:lineRule="auto"/>
        <w:ind w:left="54" w:right="128" w:firstLine="43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3.7.2 投标文件应对招标文件有关监理服务期限</w:t>
      </w:r>
      <w:r>
        <w:rPr>
          <w:rFonts w:ascii="宋体" w:hAnsi="宋体" w:eastAsia="宋体" w:cs="宋体"/>
          <w:color w:val="auto"/>
          <w:spacing w:val="4"/>
          <w:sz w:val="24"/>
          <w:szCs w:val="24"/>
          <w:highlight w:val="none"/>
        </w:rPr>
        <w:t>、投标有效期、质量要求、安全</w:t>
      </w:r>
      <w:r>
        <w:rPr>
          <w:rFonts w:ascii="宋体" w:hAnsi="宋体" w:eastAsia="宋体" w:cs="宋体"/>
          <w:color w:val="auto"/>
          <w:spacing w:val="-3"/>
          <w:sz w:val="24"/>
          <w:szCs w:val="24"/>
          <w:highlight w:val="none"/>
        </w:rPr>
        <w:t>目标、委托人要求、招标范围等实质性内容作出响应。</w:t>
      </w:r>
    </w:p>
    <w:p w14:paraId="446F38E7">
      <w:pPr>
        <w:spacing w:before="183"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3.7.3  投标文件的制作应满足以下规定：</w:t>
      </w:r>
    </w:p>
    <w:p w14:paraId="4BD5EDE2">
      <w:pPr>
        <w:spacing w:before="182" w:line="290" w:lineRule="auto"/>
        <w:ind w:left="10" w:right="128" w:firstLine="48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（1）投标文件由投标人使用“</w:t>
      </w:r>
      <w:r>
        <w:rPr>
          <w:rFonts w:ascii="宋体" w:hAnsi="宋体" w:eastAsia="宋体" w:cs="宋体"/>
          <w:color w:val="auto"/>
          <w:spacing w:val="-65"/>
          <w:sz w:val="24"/>
          <w:szCs w:val="24"/>
          <w:highlight w:val="none"/>
        </w:rPr>
        <w:t xml:space="preserve"> </w:t>
      </w:r>
      <w:r>
        <w:rPr>
          <w:rFonts w:ascii="宋体" w:hAnsi="宋体" w:eastAsia="宋体" w:cs="宋体"/>
          <w:color w:val="auto"/>
          <w:spacing w:val="-2"/>
          <w:sz w:val="24"/>
          <w:szCs w:val="24"/>
          <w:highlight w:val="none"/>
        </w:rPr>
        <w:t>电子交易平台</w:t>
      </w:r>
      <w:r>
        <w:rPr>
          <w:rFonts w:ascii="宋体" w:hAnsi="宋体" w:eastAsia="宋体" w:cs="宋体"/>
          <w:color w:val="auto"/>
          <w:spacing w:val="-85"/>
          <w:sz w:val="24"/>
          <w:szCs w:val="24"/>
          <w:highlight w:val="none"/>
        </w:rPr>
        <w:t xml:space="preserve"> </w:t>
      </w:r>
      <w:r>
        <w:rPr>
          <w:rFonts w:ascii="宋体" w:hAnsi="宋体" w:eastAsia="宋体" w:cs="宋体"/>
          <w:color w:val="auto"/>
          <w:spacing w:val="-2"/>
          <w:sz w:val="24"/>
          <w:szCs w:val="24"/>
          <w:highlight w:val="none"/>
        </w:rPr>
        <w:t>”自带的“投标文件制作工具</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”制作</w:t>
      </w:r>
      <w:r>
        <w:rPr>
          <w:rFonts w:ascii="宋体" w:hAnsi="宋体" w:eastAsia="宋体" w:cs="宋体"/>
          <w:color w:val="auto"/>
          <w:spacing w:val="-4"/>
          <w:sz w:val="24"/>
          <w:szCs w:val="24"/>
          <w:highlight w:val="none"/>
        </w:rPr>
        <w:t>生成。</w:t>
      </w:r>
    </w:p>
    <w:p w14:paraId="4632CFA0">
      <w:pPr>
        <w:spacing w:before="181"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（2）投标人在编制投标文件时应建立分级目录，并按照标签提示导入相关内容。</w:t>
      </w:r>
    </w:p>
    <w:p w14:paraId="083E5592">
      <w:pPr>
        <w:spacing w:before="180" w:line="289" w:lineRule="auto"/>
        <w:ind w:left="8" w:right="128" w:firstLine="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（3）投标文件中的已标价报价清单数据文件应与招标人提供的报价清单数据文件</w:t>
      </w:r>
      <w:r>
        <w:rPr>
          <w:rFonts w:ascii="宋体" w:hAnsi="宋体" w:eastAsia="宋体" w:cs="宋体"/>
          <w:color w:val="auto"/>
          <w:spacing w:val="-2"/>
          <w:sz w:val="24"/>
          <w:szCs w:val="24"/>
          <w:highlight w:val="none"/>
        </w:rPr>
        <w:t>格式一致。</w:t>
      </w:r>
    </w:p>
    <w:p w14:paraId="55DE501A">
      <w:pPr>
        <w:spacing w:before="182" w:line="289" w:lineRule="auto"/>
        <w:ind w:left="12" w:firstLine="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（4）投标文件中需签名(签字)的，投标人应按要求使用个人电子签名章进行签名。</w:t>
      </w:r>
      <w:bookmarkStart w:id="115" w:name="bookmark110"/>
      <w:bookmarkEnd w:id="115"/>
      <w:r>
        <w:rPr>
          <w:rFonts w:ascii="宋体" w:hAnsi="宋体" w:eastAsia="宋体" w:cs="宋体"/>
          <w:color w:val="auto"/>
          <w:spacing w:val="5"/>
          <w:sz w:val="24"/>
          <w:szCs w:val="24"/>
          <w:highlight w:val="none"/>
        </w:rPr>
        <w:t>如投标人法定代表人或其委托代理人或总监理工程师（含备选，如</w:t>
      </w:r>
      <w:r>
        <w:rPr>
          <w:rFonts w:ascii="宋体" w:hAnsi="宋体" w:eastAsia="宋体" w:cs="宋体"/>
          <w:color w:val="auto"/>
          <w:spacing w:val="4"/>
          <w:sz w:val="24"/>
          <w:szCs w:val="24"/>
          <w:highlight w:val="none"/>
        </w:rPr>
        <w:t>有）或驻地监理工</w:t>
      </w:r>
    </w:p>
    <w:p w14:paraId="2E4F83B6">
      <w:pPr>
        <w:spacing w:line="343" w:lineRule="auto"/>
        <w:rPr>
          <w:rFonts w:ascii="Arial"/>
          <w:color w:val="auto"/>
          <w:sz w:val="21"/>
          <w:highlight w:val="none"/>
        </w:rPr>
      </w:pPr>
      <w:r>
        <w:rPr>
          <w:color w:val="auto"/>
          <w:highlight w:val="none"/>
        </w:rPr>
        <w:pict>
          <v:shape id="_x0000_s1068" o:spid="_x0000_s1068" style="position:absolute;left:0pt;margin-left:0pt;margin-top:12.8pt;height:0pt;width:144pt;z-index:251681792;mso-width-relative:page;mso-height-relative:page;" filled="f" stroked="t" coordsize="2880,0" path="m0,0l2880,0e">
            <v:fill on="f" focussize="0,0"/>
            <v:stroke weight="0pt" color="#000000" miterlimit="0" joinstyle="bevel" endcap="square"/>
            <v:imagedata o:title=""/>
            <o:lock v:ext="edit"/>
          </v:shape>
        </w:pict>
      </w:r>
    </w:p>
    <w:p w14:paraId="71FC6C49">
      <w:pPr>
        <w:spacing w:before="60" w:line="220" w:lineRule="auto"/>
        <w:ind w:left="5"/>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① 本项仅适用于采用交通运输主管部门“公路建设市场监督管理系统</w:t>
      </w:r>
      <w:r>
        <w:rPr>
          <w:rFonts w:ascii="宋体" w:hAnsi="宋体" w:eastAsia="宋体" w:cs="宋体"/>
          <w:color w:val="auto"/>
          <w:spacing w:val="-53"/>
          <w:sz w:val="18"/>
          <w:szCs w:val="18"/>
          <w:highlight w:val="none"/>
        </w:rPr>
        <w:t xml:space="preserve"> </w:t>
      </w:r>
      <w:r>
        <w:rPr>
          <w:rFonts w:ascii="宋体" w:hAnsi="宋体" w:eastAsia="宋体" w:cs="宋体"/>
          <w:color w:val="auto"/>
          <w:spacing w:val="-1"/>
          <w:sz w:val="18"/>
          <w:szCs w:val="18"/>
          <w:highlight w:val="none"/>
        </w:rPr>
        <w:t>”截图作为证明材料的情形。</w:t>
      </w:r>
    </w:p>
    <w:p w14:paraId="1ABB78EB">
      <w:pPr>
        <w:spacing w:line="220" w:lineRule="auto"/>
        <w:rPr>
          <w:rFonts w:ascii="宋体" w:hAnsi="宋体" w:eastAsia="宋体" w:cs="宋体"/>
          <w:color w:val="auto"/>
          <w:sz w:val="18"/>
          <w:szCs w:val="18"/>
          <w:highlight w:val="none"/>
        </w:rPr>
        <w:sectPr>
          <w:footerReference r:id="rId42" w:type="default"/>
          <w:pgSz w:w="11906" w:h="16839"/>
          <w:pgMar w:top="1323" w:right="1289" w:bottom="1297" w:left="1417" w:header="0" w:footer="1067" w:gutter="0"/>
          <w:pgNumType w:fmt="decimal"/>
          <w:cols w:space="720" w:num="1"/>
        </w:sectPr>
      </w:pPr>
    </w:p>
    <w:p w14:paraId="68D37F14">
      <w:pPr>
        <w:spacing w:before="48" w:line="359" w:lineRule="auto"/>
        <w:ind w:left="1" w:right="173" w:hanging="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程师（含备选，如有）未办理个人电子签名章的，投标人应打印需要签名的相关页面，</w:t>
      </w:r>
      <w:r>
        <w:rPr>
          <w:rFonts w:ascii="宋体" w:hAnsi="宋体" w:eastAsia="宋体" w:cs="宋体"/>
          <w:color w:val="auto"/>
          <w:spacing w:val="-1"/>
          <w:sz w:val="24"/>
          <w:szCs w:val="24"/>
          <w:highlight w:val="none"/>
        </w:rPr>
        <w:t>本人亲笔签名后扫描上传至投标文件相应位置中。</w:t>
      </w:r>
    </w:p>
    <w:p w14:paraId="24A3479D">
      <w:pPr>
        <w:spacing w:line="359" w:lineRule="auto"/>
        <w:ind w:left="4" w:right="113" w:firstLine="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（5）投标文件制作完成后，投标人应使用</w:t>
      </w:r>
      <w:r>
        <w:rPr>
          <w:rFonts w:ascii="宋体" w:hAnsi="宋体" w:eastAsia="宋体" w:cs="宋体"/>
          <w:color w:val="auto"/>
          <w:spacing w:val="-53"/>
          <w:sz w:val="24"/>
          <w:szCs w:val="24"/>
          <w:highlight w:val="none"/>
        </w:rPr>
        <w:t xml:space="preserve"> </w:t>
      </w:r>
      <w:r>
        <w:rPr>
          <w:rFonts w:ascii="宋体" w:hAnsi="宋体" w:eastAsia="宋体" w:cs="宋体"/>
          <w:color w:val="auto"/>
          <w:spacing w:val="-2"/>
          <w:sz w:val="24"/>
          <w:szCs w:val="24"/>
          <w:highlight w:val="none"/>
        </w:rPr>
        <w:t>CA 数字证书</w:t>
      </w:r>
      <w:r>
        <w:rPr>
          <w:rFonts w:ascii="宋体" w:hAnsi="宋体" w:eastAsia="宋体" w:cs="宋体"/>
          <w:color w:val="auto"/>
          <w:spacing w:val="-3"/>
          <w:sz w:val="24"/>
          <w:szCs w:val="24"/>
          <w:highlight w:val="none"/>
        </w:rPr>
        <w:t>对投标文件进行文件加密，</w:t>
      </w:r>
      <w:r>
        <w:rPr>
          <w:rFonts w:ascii="宋体" w:hAnsi="宋体" w:eastAsia="宋体" w:cs="宋体"/>
          <w:color w:val="auto"/>
          <w:spacing w:val="-2"/>
          <w:sz w:val="24"/>
          <w:szCs w:val="24"/>
          <w:highlight w:val="none"/>
        </w:rPr>
        <w:t>形成加密的投标文件。</w:t>
      </w:r>
    </w:p>
    <w:p w14:paraId="065AD396">
      <w:pPr>
        <w:spacing w:line="360" w:lineRule="auto"/>
        <w:ind w:right="163" w:firstLine="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3.7.4</w:t>
      </w:r>
      <w:r>
        <w:rPr>
          <w:rFonts w:ascii="宋体" w:hAnsi="宋体" w:eastAsia="宋体" w:cs="宋体"/>
          <w:color w:val="auto"/>
          <w:spacing w:val="35"/>
          <w:sz w:val="24"/>
          <w:szCs w:val="24"/>
          <w:highlight w:val="none"/>
        </w:rPr>
        <w:t xml:space="preserve"> </w:t>
      </w:r>
      <w:r>
        <w:rPr>
          <w:rFonts w:ascii="宋体" w:hAnsi="宋体" w:eastAsia="宋体" w:cs="宋体"/>
          <w:color w:val="auto"/>
          <w:spacing w:val="2"/>
          <w:sz w:val="24"/>
          <w:szCs w:val="24"/>
          <w:highlight w:val="none"/>
        </w:rPr>
        <w:t>因投标人自身原因而导致投标文件</w:t>
      </w:r>
      <w:r>
        <w:rPr>
          <w:rFonts w:ascii="宋体" w:hAnsi="宋体" w:eastAsia="宋体" w:cs="宋体"/>
          <w:color w:val="auto"/>
          <w:spacing w:val="1"/>
          <w:sz w:val="24"/>
          <w:szCs w:val="24"/>
          <w:highlight w:val="none"/>
        </w:rPr>
        <w:t>无法导入“</w:t>
      </w:r>
      <w:r>
        <w:rPr>
          <w:rFonts w:ascii="宋体" w:hAnsi="宋体" w:eastAsia="宋体" w:cs="宋体"/>
          <w:color w:val="auto"/>
          <w:spacing w:val="-75"/>
          <w:sz w:val="24"/>
          <w:szCs w:val="24"/>
          <w:highlight w:val="none"/>
        </w:rPr>
        <w:t xml:space="preserve"> </w:t>
      </w:r>
      <w:r>
        <w:rPr>
          <w:rFonts w:ascii="宋体" w:hAnsi="宋体" w:eastAsia="宋体" w:cs="宋体"/>
          <w:color w:val="auto"/>
          <w:spacing w:val="1"/>
          <w:sz w:val="24"/>
          <w:szCs w:val="24"/>
          <w:highlight w:val="none"/>
        </w:rPr>
        <w:t>电子交易平台</w:t>
      </w:r>
      <w:r>
        <w:rPr>
          <w:rFonts w:ascii="宋体" w:hAnsi="宋体" w:eastAsia="宋体" w:cs="宋体"/>
          <w:color w:val="auto"/>
          <w:spacing w:val="-81"/>
          <w:sz w:val="24"/>
          <w:szCs w:val="24"/>
          <w:highlight w:val="none"/>
        </w:rPr>
        <w:t xml:space="preserve"> </w:t>
      </w:r>
      <w:r>
        <w:rPr>
          <w:rFonts w:ascii="宋体" w:hAnsi="宋体" w:eastAsia="宋体" w:cs="宋体"/>
          <w:color w:val="auto"/>
          <w:spacing w:val="1"/>
          <w:sz w:val="24"/>
          <w:szCs w:val="24"/>
          <w:highlight w:val="none"/>
        </w:rPr>
        <w:t>”电子开标、</w:t>
      </w:r>
      <w:r>
        <w:rPr>
          <w:rFonts w:ascii="宋体" w:hAnsi="宋体" w:eastAsia="宋体" w:cs="宋体"/>
          <w:color w:val="auto"/>
          <w:spacing w:val="5"/>
          <w:sz w:val="24"/>
          <w:szCs w:val="24"/>
          <w:highlight w:val="none"/>
        </w:rPr>
        <w:t>评标系统，该投标视为无效投标，投标人自行承担由此导致的全部责任。投标</w:t>
      </w:r>
      <w:r>
        <w:rPr>
          <w:rFonts w:ascii="宋体" w:hAnsi="宋体" w:eastAsia="宋体" w:cs="宋体"/>
          <w:color w:val="auto"/>
          <w:spacing w:val="4"/>
          <w:sz w:val="24"/>
          <w:szCs w:val="24"/>
          <w:highlight w:val="none"/>
        </w:rPr>
        <w:t>文件其</w:t>
      </w:r>
      <w:r>
        <w:rPr>
          <w:rFonts w:ascii="宋体" w:hAnsi="宋体" w:eastAsia="宋体" w:cs="宋体"/>
          <w:color w:val="auto"/>
          <w:spacing w:val="-1"/>
          <w:sz w:val="24"/>
          <w:szCs w:val="24"/>
          <w:highlight w:val="none"/>
        </w:rPr>
        <w:t>他要求见投标人须知前附表。</w:t>
      </w:r>
    </w:p>
    <w:p w14:paraId="27BBBC64">
      <w:pPr>
        <w:spacing w:before="1" w:line="221" w:lineRule="auto"/>
        <w:ind w:left="2"/>
        <w:outlineLvl w:val="0"/>
        <w:rPr>
          <w:rFonts w:ascii="宋体" w:hAnsi="宋体" w:eastAsia="宋体" w:cs="宋体"/>
          <w:color w:val="auto"/>
          <w:sz w:val="28"/>
          <w:szCs w:val="28"/>
          <w:highlight w:val="none"/>
        </w:rPr>
      </w:pPr>
      <w:bookmarkStart w:id="116" w:name="_Toc1801"/>
      <w:r>
        <w:rPr>
          <w:rFonts w:ascii="宋体" w:hAnsi="宋体" w:eastAsia="宋体" w:cs="宋体"/>
          <w:b/>
          <w:bCs/>
          <w:color w:val="auto"/>
          <w:spacing w:val="-9"/>
          <w:sz w:val="28"/>
          <w:szCs w:val="28"/>
          <w:highlight w:val="none"/>
        </w:rPr>
        <w:t>4.</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9"/>
          <w:sz w:val="28"/>
          <w:szCs w:val="28"/>
          <w:highlight w:val="none"/>
        </w:rPr>
        <w:t>投标</w:t>
      </w:r>
      <w:bookmarkEnd w:id="116"/>
    </w:p>
    <w:p w14:paraId="0533DCD8">
      <w:pPr>
        <w:spacing w:before="202" w:line="219" w:lineRule="auto"/>
        <w:outlineLvl w:val="1"/>
        <w:rPr>
          <w:rFonts w:ascii="宋体" w:hAnsi="宋体" w:eastAsia="宋体" w:cs="宋体"/>
          <w:color w:val="auto"/>
          <w:sz w:val="24"/>
          <w:szCs w:val="24"/>
          <w:highlight w:val="none"/>
        </w:rPr>
      </w:pPr>
      <w:bookmarkStart w:id="117" w:name="_Toc12674"/>
      <w:bookmarkStart w:id="118" w:name="_Toc508"/>
      <w:r>
        <w:rPr>
          <w:rFonts w:ascii="宋体" w:hAnsi="宋体" w:eastAsia="宋体" w:cs="宋体"/>
          <w:b/>
          <w:bCs/>
          <w:color w:val="auto"/>
          <w:spacing w:val="-3"/>
          <w:sz w:val="24"/>
          <w:szCs w:val="24"/>
          <w:highlight w:val="none"/>
        </w:rPr>
        <w:t>4.1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投标文件的加密</w:t>
      </w:r>
      <w:bookmarkEnd w:id="117"/>
      <w:bookmarkEnd w:id="118"/>
    </w:p>
    <w:p w14:paraId="477C5EC8">
      <w:pPr>
        <w:spacing w:before="183" w:line="359" w:lineRule="auto"/>
        <w:ind w:left="2" w:right="163" w:firstLine="48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投标文件应按照本章第</w:t>
      </w:r>
      <w:r>
        <w:rPr>
          <w:rFonts w:ascii="宋体" w:hAnsi="宋体" w:eastAsia="宋体" w:cs="宋体"/>
          <w:color w:val="auto"/>
          <w:spacing w:val="-38"/>
          <w:sz w:val="24"/>
          <w:szCs w:val="24"/>
          <w:highlight w:val="none"/>
        </w:rPr>
        <w:t xml:space="preserve"> </w:t>
      </w:r>
      <w:r>
        <w:rPr>
          <w:rFonts w:ascii="宋体" w:hAnsi="宋体" w:eastAsia="宋体" w:cs="宋体"/>
          <w:color w:val="auto"/>
          <w:spacing w:val="4"/>
          <w:sz w:val="24"/>
          <w:szCs w:val="24"/>
          <w:highlight w:val="none"/>
        </w:rPr>
        <w:t>3.7.3</w:t>
      </w:r>
      <w:r>
        <w:rPr>
          <w:rFonts w:ascii="宋体" w:hAnsi="宋体" w:eastAsia="宋体" w:cs="宋体"/>
          <w:color w:val="auto"/>
          <w:spacing w:val="-40"/>
          <w:sz w:val="24"/>
          <w:szCs w:val="24"/>
          <w:highlight w:val="none"/>
        </w:rPr>
        <w:t xml:space="preserve"> </w:t>
      </w:r>
      <w:r>
        <w:rPr>
          <w:rFonts w:ascii="宋体" w:hAnsi="宋体" w:eastAsia="宋体" w:cs="宋体"/>
          <w:color w:val="auto"/>
          <w:spacing w:val="4"/>
          <w:sz w:val="24"/>
          <w:szCs w:val="24"/>
          <w:highlight w:val="none"/>
        </w:rPr>
        <w:t>项要求制作并加密，未</w:t>
      </w:r>
      <w:r>
        <w:rPr>
          <w:rFonts w:ascii="宋体" w:hAnsi="宋体" w:eastAsia="宋体" w:cs="宋体"/>
          <w:color w:val="auto"/>
          <w:spacing w:val="3"/>
          <w:sz w:val="24"/>
          <w:szCs w:val="24"/>
          <w:highlight w:val="none"/>
        </w:rPr>
        <w:t>按要求加密的投标文件，招</w:t>
      </w:r>
      <w:r>
        <w:rPr>
          <w:rFonts w:ascii="宋体" w:hAnsi="宋体" w:eastAsia="宋体" w:cs="宋体"/>
          <w:color w:val="auto"/>
          <w:spacing w:val="-6"/>
          <w:sz w:val="24"/>
          <w:szCs w:val="24"/>
          <w:highlight w:val="none"/>
        </w:rPr>
        <w:t>标人（</w:t>
      </w:r>
      <w:r>
        <w:rPr>
          <w:rFonts w:ascii="宋体" w:hAnsi="宋体" w:eastAsia="宋体" w:cs="宋体"/>
          <w:color w:val="auto"/>
          <w:spacing w:val="-75"/>
          <w:sz w:val="24"/>
          <w:szCs w:val="24"/>
          <w:highlight w:val="none"/>
        </w:rPr>
        <w:t xml:space="preserve"> </w:t>
      </w:r>
      <w:r>
        <w:rPr>
          <w:rFonts w:ascii="宋体" w:hAnsi="宋体" w:eastAsia="宋体" w:cs="宋体"/>
          <w:color w:val="auto"/>
          <w:spacing w:val="-6"/>
          <w:sz w:val="24"/>
          <w:szCs w:val="24"/>
          <w:highlight w:val="none"/>
        </w:rPr>
        <w:t>“</w:t>
      </w:r>
      <w:r>
        <w:rPr>
          <w:rFonts w:ascii="宋体" w:hAnsi="宋体" w:eastAsia="宋体" w:cs="宋体"/>
          <w:color w:val="auto"/>
          <w:spacing w:val="-83"/>
          <w:sz w:val="24"/>
          <w:szCs w:val="24"/>
          <w:highlight w:val="none"/>
        </w:rPr>
        <w:t xml:space="preserve"> </w:t>
      </w:r>
      <w:r>
        <w:rPr>
          <w:rFonts w:ascii="宋体" w:hAnsi="宋体" w:eastAsia="宋体" w:cs="宋体"/>
          <w:color w:val="auto"/>
          <w:spacing w:val="-6"/>
          <w:sz w:val="24"/>
          <w:szCs w:val="24"/>
          <w:highlight w:val="none"/>
        </w:rPr>
        <w:t>电子交易平台</w:t>
      </w:r>
      <w:r>
        <w:rPr>
          <w:rFonts w:ascii="宋体" w:hAnsi="宋体" w:eastAsia="宋体" w:cs="宋体"/>
          <w:color w:val="auto"/>
          <w:spacing w:val="-88"/>
          <w:sz w:val="24"/>
          <w:szCs w:val="24"/>
          <w:highlight w:val="none"/>
        </w:rPr>
        <w:t xml:space="preserve"> </w:t>
      </w:r>
      <w:r>
        <w:rPr>
          <w:rFonts w:ascii="宋体" w:hAnsi="宋体" w:eastAsia="宋体" w:cs="宋体"/>
          <w:color w:val="auto"/>
          <w:spacing w:val="-6"/>
          <w:sz w:val="24"/>
          <w:szCs w:val="24"/>
          <w:highlight w:val="none"/>
        </w:rPr>
        <w:t>”）将拒绝接收并提示。</w:t>
      </w:r>
    </w:p>
    <w:p w14:paraId="6BE86B85">
      <w:pPr>
        <w:spacing w:before="1" w:line="219" w:lineRule="auto"/>
        <w:outlineLvl w:val="1"/>
        <w:rPr>
          <w:rFonts w:ascii="宋体" w:hAnsi="宋体" w:eastAsia="宋体" w:cs="宋体"/>
          <w:color w:val="auto"/>
          <w:sz w:val="24"/>
          <w:szCs w:val="24"/>
          <w:highlight w:val="none"/>
        </w:rPr>
      </w:pPr>
      <w:bookmarkStart w:id="119" w:name="_Toc22522"/>
      <w:bookmarkStart w:id="120" w:name="_Toc13592"/>
      <w:r>
        <w:rPr>
          <w:rFonts w:ascii="宋体" w:hAnsi="宋体" w:eastAsia="宋体" w:cs="宋体"/>
          <w:b/>
          <w:bCs/>
          <w:color w:val="auto"/>
          <w:spacing w:val="-4"/>
          <w:sz w:val="24"/>
          <w:szCs w:val="24"/>
          <w:highlight w:val="none"/>
        </w:rPr>
        <w:t>4.2</w:t>
      </w:r>
      <w:r>
        <w:rPr>
          <w:rFonts w:ascii="宋体" w:hAnsi="宋体" w:eastAsia="宋体" w:cs="宋体"/>
          <w:color w:val="auto"/>
          <w:spacing w:val="70"/>
          <w:sz w:val="24"/>
          <w:szCs w:val="24"/>
          <w:highlight w:val="none"/>
        </w:rPr>
        <w:t xml:space="preserve"> </w:t>
      </w:r>
      <w:r>
        <w:rPr>
          <w:rFonts w:ascii="宋体" w:hAnsi="宋体" w:eastAsia="宋体" w:cs="宋体"/>
          <w:b/>
          <w:bCs/>
          <w:color w:val="auto"/>
          <w:spacing w:val="-4"/>
          <w:sz w:val="24"/>
          <w:szCs w:val="24"/>
          <w:highlight w:val="none"/>
        </w:rPr>
        <w:t>投标文件的递交</w:t>
      </w:r>
      <w:bookmarkEnd w:id="119"/>
      <w:bookmarkEnd w:id="120"/>
    </w:p>
    <w:p w14:paraId="3956E8F1">
      <w:pPr>
        <w:spacing w:before="181" w:line="312" w:lineRule="auto"/>
        <w:ind w:right="16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4.2.1 投标人应在第一章“招标公告 ”规定的投标截止时间前，通过互联网使用CA 数字证书登录“ 电子交易平台 ”，将加密的投标文件上传，并保存上传成功后系统自动生成的电子签收凭证，递交时间即为电子签收凭证时间。</w:t>
      </w:r>
    </w:p>
    <w:p w14:paraId="12AA52C8">
      <w:pPr>
        <w:spacing w:before="181" w:line="312" w:lineRule="auto"/>
        <w:ind w:right="16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4.2.2 投标人应充分考虑上传文件时的不可预见因素，未在投标截止时间前完成电子投标文件上传的，视为逾期送达，招标人（ “ 电子交易平台 ”）将拒绝接收。</w:t>
      </w:r>
    </w:p>
    <w:p w14:paraId="247639DC">
      <w:pPr>
        <w:spacing w:before="181" w:line="312" w:lineRule="auto"/>
        <w:ind w:right="16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4.2.3 投标人所递交的电子投标文件不予退还。</w:t>
      </w:r>
    </w:p>
    <w:p w14:paraId="01F77726">
      <w:pPr>
        <w:spacing w:before="181" w:line="312" w:lineRule="auto"/>
        <w:ind w:right="16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4.2.4 逾期到达或者未到达的投标文件视为放弃本次投标。</w:t>
      </w:r>
    </w:p>
    <w:p w14:paraId="4FF22D0D">
      <w:pPr>
        <w:spacing w:before="181" w:line="312" w:lineRule="auto"/>
        <w:ind w:right="16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4.2.5 在特殊情况下，招标人如果决定延后投标截止时间，应在“ 电子交易平台 ”</w:t>
      </w:r>
    </w:p>
    <w:p w14:paraId="4F039708">
      <w:pPr>
        <w:spacing w:before="181" w:line="312" w:lineRule="auto"/>
        <w:ind w:right="16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以补遗书的形式通知所有投标人延后投标截止时间。在此情况下，招标人和投标人的权利和义务相应延后至新的投标截止时间。</w:t>
      </w:r>
    </w:p>
    <w:p w14:paraId="2BBDCBFD">
      <w:pPr>
        <w:spacing w:before="1" w:line="219" w:lineRule="auto"/>
        <w:outlineLvl w:val="1"/>
        <w:rPr>
          <w:rFonts w:ascii="宋体" w:hAnsi="宋体" w:eastAsia="宋体" w:cs="宋体"/>
          <w:color w:val="auto"/>
          <w:sz w:val="24"/>
          <w:szCs w:val="24"/>
          <w:highlight w:val="none"/>
        </w:rPr>
      </w:pPr>
      <w:bookmarkStart w:id="121" w:name="_Toc6890"/>
      <w:bookmarkStart w:id="122" w:name="_Toc21494"/>
      <w:r>
        <w:rPr>
          <w:rFonts w:ascii="宋体" w:hAnsi="宋体" w:eastAsia="宋体" w:cs="宋体"/>
          <w:b/>
          <w:bCs/>
          <w:color w:val="auto"/>
          <w:spacing w:val="-2"/>
          <w:sz w:val="24"/>
          <w:szCs w:val="24"/>
          <w:highlight w:val="none"/>
        </w:rPr>
        <w:t>4.3</w:t>
      </w:r>
      <w:r>
        <w:rPr>
          <w:rFonts w:ascii="宋体" w:hAnsi="宋体" w:eastAsia="宋体" w:cs="宋体"/>
          <w:color w:val="auto"/>
          <w:spacing w:val="-2"/>
          <w:sz w:val="24"/>
          <w:szCs w:val="24"/>
          <w:highlight w:val="none"/>
        </w:rPr>
        <w:t xml:space="preserve"> </w:t>
      </w:r>
      <w:r>
        <w:rPr>
          <w:rFonts w:ascii="宋体" w:hAnsi="宋体" w:eastAsia="宋体" w:cs="宋体"/>
          <w:b/>
          <w:bCs/>
          <w:color w:val="auto"/>
          <w:spacing w:val="-2"/>
          <w:sz w:val="24"/>
          <w:szCs w:val="24"/>
          <w:highlight w:val="none"/>
        </w:rPr>
        <w:t>投标文件的修改与撤回</w:t>
      </w:r>
      <w:bookmarkEnd w:id="121"/>
      <w:bookmarkEnd w:id="122"/>
    </w:p>
    <w:p w14:paraId="7DF219D3">
      <w:pPr>
        <w:spacing w:before="181" w:line="312" w:lineRule="auto"/>
        <w:ind w:right="160" w:firstLine="48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4.3.1 在本章第</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4.2.1</w:t>
      </w:r>
      <w:r>
        <w:rPr>
          <w:rFonts w:ascii="宋体" w:hAnsi="宋体" w:eastAsia="宋体" w:cs="宋体"/>
          <w:color w:val="auto"/>
          <w:spacing w:val="-39"/>
          <w:sz w:val="24"/>
          <w:szCs w:val="24"/>
          <w:highlight w:val="none"/>
        </w:rPr>
        <w:t xml:space="preserve"> </w:t>
      </w:r>
      <w:r>
        <w:rPr>
          <w:rFonts w:ascii="宋体" w:hAnsi="宋体" w:eastAsia="宋体" w:cs="宋体"/>
          <w:color w:val="auto"/>
          <w:spacing w:val="4"/>
          <w:sz w:val="24"/>
          <w:szCs w:val="24"/>
          <w:highlight w:val="none"/>
        </w:rPr>
        <w:t>项规定的投标截止时间前，投</w:t>
      </w:r>
      <w:r>
        <w:rPr>
          <w:rFonts w:ascii="宋体" w:hAnsi="宋体" w:eastAsia="宋体" w:cs="宋体"/>
          <w:color w:val="auto"/>
          <w:spacing w:val="3"/>
          <w:sz w:val="24"/>
          <w:szCs w:val="24"/>
          <w:highlight w:val="none"/>
        </w:rPr>
        <w:t>标人可以修改或撤回已递交的投标文件。投标人对加密的投标文件进行撤回的，应在“</w:t>
      </w:r>
      <w:r>
        <w:rPr>
          <w:rFonts w:ascii="宋体" w:hAnsi="宋体" w:eastAsia="宋体" w:cs="宋体"/>
          <w:color w:val="auto"/>
          <w:spacing w:val="-78"/>
          <w:sz w:val="24"/>
          <w:szCs w:val="24"/>
          <w:highlight w:val="none"/>
        </w:rPr>
        <w:t xml:space="preserve"> </w:t>
      </w:r>
      <w:r>
        <w:rPr>
          <w:rFonts w:ascii="宋体" w:hAnsi="宋体" w:eastAsia="宋体" w:cs="宋体"/>
          <w:color w:val="auto"/>
          <w:spacing w:val="3"/>
          <w:sz w:val="24"/>
          <w:szCs w:val="24"/>
          <w:highlight w:val="none"/>
        </w:rPr>
        <w:t>电子交易平台</w:t>
      </w:r>
      <w:r>
        <w:rPr>
          <w:rFonts w:ascii="宋体" w:hAnsi="宋体" w:eastAsia="宋体" w:cs="宋体"/>
          <w:color w:val="auto"/>
          <w:spacing w:val="-84"/>
          <w:sz w:val="24"/>
          <w:szCs w:val="24"/>
          <w:highlight w:val="none"/>
        </w:rPr>
        <w:t xml:space="preserve"> </w:t>
      </w:r>
      <w:r>
        <w:rPr>
          <w:rFonts w:ascii="宋体" w:hAnsi="宋体" w:eastAsia="宋体" w:cs="宋体"/>
          <w:color w:val="auto"/>
          <w:spacing w:val="2"/>
          <w:sz w:val="24"/>
          <w:szCs w:val="24"/>
          <w:highlight w:val="none"/>
        </w:rPr>
        <w:t>”直接进行</w:t>
      </w:r>
      <w:r>
        <w:rPr>
          <w:rFonts w:ascii="宋体" w:hAnsi="宋体" w:eastAsia="宋体" w:cs="宋体"/>
          <w:color w:val="auto"/>
          <w:sz w:val="24"/>
          <w:szCs w:val="24"/>
          <w:highlight w:val="none"/>
        </w:rPr>
        <w:t>撤回操作；投标人对加密的投标文件进行修改的，应在投标</w:t>
      </w:r>
      <w:r>
        <w:rPr>
          <w:rFonts w:ascii="宋体" w:hAnsi="宋体" w:eastAsia="宋体" w:cs="宋体"/>
          <w:color w:val="auto"/>
          <w:spacing w:val="-1"/>
          <w:sz w:val="24"/>
          <w:szCs w:val="24"/>
          <w:highlight w:val="none"/>
        </w:rPr>
        <w:t>截止时间前完成上传。</w:t>
      </w:r>
    </w:p>
    <w:p w14:paraId="5FAB7298">
      <w:pPr>
        <w:spacing w:before="185" w:line="312" w:lineRule="auto"/>
        <w:ind w:right="163"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4.3.2</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投标人修改投标文件的，应使用“投标文件制作工具</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”制作成</w:t>
      </w:r>
      <w:r>
        <w:rPr>
          <w:rFonts w:ascii="宋体" w:hAnsi="宋体" w:eastAsia="宋体" w:cs="宋体"/>
          <w:color w:val="auto"/>
          <w:spacing w:val="-2"/>
          <w:sz w:val="24"/>
          <w:szCs w:val="24"/>
          <w:highlight w:val="none"/>
        </w:rPr>
        <w:t>完整的投标文</w:t>
      </w:r>
      <w:r>
        <w:rPr>
          <w:rFonts w:ascii="宋体" w:hAnsi="宋体" w:eastAsia="宋体" w:cs="宋体"/>
          <w:color w:val="auto"/>
          <w:spacing w:val="3"/>
          <w:sz w:val="24"/>
          <w:szCs w:val="24"/>
          <w:highlight w:val="none"/>
        </w:rPr>
        <w:t>件，并按照本章第</w:t>
      </w:r>
      <w:r>
        <w:rPr>
          <w:rFonts w:ascii="宋体" w:hAnsi="宋体" w:eastAsia="宋体" w:cs="宋体"/>
          <w:color w:val="auto"/>
          <w:spacing w:val="-37"/>
          <w:sz w:val="24"/>
          <w:szCs w:val="24"/>
          <w:highlight w:val="none"/>
        </w:rPr>
        <w:t xml:space="preserve"> </w:t>
      </w:r>
      <w:r>
        <w:rPr>
          <w:rFonts w:ascii="宋体" w:hAnsi="宋体" w:eastAsia="宋体" w:cs="宋体"/>
          <w:color w:val="auto"/>
          <w:spacing w:val="3"/>
          <w:sz w:val="24"/>
          <w:szCs w:val="24"/>
          <w:highlight w:val="none"/>
        </w:rPr>
        <w:t>3</w:t>
      </w:r>
      <w:r>
        <w:rPr>
          <w:rFonts w:ascii="宋体" w:hAnsi="宋体" w:eastAsia="宋体" w:cs="宋体"/>
          <w:color w:val="auto"/>
          <w:spacing w:val="-44"/>
          <w:sz w:val="24"/>
          <w:szCs w:val="24"/>
          <w:highlight w:val="none"/>
        </w:rPr>
        <w:t xml:space="preserve"> </w:t>
      </w:r>
      <w:r>
        <w:rPr>
          <w:rFonts w:ascii="宋体" w:hAnsi="宋体" w:eastAsia="宋体" w:cs="宋体"/>
          <w:color w:val="auto"/>
          <w:spacing w:val="3"/>
          <w:sz w:val="24"/>
          <w:szCs w:val="24"/>
          <w:highlight w:val="none"/>
        </w:rPr>
        <w:t>条、第</w:t>
      </w:r>
      <w:r>
        <w:rPr>
          <w:rFonts w:ascii="宋体" w:hAnsi="宋体" w:eastAsia="宋体" w:cs="宋体"/>
          <w:color w:val="auto"/>
          <w:spacing w:val="-44"/>
          <w:sz w:val="24"/>
          <w:szCs w:val="24"/>
          <w:highlight w:val="none"/>
        </w:rPr>
        <w:t xml:space="preserve"> </w:t>
      </w:r>
      <w:r>
        <w:rPr>
          <w:rFonts w:ascii="宋体" w:hAnsi="宋体" w:eastAsia="宋体" w:cs="宋体"/>
          <w:color w:val="auto"/>
          <w:spacing w:val="3"/>
          <w:sz w:val="24"/>
          <w:szCs w:val="24"/>
          <w:highlight w:val="none"/>
        </w:rPr>
        <w:t>4</w:t>
      </w:r>
      <w:r>
        <w:rPr>
          <w:rFonts w:ascii="宋体" w:hAnsi="宋体" w:eastAsia="宋体" w:cs="宋体"/>
          <w:color w:val="auto"/>
          <w:spacing w:val="-44"/>
          <w:sz w:val="24"/>
          <w:szCs w:val="24"/>
          <w:highlight w:val="none"/>
        </w:rPr>
        <w:t xml:space="preserve"> </w:t>
      </w:r>
      <w:r>
        <w:rPr>
          <w:rFonts w:ascii="宋体" w:hAnsi="宋体" w:eastAsia="宋体" w:cs="宋体"/>
          <w:color w:val="auto"/>
          <w:spacing w:val="3"/>
          <w:sz w:val="24"/>
          <w:szCs w:val="24"/>
          <w:highlight w:val="none"/>
        </w:rPr>
        <w:t>条规定进行编制、加密和递交。对采用网上递交的加密</w:t>
      </w:r>
      <w:r>
        <w:rPr>
          <w:rFonts w:ascii="宋体" w:hAnsi="宋体" w:eastAsia="宋体" w:cs="宋体"/>
          <w:color w:val="auto"/>
          <w:spacing w:val="-1"/>
          <w:sz w:val="24"/>
          <w:szCs w:val="24"/>
          <w:highlight w:val="none"/>
        </w:rPr>
        <w:t>的投标文件，以投标截止时间前最后完成上传的文件为准。</w:t>
      </w:r>
    </w:p>
    <w:p w14:paraId="518B323E">
      <w:pPr>
        <w:spacing w:before="185" w:line="312" w:lineRule="auto"/>
        <w:ind w:right="163" w:firstLine="480"/>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4.3.3 投标人撤回投标文件的，招标人自收到投标人撤回通知之日起 5 日内退还已收取的投标保证金。</w:t>
      </w:r>
    </w:p>
    <w:p w14:paraId="2927A3CC">
      <w:pPr>
        <w:spacing w:before="185" w:line="221" w:lineRule="auto"/>
        <w:ind w:left="8"/>
        <w:outlineLvl w:val="0"/>
        <w:rPr>
          <w:rFonts w:ascii="宋体" w:hAnsi="宋体" w:eastAsia="宋体" w:cs="宋体"/>
          <w:color w:val="auto"/>
          <w:sz w:val="28"/>
          <w:szCs w:val="28"/>
          <w:highlight w:val="none"/>
        </w:rPr>
      </w:pPr>
      <w:bookmarkStart w:id="123" w:name="_Toc30480"/>
      <w:r>
        <w:rPr>
          <w:rFonts w:ascii="宋体" w:hAnsi="宋体" w:eastAsia="宋体" w:cs="宋体"/>
          <w:b/>
          <w:bCs/>
          <w:color w:val="auto"/>
          <w:spacing w:val="-10"/>
          <w:sz w:val="28"/>
          <w:szCs w:val="28"/>
          <w:highlight w:val="none"/>
        </w:rPr>
        <w:t>5.</w:t>
      </w:r>
      <w:r>
        <w:rPr>
          <w:rFonts w:ascii="宋体" w:hAnsi="宋体" w:eastAsia="宋体" w:cs="宋体"/>
          <w:color w:val="auto"/>
          <w:spacing w:val="14"/>
          <w:sz w:val="28"/>
          <w:szCs w:val="28"/>
          <w:highlight w:val="none"/>
        </w:rPr>
        <w:t xml:space="preserve"> </w:t>
      </w:r>
      <w:r>
        <w:rPr>
          <w:rFonts w:ascii="宋体" w:hAnsi="宋体" w:eastAsia="宋体" w:cs="宋体"/>
          <w:b/>
          <w:bCs/>
          <w:color w:val="auto"/>
          <w:spacing w:val="-10"/>
          <w:sz w:val="28"/>
          <w:szCs w:val="28"/>
          <w:highlight w:val="none"/>
        </w:rPr>
        <w:t>开标</w:t>
      </w:r>
      <w:bookmarkEnd w:id="123"/>
    </w:p>
    <w:p w14:paraId="584AB1B0">
      <w:pPr>
        <w:spacing w:before="204" w:line="220" w:lineRule="auto"/>
        <w:ind w:left="5"/>
        <w:outlineLvl w:val="1"/>
        <w:rPr>
          <w:rFonts w:ascii="宋体" w:hAnsi="宋体" w:eastAsia="宋体" w:cs="宋体"/>
          <w:color w:val="auto"/>
          <w:sz w:val="24"/>
          <w:szCs w:val="24"/>
          <w:highlight w:val="none"/>
        </w:rPr>
      </w:pPr>
      <w:bookmarkStart w:id="124" w:name="_Toc22703"/>
      <w:bookmarkStart w:id="125" w:name="_Toc3608"/>
      <w:r>
        <w:rPr>
          <w:rFonts w:ascii="宋体" w:hAnsi="宋体" w:eastAsia="宋体" w:cs="宋体"/>
          <w:b/>
          <w:bCs/>
          <w:color w:val="auto"/>
          <w:spacing w:val="-3"/>
          <w:sz w:val="24"/>
          <w:szCs w:val="24"/>
          <w:highlight w:val="none"/>
        </w:rPr>
        <w:t>5.1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开标时间和地点</w:t>
      </w:r>
      <w:bookmarkEnd w:id="124"/>
      <w:bookmarkEnd w:id="125"/>
    </w:p>
    <w:p w14:paraId="68E7DDD9">
      <w:pPr>
        <w:spacing w:before="181" w:line="359" w:lineRule="auto"/>
        <w:ind w:left="1" w:right="27" w:firstLine="48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招标人在本章第</w:t>
      </w:r>
      <w:r>
        <w:rPr>
          <w:rFonts w:ascii="宋体" w:hAnsi="宋体" w:eastAsia="宋体" w:cs="宋体"/>
          <w:color w:val="auto"/>
          <w:spacing w:val="-44"/>
          <w:sz w:val="24"/>
          <w:szCs w:val="24"/>
          <w:highlight w:val="none"/>
        </w:rPr>
        <w:t xml:space="preserve"> </w:t>
      </w:r>
      <w:r>
        <w:rPr>
          <w:rFonts w:ascii="宋体" w:hAnsi="宋体" w:eastAsia="宋体" w:cs="宋体"/>
          <w:color w:val="auto"/>
          <w:spacing w:val="4"/>
          <w:sz w:val="24"/>
          <w:szCs w:val="24"/>
          <w:highlight w:val="none"/>
        </w:rPr>
        <w:t>4.2.1</w:t>
      </w:r>
      <w:r>
        <w:rPr>
          <w:rFonts w:ascii="宋体" w:hAnsi="宋体" w:eastAsia="宋体" w:cs="宋体"/>
          <w:color w:val="auto"/>
          <w:spacing w:val="-42"/>
          <w:sz w:val="24"/>
          <w:szCs w:val="24"/>
          <w:highlight w:val="none"/>
        </w:rPr>
        <w:t xml:space="preserve"> </w:t>
      </w:r>
      <w:r>
        <w:rPr>
          <w:rFonts w:ascii="宋体" w:hAnsi="宋体" w:eastAsia="宋体" w:cs="宋体"/>
          <w:color w:val="auto"/>
          <w:spacing w:val="4"/>
          <w:sz w:val="24"/>
          <w:szCs w:val="24"/>
          <w:highlight w:val="none"/>
        </w:rPr>
        <w:t>项规定的投标截止时间（开标时间）和投标人须知前</w:t>
      </w:r>
      <w:r>
        <w:rPr>
          <w:rFonts w:ascii="宋体" w:hAnsi="宋体" w:eastAsia="宋体" w:cs="宋体"/>
          <w:color w:val="auto"/>
          <w:spacing w:val="3"/>
          <w:sz w:val="24"/>
          <w:szCs w:val="24"/>
          <w:highlight w:val="none"/>
        </w:rPr>
        <w:t>附表</w:t>
      </w:r>
      <w:r>
        <w:rPr>
          <w:rFonts w:ascii="宋体" w:hAnsi="宋体" w:eastAsia="宋体" w:cs="宋体"/>
          <w:color w:val="auto"/>
          <w:spacing w:val="5"/>
          <w:sz w:val="24"/>
          <w:szCs w:val="24"/>
          <w:highlight w:val="none"/>
        </w:rPr>
        <w:t>规定的地点对收到的投标文件第一个信封（商务及技术文件）公开开标，</w:t>
      </w:r>
      <w:r>
        <w:rPr>
          <w:rFonts w:ascii="宋体" w:hAnsi="宋体" w:eastAsia="宋体" w:cs="宋体"/>
          <w:color w:val="auto"/>
          <w:spacing w:val="4"/>
          <w:sz w:val="24"/>
          <w:szCs w:val="24"/>
          <w:highlight w:val="none"/>
        </w:rPr>
        <w:t>并邀请所有</w:t>
      </w:r>
      <w:r>
        <w:rPr>
          <w:rFonts w:ascii="宋体" w:hAnsi="宋体" w:eastAsia="宋体" w:cs="宋体"/>
          <w:color w:val="auto"/>
          <w:spacing w:val="-1"/>
          <w:sz w:val="24"/>
          <w:szCs w:val="24"/>
          <w:highlight w:val="none"/>
        </w:rPr>
        <w:t>投标人的法定代表人或其委托代理人准时参加。</w:t>
      </w:r>
    </w:p>
    <w:p w14:paraId="349D9477">
      <w:pPr>
        <w:spacing w:line="359" w:lineRule="auto"/>
        <w:ind w:left="8" w:firstLine="47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招标人在投标人须知前附表规定的时间和地点对投标文件第二个信封（报价文件）公开开标，并邀请所有投标人的法定代表人或其委托代理人准时参加。</w:t>
      </w:r>
    </w:p>
    <w:p w14:paraId="7A964F71">
      <w:pPr>
        <w:spacing w:line="359" w:lineRule="auto"/>
        <w:ind w:left="3" w:right="27"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投标人若未派法定代表人或委托代理人参加第一个信封（商务及技术文件）开标</w:t>
      </w:r>
      <w:r>
        <w:rPr>
          <w:rFonts w:ascii="宋体" w:hAnsi="宋体" w:eastAsia="宋体" w:cs="宋体"/>
          <w:color w:val="auto"/>
          <w:spacing w:val="-1"/>
          <w:sz w:val="24"/>
          <w:szCs w:val="24"/>
          <w:highlight w:val="none"/>
        </w:rPr>
        <w:t>或第二个信封（报价文件）开标的，视为该投标人默认开标结果。</w:t>
      </w:r>
    </w:p>
    <w:p w14:paraId="6B509D04">
      <w:pPr>
        <w:spacing w:line="220" w:lineRule="auto"/>
        <w:ind w:left="5"/>
        <w:outlineLvl w:val="1"/>
        <w:rPr>
          <w:rFonts w:ascii="宋体" w:hAnsi="宋体" w:eastAsia="宋体" w:cs="宋体"/>
          <w:color w:val="auto"/>
          <w:sz w:val="24"/>
          <w:szCs w:val="24"/>
          <w:highlight w:val="none"/>
        </w:rPr>
      </w:pPr>
      <w:bookmarkStart w:id="126" w:name="_Toc8551"/>
      <w:bookmarkStart w:id="127" w:name="_Toc25290"/>
      <w:r>
        <w:rPr>
          <w:rFonts w:ascii="宋体" w:hAnsi="宋体" w:eastAsia="宋体" w:cs="宋体"/>
          <w:b/>
          <w:bCs/>
          <w:color w:val="auto"/>
          <w:spacing w:val="-6"/>
          <w:sz w:val="24"/>
          <w:szCs w:val="24"/>
          <w:highlight w:val="none"/>
        </w:rPr>
        <w:t>5.2</w:t>
      </w:r>
      <w:r>
        <w:rPr>
          <w:rFonts w:ascii="宋体" w:hAnsi="宋体" w:eastAsia="宋体" w:cs="宋体"/>
          <w:color w:val="auto"/>
          <w:spacing w:val="16"/>
          <w:sz w:val="24"/>
          <w:szCs w:val="24"/>
          <w:highlight w:val="none"/>
        </w:rPr>
        <w:t xml:space="preserve"> </w:t>
      </w:r>
      <w:r>
        <w:rPr>
          <w:rFonts w:ascii="宋体" w:hAnsi="宋体" w:eastAsia="宋体" w:cs="宋体"/>
          <w:b/>
          <w:bCs/>
          <w:color w:val="auto"/>
          <w:spacing w:val="-6"/>
          <w:sz w:val="24"/>
          <w:szCs w:val="24"/>
          <w:highlight w:val="none"/>
        </w:rPr>
        <w:t>开标程序</w:t>
      </w:r>
      <w:bookmarkEnd w:id="126"/>
      <w:bookmarkEnd w:id="127"/>
    </w:p>
    <w:p w14:paraId="2F825452">
      <w:pPr>
        <w:spacing w:before="182" w:line="359" w:lineRule="auto"/>
        <w:ind w:right="27" w:firstLine="483"/>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投标截止时间前未完成投标文件传输的，或因投标人之外的原因造成投标文件未解密的，均视为投标人撤回其电子投标文件。因投标人原因造成投标文件未解</w:t>
      </w:r>
      <w:r>
        <w:rPr>
          <w:rFonts w:ascii="宋体" w:hAnsi="宋体" w:eastAsia="宋体" w:cs="宋体"/>
          <w:color w:val="auto"/>
          <w:spacing w:val="4"/>
          <w:sz w:val="24"/>
          <w:szCs w:val="24"/>
          <w:highlight w:val="none"/>
        </w:rPr>
        <w:t>密的或</w:t>
      </w:r>
      <w:r>
        <w:rPr>
          <w:rFonts w:ascii="宋体" w:hAnsi="宋体" w:eastAsia="宋体" w:cs="宋体"/>
          <w:color w:val="auto"/>
          <w:spacing w:val="5"/>
          <w:sz w:val="24"/>
          <w:szCs w:val="24"/>
          <w:highlight w:val="none"/>
        </w:rPr>
        <w:t>未在投标截止时间后投标人须知前附表规定的解密时间内解密的，视为撤销其</w:t>
      </w:r>
      <w:r>
        <w:rPr>
          <w:rFonts w:ascii="宋体" w:hAnsi="宋体" w:eastAsia="宋体" w:cs="宋体"/>
          <w:color w:val="auto"/>
          <w:spacing w:val="4"/>
          <w:sz w:val="24"/>
          <w:szCs w:val="24"/>
          <w:highlight w:val="none"/>
        </w:rPr>
        <w:t>投标文</w:t>
      </w:r>
      <w:r>
        <w:rPr>
          <w:rFonts w:ascii="宋体" w:hAnsi="宋体" w:eastAsia="宋体" w:cs="宋体"/>
          <w:color w:val="auto"/>
          <w:spacing w:val="-5"/>
          <w:sz w:val="24"/>
          <w:szCs w:val="24"/>
          <w:highlight w:val="none"/>
        </w:rPr>
        <w:t>件。</w:t>
      </w:r>
    </w:p>
    <w:p w14:paraId="36EB902E">
      <w:pPr>
        <w:spacing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5.2.1</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投标文件第一个信封（商务及技术文件</w:t>
      </w:r>
      <w:r>
        <w:rPr>
          <w:rFonts w:ascii="宋体" w:hAnsi="宋体" w:eastAsia="宋体" w:cs="宋体"/>
          <w:color w:val="auto"/>
          <w:spacing w:val="-2"/>
          <w:sz w:val="24"/>
          <w:szCs w:val="24"/>
          <w:highlight w:val="none"/>
        </w:rPr>
        <w:t>）开标</w:t>
      </w:r>
    </w:p>
    <w:p w14:paraId="73D85B29">
      <w:pPr>
        <w:spacing w:before="181" w:line="360" w:lineRule="auto"/>
        <w:ind w:left="2" w:right="24" w:firstLine="47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招标人将按照本章第</w:t>
      </w:r>
      <w:r>
        <w:rPr>
          <w:rFonts w:ascii="宋体" w:hAnsi="宋体" w:eastAsia="宋体" w:cs="宋体"/>
          <w:color w:val="auto"/>
          <w:spacing w:val="-39"/>
          <w:sz w:val="24"/>
          <w:szCs w:val="24"/>
          <w:highlight w:val="none"/>
        </w:rPr>
        <w:t xml:space="preserve"> </w:t>
      </w:r>
      <w:r>
        <w:rPr>
          <w:rFonts w:ascii="宋体" w:hAnsi="宋体" w:eastAsia="宋体" w:cs="宋体"/>
          <w:color w:val="auto"/>
          <w:spacing w:val="4"/>
          <w:sz w:val="24"/>
          <w:szCs w:val="24"/>
          <w:highlight w:val="none"/>
        </w:rPr>
        <w:t>5.1</w:t>
      </w:r>
      <w:r>
        <w:rPr>
          <w:rFonts w:ascii="宋体" w:hAnsi="宋体" w:eastAsia="宋体" w:cs="宋体"/>
          <w:color w:val="auto"/>
          <w:spacing w:val="-43"/>
          <w:sz w:val="24"/>
          <w:szCs w:val="24"/>
          <w:highlight w:val="none"/>
        </w:rPr>
        <w:t xml:space="preserve"> </w:t>
      </w:r>
      <w:r>
        <w:rPr>
          <w:rFonts w:ascii="宋体" w:hAnsi="宋体" w:eastAsia="宋体" w:cs="宋体"/>
          <w:color w:val="auto"/>
          <w:spacing w:val="4"/>
          <w:sz w:val="24"/>
          <w:szCs w:val="24"/>
          <w:highlight w:val="none"/>
        </w:rPr>
        <w:t>款规定的时间和地点对投标文件第一个信封（商务及技</w:t>
      </w:r>
      <w:r>
        <w:rPr>
          <w:rFonts w:ascii="宋体" w:hAnsi="宋体" w:eastAsia="宋体" w:cs="宋体"/>
          <w:color w:val="auto"/>
          <w:spacing w:val="-2"/>
          <w:sz w:val="24"/>
          <w:szCs w:val="24"/>
          <w:highlight w:val="none"/>
        </w:rPr>
        <w:t>术文件）进行开标：</w:t>
      </w:r>
    </w:p>
    <w:p w14:paraId="50F7B33A">
      <w:pPr>
        <w:spacing w:before="1" w:line="218"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（1）投标人代表持</w:t>
      </w:r>
      <w:r>
        <w:rPr>
          <w:rFonts w:ascii="宋体" w:hAnsi="宋体" w:eastAsia="宋体" w:cs="宋体"/>
          <w:color w:val="auto"/>
          <w:spacing w:val="-53"/>
          <w:sz w:val="24"/>
          <w:szCs w:val="24"/>
          <w:highlight w:val="none"/>
        </w:rPr>
        <w:t xml:space="preserve"> </w:t>
      </w:r>
      <w:r>
        <w:rPr>
          <w:rFonts w:ascii="宋体" w:hAnsi="宋体" w:eastAsia="宋体" w:cs="宋体"/>
          <w:color w:val="auto"/>
          <w:spacing w:val="-1"/>
          <w:sz w:val="24"/>
          <w:szCs w:val="24"/>
          <w:highlight w:val="none"/>
        </w:rPr>
        <w:t>CA</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数字证书进入开标现场（投标人也可选择</w:t>
      </w:r>
      <w:r>
        <w:rPr>
          <w:rFonts w:ascii="宋体" w:hAnsi="宋体" w:eastAsia="宋体" w:cs="宋体"/>
          <w:color w:val="auto"/>
          <w:spacing w:val="-2"/>
          <w:sz w:val="24"/>
          <w:szCs w:val="24"/>
          <w:highlight w:val="none"/>
        </w:rPr>
        <w:t>远程解密）。</w:t>
      </w:r>
    </w:p>
    <w:p w14:paraId="60026E66">
      <w:pPr>
        <w:spacing w:before="180"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（2）开标由招标人或其委托的招标代理机构主持，宣布开标纪律。</w:t>
      </w:r>
    </w:p>
    <w:p w14:paraId="38CDFCC2">
      <w:pPr>
        <w:spacing w:before="184"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（3）宣布开标人、唱标人、记录人等有关人员姓名。</w:t>
      </w:r>
    </w:p>
    <w:p w14:paraId="5166E993">
      <w:pPr>
        <w:spacing w:before="181"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（4）宣布开标顺序：按各标段投标文件到达系统的先后顺序。</w:t>
      </w:r>
    </w:p>
    <w:p w14:paraId="6398E198">
      <w:pPr>
        <w:spacing w:before="183" w:line="289" w:lineRule="auto"/>
        <w:ind w:left="4" w:right="27"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（5）检查各标段投标文件递交到达的情况。若某标段递交到达投标文件的投标人</w:t>
      </w:r>
      <w:r>
        <w:rPr>
          <w:rFonts w:ascii="宋体" w:hAnsi="宋体" w:eastAsia="宋体" w:cs="宋体"/>
          <w:color w:val="auto"/>
          <w:spacing w:val="-3"/>
          <w:sz w:val="24"/>
          <w:szCs w:val="24"/>
          <w:highlight w:val="none"/>
        </w:rPr>
        <w:t>不足</w:t>
      </w:r>
      <w:r>
        <w:rPr>
          <w:rFonts w:ascii="宋体" w:hAnsi="宋体" w:eastAsia="宋体" w:cs="宋体"/>
          <w:color w:val="auto"/>
          <w:spacing w:val="-42"/>
          <w:sz w:val="24"/>
          <w:szCs w:val="24"/>
          <w:highlight w:val="none"/>
        </w:rPr>
        <w:t xml:space="preserve"> </w:t>
      </w:r>
      <w:r>
        <w:rPr>
          <w:rFonts w:ascii="宋体" w:hAnsi="宋体" w:eastAsia="宋体" w:cs="宋体"/>
          <w:color w:val="auto"/>
          <w:spacing w:val="-3"/>
          <w:sz w:val="24"/>
          <w:szCs w:val="24"/>
          <w:highlight w:val="none"/>
        </w:rPr>
        <w:t>3</w:t>
      </w:r>
      <w:r>
        <w:rPr>
          <w:rFonts w:ascii="宋体" w:hAnsi="宋体" w:eastAsia="宋体" w:cs="宋体"/>
          <w:color w:val="auto"/>
          <w:spacing w:val="-51"/>
          <w:sz w:val="24"/>
          <w:szCs w:val="24"/>
          <w:highlight w:val="none"/>
        </w:rPr>
        <w:t xml:space="preserve"> </w:t>
      </w:r>
      <w:r>
        <w:rPr>
          <w:rFonts w:ascii="宋体" w:hAnsi="宋体" w:eastAsia="宋体" w:cs="宋体"/>
          <w:color w:val="auto"/>
          <w:spacing w:val="-3"/>
          <w:sz w:val="24"/>
          <w:szCs w:val="24"/>
          <w:highlight w:val="none"/>
        </w:rPr>
        <w:t>个，则该标段不予开标。</w:t>
      </w:r>
    </w:p>
    <w:p w14:paraId="1EF5FE4E">
      <w:pPr>
        <w:spacing w:before="183" w:line="324" w:lineRule="auto"/>
        <w:ind w:right="27" w:firstLine="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（6）投标人解密。招标人应在第一个信封（商务及技术文件）开标现场宣布解密</w:t>
      </w:r>
      <w:r>
        <w:rPr>
          <w:rFonts w:ascii="宋体" w:hAnsi="宋体" w:eastAsia="宋体" w:cs="宋体"/>
          <w:color w:val="auto"/>
          <w:spacing w:val="5"/>
          <w:sz w:val="24"/>
          <w:szCs w:val="24"/>
          <w:highlight w:val="none"/>
        </w:rPr>
        <w:t>的开始时间，投标人应在系统通知解密开始后按投标人须知前附表规定的解密</w:t>
      </w:r>
      <w:r>
        <w:rPr>
          <w:rFonts w:ascii="宋体" w:hAnsi="宋体" w:eastAsia="宋体" w:cs="宋体"/>
          <w:color w:val="auto"/>
          <w:spacing w:val="4"/>
          <w:sz w:val="24"/>
          <w:szCs w:val="24"/>
          <w:highlight w:val="none"/>
        </w:rPr>
        <w:t>时间内</w:t>
      </w:r>
      <w:r>
        <w:rPr>
          <w:rFonts w:ascii="宋体" w:hAnsi="宋体" w:eastAsia="宋体" w:cs="宋体"/>
          <w:color w:val="auto"/>
          <w:spacing w:val="5"/>
          <w:sz w:val="24"/>
          <w:szCs w:val="24"/>
          <w:highlight w:val="none"/>
        </w:rPr>
        <w:t>（解密时长详见投标人须知前附表）对所递交的第一个信封（商务及技术文件</w:t>
      </w:r>
      <w:r>
        <w:rPr>
          <w:rFonts w:ascii="宋体" w:hAnsi="宋体" w:eastAsia="宋体" w:cs="宋体"/>
          <w:color w:val="auto"/>
          <w:spacing w:val="4"/>
          <w:sz w:val="24"/>
          <w:szCs w:val="24"/>
          <w:highlight w:val="none"/>
        </w:rPr>
        <w:t>）进行</w:t>
      </w:r>
      <w:r>
        <w:rPr>
          <w:rFonts w:ascii="宋体" w:hAnsi="宋体" w:eastAsia="宋体" w:cs="宋体"/>
          <w:color w:val="auto"/>
          <w:spacing w:val="-3"/>
          <w:sz w:val="24"/>
          <w:szCs w:val="24"/>
          <w:highlight w:val="none"/>
        </w:rPr>
        <w:t>解密。</w:t>
      </w:r>
    </w:p>
    <w:p w14:paraId="11AF25C1">
      <w:pPr>
        <w:spacing w:before="181" w:line="290" w:lineRule="auto"/>
        <w:ind w:right="27" w:firstLine="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（7）招标人解密。招标人在投标人解密截止时间后，对投标人解密成功的第一个</w:t>
      </w:r>
      <w:r>
        <w:rPr>
          <w:rFonts w:ascii="宋体" w:hAnsi="宋体" w:eastAsia="宋体" w:cs="宋体"/>
          <w:color w:val="auto"/>
          <w:spacing w:val="-2"/>
          <w:sz w:val="24"/>
          <w:szCs w:val="24"/>
          <w:highlight w:val="none"/>
        </w:rPr>
        <w:t>信封进行解密。</w:t>
      </w:r>
    </w:p>
    <w:p w14:paraId="59243B83">
      <w:pPr>
        <w:spacing w:before="47" w:line="219" w:lineRule="auto"/>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（8）公布投标人名称、投标保证金递交情况、解密情况及其他内容，并记录在案。</w:t>
      </w:r>
    </w:p>
    <w:p w14:paraId="5A502009">
      <w:pPr>
        <w:spacing w:before="182" w:line="289" w:lineRule="auto"/>
        <w:ind w:right="128" w:firstLine="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（9）投标人代表、招标人、监标人（如有）、见证人（如有）等有关人员在开标</w:t>
      </w:r>
      <w:r>
        <w:rPr>
          <w:rFonts w:ascii="宋体" w:hAnsi="宋体" w:eastAsia="宋体" w:cs="宋体"/>
          <w:color w:val="auto"/>
          <w:spacing w:val="-1"/>
          <w:sz w:val="24"/>
          <w:szCs w:val="24"/>
          <w:highlight w:val="none"/>
        </w:rPr>
        <w:t>记录上签字确认，投标人代表未签字确认的视为默认开标结果。</w:t>
      </w:r>
    </w:p>
    <w:p w14:paraId="05E3AB91">
      <w:pPr>
        <w:spacing w:before="180"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（10）开标会议结束。</w:t>
      </w:r>
    </w:p>
    <w:p w14:paraId="2C585278">
      <w:pPr>
        <w:spacing w:before="183" w:line="289" w:lineRule="auto"/>
        <w:ind w:right="128" w:firstLine="48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5.2.2 投标文件第二个信封（报价文件）在投标</w:t>
      </w:r>
      <w:r>
        <w:rPr>
          <w:rFonts w:ascii="宋体" w:hAnsi="宋体" w:eastAsia="宋体" w:cs="宋体"/>
          <w:color w:val="auto"/>
          <w:spacing w:val="4"/>
          <w:sz w:val="24"/>
          <w:szCs w:val="24"/>
          <w:highlight w:val="none"/>
        </w:rPr>
        <w:t>文件第一个信封（商务及技术文</w:t>
      </w:r>
      <w:r>
        <w:rPr>
          <w:rFonts w:ascii="宋体" w:hAnsi="宋体" w:eastAsia="宋体" w:cs="宋体"/>
          <w:color w:val="auto"/>
          <w:spacing w:val="-3"/>
          <w:sz w:val="24"/>
          <w:szCs w:val="24"/>
          <w:highlight w:val="none"/>
        </w:rPr>
        <w:t>件）完成评审前，“</w:t>
      </w:r>
      <w:r>
        <w:rPr>
          <w:rFonts w:ascii="宋体" w:hAnsi="宋体" w:eastAsia="宋体" w:cs="宋体"/>
          <w:color w:val="auto"/>
          <w:spacing w:val="-72"/>
          <w:sz w:val="24"/>
          <w:szCs w:val="24"/>
          <w:highlight w:val="none"/>
        </w:rPr>
        <w:t xml:space="preserve"> </w:t>
      </w:r>
      <w:r>
        <w:rPr>
          <w:rFonts w:ascii="宋体" w:hAnsi="宋体" w:eastAsia="宋体" w:cs="宋体"/>
          <w:color w:val="auto"/>
          <w:spacing w:val="-3"/>
          <w:sz w:val="24"/>
          <w:szCs w:val="24"/>
          <w:highlight w:val="none"/>
        </w:rPr>
        <w:t>电子交易平台</w:t>
      </w:r>
      <w:r>
        <w:rPr>
          <w:rFonts w:ascii="宋体" w:hAnsi="宋体" w:eastAsia="宋体" w:cs="宋体"/>
          <w:color w:val="auto"/>
          <w:spacing w:val="-88"/>
          <w:sz w:val="24"/>
          <w:szCs w:val="24"/>
          <w:highlight w:val="none"/>
        </w:rPr>
        <w:t xml:space="preserve"> </w:t>
      </w:r>
      <w:r>
        <w:rPr>
          <w:rFonts w:ascii="宋体" w:hAnsi="宋体" w:eastAsia="宋体" w:cs="宋体"/>
          <w:color w:val="auto"/>
          <w:spacing w:val="-3"/>
          <w:sz w:val="24"/>
          <w:szCs w:val="24"/>
          <w:highlight w:val="none"/>
        </w:rPr>
        <w:t>”的开标评标系统将不进行读取。</w:t>
      </w:r>
    </w:p>
    <w:p w14:paraId="35A968A2">
      <w:pPr>
        <w:spacing w:before="182" w:line="218"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5.2.3 投标文件第二个信封（报价文件）进行开标</w:t>
      </w:r>
    </w:p>
    <w:p w14:paraId="73DADAEB">
      <w:pPr>
        <w:spacing w:before="182" w:line="359" w:lineRule="auto"/>
        <w:ind w:right="101"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招标人将按照本章第</w:t>
      </w:r>
      <w:r>
        <w:rPr>
          <w:rFonts w:ascii="宋体" w:hAnsi="宋体" w:eastAsia="宋体" w:cs="宋体"/>
          <w:color w:val="auto"/>
          <w:spacing w:val="-29"/>
          <w:sz w:val="24"/>
          <w:szCs w:val="24"/>
          <w:highlight w:val="none"/>
        </w:rPr>
        <w:t xml:space="preserve"> </w:t>
      </w:r>
      <w:r>
        <w:rPr>
          <w:rFonts w:ascii="宋体" w:hAnsi="宋体" w:eastAsia="宋体" w:cs="宋体"/>
          <w:color w:val="auto"/>
          <w:spacing w:val="-2"/>
          <w:sz w:val="24"/>
          <w:szCs w:val="24"/>
          <w:highlight w:val="none"/>
        </w:rPr>
        <w:t>5.1</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款规定的时间和地点对投标文件第二个信封（报价文件）</w:t>
      </w:r>
      <w:r>
        <w:rPr>
          <w:rFonts w:ascii="宋体" w:hAnsi="宋体" w:eastAsia="宋体" w:cs="宋体"/>
          <w:color w:val="auto"/>
          <w:spacing w:val="-1"/>
          <w:sz w:val="24"/>
          <w:szCs w:val="24"/>
          <w:highlight w:val="none"/>
        </w:rPr>
        <w:t>进行开标。主持人按下列程序进行开标：</w:t>
      </w:r>
    </w:p>
    <w:p w14:paraId="231DC392">
      <w:pPr>
        <w:spacing w:before="1" w:line="218"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（1）投标人代表持</w:t>
      </w:r>
      <w:r>
        <w:rPr>
          <w:rFonts w:ascii="宋体" w:hAnsi="宋体" w:eastAsia="宋体" w:cs="宋体"/>
          <w:color w:val="auto"/>
          <w:spacing w:val="-53"/>
          <w:sz w:val="24"/>
          <w:szCs w:val="24"/>
          <w:highlight w:val="none"/>
        </w:rPr>
        <w:t xml:space="preserve"> </w:t>
      </w:r>
      <w:r>
        <w:rPr>
          <w:rFonts w:ascii="宋体" w:hAnsi="宋体" w:eastAsia="宋体" w:cs="宋体"/>
          <w:color w:val="auto"/>
          <w:spacing w:val="-1"/>
          <w:sz w:val="24"/>
          <w:szCs w:val="24"/>
          <w:highlight w:val="none"/>
        </w:rPr>
        <w:t>CA</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数字证书进入开标现场（投标人也可选择</w:t>
      </w:r>
      <w:r>
        <w:rPr>
          <w:rFonts w:ascii="宋体" w:hAnsi="宋体" w:eastAsia="宋体" w:cs="宋体"/>
          <w:color w:val="auto"/>
          <w:spacing w:val="-2"/>
          <w:sz w:val="24"/>
          <w:szCs w:val="24"/>
          <w:highlight w:val="none"/>
        </w:rPr>
        <w:t>远程解密）。</w:t>
      </w:r>
    </w:p>
    <w:p w14:paraId="596251FD">
      <w:pPr>
        <w:spacing w:before="184" w:line="219" w:lineRule="auto"/>
        <w:ind w:left="49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（2）宣布开标纪律。</w:t>
      </w:r>
    </w:p>
    <w:p w14:paraId="123C9CCE">
      <w:pPr>
        <w:spacing w:before="180" w:line="290" w:lineRule="auto"/>
        <w:ind w:left="1" w:firstLine="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（3）摇取下浮率（如需）、评标价</w:t>
      </w:r>
      <w:r>
        <w:rPr>
          <w:rFonts w:ascii="宋体" w:hAnsi="宋体" w:eastAsia="宋体" w:cs="宋体"/>
          <w:color w:val="auto"/>
          <w:spacing w:val="-53"/>
          <w:sz w:val="24"/>
          <w:szCs w:val="24"/>
          <w:highlight w:val="none"/>
        </w:rPr>
        <w:t xml:space="preserve"> </w:t>
      </w:r>
      <w:r>
        <w:rPr>
          <w:rFonts w:ascii="宋体" w:hAnsi="宋体" w:eastAsia="宋体" w:cs="宋体"/>
          <w:color w:val="auto"/>
          <w:spacing w:val="-2"/>
          <w:sz w:val="24"/>
          <w:szCs w:val="24"/>
          <w:highlight w:val="none"/>
        </w:rPr>
        <w:t>E</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值（</w:t>
      </w:r>
      <w:r>
        <w:rPr>
          <w:rFonts w:ascii="宋体" w:hAnsi="宋体" w:eastAsia="宋体" w:cs="宋体"/>
          <w:color w:val="auto"/>
          <w:spacing w:val="-3"/>
          <w:sz w:val="24"/>
          <w:szCs w:val="24"/>
          <w:highlight w:val="none"/>
        </w:rPr>
        <w:t>如需</w:t>
      </w:r>
      <w:r>
        <w:rPr>
          <w:rFonts w:ascii="宋体" w:hAnsi="宋体" w:eastAsia="宋体" w:cs="宋体"/>
          <w:color w:val="auto"/>
          <w:spacing w:val="4"/>
          <w:sz w:val="24"/>
          <w:szCs w:val="24"/>
          <w:highlight w:val="none"/>
        </w:rPr>
        <w:t>），</w:t>
      </w:r>
      <w:r>
        <w:rPr>
          <w:rFonts w:ascii="宋体" w:hAnsi="宋体" w:eastAsia="宋体" w:cs="宋体"/>
          <w:color w:val="auto"/>
          <w:spacing w:val="-3"/>
          <w:sz w:val="24"/>
          <w:szCs w:val="24"/>
          <w:highlight w:val="none"/>
        </w:rPr>
        <w:t>在开标现场采取摇珠方式确定。</w:t>
      </w:r>
      <w:r>
        <w:rPr>
          <w:rFonts w:ascii="宋体" w:hAnsi="宋体" w:eastAsia="宋体" w:cs="宋体"/>
          <w:color w:val="auto"/>
          <w:spacing w:val="-1"/>
          <w:sz w:val="24"/>
          <w:szCs w:val="24"/>
          <w:highlight w:val="none"/>
        </w:rPr>
        <w:t>摇珠操作办法详见评标办法。</w:t>
      </w:r>
    </w:p>
    <w:p w14:paraId="09180383">
      <w:pPr>
        <w:spacing w:before="182" w:line="313" w:lineRule="auto"/>
        <w:ind w:left="3" w:right="101" w:firstLine="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（4）招标人或招标代理机构宣布第一个信封（商务及技术文件）评审结果。投标</w:t>
      </w:r>
      <w:r>
        <w:rPr>
          <w:rFonts w:ascii="宋体" w:hAnsi="宋体" w:eastAsia="宋体" w:cs="宋体"/>
          <w:color w:val="auto"/>
          <w:spacing w:val="-1"/>
          <w:sz w:val="24"/>
          <w:szCs w:val="24"/>
          <w:highlight w:val="none"/>
        </w:rPr>
        <w:t>人未通过第一个信封（商务及技术文件）评审的，对应标段的第二个信封（报价文件）</w:t>
      </w:r>
      <w:r>
        <w:rPr>
          <w:rFonts w:ascii="宋体" w:hAnsi="宋体" w:eastAsia="宋体" w:cs="宋体"/>
          <w:color w:val="auto"/>
          <w:spacing w:val="-3"/>
          <w:sz w:val="24"/>
          <w:szCs w:val="24"/>
          <w:highlight w:val="none"/>
        </w:rPr>
        <w:t>不予开标。</w:t>
      </w:r>
    </w:p>
    <w:p w14:paraId="54959A35">
      <w:pPr>
        <w:spacing w:before="179"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（5）宣布开标人、唱标人、记录人等有关人员姓名。</w:t>
      </w:r>
    </w:p>
    <w:p w14:paraId="72F6C428">
      <w:pPr>
        <w:spacing w:before="181"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（6）宣布开标顺序：方法同第一个信封的开标顺序。</w:t>
      </w:r>
    </w:p>
    <w:p w14:paraId="3261D006">
      <w:pPr>
        <w:spacing w:before="184" w:line="312" w:lineRule="auto"/>
        <w:ind w:right="128" w:firstLine="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（7）投标人解密。招标人宣布第二个信封（报价文件）解密开始时间，投标人应</w:t>
      </w:r>
      <w:r>
        <w:rPr>
          <w:rFonts w:ascii="宋体" w:hAnsi="宋体" w:eastAsia="宋体" w:cs="宋体"/>
          <w:color w:val="auto"/>
          <w:spacing w:val="5"/>
          <w:sz w:val="24"/>
          <w:szCs w:val="24"/>
          <w:highlight w:val="none"/>
        </w:rPr>
        <w:t>在解密时长投标人须知前附表规定的解密时间内，对通过第一个信封（商务及</w:t>
      </w:r>
      <w:r>
        <w:rPr>
          <w:rFonts w:ascii="宋体" w:hAnsi="宋体" w:eastAsia="宋体" w:cs="宋体"/>
          <w:color w:val="auto"/>
          <w:spacing w:val="4"/>
          <w:sz w:val="24"/>
          <w:szCs w:val="24"/>
          <w:highlight w:val="none"/>
        </w:rPr>
        <w:t>技术文</w:t>
      </w:r>
      <w:r>
        <w:rPr>
          <w:rFonts w:ascii="宋体" w:hAnsi="宋体" w:eastAsia="宋体" w:cs="宋体"/>
          <w:color w:val="auto"/>
          <w:spacing w:val="-1"/>
          <w:sz w:val="24"/>
          <w:szCs w:val="24"/>
          <w:highlight w:val="none"/>
        </w:rPr>
        <w:t>件）评审的对应标段的第二个信封（报价文件）进行解密。</w:t>
      </w:r>
    </w:p>
    <w:p w14:paraId="293635DD">
      <w:pPr>
        <w:spacing w:before="184" w:line="289" w:lineRule="auto"/>
        <w:ind w:left="1" w:right="128" w:firstLine="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（8）招标人解密。招标人在投标人解密截止时间后，对投标人解密成功的第二个</w:t>
      </w:r>
      <w:r>
        <w:rPr>
          <w:rFonts w:ascii="宋体" w:hAnsi="宋体" w:eastAsia="宋体" w:cs="宋体"/>
          <w:color w:val="auto"/>
          <w:spacing w:val="-2"/>
          <w:sz w:val="24"/>
          <w:szCs w:val="24"/>
          <w:highlight w:val="none"/>
        </w:rPr>
        <w:t>信封进行解密。</w:t>
      </w:r>
    </w:p>
    <w:p w14:paraId="15CBFC53">
      <w:pPr>
        <w:spacing w:before="180" w:line="336" w:lineRule="auto"/>
        <w:ind w:right="18" w:firstLine="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（9）根据解密后的投标文件中的投标函公布投标人名称、投标报价</w:t>
      </w:r>
      <w:r>
        <w:rPr>
          <w:rFonts w:ascii="宋体" w:hAnsi="宋体" w:eastAsia="宋体" w:cs="宋体"/>
          <w:color w:val="auto"/>
          <w:spacing w:val="-3"/>
          <w:sz w:val="24"/>
          <w:szCs w:val="24"/>
          <w:highlight w:val="none"/>
        </w:rPr>
        <w:t>（开标过程中，</w:t>
      </w:r>
      <w:r>
        <w:rPr>
          <w:rFonts w:ascii="宋体" w:hAnsi="宋体" w:eastAsia="宋体" w:cs="宋体"/>
          <w:color w:val="auto"/>
          <w:spacing w:val="5"/>
          <w:sz w:val="24"/>
          <w:szCs w:val="24"/>
          <w:highlight w:val="none"/>
        </w:rPr>
        <w:t>若开标记录表与投标文件投标函大写文字报价不一致时，以投标文件投标函大写</w:t>
      </w:r>
      <w:r>
        <w:rPr>
          <w:rFonts w:ascii="宋体" w:hAnsi="宋体" w:eastAsia="宋体" w:cs="宋体"/>
          <w:color w:val="auto"/>
          <w:spacing w:val="4"/>
          <w:sz w:val="24"/>
          <w:szCs w:val="24"/>
          <w:highlight w:val="none"/>
        </w:rPr>
        <w:t>文字</w:t>
      </w:r>
      <w:r>
        <w:rPr>
          <w:rFonts w:ascii="宋体" w:hAnsi="宋体" w:eastAsia="宋体" w:cs="宋体"/>
          <w:color w:val="auto"/>
          <w:spacing w:val="5"/>
          <w:sz w:val="24"/>
          <w:szCs w:val="24"/>
          <w:highlight w:val="none"/>
        </w:rPr>
        <w:t>报价为准）、解密情况及其他内容，并记录在案。将未通过投标文件第一个信封</w:t>
      </w:r>
      <w:r>
        <w:rPr>
          <w:rFonts w:ascii="宋体" w:hAnsi="宋体" w:eastAsia="宋体" w:cs="宋体"/>
          <w:color w:val="auto"/>
          <w:spacing w:val="4"/>
          <w:sz w:val="24"/>
          <w:szCs w:val="24"/>
          <w:highlight w:val="none"/>
        </w:rPr>
        <w:t>（商务及技术文件）评审的投标文件第二个信封（报价文件）光盘或</w:t>
      </w:r>
      <w:r>
        <w:rPr>
          <w:rFonts w:ascii="宋体" w:hAnsi="宋体" w:eastAsia="宋体" w:cs="宋体"/>
          <w:color w:val="auto"/>
          <w:spacing w:val="-39"/>
          <w:sz w:val="24"/>
          <w:szCs w:val="24"/>
          <w:highlight w:val="none"/>
        </w:rPr>
        <w:t xml:space="preserve"> </w:t>
      </w:r>
      <w:r>
        <w:rPr>
          <w:rFonts w:ascii="宋体" w:hAnsi="宋体" w:eastAsia="宋体" w:cs="宋体"/>
          <w:color w:val="auto"/>
          <w:spacing w:val="4"/>
          <w:sz w:val="24"/>
          <w:szCs w:val="24"/>
          <w:highlight w:val="none"/>
        </w:rPr>
        <w:t>U</w:t>
      </w:r>
      <w:r>
        <w:rPr>
          <w:rFonts w:ascii="宋体" w:hAnsi="宋体" w:eastAsia="宋体" w:cs="宋体"/>
          <w:color w:val="auto"/>
          <w:spacing w:val="-44"/>
          <w:sz w:val="24"/>
          <w:szCs w:val="24"/>
          <w:highlight w:val="none"/>
        </w:rPr>
        <w:t xml:space="preserve"> </w:t>
      </w:r>
      <w:r>
        <w:rPr>
          <w:rFonts w:ascii="宋体" w:hAnsi="宋体" w:eastAsia="宋体" w:cs="宋体"/>
          <w:color w:val="auto"/>
          <w:spacing w:val="4"/>
          <w:sz w:val="24"/>
          <w:szCs w:val="24"/>
          <w:highlight w:val="none"/>
        </w:rPr>
        <w:t>盘（如有）退还给</w:t>
      </w:r>
      <w:r>
        <w:rPr>
          <w:rFonts w:ascii="宋体" w:hAnsi="宋体" w:eastAsia="宋体" w:cs="宋体"/>
          <w:color w:val="auto"/>
          <w:spacing w:val="5"/>
          <w:sz w:val="24"/>
          <w:szCs w:val="24"/>
          <w:highlight w:val="none"/>
        </w:rPr>
        <w:t>投标人。如投标人未参加第二个信封开标的，招标人应当在评标结束后及时将第</w:t>
      </w:r>
      <w:r>
        <w:rPr>
          <w:rFonts w:ascii="宋体" w:hAnsi="宋体" w:eastAsia="宋体" w:cs="宋体"/>
          <w:color w:val="auto"/>
          <w:spacing w:val="4"/>
          <w:sz w:val="24"/>
          <w:szCs w:val="24"/>
          <w:highlight w:val="none"/>
        </w:rPr>
        <w:t>二个</w:t>
      </w:r>
      <w:r>
        <w:rPr>
          <w:rFonts w:ascii="宋体" w:hAnsi="宋体" w:eastAsia="宋体" w:cs="宋体"/>
          <w:color w:val="auto"/>
          <w:spacing w:val="-2"/>
          <w:sz w:val="24"/>
          <w:szCs w:val="24"/>
          <w:highlight w:val="none"/>
        </w:rPr>
        <w:t>信封光盘或</w:t>
      </w:r>
      <w:r>
        <w:rPr>
          <w:rFonts w:ascii="宋体" w:hAnsi="宋体" w:eastAsia="宋体" w:cs="宋体"/>
          <w:color w:val="auto"/>
          <w:spacing w:val="-44"/>
          <w:sz w:val="24"/>
          <w:szCs w:val="24"/>
          <w:highlight w:val="none"/>
        </w:rPr>
        <w:t xml:space="preserve"> </w:t>
      </w:r>
      <w:r>
        <w:rPr>
          <w:rFonts w:ascii="宋体" w:hAnsi="宋体" w:eastAsia="宋体" w:cs="宋体"/>
          <w:color w:val="auto"/>
          <w:spacing w:val="-2"/>
          <w:sz w:val="24"/>
          <w:szCs w:val="24"/>
          <w:highlight w:val="none"/>
        </w:rPr>
        <w:t>U</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盘（如有）退还投标人。</w:t>
      </w:r>
    </w:p>
    <w:p w14:paraId="703E1B65">
      <w:pPr>
        <w:spacing w:before="180" w:line="336" w:lineRule="auto"/>
        <w:ind w:right="18" w:firstLine="493"/>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10）投标人代表、招标人、监标人（如有）、见证人（如有）等有关人员在开标记录上进行签字确认，投标人代表未签字确认的视为默认开标结果。如开标过程中出现需更正开标记录表的情况，招标人应通知所有投标人代表知晓，投标人代表、招标人、监标人（如有）、见证人（如有）等有关人员均应在更正后开标记录上进行签字确认，投标人代表未签字确认的视为默认更正结果。</w:t>
      </w:r>
    </w:p>
    <w:p w14:paraId="3724BF5A">
      <w:pPr>
        <w:spacing w:before="180" w:line="336" w:lineRule="auto"/>
        <w:ind w:right="18" w:firstLine="493"/>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（11）投标人对开标有异议的，应当在开标现场提出，招标人应当当场作出答复，并制作记录。未参加开标的投标人，视为对开标过程无异议。</w:t>
      </w:r>
    </w:p>
    <w:p w14:paraId="4451B819">
      <w:pPr>
        <w:spacing w:before="180" w:line="336" w:lineRule="auto"/>
        <w:ind w:right="18" w:firstLine="493"/>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（12）开标会议结束。</w:t>
      </w:r>
    </w:p>
    <w:p w14:paraId="1DC61AC2">
      <w:pPr>
        <w:spacing w:before="182" w:line="359" w:lineRule="auto"/>
        <w:ind w:firstLine="483"/>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5.2.4 在投标文件第二个信封（报价文件）开标</w:t>
      </w:r>
      <w:r>
        <w:rPr>
          <w:rFonts w:ascii="宋体" w:hAnsi="宋体" w:eastAsia="宋体" w:cs="宋体"/>
          <w:color w:val="auto"/>
          <w:spacing w:val="4"/>
          <w:sz w:val="24"/>
          <w:szCs w:val="24"/>
          <w:highlight w:val="none"/>
        </w:rPr>
        <w:t>现场，招标人将按第三章“评标</w:t>
      </w:r>
      <w:r>
        <w:rPr>
          <w:rFonts w:ascii="宋体" w:hAnsi="宋体" w:eastAsia="宋体" w:cs="宋体"/>
          <w:color w:val="auto"/>
          <w:spacing w:val="-2"/>
          <w:sz w:val="24"/>
          <w:szCs w:val="24"/>
          <w:highlight w:val="none"/>
        </w:rPr>
        <w:t>办法</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”规定的原则计算并宣布评标基准价。若招标</w:t>
      </w:r>
      <w:r>
        <w:rPr>
          <w:rFonts w:ascii="宋体" w:hAnsi="宋体" w:eastAsia="宋体" w:cs="宋体"/>
          <w:color w:val="auto"/>
          <w:spacing w:val="-3"/>
          <w:sz w:val="24"/>
          <w:szCs w:val="24"/>
          <w:highlight w:val="none"/>
        </w:rPr>
        <w:t>人发现投标文件出现以下任一情况，</w:t>
      </w:r>
      <w:r>
        <w:rPr>
          <w:rFonts w:ascii="宋体" w:hAnsi="宋体" w:eastAsia="宋体" w:cs="宋体"/>
          <w:color w:val="auto"/>
          <w:spacing w:val="-1"/>
          <w:sz w:val="24"/>
          <w:szCs w:val="24"/>
          <w:highlight w:val="none"/>
        </w:rPr>
        <w:t>其投标报价将不再参加评标基准价的计算：</w:t>
      </w:r>
    </w:p>
    <w:p w14:paraId="4DB5C05B">
      <w:pPr>
        <w:spacing w:before="1" w:line="217"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（1）未在投标函上填写投标总价；</w:t>
      </w:r>
    </w:p>
    <w:p w14:paraId="316CE9E0">
      <w:pPr>
        <w:spacing w:before="182" w:line="218"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（2）投标总报价超出招标人公布的最高投标限价；</w:t>
      </w:r>
    </w:p>
    <w:p w14:paraId="56B955C2">
      <w:pPr>
        <w:spacing w:before="185" w:line="218"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（3）投标总报价的大写金额无法确定具体数值；</w:t>
      </w:r>
    </w:p>
    <w:p w14:paraId="2E20B44F">
      <w:pPr>
        <w:spacing w:before="185" w:line="220"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（4）投标函上填写的标段号标记错误。</w:t>
      </w:r>
    </w:p>
    <w:p w14:paraId="5066EB2C">
      <w:pPr>
        <w:spacing w:before="178" w:line="359" w:lineRule="auto"/>
        <w:ind w:left="1" w:firstLine="481"/>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如果投标人认为某一标段的评标基准价计算有误，有权在开标现场提出，经招标人当场核实确认之后，可重新宣布评标基准价。开标现场宣布的评标基</w:t>
      </w:r>
      <w:r>
        <w:rPr>
          <w:rFonts w:ascii="宋体" w:hAnsi="宋体" w:eastAsia="宋体" w:cs="宋体"/>
          <w:color w:val="auto"/>
          <w:spacing w:val="4"/>
          <w:sz w:val="24"/>
          <w:szCs w:val="24"/>
          <w:highlight w:val="none"/>
        </w:rPr>
        <w:t>准价除计算有</w:t>
      </w:r>
      <w:r>
        <w:rPr>
          <w:rFonts w:ascii="宋体" w:hAnsi="宋体" w:eastAsia="宋体" w:cs="宋体"/>
          <w:color w:val="auto"/>
          <w:sz w:val="24"/>
          <w:szCs w:val="24"/>
          <w:highlight w:val="none"/>
        </w:rPr>
        <w:t>误经评标委员会修正外，在整个评标期间保持不</w:t>
      </w:r>
      <w:r>
        <w:rPr>
          <w:rFonts w:ascii="宋体" w:hAnsi="宋体" w:eastAsia="宋体" w:cs="宋体"/>
          <w:color w:val="auto"/>
          <w:spacing w:val="-1"/>
          <w:sz w:val="24"/>
          <w:szCs w:val="24"/>
          <w:highlight w:val="none"/>
        </w:rPr>
        <w:t>变，不随任何因素发生变化。</w:t>
      </w:r>
    </w:p>
    <w:p w14:paraId="31AED0F3">
      <w:pPr>
        <w:spacing w:before="5" w:line="359" w:lineRule="auto"/>
        <w:ind w:firstLine="484"/>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5.2.5 在投标文件第一个信封（商务及技术文件</w:t>
      </w:r>
      <w:r>
        <w:rPr>
          <w:rFonts w:ascii="宋体" w:hAnsi="宋体" w:eastAsia="宋体" w:cs="宋体"/>
          <w:color w:val="auto"/>
          <w:spacing w:val="4"/>
          <w:sz w:val="24"/>
          <w:szCs w:val="24"/>
          <w:highlight w:val="none"/>
        </w:rPr>
        <w:t>）或第二个信封（报价文件）开</w:t>
      </w:r>
      <w:r>
        <w:rPr>
          <w:rFonts w:ascii="宋体" w:hAnsi="宋体" w:eastAsia="宋体" w:cs="宋体"/>
          <w:color w:val="auto"/>
          <w:spacing w:val="5"/>
          <w:sz w:val="24"/>
          <w:szCs w:val="24"/>
          <w:highlight w:val="none"/>
        </w:rPr>
        <w:t>标过程中，若招标人宣读的内容与投标文件不符，投标人有权在开标现场提</w:t>
      </w:r>
      <w:r>
        <w:rPr>
          <w:rFonts w:ascii="宋体" w:hAnsi="宋体" w:eastAsia="宋体" w:cs="宋体"/>
          <w:color w:val="auto"/>
          <w:spacing w:val="4"/>
          <w:sz w:val="24"/>
          <w:szCs w:val="24"/>
          <w:highlight w:val="none"/>
        </w:rPr>
        <w:t>出疑问，</w:t>
      </w:r>
      <w:r>
        <w:rPr>
          <w:rFonts w:ascii="宋体" w:hAnsi="宋体" w:eastAsia="宋体" w:cs="宋体"/>
          <w:color w:val="auto"/>
          <w:spacing w:val="5"/>
          <w:sz w:val="24"/>
          <w:szCs w:val="24"/>
          <w:highlight w:val="none"/>
        </w:rPr>
        <w:t>经招标人当场核查确认之后，可重新宣读其投标文件。若投标人现场未提出</w:t>
      </w:r>
      <w:r>
        <w:rPr>
          <w:rFonts w:ascii="宋体" w:hAnsi="宋体" w:eastAsia="宋体" w:cs="宋体"/>
          <w:color w:val="auto"/>
          <w:spacing w:val="4"/>
          <w:sz w:val="24"/>
          <w:szCs w:val="24"/>
          <w:highlight w:val="none"/>
        </w:rPr>
        <w:t>疑问，则</w:t>
      </w:r>
      <w:r>
        <w:rPr>
          <w:rFonts w:ascii="宋体" w:hAnsi="宋体" w:eastAsia="宋体" w:cs="宋体"/>
          <w:color w:val="auto"/>
          <w:spacing w:val="5"/>
          <w:sz w:val="24"/>
          <w:szCs w:val="24"/>
          <w:highlight w:val="none"/>
        </w:rPr>
        <w:t>认为投标人已确认招标人宣读的内容。投标人对开标有异议的，应当在开标</w:t>
      </w:r>
      <w:r>
        <w:rPr>
          <w:rFonts w:ascii="宋体" w:hAnsi="宋体" w:eastAsia="宋体" w:cs="宋体"/>
          <w:color w:val="auto"/>
          <w:spacing w:val="4"/>
          <w:sz w:val="24"/>
          <w:szCs w:val="24"/>
          <w:highlight w:val="none"/>
        </w:rPr>
        <w:t>现场提出（采用电子化开标的可在系统平台提出</w:t>
      </w:r>
      <w:r>
        <w:rPr>
          <w:rFonts w:ascii="宋体" w:hAnsi="宋体" w:eastAsia="宋体" w:cs="宋体"/>
          <w:color w:val="auto"/>
          <w:spacing w:val="20"/>
          <w:sz w:val="24"/>
          <w:szCs w:val="24"/>
          <w:highlight w:val="none"/>
        </w:rPr>
        <w:t>），</w:t>
      </w:r>
      <w:r>
        <w:rPr>
          <w:rFonts w:ascii="宋体" w:hAnsi="宋体" w:eastAsia="宋体" w:cs="宋体"/>
          <w:color w:val="auto"/>
          <w:spacing w:val="4"/>
          <w:sz w:val="24"/>
          <w:szCs w:val="24"/>
          <w:highlight w:val="none"/>
        </w:rPr>
        <w:t>招标人应当当场作出答复（采用电子化开标的可在系统平台答复</w:t>
      </w:r>
      <w:r>
        <w:rPr>
          <w:rFonts w:ascii="宋体" w:hAnsi="宋体" w:eastAsia="宋体" w:cs="宋体"/>
          <w:color w:val="auto"/>
          <w:spacing w:val="20"/>
          <w:sz w:val="24"/>
          <w:szCs w:val="24"/>
          <w:highlight w:val="none"/>
        </w:rPr>
        <w:t>），</w:t>
      </w:r>
      <w:r>
        <w:rPr>
          <w:rFonts w:ascii="宋体" w:hAnsi="宋体" w:eastAsia="宋体" w:cs="宋体"/>
          <w:color w:val="auto"/>
          <w:spacing w:val="4"/>
          <w:sz w:val="24"/>
          <w:szCs w:val="24"/>
          <w:highlight w:val="none"/>
        </w:rPr>
        <w:t>并制作记录。未参加开标的投标人，视为对开标过程无异</w:t>
      </w:r>
      <w:r>
        <w:rPr>
          <w:rFonts w:ascii="宋体" w:hAnsi="宋体" w:eastAsia="宋体" w:cs="宋体"/>
          <w:color w:val="auto"/>
          <w:spacing w:val="-5"/>
          <w:sz w:val="24"/>
          <w:szCs w:val="24"/>
          <w:highlight w:val="none"/>
        </w:rPr>
        <w:t>议。</w:t>
      </w:r>
    </w:p>
    <w:p w14:paraId="3541B631">
      <w:pPr>
        <w:spacing w:line="219" w:lineRule="auto"/>
        <w:ind w:left="4"/>
        <w:outlineLvl w:val="1"/>
        <w:rPr>
          <w:rFonts w:ascii="宋体" w:hAnsi="宋体" w:eastAsia="宋体" w:cs="宋体"/>
          <w:color w:val="auto"/>
          <w:sz w:val="24"/>
          <w:szCs w:val="24"/>
          <w:highlight w:val="none"/>
        </w:rPr>
      </w:pPr>
      <w:bookmarkStart w:id="128" w:name="_Toc4630"/>
      <w:bookmarkStart w:id="129" w:name="_Toc17409"/>
      <w:r>
        <w:rPr>
          <w:rFonts w:ascii="宋体" w:hAnsi="宋体" w:eastAsia="宋体" w:cs="宋体"/>
          <w:b/>
          <w:bCs/>
          <w:color w:val="auto"/>
          <w:spacing w:val="-6"/>
          <w:sz w:val="24"/>
          <w:szCs w:val="24"/>
          <w:highlight w:val="none"/>
        </w:rPr>
        <w:t>5.3</w:t>
      </w:r>
      <w:r>
        <w:rPr>
          <w:rFonts w:ascii="宋体" w:hAnsi="宋体" w:eastAsia="宋体" w:cs="宋体"/>
          <w:color w:val="auto"/>
          <w:spacing w:val="71"/>
          <w:sz w:val="24"/>
          <w:szCs w:val="24"/>
          <w:highlight w:val="none"/>
        </w:rPr>
        <w:t xml:space="preserve"> </w:t>
      </w:r>
      <w:r>
        <w:rPr>
          <w:rFonts w:ascii="宋体" w:hAnsi="宋体" w:eastAsia="宋体" w:cs="宋体"/>
          <w:b/>
          <w:bCs/>
          <w:color w:val="auto"/>
          <w:spacing w:val="-6"/>
          <w:sz w:val="24"/>
          <w:szCs w:val="24"/>
          <w:highlight w:val="none"/>
        </w:rPr>
        <w:t>开标异议</w:t>
      </w:r>
      <w:bookmarkEnd w:id="128"/>
      <w:bookmarkEnd w:id="129"/>
    </w:p>
    <w:p w14:paraId="61371E09">
      <w:pPr>
        <w:spacing w:before="180" w:line="360" w:lineRule="auto"/>
        <w:ind w:firstLine="48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开标异议投标人对开标有异议的，应在开标现场提出（采用电子化开标的可在系</w:t>
      </w:r>
      <w:r>
        <w:rPr>
          <w:rFonts w:ascii="宋体" w:hAnsi="宋体" w:eastAsia="宋体" w:cs="宋体"/>
          <w:color w:val="auto"/>
          <w:spacing w:val="4"/>
          <w:sz w:val="24"/>
          <w:szCs w:val="24"/>
          <w:highlight w:val="none"/>
        </w:rPr>
        <w:t>统平台提出</w:t>
      </w:r>
      <w:r>
        <w:rPr>
          <w:rFonts w:ascii="宋体" w:hAnsi="宋体" w:eastAsia="宋体" w:cs="宋体"/>
          <w:color w:val="auto"/>
          <w:spacing w:val="14"/>
          <w:sz w:val="24"/>
          <w:szCs w:val="24"/>
          <w:highlight w:val="none"/>
        </w:rPr>
        <w:t>），</w:t>
      </w:r>
      <w:r>
        <w:rPr>
          <w:rFonts w:ascii="宋体" w:hAnsi="宋体" w:eastAsia="宋体" w:cs="宋体"/>
          <w:color w:val="auto"/>
          <w:spacing w:val="4"/>
          <w:sz w:val="24"/>
          <w:szCs w:val="24"/>
          <w:highlight w:val="none"/>
        </w:rPr>
        <w:t>招标人当场作出答复（采用电子化开标</w:t>
      </w:r>
      <w:r>
        <w:rPr>
          <w:rFonts w:ascii="宋体" w:hAnsi="宋体" w:eastAsia="宋体" w:cs="宋体"/>
          <w:color w:val="auto"/>
          <w:spacing w:val="3"/>
          <w:sz w:val="24"/>
          <w:szCs w:val="24"/>
          <w:highlight w:val="none"/>
        </w:rPr>
        <w:t>的可在系统平台答复</w:t>
      </w:r>
      <w:r>
        <w:rPr>
          <w:rFonts w:ascii="宋体" w:hAnsi="宋体" w:eastAsia="宋体" w:cs="宋体"/>
          <w:color w:val="auto"/>
          <w:spacing w:val="14"/>
          <w:sz w:val="24"/>
          <w:szCs w:val="24"/>
          <w:highlight w:val="none"/>
        </w:rPr>
        <w:t>），</w:t>
      </w:r>
      <w:r>
        <w:rPr>
          <w:rFonts w:ascii="宋体" w:hAnsi="宋体" w:eastAsia="宋体" w:cs="宋体"/>
          <w:color w:val="auto"/>
          <w:spacing w:val="3"/>
          <w:sz w:val="24"/>
          <w:szCs w:val="24"/>
          <w:highlight w:val="none"/>
        </w:rPr>
        <w:t>并制</w:t>
      </w:r>
      <w:r>
        <w:rPr>
          <w:rFonts w:ascii="宋体" w:hAnsi="宋体" w:eastAsia="宋体" w:cs="宋体"/>
          <w:color w:val="auto"/>
          <w:spacing w:val="5"/>
          <w:sz w:val="24"/>
          <w:szCs w:val="24"/>
          <w:highlight w:val="none"/>
        </w:rPr>
        <w:t>作记录，有异议的投标人（现场如有）、招标人代表、记录人等有关人员</w:t>
      </w:r>
      <w:r>
        <w:rPr>
          <w:rFonts w:ascii="宋体" w:hAnsi="宋体" w:eastAsia="宋体" w:cs="宋体"/>
          <w:color w:val="auto"/>
          <w:spacing w:val="4"/>
          <w:sz w:val="24"/>
          <w:szCs w:val="24"/>
          <w:highlight w:val="none"/>
        </w:rPr>
        <w:t>在记录上签</w:t>
      </w:r>
      <w:r>
        <w:rPr>
          <w:rFonts w:ascii="宋体" w:hAnsi="宋体" w:eastAsia="宋体" w:cs="宋体"/>
          <w:color w:val="auto"/>
          <w:spacing w:val="-3"/>
          <w:sz w:val="24"/>
          <w:szCs w:val="24"/>
          <w:highlight w:val="none"/>
        </w:rPr>
        <w:t>字确认。</w:t>
      </w:r>
    </w:p>
    <w:p w14:paraId="041A0202">
      <w:pPr>
        <w:spacing w:before="164" w:line="219" w:lineRule="auto"/>
        <w:ind w:left="5"/>
        <w:outlineLvl w:val="1"/>
        <w:rPr>
          <w:rFonts w:ascii="宋体" w:hAnsi="宋体" w:eastAsia="宋体" w:cs="宋体"/>
          <w:color w:val="auto"/>
          <w:sz w:val="24"/>
          <w:szCs w:val="24"/>
          <w:highlight w:val="none"/>
        </w:rPr>
      </w:pPr>
      <w:bookmarkStart w:id="130" w:name="_Toc15478"/>
      <w:bookmarkStart w:id="131" w:name="_Toc293"/>
      <w:r>
        <w:rPr>
          <w:rFonts w:ascii="宋体" w:hAnsi="宋体" w:eastAsia="宋体" w:cs="宋体"/>
          <w:b/>
          <w:bCs/>
          <w:color w:val="auto"/>
          <w:spacing w:val="-3"/>
          <w:sz w:val="24"/>
          <w:szCs w:val="24"/>
          <w:highlight w:val="none"/>
        </w:rPr>
        <w:t>5.4</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开标补救措施</w:t>
      </w:r>
      <w:bookmarkEnd w:id="130"/>
      <w:bookmarkEnd w:id="131"/>
    </w:p>
    <w:p w14:paraId="57492F2D">
      <w:pPr>
        <w:spacing w:before="53" w:line="359" w:lineRule="auto"/>
        <w:ind w:left="6" w:right="186" w:firstLine="47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5.4.1 开标过程中因出现以下情况，导致系统无法正常运行，应中止电子开标，</w:t>
      </w:r>
      <w:r>
        <w:rPr>
          <w:rFonts w:ascii="宋体" w:hAnsi="宋体" w:eastAsia="宋体" w:cs="宋体"/>
          <w:color w:val="auto"/>
          <w:spacing w:val="-1"/>
          <w:sz w:val="24"/>
          <w:szCs w:val="24"/>
          <w:highlight w:val="none"/>
        </w:rPr>
        <w:t>并在恢复正常后及时安排时间开标。同时，做好后续开标的前期工作。</w:t>
      </w:r>
    </w:p>
    <w:p w14:paraId="6D7826BA">
      <w:pPr>
        <w:spacing w:line="219" w:lineRule="auto"/>
        <w:ind w:left="52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(1)系统服务器发生故障，无法访问或无法使用</w:t>
      </w:r>
      <w:r>
        <w:rPr>
          <w:rFonts w:ascii="宋体" w:hAnsi="宋体" w:eastAsia="宋体" w:cs="宋体"/>
          <w:color w:val="auto"/>
          <w:spacing w:val="-3"/>
          <w:sz w:val="24"/>
          <w:szCs w:val="24"/>
          <w:highlight w:val="none"/>
        </w:rPr>
        <w:t>系统；</w:t>
      </w:r>
    </w:p>
    <w:p w14:paraId="682E542B">
      <w:pPr>
        <w:spacing w:before="180" w:line="219" w:lineRule="auto"/>
        <w:ind w:left="52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(2)系统的软件或数据库出现错误，不能进行正常操作；</w:t>
      </w:r>
    </w:p>
    <w:p w14:paraId="16118F09">
      <w:pPr>
        <w:spacing w:before="182" w:line="220" w:lineRule="auto"/>
        <w:ind w:left="52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(3)系统发现有安全漏洞，有潜在的泄密危险；</w:t>
      </w:r>
    </w:p>
    <w:p w14:paraId="6481E542">
      <w:pPr>
        <w:spacing w:before="179" w:line="219" w:lineRule="auto"/>
        <w:ind w:left="52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(4)出现断电事故且短时间内无法恢复供电的；</w:t>
      </w:r>
    </w:p>
    <w:p w14:paraId="5F8C2B02">
      <w:pPr>
        <w:spacing w:before="184" w:line="220" w:lineRule="auto"/>
        <w:ind w:left="52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(5)其他无法保证招投标过程正常进行的情形。</w:t>
      </w:r>
    </w:p>
    <w:p w14:paraId="616D6F68">
      <w:pPr>
        <w:spacing w:before="179"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5.4.2 采取补救措施时，必须对原有资料及信息作出妥善保密处理。</w:t>
      </w:r>
    </w:p>
    <w:p w14:paraId="3C55D8C3">
      <w:pPr>
        <w:spacing w:before="189" w:line="221" w:lineRule="auto"/>
        <w:ind w:left="4"/>
        <w:outlineLvl w:val="0"/>
        <w:rPr>
          <w:rFonts w:ascii="宋体" w:hAnsi="宋体" w:eastAsia="宋体" w:cs="宋体"/>
          <w:color w:val="auto"/>
          <w:sz w:val="28"/>
          <w:szCs w:val="28"/>
          <w:highlight w:val="none"/>
        </w:rPr>
      </w:pPr>
      <w:bookmarkStart w:id="132" w:name="_Toc28342"/>
      <w:r>
        <w:rPr>
          <w:rFonts w:ascii="宋体" w:hAnsi="宋体" w:eastAsia="宋体" w:cs="宋体"/>
          <w:b/>
          <w:bCs/>
          <w:color w:val="auto"/>
          <w:spacing w:val="-8"/>
          <w:sz w:val="28"/>
          <w:szCs w:val="28"/>
          <w:highlight w:val="none"/>
        </w:rPr>
        <w:t>6.</w:t>
      </w:r>
      <w:r>
        <w:rPr>
          <w:rFonts w:ascii="宋体" w:hAnsi="宋体" w:eastAsia="宋体" w:cs="宋体"/>
          <w:color w:val="auto"/>
          <w:spacing w:val="10"/>
          <w:sz w:val="28"/>
          <w:szCs w:val="28"/>
          <w:highlight w:val="none"/>
        </w:rPr>
        <w:t xml:space="preserve"> </w:t>
      </w:r>
      <w:r>
        <w:rPr>
          <w:rFonts w:ascii="宋体" w:hAnsi="宋体" w:eastAsia="宋体" w:cs="宋体"/>
          <w:b/>
          <w:bCs/>
          <w:color w:val="auto"/>
          <w:spacing w:val="-8"/>
          <w:sz w:val="28"/>
          <w:szCs w:val="28"/>
          <w:highlight w:val="none"/>
        </w:rPr>
        <w:t>评标</w:t>
      </w:r>
      <w:bookmarkEnd w:id="132"/>
    </w:p>
    <w:p w14:paraId="573943E7">
      <w:pPr>
        <w:spacing w:before="204" w:line="219" w:lineRule="auto"/>
        <w:ind w:left="2"/>
        <w:outlineLvl w:val="1"/>
        <w:rPr>
          <w:rFonts w:ascii="宋体" w:hAnsi="宋体" w:eastAsia="宋体" w:cs="宋体"/>
          <w:color w:val="auto"/>
          <w:sz w:val="24"/>
          <w:szCs w:val="24"/>
          <w:highlight w:val="none"/>
        </w:rPr>
      </w:pPr>
      <w:bookmarkStart w:id="133" w:name="_Toc17079"/>
      <w:bookmarkStart w:id="134" w:name="_Toc30028"/>
      <w:r>
        <w:rPr>
          <w:rFonts w:ascii="宋体" w:hAnsi="宋体" w:eastAsia="宋体" w:cs="宋体"/>
          <w:b/>
          <w:bCs/>
          <w:color w:val="auto"/>
          <w:spacing w:val="-5"/>
          <w:sz w:val="24"/>
          <w:szCs w:val="24"/>
          <w:highlight w:val="none"/>
        </w:rPr>
        <w:t>6.1</w:t>
      </w:r>
      <w:r>
        <w:rPr>
          <w:rFonts w:ascii="宋体" w:hAnsi="宋体" w:eastAsia="宋体" w:cs="宋体"/>
          <w:color w:val="auto"/>
          <w:spacing w:val="72"/>
          <w:sz w:val="24"/>
          <w:szCs w:val="24"/>
          <w:highlight w:val="none"/>
        </w:rPr>
        <w:t xml:space="preserve"> </w:t>
      </w:r>
      <w:r>
        <w:rPr>
          <w:rFonts w:ascii="宋体" w:hAnsi="宋体" w:eastAsia="宋体" w:cs="宋体"/>
          <w:b/>
          <w:bCs/>
          <w:color w:val="auto"/>
          <w:spacing w:val="-5"/>
          <w:sz w:val="24"/>
          <w:szCs w:val="24"/>
          <w:highlight w:val="none"/>
        </w:rPr>
        <w:t>评标委员会</w:t>
      </w:r>
      <w:bookmarkEnd w:id="133"/>
      <w:bookmarkEnd w:id="134"/>
    </w:p>
    <w:p w14:paraId="23547EEA">
      <w:pPr>
        <w:spacing w:before="183" w:line="312" w:lineRule="auto"/>
        <w:ind w:right="80"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6.1.1 评标由招标人依法组建的评标委员会负责。评标</w:t>
      </w:r>
      <w:r>
        <w:rPr>
          <w:rFonts w:ascii="宋体" w:hAnsi="宋体" w:eastAsia="宋体" w:cs="宋体"/>
          <w:color w:val="auto"/>
          <w:spacing w:val="-1"/>
          <w:sz w:val="24"/>
          <w:szCs w:val="24"/>
          <w:highlight w:val="none"/>
        </w:rPr>
        <w:t>委员会由招标人(或其委派)</w:t>
      </w:r>
      <w:r>
        <w:rPr>
          <w:rFonts w:ascii="宋体" w:hAnsi="宋体" w:eastAsia="宋体" w:cs="宋体"/>
          <w:color w:val="auto"/>
          <w:sz w:val="24"/>
          <w:szCs w:val="24"/>
          <w:highlight w:val="none"/>
        </w:rPr>
        <w:t>代表(简称“招标人代表</w:t>
      </w:r>
      <w:r>
        <w:rPr>
          <w:rFonts w:ascii="宋体" w:hAnsi="宋体" w:eastAsia="宋体" w:cs="宋体"/>
          <w:color w:val="auto"/>
          <w:spacing w:val="31"/>
          <w:sz w:val="24"/>
          <w:szCs w:val="24"/>
          <w:highlight w:val="none"/>
        </w:rPr>
        <w:t>），</w:t>
      </w:r>
      <w:r>
        <w:rPr>
          <w:rFonts w:ascii="宋体" w:hAnsi="宋体" w:eastAsia="宋体" w:cs="宋体"/>
          <w:color w:val="auto"/>
          <w:sz w:val="24"/>
          <w:szCs w:val="24"/>
          <w:highlight w:val="none"/>
        </w:rPr>
        <w:t>以及有关技术、经济等方面的专家组成。评标委员会成员人数以及技术、经济等方面专家的确定方式</w:t>
      </w:r>
      <w:r>
        <w:rPr>
          <w:rFonts w:ascii="宋体" w:hAnsi="宋体" w:eastAsia="宋体" w:cs="宋体"/>
          <w:color w:val="auto"/>
          <w:spacing w:val="-1"/>
          <w:sz w:val="24"/>
          <w:szCs w:val="24"/>
          <w:highlight w:val="none"/>
        </w:rPr>
        <w:t>见投标人须知前附表。</w:t>
      </w:r>
    </w:p>
    <w:p w14:paraId="791CDD2E">
      <w:pPr>
        <w:spacing w:before="183"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6.1.2 评标委员会成员有下列情形之一的，应主动提出回避：</w:t>
      </w:r>
    </w:p>
    <w:p w14:paraId="756D3EFA">
      <w:pPr>
        <w:spacing w:before="184"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（1）为负责招标项目监督管理的交通运输主管部门的工作人员；</w:t>
      </w:r>
    </w:p>
    <w:p w14:paraId="5BE28534">
      <w:pPr>
        <w:spacing w:before="181"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（2）与投标人法定代表人或其委托代理人有近亲属关系；</w:t>
      </w:r>
    </w:p>
    <w:p w14:paraId="01D3C675">
      <w:pPr>
        <w:spacing w:before="181"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（3）为投标人的工作人员或退休或离职未满</w:t>
      </w:r>
      <w:r>
        <w:rPr>
          <w:rFonts w:ascii="宋体" w:hAnsi="宋体" w:eastAsia="宋体" w:cs="宋体"/>
          <w:color w:val="auto"/>
          <w:spacing w:val="-41"/>
          <w:sz w:val="24"/>
          <w:szCs w:val="24"/>
          <w:highlight w:val="none"/>
        </w:rPr>
        <w:t xml:space="preserve"> </w:t>
      </w:r>
      <w:r>
        <w:rPr>
          <w:rFonts w:ascii="宋体" w:hAnsi="宋体" w:eastAsia="宋体" w:cs="宋体"/>
          <w:color w:val="auto"/>
          <w:spacing w:val="-2"/>
          <w:sz w:val="24"/>
          <w:szCs w:val="24"/>
          <w:highlight w:val="none"/>
        </w:rPr>
        <w:t>3</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年的人员；</w:t>
      </w:r>
    </w:p>
    <w:p w14:paraId="55832E42">
      <w:pPr>
        <w:spacing w:before="183" w:line="220"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（4）与投标人有其他利害关系，可能影响评标活动公正性；</w:t>
      </w:r>
    </w:p>
    <w:p w14:paraId="69A502AF">
      <w:pPr>
        <w:spacing w:before="182" w:line="220" w:lineRule="auto"/>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（5）在与招标投标有关的活动中有过违法违规行为、曾受过行政处罚或刑事处罚。</w:t>
      </w:r>
    </w:p>
    <w:p w14:paraId="36E57896">
      <w:pPr>
        <w:spacing w:before="178" w:line="313" w:lineRule="auto"/>
        <w:ind w:left="1" w:firstLine="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（6）招标人及其子公司、招标人下属单位、招标人的上级主管部门或者控股公司、</w:t>
      </w:r>
      <w:r>
        <w:rPr>
          <w:rFonts w:ascii="宋体" w:hAnsi="宋体" w:eastAsia="宋体" w:cs="宋体"/>
          <w:color w:val="auto"/>
          <w:spacing w:val="5"/>
          <w:sz w:val="24"/>
          <w:szCs w:val="24"/>
          <w:highlight w:val="none"/>
        </w:rPr>
        <w:t>招标代理机构的工作人员或者退休人员不得以专家身份参与本单位招标或</w:t>
      </w:r>
      <w:r>
        <w:rPr>
          <w:rFonts w:ascii="宋体" w:hAnsi="宋体" w:eastAsia="宋体" w:cs="宋体"/>
          <w:color w:val="auto"/>
          <w:spacing w:val="4"/>
          <w:sz w:val="24"/>
          <w:szCs w:val="24"/>
          <w:highlight w:val="none"/>
        </w:rPr>
        <w:t>者招标代理</w:t>
      </w:r>
      <w:r>
        <w:rPr>
          <w:rFonts w:ascii="宋体" w:hAnsi="宋体" w:eastAsia="宋体" w:cs="宋体"/>
          <w:color w:val="auto"/>
          <w:spacing w:val="-2"/>
          <w:sz w:val="24"/>
          <w:szCs w:val="24"/>
          <w:highlight w:val="none"/>
        </w:rPr>
        <w:t>项目的评标。</w:t>
      </w:r>
    </w:p>
    <w:p w14:paraId="4D4C5F3D">
      <w:pPr>
        <w:spacing w:before="181" w:line="359" w:lineRule="auto"/>
        <w:ind w:left="2" w:right="128" w:firstLine="48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6.1.3 评标过程中，评标委员会成员有回避事由、擅离</w:t>
      </w:r>
      <w:r>
        <w:rPr>
          <w:rFonts w:ascii="宋体" w:hAnsi="宋体" w:eastAsia="宋体" w:cs="宋体"/>
          <w:color w:val="auto"/>
          <w:spacing w:val="4"/>
          <w:sz w:val="24"/>
          <w:szCs w:val="24"/>
          <w:highlight w:val="none"/>
        </w:rPr>
        <w:t>职守或因健康等原因不能</w:t>
      </w:r>
      <w:r>
        <w:rPr>
          <w:rFonts w:ascii="宋体" w:hAnsi="宋体" w:eastAsia="宋体" w:cs="宋体"/>
          <w:color w:val="auto"/>
          <w:spacing w:val="5"/>
          <w:sz w:val="24"/>
          <w:szCs w:val="24"/>
          <w:highlight w:val="none"/>
        </w:rPr>
        <w:t>继续评标的，招标人有权更换。被更换的评标委员会成员作出的评审结</w:t>
      </w:r>
      <w:r>
        <w:rPr>
          <w:rFonts w:ascii="宋体" w:hAnsi="宋体" w:eastAsia="宋体" w:cs="宋体"/>
          <w:color w:val="auto"/>
          <w:spacing w:val="4"/>
          <w:sz w:val="24"/>
          <w:szCs w:val="24"/>
          <w:highlight w:val="none"/>
        </w:rPr>
        <w:t>论无效，由更</w:t>
      </w:r>
      <w:r>
        <w:rPr>
          <w:rFonts w:ascii="宋体" w:hAnsi="宋体" w:eastAsia="宋体" w:cs="宋体"/>
          <w:color w:val="auto"/>
          <w:spacing w:val="-1"/>
          <w:sz w:val="24"/>
          <w:szCs w:val="24"/>
          <w:highlight w:val="none"/>
        </w:rPr>
        <w:t>换后的评标委员会成员重新进行评审。</w:t>
      </w:r>
    </w:p>
    <w:p w14:paraId="020CE553">
      <w:pPr>
        <w:spacing w:line="220" w:lineRule="auto"/>
        <w:ind w:left="2"/>
        <w:outlineLvl w:val="1"/>
        <w:rPr>
          <w:rFonts w:ascii="宋体" w:hAnsi="宋体" w:eastAsia="宋体" w:cs="宋体"/>
          <w:color w:val="auto"/>
          <w:sz w:val="24"/>
          <w:szCs w:val="24"/>
          <w:highlight w:val="none"/>
        </w:rPr>
      </w:pPr>
      <w:bookmarkStart w:id="135" w:name="_Toc30971"/>
      <w:bookmarkStart w:id="136" w:name="_Toc23031"/>
      <w:r>
        <w:rPr>
          <w:rFonts w:ascii="宋体" w:hAnsi="宋体" w:eastAsia="宋体" w:cs="宋体"/>
          <w:b/>
          <w:bCs/>
          <w:color w:val="auto"/>
          <w:spacing w:val="-3"/>
          <w:sz w:val="24"/>
          <w:szCs w:val="24"/>
          <w:highlight w:val="none"/>
        </w:rPr>
        <w:t>6.2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评标原则</w:t>
      </w:r>
      <w:bookmarkEnd w:id="135"/>
      <w:bookmarkEnd w:id="136"/>
    </w:p>
    <w:p w14:paraId="055AFD0A">
      <w:pPr>
        <w:spacing w:before="182"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评标活动遵循公平、公正、科学和择优的原则。</w:t>
      </w:r>
    </w:p>
    <w:p w14:paraId="1F2D1215">
      <w:pPr>
        <w:spacing w:before="181" w:line="220" w:lineRule="auto"/>
        <w:ind w:left="2"/>
        <w:outlineLvl w:val="1"/>
        <w:rPr>
          <w:rFonts w:ascii="宋体" w:hAnsi="宋体" w:eastAsia="宋体" w:cs="宋体"/>
          <w:color w:val="auto"/>
          <w:sz w:val="24"/>
          <w:szCs w:val="24"/>
          <w:highlight w:val="none"/>
        </w:rPr>
      </w:pPr>
      <w:bookmarkStart w:id="137" w:name="_Toc6476"/>
      <w:bookmarkStart w:id="138" w:name="_Toc24144"/>
      <w:r>
        <w:rPr>
          <w:rFonts w:ascii="宋体" w:hAnsi="宋体" w:eastAsia="宋体" w:cs="宋体"/>
          <w:b/>
          <w:bCs/>
          <w:color w:val="auto"/>
          <w:spacing w:val="-6"/>
          <w:sz w:val="24"/>
          <w:szCs w:val="24"/>
          <w:highlight w:val="none"/>
        </w:rPr>
        <w:t>6.3</w:t>
      </w:r>
      <w:r>
        <w:rPr>
          <w:rFonts w:ascii="宋体" w:hAnsi="宋体" w:eastAsia="宋体" w:cs="宋体"/>
          <w:color w:val="auto"/>
          <w:spacing w:val="10"/>
          <w:sz w:val="24"/>
          <w:szCs w:val="24"/>
          <w:highlight w:val="none"/>
        </w:rPr>
        <w:t xml:space="preserve"> </w:t>
      </w:r>
      <w:r>
        <w:rPr>
          <w:rFonts w:ascii="宋体" w:hAnsi="宋体" w:eastAsia="宋体" w:cs="宋体"/>
          <w:b/>
          <w:bCs/>
          <w:color w:val="auto"/>
          <w:spacing w:val="-6"/>
          <w:sz w:val="24"/>
          <w:szCs w:val="24"/>
          <w:highlight w:val="none"/>
        </w:rPr>
        <w:t>评标</w:t>
      </w:r>
      <w:bookmarkEnd w:id="137"/>
      <w:bookmarkEnd w:id="138"/>
    </w:p>
    <w:p w14:paraId="032202D6">
      <w:pPr>
        <w:spacing w:line="288" w:lineRule="auto"/>
        <w:ind w:firstLine="482"/>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6.3.1 评标委员会按照第三章“评标办法 ”规定的方法、评审因素、标准和程序</w:t>
      </w:r>
      <w:bookmarkStart w:id="139" w:name="bookmark111"/>
      <w:bookmarkEnd w:id="139"/>
      <w:r>
        <w:rPr>
          <w:rFonts w:ascii="宋体" w:hAnsi="宋体" w:eastAsia="宋体" w:cs="宋体"/>
          <w:color w:val="auto"/>
          <w:spacing w:val="-1"/>
          <w:sz w:val="24"/>
          <w:szCs w:val="24"/>
          <w:highlight w:val="none"/>
        </w:rPr>
        <w:t>对投标文件进行评审。第三章“评标办法 ”没有规定的方法、评审因素和标准，不作为评标依据。</w:t>
      </w:r>
    </w:p>
    <w:p w14:paraId="2310F38C">
      <w:pPr>
        <w:spacing w:line="288" w:lineRule="auto"/>
        <w:ind w:firstLine="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6.3.2 评标完成后，评标委员会应向招标人提交书</w:t>
      </w:r>
      <w:r>
        <w:rPr>
          <w:rFonts w:ascii="宋体" w:hAnsi="宋体" w:eastAsia="宋体" w:cs="宋体"/>
          <w:color w:val="auto"/>
          <w:spacing w:val="-2"/>
          <w:sz w:val="24"/>
          <w:szCs w:val="24"/>
          <w:highlight w:val="none"/>
        </w:rPr>
        <w:t>面评标报告和中标候选人名单。</w:t>
      </w:r>
      <w:r>
        <w:rPr>
          <w:rFonts w:ascii="宋体" w:hAnsi="宋体" w:eastAsia="宋体" w:cs="宋体"/>
          <w:color w:val="auto"/>
          <w:spacing w:val="-1"/>
          <w:sz w:val="24"/>
          <w:szCs w:val="24"/>
          <w:highlight w:val="none"/>
        </w:rPr>
        <w:t>评标委员会推荐中标候选人的人数见投标人须知前附表。</w:t>
      </w:r>
    </w:p>
    <w:p w14:paraId="2D20ECFB">
      <w:pPr>
        <w:spacing w:before="184" w:line="219"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6.3.3</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评标补救措施</w:t>
      </w:r>
    </w:p>
    <w:p w14:paraId="2344D3A4">
      <w:pPr>
        <w:spacing w:before="182" w:line="360" w:lineRule="auto"/>
        <w:ind w:left="1" w:right="8" w:firstLine="479"/>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评标委员会按照本章第</w:t>
      </w:r>
      <w:r>
        <w:rPr>
          <w:rFonts w:ascii="宋体" w:hAnsi="宋体" w:eastAsia="宋体" w:cs="宋体"/>
          <w:color w:val="auto"/>
          <w:spacing w:val="-41"/>
          <w:sz w:val="24"/>
          <w:szCs w:val="24"/>
          <w:highlight w:val="none"/>
        </w:rPr>
        <w:t xml:space="preserve"> </w:t>
      </w:r>
      <w:r>
        <w:rPr>
          <w:rFonts w:ascii="宋体" w:hAnsi="宋体" w:eastAsia="宋体" w:cs="宋体"/>
          <w:color w:val="auto"/>
          <w:spacing w:val="4"/>
          <w:sz w:val="24"/>
          <w:szCs w:val="24"/>
          <w:highlight w:val="none"/>
        </w:rPr>
        <w:t>6.3.1</w:t>
      </w:r>
      <w:r>
        <w:rPr>
          <w:rFonts w:ascii="宋体" w:hAnsi="宋体" w:eastAsia="宋体" w:cs="宋体"/>
          <w:color w:val="auto"/>
          <w:spacing w:val="-40"/>
          <w:sz w:val="24"/>
          <w:szCs w:val="24"/>
          <w:highlight w:val="none"/>
        </w:rPr>
        <w:t xml:space="preserve"> </w:t>
      </w:r>
      <w:r>
        <w:rPr>
          <w:rFonts w:ascii="宋体" w:hAnsi="宋体" w:eastAsia="宋体" w:cs="宋体"/>
          <w:color w:val="auto"/>
          <w:spacing w:val="4"/>
          <w:sz w:val="24"/>
          <w:szCs w:val="24"/>
          <w:highlight w:val="none"/>
        </w:rPr>
        <w:t>项的规定在电子评标系统上开展评审工</w:t>
      </w:r>
      <w:r>
        <w:rPr>
          <w:rFonts w:ascii="宋体" w:hAnsi="宋体" w:eastAsia="宋体" w:cs="宋体"/>
          <w:color w:val="auto"/>
          <w:spacing w:val="3"/>
          <w:sz w:val="24"/>
          <w:szCs w:val="24"/>
          <w:highlight w:val="none"/>
        </w:rPr>
        <w:t>作。若遇不</w:t>
      </w:r>
      <w:r>
        <w:rPr>
          <w:rFonts w:ascii="宋体" w:hAnsi="宋体" w:eastAsia="宋体" w:cs="宋体"/>
          <w:color w:val="auto"/>
          <w:spacing w:val="4"/>
          <w:sz w:val="24"/>
          <w:szCs w:val="24"/>
          <w:highlight w:val="none"/>
        </w:rPr>
        <w:t>可抗力发生（包括网络瘫痪、服务器损坏、交易系统故障短期无法恢复等因素</w:t>
      </w:r>
      <w:r>
        <w:rPr>
          <w:rFonts w:ascii="宋体" w:hAnsi="宋体" w:eastAsia="宋体" w:cs="宋体"/>
          <w:color w:val="auto"/>
          <w:spacing w:val="20"/>
          <w:sz w:val="24"/>
          <w:szCs w:val="24"/>
          <w:highlight w:val="none"/>
        </w:rPr>
        <w:t>），</w:t>
      </w:r>
      <w:r>
        <w:rPr>
          <w:rFonts w:ascii="宋体" w:hAnsi="宋体" w:eastAsia="宋体" w:cs="宋体"/>
          <w:color w:val="auto"/>
          <w:spacing w:val="4"/>
          <w:sz w:val="24"/>
          <w:szCs w:val="24"/>
          <w:highlight w:val="none"/>
        </w:rPr>
        <w:t>导</w:t>
      </w:r>
      <w:r>
        <w:rPr>
          <w:rFonts w:ascii="宋体" w:hAnsi="宋体" w:eastAsia="宋体" w:cs="宋体"/>
          <w:color w:val="auto"/>
          <w:sz w:val="24"/>
          <w:szCs w:val="24"/>
          <w:highlight w:val="none"/>
        </w:rPr>
        <w:t>致系统无法正常运行，应中止评标，并在恢复正</w:t>
      </w:r>
      <w:r>
        <w:rPr>
          <w:rFonts w:ascii="宋体" w:hAnsi="宋体" w:eastAsia="宋体" w:cs="宋体"/>
          <w:color w:val="auto"/>
          <w:spacing w:val="-1"/>
          <w:sz w:val="24"/>
          <w:szCs w:val="24"/>
          <w:highlight w:val="none"/>
        </w:rPr>
        <w:t>常后及时安排时间评标。</w:t>
      </w:r>
    </w:p>
    <w:p w14:paraId="20A99E7F">
      <w:pPr>
        <w:spacing w:before="2" w:line="221" w:lineRule="auto"/>
        <w:ind w:left="10"/>
        <w:outlineLvl w:val="0"/>
        <w:rPr>
          <w:rFonts w:ascii="宋体" w:hAnsi="宋体" w:eastAsia="宋体" w:cs="宋体"/>
          <w:color w:val="auto"/>
          <w:sz w:val="28"/>
          <w:szCs w:val="28"/>
          <w:highlight w:val="none"/>
        </w:rPr>
      </w:pPr>
      <w:bookmarkStart w:id="140" w:name="_Toc8494"/>
      <w:r>
        <w:rPr>
          <w:rFonts w:ascii="宋体" w:hAnsi="宋体" w:eastAsia="宋体" w:cs="宋体"/>
          <w:b/>
          <w:bCs/>
          <w:color w:val="auto"/>
          <w:spacing w:val="-7"/>
          <w:sz w:val="28"/>
          <w:szCs w:val="28"/>
          <w:highlight w:val="none"/>
        </w:rPr>
        <w:t>7.</w:t>
      </w:r>
      <w:r>
        <w:rPr>
          <w:rFonts w:ascii="宋体" w:hAnsi="宋体" w:eastAsia="宋体" w:cs="宋体"/>
          <w:color w:val="auto"/>
          <w:spacing w:val="12"/>
          <w:sz w:val="28"/>
          <w:szCs w:val="28"/>
          <w:highlight w:val="none"/>
        </w:rPr>
        <w:t xml:space="preserve"> </w:t>
      </w:r>
      <w:r>
        <w:rPr>
          <w:rFonts w:ascii="宋体" w:hAnsi="宋体" w:eastAsia="宋体" w:cs="宋体"/>
          <w:b/>
          <w:bCs/>
          <w:color w:val="auto"/>
          <w:spacing w:val="-7"/>
          <w:sz w:val="28"/>
          <w:szCs w:val="28"/>
          <w:highlight w:val="none"/>
        </w:rPr>
        <w:t>合同授予</w:t>
      </w:r>
      <w:bookmarkEnd w:id="140"/>
    </w:p>
    <w:p w14:paraId="22D1C651">
      <w:pPr>
        <w:spacing w:before="203" w:line="219" w:lineRule="auto"/>
        <w:ind w:left="7"/>
        <w:outlineLvl w:val="1"/>
        <w:rPr>
          <w:rFonts w:ascii="宋体" w:hAnsi="宋体" w:eastAsia="宋体" w:cs="宋体"/>
          <w:color w:val="auto"/>
          <w:sz w:val="24"/>
          <w:szCs w:val="24"/>
          <w:highlight w:val="none"/>
        </w:rPr>
      </w:pPr>
      <w:bookmarkStart w:id="141" w:name="_Toc20021"/>
      <w:bookmarkStart w:id="142" w:name="_Toc11871"/>
      <w:r>
        <w:rPr>
          <w:rFonts w:ascii="宋体" w:hAnsi="宋体" w:eastAsia="宋体" w:cs="宋体"/>
          <w:b/>
          <w:bCs/>
          <w:color w:val="auto"/>
          <w:spacing w:val="-7"/>
          <w:sz w:val="24"/>
          <w:szCs w:val="24"/>
          <w:highlight w:val="none"/>
        </w:rPr>
        <w:t>7.1</w:t>
      </w:r>
      <w:r>
        <w:rPr>
          <w:rFonts w:ascii="宋体" w:hAnsi="宋体" w:eastAsia="宋体" w:cs="宋体"/>
          <w:color w:val="auto"/>
          <w:spacing w:val="38"/>
          <w:sz w:val="24"/>
          <w:szCs w:val="24"/>
          <w:highlight w:val="none"/>
        </w:rPr>
        <w:t xml:space="preserve"> </w:t>
      </w:r>
      <w:r>
        <w:rPr>
          <w:rFonts w:ascii="宋体" w:hAnsi="宋体" w:eastAsia="宋体" w:cs="宋体"/>
          <w:b/>
          <w:bCs/>
          <w:color w:val="auto"/>
          <w:spacing w:val="-7"/>
          <w:sz w:val="24"/>
          <w:szCs w:val="24"/>
          <w:highlight w:val="none"/>
        </w:rPr>
        <w:t>中标候选人公示</w:t>
      </w:r>
      <w:bookmarkEnd w:id="141"/>
      <w:bookmarkEnd w:id="142"/>
    </w:p>
    <w:p w14:paraId="15844032">
      <w:pPr>
        <w:spacing w:before="181" w:line="359" w:lineRule="auto"/>
        <w:ind w:left="4" w:right="8" w:firstLine="47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招标人在收到评标报告之日起</w:t>
      </w:r>
      <w:r>
        <w:rPr>
          <w:rFonts w:ascii="宋体" w:hAnsi="宋体" w:eastAsia="宋体" w:cs="宋体"/>
          <w:color w:val="auto"/>
          <w:spacing w:val="-39"/>
          <w:sz w:val="24"/>
          <w:szCs w:val="24"/>
          <w:highlight w:val="none"/>
        </w:rPr>
        <w:t xml:space="preserve"> </w:t>
      </w:r>
      <w:r>
        <w:rPr>
          <w:rFonts w:ascii="宋体" w:hAnsi="宋体" w:eastAsia="宋体" w:cs="宋体"/>
          <w:color w:val="auto"/>
          <w:spacing w:val="3"/>
          <w:sz w:val="24"/>
          <w:szCs w:val="24"/>
          <w:highlight w:val="none"/>
        </w:rPr>
        <w:t>3 日内，按照投标人须知前附</w:t>
      </w:r>
      <w:r>
        <w:rPr>
          <w:rFonts w:ascii="宋体" w:hAnsi="宋体" w:eastAsia="宋体" w:cs="宋体"/>
          <w:color w:val="auto"/>
          <w:spacing w:val="2"/>
          <w:sz w:val="24"/>
          <w:szCs w:val="24"/>
          <w:highlight w:val="none"/>
        </w:rPr>
        <w:t>表规定的公示媒介和</w:t>
      </w:r>
      <w:r>
        <w:rPr>
          <w:rFonts w:ascii="宋体" w:hAnsi="宋体" w:eastAsia="宋体" w:cs="宋体"/>
          <w:color w:val="auto"/>
          <w:spacing w:val="-3"/>
          <w:sz w:val="24"/>
          <w:szCs w:val="24"/>
          <w:highlight w:val="none"/>
        </w:rPr>
        <w:t>期限公示中标候选人，公示期不得少于</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3 日，公示内</w:t>
      </w:r>
      <w:r>
        <w:rPr>
          <w:rFonts w:ascii="宋体" w:hAnsi="宋体" w:eastAsia="宋体" w:cs="宋体"/>
          <w:color w:val="auto"/>
          <w:spacing w:val="-4"/>
          <w:sz w:val="24"/>
          <w:szCs w:val="24"/>
          <w:highlight w:val="none"/>
        </w:rPr>
        <w:t>容包括：</w:t>
      </w:r>
    </w:p>
    <w:p w14:paraId="7752625A">
      <w:pPr>
        <w:spacing w:line="290" w:lineRule="auto"/>
        <w:ind w:left="4" w:right="8" w:firstLine="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（1）中标候选人排序、名称、投标报价，对监理质量要求、安全目标和监理服务</w:t>
      </w:r>
      <w:r>
        <w:rPr>
          <w:rFonts w:ascii="宋体" w:hAnsi="宋体" w:eastAsia="宋体" w:cs="宋体"/>
          <w:color w:val="auto"/>
          <w:spacing w:val="-2"/>
          <w:sz w:val="24"/>
          <w:szCs w:val="24"/>
          <w:highlight w:val="none"/>
        </w:rPr>
        <w:t>期限的响应情况；</w:t>
      </w:r>
    </w:p>
    <w:p w14:paraId="5A22F297">
      <w:pPr>
        <w:spacing w:before="183" w:line="288" w:lineRule="auto"/>
        <w:ind w:right="8" w:firstLine="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（2）中标候选人在投标文件中承诺的总监理工程师或驻地监理工程师姓名、个人</w:t>
      </w:r>
      <w:r>
        <w:rPr>
          <w:rFonts w:ascii="宋体" w:hAnsi="宋体" w:eastAsia="宋体" w:cs="宋体"/>
          <w:color w:val="auto"/>
          <w:spacing w:val="-1"/>
          <w:sz w:val="24"/>
          <w:szCs w:val="24"/>
          <w:highlight w:val="none"/>
        </w:rPr>
        <w:t>业绩、相关证书名称和编号；</w:t>
      </w:r>
    </w:p>
    <w:p w14:paraId="1EE535F9">
      <w:pPr>
        <w:spacing w:before="182"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（3）中标候选人在投标文件中填报的项目业绩；</w:t>
      </w:r>
    </w:p>
    <w:p w14:paraId="2C5550DF">
      <w:pPr>
        <w:spacing w:before="182"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（4）被否决投标的投标人名称、否决依据和原因；</w:t>
      </w:r>
    </w:p>
    <w:p w14:paraId="656B3C20">
      <w:pPr>
        <w:spacing w:before="184"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（5）提出异议的渠道和方式；</w:t>
      </w:r>
    </w:p>
    <w:p w14:paraId="0C4A5BA9">
      <w:pPr>
        <w:spacing w:before="180"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（6）投标人须知前附表规定公示的其他内容。</w:t>
      </w:r>
    </w:p>
    <w:p w14:paraId="0445CFCE">
      <w:pPr>
        <w:spacing w:before="184" w:line="219" w:lineRule="auto"/>
        <w:ind w:left="7"/>
        <w:outlineLvl w:val="1"/>
        <w:rPr>
          <w:rFonts w:ascii="宋体" w:hAnsi="宋体" w:eastAsia="宋体" w:cs="宋体"/>
          <w:color w:val="auto"/>
          <w:sz w:val="24"/>
          <w:szCs w:val="24"/>
          <w:highlight w:val="none"/>
        </w:rPr>
      </w:pPr>
      <w:bookmarkStart w:id="143" w:name="_Toc14630"/>
      <w:bookmarkStart w:id="144" w:name="_Toc15238"/>
      <w:r>
        <w:rPr>
          <w:rFonts w:ascii="宋体" w:hAnsi="宋体" w:eastAsia="宋体" w:cs="宋体"/>
          <w:b/>
          <w:bCs/>
          <w:color w:val="auto"/>
          <w:spacing w:val="-3"/>
          <w:sz w:val="24"/>
          <w:szCs w:val="24"/>
          <w:highlight w:val="none"/>
        </w:rPr>
        <w:t>7.2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评标结果异议</w:t>
      </w:r>
      <w:bookmarkEnd w:id="143"/>
      <w:bookmarkEnd w:id="144"/>
    </w:p>
    <w:p w14:paraId="11DF7229">
      <w:pPr>
        <w:spacing w:before="181" w:line="359" w:lineRule="auto"/>
        <w:ind w:right="5" w:firstLine="484"/>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投标人或其他利害关系人对依法必须进行招标的项目的评标结果有异议的，应在</w:t>
      </w:r>
      <w:r>
        <w:rPr>
          <w:rFonts w:ascii="宋体" w:hAnsi="宋体" w:eastAsia="宋体" w:cs="宋体"/>
          <w:color w:val="auto"/>
          <w:spacing w:val="-3"/>
          <w:sz w:val="24"/>
          <w:szCs w:val="24"/>
          <w:highlight w:val="none"/>
        </w:rPr>
        <w:t>中标候选人公示期间提出。招标人将在收到异议之日起</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3 日</w:t>
      </w:r>
      <w:r>
        <w:rPr>
          <w:rFonts w:ascii="宋体" w:hAnsi="宋体" w:eastAsia="宋体" w:cs="宋体"/>
          <w:color w:val="auto"/>
          <w:spacing w:val="-4"/>
          <w:sz w:val="24"/>
          <w:szCs w:val="24"/>
          <w:highlight w:val="none"/>
        </w:rPr>
        <w:t>内作出答复；作出答复前，</w:t>
      </w:r>
      <w:r>
        <w:rPr>
          <w:rFonts w:ascii="宋体" w:hAnsi="宋体" w:eastAsia="宋体" w:cs="宋体"/>
          <w:color w:val="auto"/>
          <w:spacing w:val="3"/>
          <w:sz w:val="24"/>
          <w:szCs w:val="24"/>
          <w:highlight w:val="none"/>
        </w:rPr>
        <w:t>将暂停招标投标活动。提出异议与作出答复均应通过“</w:t>
      </w:r>
      <w:r>
        <w:rPr>
          <w:rFonts w:ascii="宋体" w:hAnsi="宋体" w:eastAsia="宋体" w:cs="宋体"/>
          <w:color w:val="auto"/>
          <w:spacing w:val="-75"/>
          <w:sz w:val="24"/>
          <w:szCs w:val="24"/>
          <w:highlight w:val="none"/>
        </w:rPr>
        <w:t xml:space="preserve"> </w:t>
      </w:r>
      <w:r>
        <w:rPr>
          <w:rFonts w:ascii="宋体" w:hAnsi="宋体" w:eastAsia="宋体" w:cs="宋体"/>
          <w:color w:val="auto"/>
          <w:spacing w:val="3"/>
          <w:sz w:val="24"/>
          <w:szCs w:val="24"/>
          <w:highlight w:val="none"/>
        </w:rPr>
        <w:t>电子交易平台</w:t>
      </w:r>
      <w:r>
        <w:rPr>
          <w:rFonts w:ascii="宋体" w:hAnsi="宋体" w:eastAsia="宋体" w:cs="宋体"/>
          <w:color w:val="auto"/>
          <w:spacing w:val="-84"/>
          <w:sz w:val="24"/>
          <w:szCs w:val="24"/>
          <w:highlight w:val="none"/>
        </w:rPr>
        <w:t xml:space="preserve"> </w:t>
      </w:r>
      <w:r>
        <w:rPr>
          <w:rFonts w:ascii="宋体" w:hAnsi="宋体" w:eastAsia="宋体" w:cs="宋体"/>
          <w:color w:val="auto"/>
          <w:spacing w:val="2"/>
          <w:sz w:val="24"/>
          <w:szCs w:val="24"/>
          <w:highlight w:val="none"/>
        </w:rPr>
        <w:t>”在“异议与答</w:t>
      </w:r>
      <w:r>
        <w:rPr>
          <w:rFonts w:ascii="宋体" w:hAnsi="宋体" w:eastAsia="宋体" w:cs="宋体"/>
          <w:color w:val="auto"/>
          <w:spacing w:val="-4"/>
          <w:sz w:val="24"/>
          <w:szCs w:val="24"/>
          <w:highlight w:val="none"/>
        </w:rPr>
        <w:t>复</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”菜单以书面形式进行。</w:t>
      </w:r>
    </w:p>
    <w:p w14:paraId="44493BF0">
      <w:pPr>
        <w:spacing w:before="1" w:line="219" w:lineRule="auto"/>
        <w:ind w:left="7"/>
        <w:outlineLvl w:val="1"/>
        <w:rPr>
          <w:rFonts w:ascii="宋体" w:hAnsi="宋体" w:eastAsia="宋体" w:cs="宋体"/>
          <w:color w:val="auto"/>
          <w:sz w:val="24"/>
          <w:szCs w:val="24"/>
          <w:highlight w:val="none"/>
        </w:rPr>
      </w:pPr>
      <w:bookmarkStart w:id="145" w:name="_Toc9873"/>
      <w:bookmarkStart w:id="146" w:name="_Toc3856"/>
      <w:r>
        <w:rPr>
          <w:rFonts w:ascii="宋体" w:hAnsi="宋体" w:eastAsia="宋体" w:cs="宋体"/>
          <w:b/>
          <w:bCs/>
          <w:color w:val="auto"/>
          <w:spacing w:val="-6"/>
          <w:sz w:val="24"/>
          <w:szCs w:val="24"/>
          <w:highlight w:val="none"/>
        </w:rPr>
        <w:t>7.3</w:t>
      </w:r>
      <w:r>
        <w:rPr>
          <w:rFonts w:ascii="宋体" w:hAnsi="宋体" w:eastAsia="宋体" w:cs="宋体"/>
          <w:color w:val="auto"/>
          <w:spacing w:val="46"/>
          <w:sz w:val="24"/>
          <w:szCs w:val="24"/>
          <w:highlight w:val="none"/>
        </w:rPr>
        <w:t xml:space="preserve"> </w:t>
      </w:r>
      <w:r>
        <w:rPr>
          <w:rFonts w:ascii="宋体" w:hAnsi="宋体" w:eastAsia="宋体" w:cs="宋体"/>
          <w:b/>
          <w:bCs/>
          <w:color w:val="auto"/>
          <w:spacing w:val="-6"/>
          <w:sz w:val="24"/>
          <w:szCs w:val="24"/>
          <w:highlight w:val="none"/>
        </w:rPr>
        <w:t>中标候选人履约能力审查</w:t>
      </w:r>
      <w:bookmarkEnd w:id="145"/>
      <w:bookmarkEnd w:id="146"/>
    </w:p>
    <w:p w14:paraId="387A8037">
      <w:pPr>
        <w:spacing w:before="181" w:line="361" w:lineRule="auto"/>
        <w:ind w:left="2" w:right="8" w:firstLine="501"/>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中标候选人的经营、财务状况发生较大变化或存在违法行为，招标人认为可能影</w:t>
      </w:r>
      <w:r>
        <w:rPr>
          <w:rFonts w:ascii="宋体" w:hAnsi="宋体" w:eastAsia="宋体" w:cs="宋体"/>
          <w:color w:val="auto"/>
          <w:spacing w:val="5"/>
          <w:sz w:val="24"/>
          <w:szCs w:val="24"/>
          <w:highlight w:val="none"/>
        </w:rPr>
        <w:t>响其履约能力的，将在发出中标通知书前提请原评标委员会按照招标文件</w:t>
      </w:r>
      <w:r>
        <w:rPr>
          <w:rFonts w:ascii="宋体" w:hAnsi="宋体" w:eastAsia="宋体" w:cs="宋体"/>
          <w:color w:val="auto"/>
          <w:spacing w:val="4"/>
          <w:sz w:val="24"/>
          <w:szCs w:val="24"/>
          <w:highlight w:val="none"/>
        </w:rPr>
        <w:t>规定的标准</w:t>
      </w:r>
      <w:r>
        <w:rPr>
          <w:rFonts w:ascii="宋体" w:hAnsi="宋体" w:eastAsia="宋体" w:cs="宋体"/>
          <w:color w:val="auto"/>
          <w:spacing w:val="-2"/>
          <w:sz w:val="24"/>
          <w:szCs w:val="24"/>
          <w:highlight w:val="none"/>
        </w:rPr>
        <w:t>和方法进行审查确认。</w:t>
      </w:r>
    </w:p>
    <w:p w14:paraId="2260663D">
      <w:pPr>
        <w:spacing w:before="48" w:line="220" w:lineRule="auto"/>
        <w:ind w:left="6"/>
        <w:outlineLvl w:val="1"/>
        <w:rPr>
          <w:rFonts w:ascii="宋体" w:hAnsi="宋体" w:eastAsia="宋体" w:cs="宋体"/>
          <w:color w:val="auto"/>
          <w:sz w:val="24"/>
          <w:szCs w:val="24"/>
          <w:highlight w:val="none"/>
        </w:rPr>
      </w:pPr>
      <w:bookmarkStart w:id="147" w:name="_Toc6124"/>
      <w:bookmarkStart w:id="148" w:name="_Toc8254"/>
      <w:r>
        <w:rPr>
          <w:rFonts w:ascii="宋体" w:hAnsi="宋体" w:eastAsia="宋体" w:cs="宋体"/>
          <w:b/>
          <w:bCs/>
          <w:color w:val="auto"/>
          <w:spacing w:val="-9"/>
          <w:sz w:val="24"/>
          <w:szCs w:val="24"/>
          <w:highlight w:val="none"/>
        </w:rPr>
        <w:t>7.4</w:t>
      </w:r>
      <w:r>
        <w:rPr>
          <w:rFonts w:ascii="宋体" w:hAnsi="宋体" w:eastAsia="宋体" w:cs="宋体"/>
          <w:color w:val="auto"/>
          <w:spacing w:val="21"/>
          <w:sz w:val="24"/>
          <w:szCs w:val="24"/>
          <w:highlight w:val="none"/>
        </w:rPr>
        <w:t xml:space="preserve"> </w:t>
      </w:r>
      <w:r>
        <w:rPr>
          <w:rFonts w:ascii="宋体" w:hAnsi="宋体" w:eastAsia="宋体" w:cs="宋体"/>
          <w:b/>
          <w:bCs/>
          <w:color w:val="auto"/>
          <w:spacing w:val="-9"/>
          <w:sz w:val="24"/>
          <w:szCs w:val="24"/>
          <w:highlight w:val="none"/>
        </w:rPr>
        <w:t>定标</w:t>
      </w:r>
      <w:bookmarkEnd w:id="147"/>
      <w:bookmarkEnd w:id="148"/>
    </w:p>
    <w:p w14:paraId="7DACD65A">
      <w:pPr>
        <w:spacing w:before="179" w:line="359" w:lineRule="auto"/>
        <w:ind w:left="2" w:right="2"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按照投标人须知前附表的规定，招标人或招标人授权的评标委员会依法确定中标</w:t>
      </w:r>
      <w:r>
        <w:rPr>
          <w:rFonts w:ascii="宋体" w:hAnsi="宋体" w:eastAsia="宋体" w:cs="宋体"/>
          <w:color w:val="auto"/>
          <w:spacing w:val="-6"/>
          <w:sz w:val="24"/>
          <w:szCs w:val="24"/>
          <w:highlight w:val="none"/>
        </w:rPr>
        <w:t>人。</w:t>
      </w:r>
    </w:p>
    <w:p w14:paraId="3E78CD1D">
      <w:pPr>
        <w:spacing w:line="220" w:lineRule="auto"/>
        <w:ind w:left="6"/>
        <w:outlineLvl w:val="1"/>
        <w:rPr>
          <w:rFonts w:ascii="宋体" w:hAnsi="宋体" w:eastAsia="宋体" w:cs="宋体"/>
          <w:color w:val="auto"/>
          <w:sz w:val="24"/>
          <w:szCs w:val="24"/>
          <w:highlight w:val="none"/>
        </w:rPr>
      </w:pPr>
      <w:bookmarkStart w:id="149" w:name="_Toc12572"/>
      <w:bookmarkStart w:id="150" w:name="_Toc27615"/>
      <w:r>
        <w:rPr>
          <w:rFonts w:ascii="宋体" w:hAnsi="宋体" w:eastAsia="宋体" w:cs="宋体"/>
          <w:b/>
          <w:bCs/>
          <w:color w:val="auto"/>
          <w:spacing w:val="-9"/>
          <w:sz w:val="24"/>
          <w:szCs w:val="24"/>
          <w:highlight w:val="none"/>
        </w:rPr>
        <w:t>7.5</w:t>
      </w:r>
      <w:r>
        <w:rPr>
          <w:rFonts w:ascii="宋体" w:hAnsi="宋体" w:eastAsia="宋体" w:cs="宋体"/>
          <w:color w:val="auto"/>
          <w:spacing w:val="36"/>
          <w:sz w:val="24"/>
          <w:szCs w:val="24"/>
          <w:highlight w:val="none"/>
        </w:rPr>
        <w:t xml:space="preserve"> </w:t>
      </w:r>
      <w:r>
        <w:rPr>
          <w:rFonts w:ascii="宋体" w:hAnsi="宋体" w:eastAsia="宋体" w:cs="宋体"/>
          <w:b/>
          <w:bCs/>
          <w:color w:val="auto"/>
          <w:spacing w:val="-9"/>
          <w:sz w:val="24"/>
          <w:szCs w:val="24"/>
          <w:highlight w:val="none"/>
        </w:rPr>
        <w:t>中标通知</w:t>
      </w:r>
      <w:bookmarkEnd w:id="149"/>
      <w:bookmarkEnd w:id="150"/>
    </w:p>
    <w:p w14:paraId="62ECF2FC">
      <w:pPr>
        <w:spacing w:before="182" w:line="359" w:lineRule="auto"/>
        <w:ind w:left="23" w:right="2" w:firstLine="45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在本章第</w:t>
      </w:r>
      <w:r>
        <w:rPr>
          <w:rFonts w:ascii="宋体" w:hAnsi="宋体" w:eastAsia="宋体" w:cs="宋体"/>
          <w:color w:val="auto"/>
          <w:spacing w:val="-37"/>
          <w:sz w:val="24"/>
          <w:szCs w:val="24"/>
          <w:highlight w:val="none"/>
        </w:rPr>
        <w:t xml:space="preserve"> </w:t>
      </w:r>
      <w:r>
        <w:rPr>
          <w:rFonts w:ascii="宋体" w:hAnsi="宋体" w:eastAsia="宋体" w:cs="宋体"/>
          <w:color w:val="auto"/>
          <w:spacing w:val="4"/>
          <w:sz w:val="24"/>
          <w:szCs w:val="24"/>
          <w:highlight w:val="none"/>
        </w:rPr>
        <w:t>3.3</w:t>
      </w:r>
      <w:r>
        <w:rPr>
          <w:rFonts w:ascii="宋体" w:hAnsi="宋体" w:eastAsia="宋体" w:cs="宋体"/>
          <w:color w:val="auto"/>
          <w:spacing w:val="-45"/>
          <w:sz w:val="24"/>
          <w:szCs w:val="24"/>
          <w:highlight w:val="none"/>
        </w:rPr>
        <w:t xml:space="preserve"> </w:t>
      </w:r>
      <w:r>
        <w:rPr>
          <w:rFonts w:ascii="宋体" w:hAnsi="宋体" w:eastAsia="宋体" w:cs="宋体"/>
          <w:color w:val="auto"/>
          <w:spacing w:val="4"/>
          <w:sz w:val="24"/>
          <w:szCs w:val="24"/>
          <w:highlight w:val="none"/>
        </w:rPr>
        <w:t>款规定的投标有效期内，招标人以投标人须知前附表规定的形式向</w:t>
      </w:r>
      <w:r>
        <w:rPr>
          <w:rFonts w:ascii="宋体" w:hAnsi="宋体" w:eastAsia="宋体" w:cs="宋体"/>
          <w:color w:val="auto"/>
          <w:spacing w:val="-1"/>
          <w:sz w:val="24"/>
          <w:szCs w:val="24"/>
          <w:highlight w:val="none"/>
        </w:rPr>
        <w:t>中标人发出中标通知书，同时将中标结果通知未中标</w:t>
      </w:r>
      <w:r>
        <w:rPr>
          <w:rFonts w:ascii="宋体" w:hAnsi="宋体" w:eastAsia="宋体" w:cs="宋体"/>
          <w:color w:val="auto"/>
          <w:spacing w:val="-2"/>
          <w:sz w:val="24"/>
          <w:szCs w:val="24"/>
          <w:highlight w:val="none"/>
        </w:rPr>
        <w:t>的投标人。</w:t>
      </w:r>
    </w:p>
    <w:p w14:paraId="2D9EDD22">
      <w:pPr>
        <w:spacing w:before="1" w:line="217" w:lineRule="auto"/>
        <w:ind w:left="6"/>
        <w:outlineLvl w:val="1"/>
        <w:rPr>
          <w:rFonts w:ascii="宋体" w:hAnsi="宋体" w:eastAsia="宋体" w:cs="宋体"/>
          <w:color w:val="auto"/>
          <w:sz w:val="24"/>
          <w:szCs w:val="24"/>
          <w:highlight w:val="none"/>
        </w:rPr>
      </w:pPr>
      <w:bookmarkStart w:id="151" w:name="_Toc9135"/>
      <w:bookmarkStart w:id="152" w:name="_Toc20404"/>
      <w:r>
        <w:rPr>
          <w:rFonts w:ascii="宋体" w:hAnsi="宋体" w:eastAsia="宋体" w:cs="宋体"/>
          <w:b/>
          <w:bCs/>
          <w:color w:val="auto"/>
          <w:spacing w:val="-7"/>
          <w:sz w:val="24"/>
          <w:szCs w:val="24"/>
          <w:highlight w:val="none"/>
        </w:rPr>
        <w:t>7.6</w:t>
      </w:r>
      <w:r>
        <w:rPr>
          <w:rFonts w:ascii="宋体" w:hAnsi="宋体" w:eastAsia="宋体" w:cs="宋体"/>
          <w:color w:val="auto"/>
          <w:spacing w:val="34"/>
          <w:sz w:val="24"/>
          <w:szCs w:val="24"/>
          <w:highlight w:val="none"/>
        </w:rPr>
        <w:t xml:space="preserve"> </w:t>
      </w:r>
      <w:r>
        <w:rPr>
          <w:rFonts w:ascii="宋体" w:hAnsi="宋体" w:eastAsia="宋体" w:cs="宋体"/>
          <w:b/>
          <w:bCs/>
          <w:color w:val="auto"/>
          <w:spacing w:val="-7"/>
          <w:sz w:val="24"/>
          <w:szCs w:val="24"/>
          <w:highlight w:val="none"/>
        </w:rPr>
        <w:t>中标结果公告</w:t>
      </w:r>
      <w:bookmarkEnd w:id="151"/>
      <w:bookmarkEnd w:id="152"/>
    </w:p>
    <w:p w14:paraId="368100E1">
      <w:pPr>
        <w:spacing w:before="182" w:line="359" w:lineRule="auto"/>
        <w:ind w:left="17" w:right="2" w:firstLine="46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招标人在确定中标人之日起</w:t>
      </w:r>
      <w:r>
        <w:rPr>
          <w:rFonts w:ascii="宋体" w:hAnsi="宋体" w:eastAsia="宋体" w:cs="宋体"/>
          <w:color w:val="auto"/>
          <w:spacing w:val="-41"/>
          <w:sz w:val="24"/>
          <w:szCs w:val="24"/>
          <w:highlight w:val="none"/>
        </w:rPr>
        <w:t xml:space="preserve"> </w:t>
      </w:r>
      <w:r>
        <w:rPr>
          <w:rFonts w:ascii="宋体" w:hAnsi="宋体" w:eastAsia="宋体" w:cs="宋体"/>
          <w:color w:val="auto"/>
          <w:spacing w:val="3"/>
          <w:sz w:val="24"/>
          <w:szCs w:val="24"/>
          <w:highlight w:val="none"/>
        </w:rPr>
        <w:t>3 日内，按照投标人须知前附表规定</w:t>
      </w:r>
      <w:r>
        <w:rPr>
          <w:rFonts w:ascii="宋体" w:hAnsi="宋体" w:eastAsia="宋体" w:cs="宋体"/>
          <w:color w:val="auto"/>
          <w:spacing w:val="2"/>
          <w:sz w:val="24"/>
          <w:szCs w:val="24"/>
          <w:highlight w:val="none"/>
        </w:rPr>
        <w:t>的公告媒介和期</w:t>
      </w:r>
      <w:r>
        <w:rPr>
          <w:rFonts w:ascii="宋体" w:hAnsi="宋体" w:eastAsia="宋体" w:cs="宋体"/>
          <w:color w:val="auto"/>
          <w:spacing w:val="-3"/>
          <w:sz w:val="24"/>
          <w:szCs w:val="24"/>
          <w:highlight w:val="none"/>
        </w:rPr>
        <w:t>限公告中标结果，公告期不得少于</w:t>
      </w:r>
      <w:r>
        <w:rPr>
          <w:rFonts w:ascii="宋体" w:hAnsi="宋体" w:eastAsia="宋体" w:cs="宋体"/>
          <w:color w:val="auto"/>
          <w:spacing w:val="-43"/>
          <w:sz w:val="24"/>
          <w:szCs w:val="24"/>
          <w:highlight w:val="none"/>
        </w:rPr>
        <w:t xml:space="preserve"> </w:t>
      </w:r>
      <w:r>
        <w:rPr>
          <w:rFonts w:ascii="宋体" w:hAnsi="宋体" w:eastAsia="宋体" w:cs="宋体"/>
          <w:color w:val="auto"/>
          <w:spacing w:val="-3"/>
          <w:sz w:val="24"/>
          <w:szCs w:val="24"/>
          <w:highlight w:val="none"/>
        </w:rPr>
        <w:t>3 日。公告内容包括中标人名称、中标价。</w:t>
      </w:r>
    </w:p>
    <w:p w14:paraId="043036CF">
      <w:pPr>
        <w:spacing w:line="220" w:lineRule="auto"/>
        <w:ind w:left="6"/>
        <w:outlineLvl w:val="1"/>
        <w:rPr>
          <w:rFonts w:ascii="宋体" w:hAnsi="宋体" w:eastAsia="宋体" w:cs="宋体"/>
          <w:color w:val="auto"/>
          <w:sz w:val="24"/>
          <w:szCs w:val="24"/>
          <w:highlight w:val="none"/>
        </w:rPr>
      </w:pPr>
      <w:bookmarkStart w:id="153" w:name="_Toc25892"/>
      <w:bookmarkStart w:id="154" w:name="_Toc7700"/>
      <w:r>
        <w:rPr>
          <w:rFonts w:ascii="宋体" w:hAnsi="宋体" w:eastAsia="宋体" w:cs="宋体"/>
          <w:b/>
          <w:bCs/>
          <w:color w:val="auto"/>
          <w:spacing w:val="-6"/>
          <w:sz w:val="24"/>
          <w:szCs w:val="24"/>
          <w:highlight w:val="none"/>
        </w:rPr>
        <w:t>7.7</w:t>
      </w:r>
      <w:r>
        <w:rPr>
          <w:rFonts w:ascii="宋体" w:hAnsi="宋体" w:eastAsia="宋体" w:cs="宋体"/>
          <w:color w:val="auto"/>
          <w:spacing w:val="21"/>
          <w:sz w:val="24"/>
          <w:szCs w:val="24"/>
          <w:highlight w:val="none"/>
        </w:rPr>
        <w:t xml:space="preserve"> </w:t>
      </w:r>
      <w:r>
        <w:rPr>
          <w:rFonts w:ascii="宋体" w:hAnsi="宋体" w:eastAsia="宋体" w:cs="宋体"/>
          <w:b/>
          <w:bCs/>
          <w:color w:val="auto"/>
          <w:spacing w:val="-6"/>
          <w:sz w:val="24"/>
          <w:szCs w:val="24"/>
          <w:highlight w:val="none"/>
        </w:rPr>
        <w:t>履约保证金</w:t>
      </w:r>
      <w:bookmarkEnd w:id="153"/>
      <w:bookmarkEnd w:id="154"/>
    </w:p>
    <w:p w14:paraId="081DF0A4">
      <w:pPr>
        <w:spacing w:before="182" w:line="359" w:lineRule="auto"/>
        <w:ind w:right="2" w:firstLine="486"/>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7.7.1 在签订合同前，中标人应按投标人须知</w:t>
      </w:r>
      <w:r>
        <w:rPr>
          <w:rFonts w:ascii="宋体" w:hAnsi="宋体" w:eastAsia="宋体" w:cs="宋体"/>
          <w:color w:val="auto"/>
          <w:spacing w:val="4"/>
          <w:sz w:val="24"/>
          <w:szCs w:val="24"/>
          <w:highlight w:val="none"/>
        </w:rPr>
        <w:t>前附表规定的形式、金额和招标文件第四章“合同条款及格式</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”规定的或事先经过招标人书面认可的履约保</w:t>
      </w:r>
      <w:r>
        <w:rPr>
          <w:rFonts w:ascii="宋体" w:hAnsi="宋体" w:eastAsia="宋体" w:cs="宋体"/>
          <w:color w:val="auto"/>
          <w:spacing w:val="3"/>
          <w:sz w:val="24"/>
          <w:szCs w:val="24"/>
          <w:highlight w:val="none"/>
        </w:rPr>
        <w:t>证金格式向</w:t>
      </w:r>
      <w:r>
        <w:rPr>
          <w:rFonts w:ascii="宋体" w:hAnsi="宋体" w:eastAsia="宋体" w:cs="宋体"/>
          <w:color w:val="auto"/>
          <w:spacing w:val="5"/>
          <w:sz w:val="24"/>
          <w:szCs w:val="24"/>
          <w:highlight w:val="none"/>
        </w:rPr>
        <w:t>招标人提交履约保证金。除投标人须知前附表另有规定外，履约保证金为签约</w:t>
      </w:r>
      <w:r>
        <w:rPr>
          <w:rFonts w:ascii="宋体" w:hAnsi="宋体" w:eastAsia="宋体" w:cs="宋体"/>
          <w:color w:val="auto"/>
          <w:spacing w:val="4"/>
          <w:sz w:val="24"/>
          <w:szCs w:val="24"/>
          <w:highlight w:val="none"/>
        </w:rPr>
        <w:t>合同价</w:t>
      </w:r>
      <w:r>
        <w:rPr>
          <w:rFonts w:ascii="宋体" w:hAnsi="宋体" w:eastAsia="宋体" w:cs="宋体"/>
          <w:color w:val="auto"/>
          <w:spacing w:val="-1"/>
          <w:sz w:val="24"/>
          <w:szCs w:val="24"/>
          <w:highlight w:val="none"/>
        </w:rPr>
        <w:t>的</w:t>
      </w:r>
      <w:r>
        <w:rPr>
          <w:rFonts w:ascii="宋体" w:hAnsi="宋体" w:eastAsia="宋体" w:cs="宋体"/>
          <w:color w:val="auto"/>
          <w:spacing w:val="-32"/>
          <w:sz w:val="24"/>
          <w:szCs w:val="24"/>
          <w:highlight w:val="none"/>
        </w:rPr>
        <w:t xml:space="preserve"> </w:t>
      </w:r>
      <w:r>
        <w:rPr>
          <w:rFonts w:ascii="宋体" w:hAnsi="宋体" w:eastAsia="宋体" w:cs="宋体"/>
          <w:color w:val="auto"/>
          <w:spacing w:val="-1"/>
          <w:sz w:val="24"/>
          <w:szCs w:val="24"/>
          <w:highlight w:val="none"/>
        </w:rPr>
        <w:t>10%。联合体中标的，其履约保证金以联合体各方或联合体中牵头人的名义提交。</w:t>
      </w:r>
    </w:p>
    <w:p w14:paraId="137F1B0E">
      <w:pPr>
        <w:spacing w:line="359" w:lineRule="auto"/>
        <w:ind w:left="30" w:right="2" w:firstLine="45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采用银行保函时，应由符合投标人须知前附表规定级别的银行开具，所需的费用</w:t>
      </w:r>
      <w:r>
        <w:rPr>
          <w:rFonts w:ascii="宋体" w:hAnsi="宋体" w:eastAsia="宋体" w:cs="宋体"/>
          <w:color w:val="auto"/>
          <w:spacing w:val="-2"/>
          <w:sz w:val="24"/>
          <w:szCs w:val="24"/>
          <w:highlight w:val="none"/>
        </w:rPr>
        <w:t>由中标人承担，中标人应保证银行保函有效。</w:t>
      </w:r>
    </w:p>
    <w:p w14:paraId="15CB4D98">
      <w:pPr>
        <w:spacing w:before="1" w:line="359" w:lineRule="auto"/>
        <w:ind w:firstLine="486"/>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7.7.2</w:t>
      </w:r>
      <w:r>
        <w:rPr>
          <w:rFonts w:ascii="宋体" w:hAnsi="宋体" w:eastAsia="宋体" w:cs="宋体"/>
          <w:color w:val="auto"/>
          <w:spacing w:val="57"/>
          <w:sz w:val="24"/>
          <w:szCs w:val="24"/>
          <w:highlight w:val="none"/>
        </w:rPr>
        <w:t xml:space="preserve"> </w:t>
      </w:r>
      <w:r>
        <w:rPr>
          <w:rFonts w:ascii="宋体" w:hAnsi="宋体" w:eastAsia="宋体" w:cs="宋体"/>
          <w:color w:val="auto"/>
          <w:spacing w:val="2"/>
          <w:sz w:val="24"/>
          <w:szCs w:val="24"/>
          <w:highlight w:val="none"/>
        </w:rPr>
        <w:t>中标人不能按本章第</w:t>
      </w:r>
      <w:r>
        <w:rPr>
          <w:rFonts w:ascii="宋体" w:hAnsi="宋体" w:eastAsia="宋体" w:cs="宋体"/>
          <w:color w:val="auto"/>
          <w:spacing w:val="-38"/>
          <w:sz w:val="24"/>
          <w:szCs w:val="24"/>
          <w:highlight w:val="none"/>
        </w:rPr>
        <w:t xml:space="preserve"> </w:t>
      </w:r>
      <w:r>
        <w:rPr>
          <w:rFonts w:ascii="宋体" w:hAnsi="宋体" w:eastAsia="宋体" w:cs="宋体"/>
          <w:color w:val="auto"/>
          <w:spacing w:val="2"/>
          <w:sz w:val="24"/>
          <w:szCs w:val="24"/>
          <w:highlight w:val="none"/>
        </w:rPr>
        <w:t>7.7.1</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项要求提交履约保证金的，视为放弃中标，其</w:t>
      </w:r>
      <w:r>
        <w:rPr>
          <w:rFonts w:ascii="宋体" w:hAnsi="宋体" w:eastAsia="宋体" w:cs="宋体"/>
          <w:color w:val="auto"/>
          <w:spacing w:val="5"/>
          <w:sz w:val="24"/>
          <w:szCs w:val="24"/>
          <w:highlight w:val="none"/>
        </w:rPr>
        <w:t>投标保证金不予退还，给招标人造成的损失超过投标保证金数额的，中标人还</w:t>
      </w:r>
      <w:r>
        <w:rPr>
          <w:rFonts w:ascii="宋体" w:hAnsi="宋体" w:eastAsia="宋体" w:cs="宋体"/>
          <w:color w:val="auto"/>
          <w:spacing w:val="4"/>
          <w:sz w:val="24"/>
          <w:szCs w:val="24"/>
          <w:highlight w:val="none"/>
        </w:rPr>
        <w:t>应当对</w:t>
      </w:r>
      <w:r>
        <w:rPr>
          <w:rFonts w:ascii="宋体" w:hAnsi="宋体" w:eastAsia="宋体" w:cs="宋体"/>
          <w:color w:val="auto"/>
          <w:spacing w:val="-1"/>
          <w:sz w:val="24"/>
          <w:szCs w:val="24"/>
          <w:highlight w:val="none"/>
        </w:rPr>
        <w:t>超过部分予以赔偿。</w:t>
      </w:r>
    </w:p>
    <w:p w14:paraId="6865C00F">
      <w:pPr>
        <w:spacing w:before="1" w:line="221" w:lineRule="auto"/>
        <w:ind w:left="6"/>
        <w:outlineLvl w:val="1"/>
        <w:rPr>
          <w:rFonts w:ascii="宋体" w:hAnsi="宋体" w:eastAsia="宋体" w:cs="宋体"/>
          <w:color w:val="auto"/>
          <w:sz w:val="24"/>
          <w:szCs w:val="24"/>
          <w:highlight w:val="none"/>
        </w:rPr>
      </w:pPr>
      <w:bookmarkStart w:id="155" w:name="_Toc540"/>
      <w:bookmarkStart w:id="156" w:name="_Toc13207"/>
      <w:r>
        <w:rPr>
          <w:rFonts w:ascii="宋体" w:hAnsi="宋体" w:eastAsia="宋体" w:cs="宋体"/>
          <w:b/>
          <w:bCs/>
          <w:color w:val="auto"/>
          <w:spacing w:val="-6"/>
          <w:sz w:val="24"/>
          <w:szCs w:val="24"/>
          <w:highlight w:val="none"/>
        </w:rPr>
        <w:t>7.8</w:t>
      </w:r>
      <w:r>
        <w:rPr>
          <w:rFonts w:ascii="宋体" w:hAnsi="宋体" w:eastAsia="宋体" w:cs="宋体"/>
          <w:color w:val="auto"/>
          <w:spacing w:val="15"/>
          <w:sz w:val="24"/>
          <w:szCs w:val="24"/>
          <w:highlight w:val="none"/>
        </w:rPr>
        <w:t xml:space="preserve"> </w:t>
      </w:r>
      <w:r>
        <w:rPr>
          <w:rFonts w:ascii="宋体" w:hAnsi="宋体" w:eastAsia="宋体" w:cs="宋体"/>
          <w:b/>
          <w:bCs/>
          <w:color w:val="auto"/>
          <w:spacing w:val="-6"/>
          <w:sz w:val="24"/>
          <w:szCs w:val="24"/>
          <w:highlight w:val="none"/>
        </w:rPr>
        <w:t>签订合同</w:t>
      </w:r>
      <w:bookmarkEnd w:id="155"/>
      <w:bookmarkEnd w:id="156"/>
    </w:p>
    <w:p w14:paraId="3BA0EFAC">
      <w:pPr>
        <w:spacing w:before="174" w:line="332" w:lineRule="auto"/>
        <w:ind w:left="1"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7.8.1  根据《公路工程建设项目招标投标管理办法》第五十七条规定，招标人和</w:t>
      </w:r>
      <w:r>
        <w:rPr>
          <w:rFonts w:ascii="宋体" w:hAnsi="宋体" w:eastAsia="宋体" w:cs="宋体"/>
          <w:color w:val="auto"/>
          <w:sz w:val="24"/>
          <w:szCs w:val="24"/>
          <w:highlight w:val="none"/>
        </w:rPr>
        <w:t>中标人应在中标通知书发出之日起</w:t>
      </w:r>
      <w:r>
        <w:rPr>
          <w:rFonts w:ascii="宋体" w:hAnsi="宋体" w:eastAsia="宋体" w:cs="宋体"/>
          <w:color w:val="auto"/>
          <w:spacing w:val="-44"/>
          <w:sz w:val="24"/>
          <w:szCs w:val="24"/>
          <w:highlight w:val="none"/>
        </w:rPr>
        <w:t xml:space="preserve"> </w:t>
      </w:r>
      <w:r>
        <w:rPr>
          <w:rFonts w:ascii="宋体" w:hAnsi="宋体" w:eastAsia="宋体" w:cs="宋体"/>
          <w:color w:val="auto"/>
          <w:sz w:val="24"/>
          <w:szCs w:val="24"/>
          <w:highlight w:val="none"/>
        </w:rPr>
        <w:t>30 日内，根据招标</w:t>
      </w:r>
      <w:r>
        <w:rPr>
          <w:rFonts w:ascii="宋体" w:hAnsi="宋体" w:eastAsia="宋体" w:cs="宋体"/>
          <w:color w:val="auto"/>
          <w:spacing w:val="-1"/>
          <w:sz w:val="24"/>
          <w:szCs w:val="24"/>
          <w:highlight w:val="none"/>
        </w:rPr>
        <w:t>文件和中标人的投标文件订立合</w:t>
      </w:r>
      <w:r>
        <w:rPr>
          <w:rFonts w:ascii="宋体" w:hAnsi="宋体" w:eastAsia="宋体" w:cs="宋体"/>
          <w:color w:val="auto"/>
          <w:spacing w:val="5"/>
          <w:sz w:val="24"/>
          <w:szCs w:val="24"/>
          <w:highlight w:val="none"/>
        </w:rPr>
        <w:t>同。中标人无正当理由拒签合同，在签订合同时向招标人提出附加条件，</w:t>
      </w:r>
      <w:r>
        <w:rPr>
          <w:rFonts w:ascii="宋体" w:hAnsi="宋体" w:eastAsia="宋体" w:cs="宋体"/>
          <w:color w:val="auto"/>
          <w:spacing w:val="4"/>
          <w:sz w:val="24"/>
          <w:szCs w:val="24"/>
          <w:highlight w:val="none"/>
        </w:rPr>
        <w:t>或不按照招</w:t>
      </w:r>
      <w:r>
        <w:rPr>
          <w:rFonts w:ascii="宋体" w:hAnsi="宋体" w:eastAsia="宋体" w:cs="宋体"/>
          <w:color w:val="auto"/>
          <w:spacing w:val="-2"/>
          <w:sz w:val="24"/>
          <w:szCs w:val="24"/>
          <w:highlight w:val="none"/>
        </w:rPr>
        <w:t>标文件要求提交履约保证金的，招标人有权取消其中标资格，其投标保证金不予退还；</w:t>
      </w:r>
      <w:r>
        <w:rPr>
          <w:rFonts w:ascii="宋体" w:hAnsi="宋体" w:eastAsia="宋体" w:cs="宋体"/>
          <w:color w:val="auto"/>
          <w:sz w:val="24"/>
          <w:szCs w:val="24"/>
          <w:highlight w:val="none"/>
        </w:rPr>
        <w:t>给招标人造成的损失超过投标保证金数额的，中标人</w:t>
      </w:r>
      <w:r>
        <w:rPr>
          <w:rFonts w:ascii="宋体" w:hAnsi="宋体" w:eastAsia="宋体" w:cs="宋体"/>
          <w:color w:val="auto"/>
          <w:spacing w:val="-1"/>
          <w:sz w:val="24"/>
          <w:szCs w:val="24"/>
          <w:highlight w:val="none"/>
        </w:rPr>
        <w:t>还应对超过部分予以赔偿。</w:t>
      </w:r>
    </w:p>
    <w:p w14:paraId="5B225F64">
      <w:pPr>
        <w:spacing w:before="180" w:line="313" w:lineRule="auto"/>
        <w:ind w:right="2" w:firstLine="48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7.8.2 发出中标通知书后，招标人无正当理由</w:t>
      </w:r>
      <w:r>
        <w:rPr>
          <w:rFonts w:ascii="宋体" w:hAnsi="宋体" w:eastAsia="宋体" w:cs="宋体"/>
          <w:color w:val="auto"/>
          <w:spacing w:val="4"/>
          <w:sz w:val="24"/>
          <w:szCs w:val="24"/>
          <w:highlight w:val="none"/>
        </w:rPr>
        <w:t>拒签合同，或在签订合同时向中标</w:t>
      </w:r>
      <w:r>
        <w:rPr>
          <w:rFonts w:ascii="宋体" w:hAnsi="宋体" w:eastAsia="宋体" w:cs="宋体"/>
          <w:color w:val="auto"/>
          <w:spacing w:val="5"/>
          <w:sz w:val="24"/>
          <w:szCs w:val="24"/>
          <w:highlight w:val="none"/>
        </w:rPr>
        <w:t>人提出附加条件的，招标人向中标人退还投标保证金；给中标人造成损失的，</w:t>
      </w:r>
      <w:r>
        <w:rPr>
          <w:rFonts w:ascii="宋体" w:hAnsi="宋体" w:eastAsia="宋体" w:cs="宋体"/>
          <w:color w:val="auto"/>
          <w:spacing w:val="4"/>
          <w:sz w:val="24"/>
          <w:szCs w:val="24"/>
          <w:highlight w:val="none"/>
        </w:rPr>
        <w:t>还应赔</w:t>
      </w:r>
      <w:r>
        <w:rPr>
          <w:rFonts w:ascii="宋体" w:hAnsi="宋体" w:eastAsia="宋体" w:cs="宋体"/>
          <w:color w:val="auto"/>
          <w:spacing w:val="-3"/>
          <w:sz w:val="24"/>
          <w:szCs w:val="24"/>
          <w:highlight w:val="none"/>
        </w:rPr>
        <w:t>偿损失。</w:t>
      </w:r>
    </w:p>
    <w:p w14:paraId="48A140FF">
      <w:pPr>
        <w:spacing w:before="179" w:line="218"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7.8.3 签约合同价的确定原则如下：</w:t>
      </w:r>
    </w:p>
    <w:p w14:paraId="52D1BFFA">
      <w:pPr>
        <w:spacing w:before="183" w:line="359" w:lineRule="auto"/>
        <w:ind w:left="1" w:right="8" w:firstLine="490"/>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（1）按照评标办法规定对投标报价进行修正后，若修正后的最终投标报价小于开标时的投标函大写金额报价，则签订合同时以修正后的最终投标报价为准；</w:t>
      </w:r>
    </w:p>
    <w:p w14:paraId="26CE692A">
      <w:pPr>
        <w:spacing w:before="183" w:line="359" w:lineRule="auto"/>
        <w:ind w:left="1" w:right="8" w:firstLine="490"/>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（2）按照评标办法规定对投标报价进行修正后，若修正后的最终投标报价大于开标时的投标函大写金额报价，则签订合同时以开标时的投标函大写金额报价为准，同时按比例修正相应子目的单价或合价。</w:t>
      </w:r>
    </w:p>
    <w:p w14:paraId="54D9EB84">
      <w:pPr>
        <w:spacing w:before="1" w:line="288" w:lineRule="auto"/>
        <w:ind w:left="2" w:right="8" w:firstLine="48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7.8.4 联合体中标的，联合体各方应共同与招</w:t>
      </w:r>
      <w:r>
        <w:rPr>
          <w:rFonts w:ascii="宋体" w:hAnsi="宋体" w:eastAsia="宋体" w:cs="宋体"/>
          <w:color w:val="auto"/>
          <w:spacing w:val="4"/>
          <w:sz w:val="24"/>
          <w:szCs w:val="24"/>
          <w:highlight w:val="none"/>
        </w:rPr>
        <w:t>标人签订合同，就中标项目向招标</w:t>
      </w:r>
      <w:r>
        <w:rPr>
          <w:rFonts w:ascii="宋体" w:hAnsi="宋体" w:eastAsia="宋体" w:cs="宋体"/>
          <w:color w:val="auto"/>
          <w:spacing w:val="-2"/>
          <w:sz w:val="24"/>
          <w:szCs w:val="24"/>
          <w:highlight w:val="none"/>
        </w:rPr>
        <w:t>人承担连带责任。</w:t>
      </w:r>
    </w:p>
    <w:p w14:paraId="608164CD">
      <w:pPr>
        <w:spacing w:before="182" w:line="289" w:lineRule="auto"/>
        <w:ind w:left="1" w:firstLine="48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7.8.5 招标人和中标人在签订合同协议书的同</w:t>
      </w:r>
      <w:r>
        <w:rPr>
          <w:rFonts w:ascii="宋体" w:hAnsi="宋体" w:eastAsia="宋体" w:cs="宋体"/>
          <w:color w:val="auto"/>
          <w:spacing w:val="4"/>
          <w:sz w:val="24"/>
          <w:szCs w:val="24"/>
          <w:highlight w:val="none"/>
        </w:rPr>
        <w:t>时，须按照本招标文件规定的格式</w:t>
      </w:r>
      <w:r>
        <w:rPr>
          <w:rFonts w:ascii="宋体" w:hAnsi="宋体" w:eastAsia="宋体" w:cs="宋体"/>
          <w:color w:val="auto"/>
          <w:spacing w:val="-1"/>
          <w:sz w:val="24"/>
          <w:szCs w:val="24"/>
          <w:highlight w:val="none"/>
        </w:rPr>
        <w:t>和要求签订廉政合同，明确双方在廉政建设方面的权利</w:t>
      </w:r>
      <w:r>
        <w:rPr>
          <w:rFonts w:ascii="宋体" w:hAnsi="宋体" w:eastAsia="宋体" w:cs="宋体"/>
          <w:color w:val="auto"/>
          <w:spacing w:val="-2"/>
          <w:sz w:val="24"/>
          <w:szCs w:val="24"/>
          <w:highlight w:val="none"/>
        </w:rPr>
        <w:t>和义务以及应承担的违约责任。</w:t>
      </w:r>
    </w:p>
    <w:p w14:paraId="596D0F9D">
      <w:pPr>
        <w:spacing w:before="189" w:line="220" w:lineRule="auto"/>
        <w:ind w:left="3"/>
        <w:outlineLvl w:val="0"/>
        <w:rPr>
          <w:rFonts w:ascii="宋体" w:hAnsi="宋体" w:eastAsia="宋体" w:cs="宋体"/>
          <w:color w:val="auto"/>
          <w:sz w:val="28"/>
          <w:szCs w:val="28"/>
          <w:highlight w:val="none"/>
        </w:rPr>
      </w:pPr>
      <w:bookmarkStart w:id="157" w:name="_Toc16522"/>
      <w:r>
        <w:rPr>
          <w:rFonts w:ascii="宋体" w:hAnsi="宋体" w:eastAsia="宋体" w:cs="宋体"/>
          <w:b/>
          <w:bCs/>
          <w:color w:val="auto"/>
          <w:spacing w:val="-7"/>
          <w:sz w:val="28"/>
          <w:szCs w:val="28"/>
          <w:highlight w:val="none"/>
        </w:rPr>
        <w:t>8.</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7"/>
          <w:sz w:val="28"/>
          <w:szCs w:val="28"/>
          <w:highlight w:val="none"/>
        </w:rPr>
        <w:t>纪律和监督</w:t>
      </w:r>
      <w:bookmarkEnd w:id="157"/>
    </w:p>
    <w:p w14:paraId="36894AAC">
      <w:pPr>
        <w:spacing w:before="206" w:line="219" w:lineRule="auto"/>
        <w:ind w:left="1"/>
        <w:outlineLvl w:val="1"/>
        <w:rPr>
          <w:rFonts w:ascii="宋体" w:hAnsi="宋体" w:eastAsia="宋体" w:cs="宋体"/>
          <w:color w:val="auto"/>
          <w:sz w:val="24"/>
          <w:szCs w:val="24"/>
          <w:highlight w:val="none"/>
        </w:rPr>
      </w:pPr>
      <w:bookmarkStart w:id="158" w:name="_Toc12176"/>
      <w:bookmarkStart w:id="159" w:name="_Toc32182"/>
      <w:r>
        <w:rPr>
          <w:rFonts w:ascii="宋体" w:hAnsi="宋体" w:eastAsia="宋体" w:cs="宋体"/>
          <w:b/>
          <w:bCs/>
          <w:color w:val="auto"/>
          <w:spacing w:val="-3"/>
          <w:sz w:val="24"/>
          <w:szCs w:val="24"/>
          <w:highlight w:val="none"/>
        </w:rPr>
        <w:t>8.1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对招标人的纪律要求</w:t>
      </w:r>
      <w:bookmarkEnd w:id="158"/>
      <w:bookmarkEnd w:id="159"/>
    </w:p>
    <w:p w14:paraId="1C1E437D">
      <w:pPr>
        <w:spacing w:before="180" w:line="359" w:lineRule="auto"/>
        <w:ind w:left="2" w:right="8" w:firstLine="47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招标人不得泄露招标投标活动中应保密的情况和资料，不得与投标人串通损害国</w:t>
      </w:r>
      <w:r>
        <w:rPr>
          <w:rFonts w:ascii="宋体" w:hAnsi="宋体" w:eastAsia="宋体" w:cs="宋体"/>
          <w:color w:val="auto"/>
          <w:spacing w:val="-1"/>
          <w:sz w:val="24"/>
          <w:szCs w:val="24"/>
          <w:highlight w:val="none"/>
        </w:rPr>
        <w:t>家利益、社会公共利益或者他人合法权益。</w:t>
      </w:r>
    </w:p>
    <w:p w14:paraId="5E04E6F6">
      <w:pPr>
        <w:spacing w:before="1" w:line="219" w:lineRule="auto"/>
        <w:ind w:left="1"/>
        <w:outlineLvl w:val="1"/>
        <w:rPr>
          <w:rFonts w:ascii="宋体" w:hAnsi="宋体" w:eastAsia="宋体" w:cs="宋体"/>
          <w:color w:val="auto"/>
          <w:sz w:val="24"/>
          <w:szCs w:val="24"/>
          <w:highlight w:val="none"/>
        </w:rPr>
      </w:pPr>
      <w:bookmarkStart w:id="160" w:name="_Toc29567"/>
      <w:bookmarkStart w:id="161" w:name="_Toc15408"/>
      <w:r>
        <w:rPr>
          <w:rFonts w:ascii="宋体" w:hAnsi="宋体" w:eastAsia="宋体" w:cs="宋体"/>
          <w:b/>
          <w:bCs/>
          <w:color w:val="auto"/>
          <w:spacing w:val="-3"/>
          <w:sz w:val="24"/>
          <w:szCs w:val="24"/>
          <w:highlight w:val="none"/>
        </w:rPr>
        <w:t>8.2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对投标人的纪律要求</w:t>
      </w:r>
      <w:bookmarkEnd w:id="160"/>
      <w:bookmarkEnd w:id="161"/>
    </w:p>
    <w:p w14:paraId="7888D795">
      <w:pPr>
        <w:spacing w:before="182" w:line="359" w:lineRule="auto"/>
        <w:ind w:right="8" w:firstLine="483"/>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投标人不得相互串通投标或与招标人串通投标，不得向招标人或评标委员会成员行贿谋取中标，不得以他人名义投标或以其他方式弄虚作假骗取中标；投标人</w:t>
      </w:r>
      <w:r>
        <w:rPr>
          <w:rFonts w:ascii="宋体" w:hAnsi="宋体" w:eastAsia="宋体" w:cs="宋体"/>
          <w:color w:val="auto"/>
          <w:spacing w:val="4"/>
          <w:sz w:val="24"/>
          <w:szCs w:val="24"/>
          <w:highlight w:val="none"/>
        </w:rPr>
        <w:t>不得以</w:t>
      </w:r>
      <w:r>
        <w:rPr>
          <w:rFonts w:ascii="宋体" w:hAnsi="宋体" w:eastAsia="宋体" w:cs="宋体"/>
          <w:color w:val="auto"/>
          <w:spacing w:val="-1"/>
          <w:sz w:val="24"/>
          <w:szCs w:val="24"/>
          <w:highlight w:val="none"/>
        </w:rPr>
        <w:t>任何方式干扰、影响评标工作。</w:t>
      </w:r>
    </w:p>
    <w:p w14:paraId="0E52E7C2">
      <w:pPr>
        <w:spacing w:before="1" w:line="218" w:lineRule="auto"/>
        <w:ind w:left="1"/>
        <w:outlineLvl w:val="1"/>
        <w:rPr>
          <w:rFonts w:ascii="宋体" w:hAnsi="宋体" w:eastAsia="宋体" w:cs="宋体"/>
          <w:color w:val="auto"/>
          <w:sz w:val="24"/>
          <w:szCs w:val="24"/>
          <w:highlight w:val="none"/>
        </w:rPr>
      </w:pPr>
      <w:bookmarkStart w:id="162" w:name="_Toc1575"/>
      <w:bookmarkStart w:id="163" w:name="_Toc30532"/>
      <w:r>
        <w:rPr>
          <w:rFonts w:ascii="宋体" w:hAnsi="宋体" w:eastAsia="宋体" w:cs="宋体"/>
          <w:b/>
          <w:bCs/>
          <w:color w:val="auto"/>
          <w:spacing w:val="-2"/>
          <w:sz w:val="24"/>
          <w:szCs w:val="24"/>
          <w:highlight w:val="none"/>
        </w:rPr>
        <w:t>8.3</w:t>
      </w:r>
      <w:r>
        <w:rPr>
          <w:rFonts w:ascii="宋体" w:hAnsi="宋体" w:eastAsia="宋体" w:cs="宋体"/>
          <w:color w:val="auto"/>
          <w:spacing w:val="-2"/>
          <w:sz w:val="24"/>
          <w:szCs w:val="24"/>
          <w:highlight w:val="none"/>
        </w:rPr>
        <w:t xml:space="preserve"> </w:t>
      </w:r>
      <w:r>
        <w:rPr>
          <w:rFonts w:ascii="宋体" w:hAnsi="宋体" w:eastAsia="宋体" w:cs="宋体"/>
          <w:b/>
          <w:bCs/>
          <w:color w:val="auto"/>
          <w:spacing w:val="-2"/>
          <w:sz w:val="24"/>
          <w:szCs w:val="24"/>
          <w:highlight w:val="none"/>
        </w:rPr>
        <w:t>对评标委员会成员的纪律要求</w:t>
      </w:r>
      <w:bookmarkEnd w:id="162"/>
      <w:bookmarkEnd w:id="163"/>
    </w:p>
    <w:p w14:paraId="0FBF6681">
      <w:pPr>
        <w:spacing w:before="184" w:line="359" w:lineRule="auto"/>
        <w:ind w:right="8" w:firstLine="48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评标委员会成员不得收受他人的财物或其他好处，不得向他人透露对投标文件的评审和比较、中标候选人的推荐情况以及评标有关的其他情况。在评标活动中</w:t>
      </w:r>
      <w:r>
        <w:rPr>
          <w:rFonts w:ascii="宋体" w:hAnsi="宋体" w:eastAsia="宋体" w:cs="宋体"/>
          <w:color w:val="auto"/>
          <w:spacing w:val="4"/>
          <w:sz w:val="24"/>
          <w:szCs w:val="24"/>
          <w:highlight w:val="none"/>
        </w:rPr>
        <w:t>，评标</w:t>
      </w:r>
      <w:r>
        <w:rPr>
          <w:rFonts w:ascii="宋体" w:hAnsi="宋体" w:eastAsia="宋体" w:cs="宋体"/>
          <w:color w:val="auto"/>
          <w:spacing w:val="5"/>
          <w:sz w:val="24"/>
          <w:szCs w:val="24"/>
          <w:highlight w:val="none"/>
        </w:rPr>
        <w:t>委员会成员应客观、公正地履行职责，遵守职业道德，不得擅离职守，影响评</w:t>
      </w:r>
      <w:r>
        <w:rPr>
          <w:rFonts w:ascii="宋体" w:hAnsi="宋体" w:eastAsia="宋体" w:cs="宋体"/>
          <w:color w:val="auto"/>
          <w:spacing w:val="4"/>
          <w:sz w:val="24"/>
          <w:szCs w:val="24"/>
          <w:highlight w:val="none"/>
        </w:rPr>
        <w:t>标程序</w:t>
      </w:r>
      <w:r>
        <w:rPr>
          <w:rFonts w:ascii="宋体" w:hAnsi="宋体" w:eastAsia="宋体" w:cs="宋体"/>
          <w:color w:val="auto"/>
          <w:spacing w:val="-1"/>
          <w:sz w:val="24"/>
          <w:szCs w:val="24"/>
          <w:highlight w:val="none"/>
        </w:rPr>
        <w:t>正常进行，不得使用第三章“评标办法</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”没有规定的评审因素和</w:t>
      </w:r>
      <w:r>
        <w:rPr>
          <w:rFonts w:ascii="宋体" w:hAnsi="宋体" w:eastAsia="宋体" w:cs="宋体"/>
          <w:color w:val="auto"/>
          <w:spacing w:val="-2"/>
          <w:sz w:val="24"/>
          <w:szCs w:val="24"/>
          <w:highlight w:val="none"/>
        </w:rPr>
        <w:t>标准进行评标。</w:t>
      </w:r>
    </w:p>
    <w:p w14:paraId="2BE80475">
      <w:pPr>
        <w:spacing w:line="219" w:lineRule="auto"/>
        <w:ind w:left="1"/>
        <w:outlineLvl w:val="1"/>
        <w:rPr>
          <w:rFonts w:ascii="宋体" w:hAnsi="宋体" w:eastAsia="宋体" w:cs="宋体"/>
          <w:color w:val="auto"/>
          <w:sz w:val="24"/>
          <w:szCs w:val="24"/>
          <w:highlight w:val="none"/>
        </w:rPr>
      </w:pPr>
      <w:bookmarkStart w:id="164" w:name="_Toc6049"/>
      <w:bookmarkStart w:id="165" w:name="_Toc15952"/>
      <w:r>
        <w:rPr>
          <w:rFonts w:ascii="宋体" w:hAnsi="宋体" w:eastAsia="宋体" w:cs="宋体"/>
          <w:b/>
          <w:bCs/>
          <w:color w:val="auto"/>
          <w:spacing w:val="-2"/>
          <w:sz w:val="24"/>
          <w:szCs w:val="24"/>
          <w:highlight w:val="none"/>
        </w:rPr>
        <w:t>8.4</w:t>
      </w:r>
      <w:r>
        <w:rPr>
          <w:rFonts w:ascii="宋体" w:hAnsi="宋体" w:eastAsia="宋体" w:cs="宋体"/>
          <w:color w:val="auto"/>
          <w:spacing w:val="-2"/>
          <w:sz w:val="24"/>
          <w:szCs w:val="24"/>
          <w:highlight w:val="none"/>
        </w:rPr>
        <w:t xml:space="preserve"> </w:t>
      </w:r>
      <w:r>
        <w:rPr>
          <w:rFonts w:ascii="宋体" w:hAnsi="宋体" w:eastAsia="宋体" w:cs="宋体"/>
          <w:b/>
          <w:bCs/>
          <w:color w:val="auto"/>
          <w:spacing w:val="-2"/>
          <w:sz w:val="24"/>
          <w:szCs w:val="24"/>
          <w:highlight w:val="none"/>
        </w:rPr>
        <w:t>对与评标活动有关的工作人员的纪律要求</w:t>
      </w:r>
      <w:bookmarkEnd w:id="164"/>
      <w:bookmarkEnd w:id="165"/>
    </w:p>
    <w:p w14:paraId="544A0709">
      <w:pPr>
        <w:spacing w:before="182" w:line="359" w:lineRule="auto"/>
        <w:ind w:left="1" w:right="8" w:firstLine="483"/>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与评标活动有关的工作人员不得收受他人的财物或其他好处，不得向他人透露对投标文件的评审和比较、中标候选人的推荐情况以及评标有关的其他情况</w:t>
      </w:r>
      <w:r>
        <w:rPr>
          <w:rFonts w:ascii="宋体" w:hAnsi="宋体" w:eastAsia="宋体" w:cs="宋体"/>
          <w:color w:val="auto"/>
          <w:spacing w:val="4"/>
          <w:sz w:val="24"/>
          <w:szCs w:val="24"/>
          <w:highlight w:val="none"/>
        </w:rPr>
        <w:t>。在评标活</w:t>
      </w:r>
      <w:r>
        <w:rPr>
          <w:rFonts w:ascii="宋体" w:hAnsi="宋体" w:eastAsia="宋体" w:cs="宋体"/>
          <w:color w:val="auto"/>
          <w:sz w:val="24"/>
          <w:szCs w:val="24"/>
          <w:highlight w:val="none"/>
        </w:rPr>
        <w:t>动中，与评标活动有关的工作人员不得擅离职守</w:t>
      </w:r>
      <w:r>
        <w:rPr>
          <w:rFonts w:ascii="宋体" w:hAnsi="宋体" w:eastAsia="宋体" w:cs="宋体"/>
          <w:color w:val="auto"/>
          <w:spacing w:val="-1"/>
          <w:sz w:val="24"/>
          <w:szCs w:val="24"/>
          <w:highlight w:val="none"/>
        </w:rPr>
        <w:t>，影响评标程序正常进行。</w:t>
      </w:r>
    </w:p>
    <w:p w14:paraId="744AD5F8">
      <w:pPr>
        <w:spacing w:line="220" w:lineRule="auto"/>
        <w:ind w:left="1"/>
        <w:outlineLvl w:val="1"/>
        <w:rPr>
          <w:rFonts w:ascii="宋体" w:hAnsi="宋体" w:eastAsia="宋体" w:cs="宋体"/>
          <w:color w:val="auto"/>
          <w:sz w:val="24"/>
          <w:szCs w:val="24"/>
          <w:highlight w:val="none"/>
        </w:rPr>
      </w:pPr>
      <w:bookmarkStart w:id="166" w:name="_Toc8423"/>
      <w:bookmarkStart w:id="167" w:name="_Toc9326"/>
      <w:r>
        <w:rPr>
          <w:rFonts w:ascii="宋体" w:hAnsi="宋体" w:eastAsia="宋体" w:cs="宋体"/>
          <w:b/>
          <w:bCs/>
          <w:color w:val="auto"/>
          <w:spacing w:val="-7"/>
          <w:sz w:val="24"/>
          <w:szCs w:val="24"/>
          <w:highlight w:val="none"/>
        </w:rPr>
        <w:t>8.5</w:t>
      </w:r>
      <w:r>
        <w:rPr>
          <w:rFonts w:ascii="宋体" w:hAnsi="宋体" w:eastAsia="宋体" w:cs="宋体"/>
          <w:color w:val="auto"/>
          <w:spacing w:val="15"/>
          <w:sz w:val="24"/>
          <w:szCs w:val="24"/>
          <w:highlight w:val="none"/>
        </w:rPr>
        <w:t xml:space="preserve"> </w:t>
      </w:r>
      <w:r>
        <w:rPr>
          <w:rFonts w:ascii="宋体" w:hAnsi="宋体" w:eastAsia="宋体" w:cs="宋体"/>
          <w:b/>
          <w:bCs/>
          <w:color w:val="auto"/>
          <w:spacing w:val="-7"/>
          <w:sz w:val="24"/>
          <w:szCs w:val="24"/>
          <w:highlight w:val="none"/>
        </w:rPr>
        <w:t>投诉</w:t>
      </w:r>
      <w:bookmarkEnd w:id="166"/>
      <w:bookmarkEnd w:id="167"/>
    </w:p>
    <w:p w14:paraId="2B0855F2">
      <w:pPr>
        <w:spacing w:before="182" w:line="358" w:lineRule="auto"/>
        <w:ind w:left="2" w:right="8" w:firstLine="479"/>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8.5.1</w:t>
      </w:r>
      <w:r>
        <w:rPr>
          <w:rFonts w:ascii="宋体" w:hAnsi="宋体" w:eastAsia="宋体" w:cs="宋体"/>
          <w:color w:val="auto"/>
          <w:spacing w:val="-48"/>
          <w:sz w:val="24"/>
          <w:szCs w:val="24"/>
          <w:highlight w:val="none"/>
        </w:rPr>
        <w:t xml:space="preserve"> </w:t>
      </w:r>
      <w:r>
        <w:rPr>
          <w:rFonts w:ascii="宋体" w:hAnsi="宋体" w:eastAsia="宋体" w:cs="宋体"/>
          <w:color w:val="auto"/>
          <w:sz w:val="24"/>
          <w:szCs w:val="24"/>
          <w:highlight w:val="none"/>
        </w:rPr>
        <w:t>投标人或其他利害关系人认为招标投标活动不符</w:t>
      </w:r>
      <w:r>
        <w:rPr>
          <w:rFonts w:ascii="宋体" w:hAnsi="宋体" w:eastAsia="宋体" w:cs="宋体"/>
          <w:color w:val="auto"/>
          <w:spacing w:val="-1"/>
          <w:sz w:val="24"/>
          <w:szCs w:val="24"/>
          <w:highlight w:val="none"/>
        </w:rPr>
        <w:t>合法律、行政法规规定的，可以自知道或应当知道之日起</w:t>
      </w:r>
      <w:r>
        <w:rPr>
          <w:rFonts w:ascii="宋体" w:hAnsi="宋体" w:eastAsia="宋体" w:cs="宋体"/>
          <w:color w:val="auto"/>
          <w:spacing w:val="-22"/>
          <w:sz w:val="24"/>
          <w:szCs w:val="24"/>
          <w:highlight w:val="none"/>
        </w:rPr>
        <w:t xml:space="preserve"> </w:t>
      </w:r>
      <w:r>
        <w:rPr>
          <w:rFonts w:ascii="宋体" w:hAnsi="宋体" w:eastAsia="宋体" w:cs="宋体"/>
          <w:color w:val="auto"/>
          <w:spacing w:val="-1"/>
          <w:sz w:val="24"/>
          <w:szCs w:val="24"/>
          <w:highlight w:val="none"/>
        </w:rPr>
        <w:t>10 日内向有关行政监督部门投诉。对于按法规规定需要</w:t>
      </w:r>
      <w:r>
        <w:rPr>
          <w:rFonts w:ascii="宋体" w:hAnsi="宋体" w:eastAsia="宋体" w:cs="宋体"/>
          <w:color w:val="auto"/>
          <w:spacing w:val="-2"/>
          <w:sz w:val="24"/>
          <w:szCs w:val="24"/>
          <w:highlight w:val="none"/>
        </w:rPr>
        <w:t>先提出异议的投诉，行政监督部门在受理投诉时要求投诉人递交提出异议的证明文件，</w:t>
      </w:r>
      <w:r>
        <w:rPr>
          <w:rFonts w:ascii="宋体" w:hAnsi="宋体" w:eastAsia="宋体" w:cs="宋体"/>
          <w:color w:val="auto"/>
          <w:spacing w:val="5"/>
          <w:sz w:val="24"/>
          <w:szCs w:val="24"/>
          <w:highlight w:val="none"/>
        </w:rPr>
        <w:t>已向有关行政监督部门投诉的，应当一并说明。未按规定提出异议或者</w:t>
      </w:r>
      <w:r>
        <w:rPr>
          <w:rFonts w:ascii="宋体" w:hAnsi="宋体" w:eastAsia="宋体" w:cs="宋体"/>
          <w:color w:val="auto"/>
          <w:spacing w:val="4"/>
          <w:sz w:val="24"/>
          <w:szCs w:val="24"/>
          <w:highlight w:val="none"/>
        </w:rPr>
        <w:t>未提交已提出</w:t>
      </w:r>
      <w:r>
        <w:rPr>
          <w:rFonts w:ascii="宋体" w:hAnsi="宋体" w:eastAsia="宋体" w:cs="宋体"/>
          <w:color w:val="auto"/>
          <w:spacing w:val="5"/>
          <w:sz w:val="24"/>
          <w:szCs w:val="24"/>
          <w:highlight w:val="none"/>
        </w:rPr>
        <w:t>异议的证明文件的投诉，行政监督部门不予受理。投诉人缺乏事实根</w:t>
      </w:r>
      <w:r>
        <w:rPr>
          <w:rFonts w:ascii="宋体" w:hAnsi="宋体" w:eastAsia="宋体" w:cs="宋体"/>
          <w:color w:val="auto"/>
          <w:spacing w:val="4"/>
          <w:sz w:val="24"/>
          <w:szCs w:val="24"/>
          <w:highlight w:val="none"/>
        </w:rPr>
        <w:t>据或者法律依据</w:t>
      </w:r>
      <w:r>
        <w:rPr>
          <w:rFonts w:ascii="宋体" w:hAnsi="宋体" w:eastAsia="宋体" w:cs="宋体"/>
          <w:color w:val="auto"/>
          <w:spacing w:val="5"/>
          <w:sz w:val="24"/>
          <w:szCs w:val="24"/>
          <w:highlight w:val="none"/>
        </w:rPr>
        <w:t>进行投诉的，或者有证据表明投诉人捏造事实、伪造材料的，或者投诉人以非法</w:t>
      </w:r>
      <w:r>
        <w:rPr>
          <w:rFonts w:ascii="宋体" w:hAnsi="宋体" w:eastAsia="宋体" w:cs="宋体"/>
          <w:color w:val="auto"/>
          <w:spacing w:val="4"/>
          <w:sz w:val="24"/>
          <w:szCs w:val="24"/>
          <w:highlight w:val="none"/>
        </w:rPr>
        <w:t>手段</w:t>
      </w:r>
      <w:r>
        <w:rPr>
          <w:rFonts w:ascii="宋体" w:hAnsi="宋体" w:eastAsia="宋体" w:cs="宋体"/>
          <w:color w:val="auto"/>
          <w:spacing w:val="5"/>
          <w:sz w:val="24"/>
          <w:szCs w:val="24"/>
          <w:highlight w:val="none"/>
        </w:rPr>
        <w:t>取得证明材料进行投诉的，行政监督部门应当予以驳回，并对恶意投诉按照有关</w:t>
      </w:r>
      <w:r>
        <w:rPr>
          <w:rFonts w:ascii="宋体" w:hAnsi="宋体" w:eastAsia="宋体" w:cs="宋体"/>
          <w:color w:val="auto"/>
          <w:spacing w:val="4"/>
          <w:sz w:val="24"/>
          <w:szCs w:val="24"/>
          <w:highlight w:val="none"/>
        </w:rPr>
        <w:t>规定</w:t>
      </w:r>
      <w:r>
        <w:rPr>
          <w:rFonts w:ascii="宋体" w:hAnsi="宋体" w:eastAsia="宋体" w:cs="宋体"/>
          <w:color w:val="auto"/>
          <w:spacing w:val="5"/>
          <w:sz w:val="24"/>
          <w:szCs w:val="24"/>
          <w:highlight w:val="none"/>
        </w:rPr>
        <w:t>追究投诉人责任。行政监督部门接到对招标投标活动有效投诉的，应当制止或者</w:t>
      </w:r>
      <w:r>
        <w:rPr>
          <w:rFonts w:ascii="宋体" w:hAnsi="宋体" w:eastAsia="宋体" w:cs="宋体"/>
          <w:color w:val="auto"/>
          <w:spacing w:val="4"/>
          <w:sz w:val="24"/>
          <w:szCs w:val="24"/>
          <w:highlight w:val="none"/>
        </w:rPr>
        <w:t>要求</w:t>
      </w:r>
      <w:r>
        <w:rPr>
          <w:rFonts w:ascii="宋体" w:hAnsi="宋体" w:eastAsia="宋体" w:cs="宋体"/>
          <w:color w:val="auto"/>
          <w:spacing w:val="-1"/>
          <w:sz w:val="24"/>
          <w:szCs w:val="24"/>
          <w:highlight w:val="none"/>
        </w:rPr>
        <w:t>整改，整改期间可以暂停其招标投标活动。</w:t>
      </w:r>
    </w:p>
    <w:p w14:paraId="60EF209F">
      <w:pPr>
        <w:spacing w:line="218"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监督部门的联系方式见投标人须知前附表。</w:t>
      </w:r>
    </w:p>
    <w:p w14:paraId="28BDF1A6">
      <w:pPr>
        <w:spacing w:before="184" w:line="360" w:lineRule="auto"/>
        <w:ind w:left="1" w:right="128" w:firstLine="48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8.5.2 投标人或其他利害关系人对招标文件、开标和评标</w:t>
      </w:r>
      <w:r>
        <w:rPr>
          <w:rFonts w:ascii="宋体" w:hAnsi="宋体" w:eastAsia="宋体" w:cs="宋体"/>
          <w:color w:val="auto"/>
          <w:spacing w:val="4"/>
          <w:sz w:val="24"/>
          <w:szCs w:val="24"/>
          <w:highlight w:val="none"/>
        </w:rPr>
        <w:t>结果提出投诉的，应按</w:t>
      </w:r>
      <w:r>
        <w:rPr>
          <w:rFonts w:ascii="宋体" w:hAnsi="宋体" w:eastAsia="宋体" w:cs="宋体"/>
          <w:color w:val="auto"/>
          <w:spacing w:val="2"/>
          <w:sz w:val="24"/>
          <w:szCs w:val="24"/>
          <w:highlight w:val="none"/>
        </w:rPr>
        <w:t>照本章第</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2.4</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款、第</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5.3</w:t>
      </w:r>
      <w:r>
        <w:rPr>
          <w:rFonts w:ascii="宋体" w:hAnsi="宋体" w:eastAsia="宋体" w:cs="宋体"/>
          <w:color w:val="auto"/>
          <w:spacing w:val="-44"/>
          <w:sz w:val="24"/>
          <w:szCs w:val="24"/>
          <w:highlight w:val="none"/>
        </w:rPr>
        <w:t xml:space="preserve"> </w:t>
      </w:r>
      <w:r>
        <w:rPr>
          <w:rFonts w:ascii="宋体" w:hAnsi="宋体" w:eastAsia="宋体" w:cs="宋体"/>
          <w:color w:val="auto"/>
          <w:spacing w:val="2"/>
          <w:sz w:val="24"/>
          <w:szCs w:val="24"/>
          <w:highlight w:val="none"/>
        </w:rPr>
        <w:t>款和第</w:t>
      </w:r>
      <w:r>
        <w:rPr>
          <w:rFonts w:ascii="宋体" w:hAnsi="宋体" w:eastAsia="宋体" w:cs="宋体"/>
          <w:color w:val="auto"/>
          <w:spacing w:val="-41"/>
          <w:sz w:val="24"/>
          <w:szCs w:val="24"/>
          <w:highlight w:val="none"/>
        </w:rPr>
        <w:t xml:space="preserve"> </w:t>
      </w:r>
      <w:r>
        <w:rPr>
          <w:rFonts w:ascii="宋体" w:hAnsi="宋体" w:eastAsia="宋体" w:cs="宋体"/>
          <w:color w:val="auto"/>
          <w:spacing w:val="2"/>
          <w:sz w:val="24"/>
          <w:szCs w:val="24"/>
          <w:highlight w:val="none"/>
        </w:rPr>
        <w:t>7.2</w:t>
      </w:r>
      <w:r>
        <w:rPr>
          <w:rFonts w:ascii="宋体" w:hAnsi="宋体" w:eastAsia="宋体" w:cs="宋体"/>
          <w:color w:val="auto"/>
          <w:spacing w:val="-42"/>
          <w:sz w:val="24"/>
          <w:szCs w:val="24"/>
          <w:highlight w:val="none"/>
        </w:rPr>
        <w:t xml:space="preserve"> </w:t>
      </w:r>
      <w:r>
        <w:rPr>
          <w:rFonts w:ascii="宋体" w:hAnsi="宋体" w:eastAsia="宋体" w:cs="宋体"/>
          <w:color w:val="auto"/>
          <w:spacing w:val="2"/>
          <w:sz w:val="24"/>
          <w:szCs w:val="24"/>
          <w:highlight w:val="none"/>
        </w:rPr>
        <w:t>款的规定先向招标人提出异议</w:t>
      </w:r>
      <w:r>
        <w:rPr>
          <w:rFonts w:ascii="宋体" w:hAnsi="宋体" w:eastAsia="宋体" w:cs="宋体"/>
          <w:color w:val="auto"/>
          <w:spacing w:val="1"/>
          <w:sz w:val="24"/>
          <w:szCs w:val="24"/>
          <w:highlight w:val="none"/>
        </w:rPr>
        <w:t>。异议答复期间不</w:t>
      </w:r>
      <w:r>
        <w:rPr>
          <w:rFonts w:ascii="宋体" w:hAnsi="宋体" w:eastAsia="宋体" w:cs="宋体"/>
          <w:color w:val="auto"/>
          <w:spacing w:val="2"/>
          <w:sz w:val="24"/>
          <w:szCs w:val="24"/>
          <w:highlight w:val="none"/>
        </w:rPr>
        <w:t>计算在第8.5.1</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项规定的期限内。</w:t>
      </w:r>
    </w:p>
    <w:p w14:paraId="7611D73D">
      <w:pPr>
        <w:spacing w:line="219" w:lineRule="auto"/>
        <w:ind w:left="4"/>
        <w:outlineLvl w:val="0"/>
        <w:rPr>
          <w:rFonts w:ascii="宋体" w:hAnsi="宋体" w:eastAsia="宋体" w:cs="宋体"/>
          <w:color w:val="auto"/>
          <w:sz w:val="28"/>
          <w:szCs w:val="28"/>
          <w:highlight w:val="none"/>
        </w:rPr>
      </w:pPr>
      <w:bookmarkStart w:id="168" w:name="_Toc1443"/>
      <w:r>
        <w:rPr>
          <w:rFonts w:ascii="宋体" w:hAnsi="宋体" w:eastAsia="宋体" w:cs="宋体"/>
          <w:b/>
          <w:bCs/>
          <w:color w:val="auto"/>
          <w:spacing w:val="-3"/>
          <w:sz w:val="28"/>
          <w:szCs w:val="28"/>
          <w:highlight w:val="none"/>
        </w:rPr>
        <w:t>9.</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是否采用电子招标投标</w:t>
      </w:r>
      <w:bookmarkEnd w:id="168"/>
    </w:p>
    <w:p w14:paraId="66B6E89A">
      <w:pPr>
        <w:spacing w:before="206"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本招标项目是否采用电子招标投标方式，见投标人须知前附表。</w:t>
      </w:r>
    </w:p>
    <w:p w14:paraId="4C09DD7A">
      <w:pPr>
        <w:spacing w:before="189" w:line="220" w:lineRule="auto"/>
        <w:ind w:left="24"/>
        <w:outlineLvl w:val="0"/>
        <w:rPr>
          <w:rFonts w:ascii="宋体" w:hAnsi="宋体" w:eastAsia="宋体" w:cs="宋体"/>
          <w:color w:val="auto"/>
          <w:sz w:val="28"/>
          <w:szCs w:val="28"/>
          <w:highlight w:val="none"/>
        </w:rPr>
      </w:pPr>
      <w:bookmarkStart w:id="169" w:name="_Toc26843"/>
      <w:r>
        <w:rPr>
          <w:rFonts w:ascii="宋体" w:hAnsi="宋体" w:eastAsia="宋体" w:cs="宋体"/>
          <w:b/>
          <w:bCs/>
          <w:color w:val="auto"/>
          <w:spacing w:val="-7"/>
          <w:sz w:val="28"/>
          <w:szCs w:val="28"/>
          <w:highlight w:val="none"/>
        </w:rPr>
        <w:t>10.</w:t>
      </w:r>
      <w:r>
        <w:rPr>
          <w:rFonts w:ascii="宋体" w:hAnsi="宋体" w:eastAsia="宋体" w:cs="宋体"/>
          <w:color w:val="auto"/>
          <w:spacing w:val="29"/>
          <w:sz w:val="28"/>
          <w:szCs w:val="28"/>
          <w:highlight w:val="none"/>
        </w:rPr>
        <w:t xml:space="preserve"> </w:t>
      </w:r>
      <w:r>
        <w:rPr>
          <w:rFonts w:ascii="宋体" w:hAnsi="宋体" w:eastAsia="宋体" w:cs="宋体"/>
          <w:b/>
          <w:bCs/>
          <w:color w:val="auto"/>
          <w:spacing w:val="-7"/>
          <w:sz w:val="28"/>
          <w:szCs w:val="28"/>
          <w:highlight w:val="none"/>
        </w:rPr>
        <w:t>需要补充的其他内容</w:t>
      </w:r>
      <w:bookmarkEnd w:id="169"/>
    </w:p>
    <w:p w14:paraId="110ACB3B">
      <w:pPr>
        <w:spacing w:before="205" w:line="219" w:lineRule="auto"/>
        <w:jc w:val="right"/>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10.1</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自投标登记并获取招标文件之日起，投标人应保证其提供的联系方式（</w:t>
      </w:r>
      <w:r>
        <w:rPr>
          <w:rFonts w:ascii="宋体" w:hAnsi="宋体" w:eastAsia="宋体" w:cs="宋体"/>
          <w:color w:val="auto"/>
          <w:spacing w:val="-4"/>
          <w:sz w:val="24"/>
          <w:szCs w:val="24"/>
          <w:highlight w:val="none"/>
        </w:rPr>
        <w:t>电话、</w:t>
      </w:r>
    </w:p>
    <w:p w14:paraId="2B234753">
      <w:pPr>
        <w:spacing w:before="183" w:line="219" w:lineRule="auto"/>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传真、电子邮件）一直有效，以便及时收到招标人发出的函件（招标文件的澄清、修</w:t>
      </w:r>
    </w:p>
    <w:p w14:paraId="56CC1F62">
      <w:pPr>
        <w:spacing w:before="182" w:line="219" w:lineRule="auto"/>
        <w:ind w:left="1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改等</w:t>
      </w:r>
      <w:r>
        <w:rPr>
          <w:rFonts w:ascii="宋体" w:hAnsi="宋体" w:eastAsia="宋体" w:cs="宋体"/>
          <w:color w:val="auto"/>
          <w:spacing w:val="7"/>
          <w:sz w:val="24"/>
          <w:szCs w:val="24"/>
          <w:highlight w:val="none"/>
        </w:rPr>
        <w:t>），</w:t>
      </w:r>
      <w:r>
        <w:rPr>
          <w:rFonts w:ascii="宋体" w:hAnsi="宋体" w:eastAsia="宋体" w:cs="宋体"/>
          <w:color w:val="auto"/>
          <w:spacing w:val="-1"/>
          <w:sz w:val="24"/>
          <w:szCs w:val="24"/>
          <w:highlight w:val="none"/>
        </w:rPr>
        <w:t>并应及时向招标人反馈信息，否则招标人不承担由此引起的一切后果。</w:t>
      </w:r>
    </w:p>
    <w:p w14:paraId="271913E0">
      <w:pPr>
        <w:spacing w:line="283" w:lineRule="auto"/>
        <w:rPr>
          <w:rFonts w:ascii="Arial"/>
          <w:color w:val="auto"/>
          <w:sz w:val="21"/>
          <w:highlight w:val="none"/>
        </w:rPr>
      </w:pPr>
    </w:p>
    <w:p w14:paraId="24B214E1">
      <w:pPr>
        <w:spacing w:line="283" w:lineRule="auto"/>
        <w:rPr>
          <w:rFonts w:ascii="Arial"/>
          <w:color w:val="auto"/>
          <w:sz w:val="21"/>
          <w:highlight w:val="none"/>
        </w:rPr>
      </w:pPr>
    </w:p>
    <w:p w14:paraId="6AF62E3A">
      <w:pPr>
        <w:spacing w:before="79" w:line="219" w:lineRule="auto"/>
        <w:ind w:left="49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需要补充的其他内容：见投标人须知前附表。</w:t>
      </w:r>
    </w:p>
    <w:p w14:paraId="2D1B11EF">
      <w:pPr>
        <w:spacing w:line="219" w:lineRule="auto"/>
        <w:rPr>
          <w:rFonts w:ascii="宋体" w:hAnsi="宋体" w:eastAsia="宋体" w:cs="宋体"/>
          <w:color w:val="auto"/>
          <w:sz w:val="24"/>
          <w:szCs w:val="24"/>
          <w:highlight w:val="none"/>
        </w:rPr>
        <w:sectPr>
          <w:footerReference r:id="rId43" w:type="default"/>
          <w:pgSz w:w="11906" w:h="16839"/>
          <w:pgMar w:top="1405" w:right="1289" w:bottom="1297" w:left="1423" w:header="0" w:footer="1067" w:gutter="0"/>
          <w:pgNumType w:fmt="decimal"/>
          <w:cols w:space="720" w:num="1"/>
        </w:sectPr>
      </w:pPr>
    </w:p>
    <w:p w14:paraId="7E0E240B">
      <w:pPr>
        <w:spacing w:line="252" w:lineRule="auto"/>
        <w:rPr>
          <w:rFonts w:ascii="Arial"/>
          <w:color w:val="auto"/>
          <w:sz w:val="21"/>
          <w:highlight w:val="none"/>
        </w:rPr>
      </w:pPr>
    </w:p>
    <w:p w14:paraId="15C19017">
      <w:pPr>
        <w:spacing w:line="252" w:lineRule="auto"/>
        <w:rPr>
          <w:rFonts w:ascii="Arial"/>
          <w:color w:val="auto"/>
          <w:sz w:val="21"/>
          <w:highlight w:val="none"/>
        </w:rPr>
      </w:pPr>
    </w:p>
    <w:p w14:paraId="0999875B">
      <w:pPr>
        <w:spacing w:line="252" w:lineRule="auto"/>
        <w:rPr>
          <w:rFonts w:ascii="Arial"/>
          <w:color w:val="auto"/>
          <w:sz w:val="21"/>
          <w:highlight w:val="none"/>
        </w:rPr>
      </w:pPr>
    </w:p>
    <w:p w14:paraId="5B5A5C14">
      <w:pPr>
        <w:spacing w:line="253" w:lineRule="auto"/>
        <w:rPr>
          <w:rFonts w:ascii="Arial"/>
          <w:color w:val="auto"/>
          <w:sz w:val="21"/>
          <w:highlight w:val="none"/>
        </w:rPr>
      </w:pPr>
    </w:p>
    <w:p w14:paraId="7AB7A66E">
      <w:pPr>
        <w:spacing w:line="253" w:lineRule="auto"/>
        <w:rPr>
          <w:rFonts w:ascii="Arial"/>
          <w:color w:val="auto"/>
          <w:sz w:val="21"/>
          <w:highlight w:val="none"/>
        </w:rPr>
      </w:pPr>
    </w:p>
    <w:p w14:paraId="5E2754A4">
      <w:pPr>
        <w:spacing w:line="253" w:lineRule="auto"/>
        <w:rPr>
          <w:rFonts w:ascii="Arial"/>
          <w:color w:val="auto"/>
          <w:sz w:val="21"/>
          <w:highlight w:val="none"/>
        </w:rPr>
      </w:pPr>
    </w:p>
    <w:p w14:paraId="5CE986BC">
      <w:pPr>
        <w:spacing w:line="253" w:lineRule="auto"/>
        <w:rPr>
          <w:rFonts w:ascii="Arial"/>
          <w:color w:val="auto"/>
          <w:sz w:val="21"/>
          <w:highlight w:val="none"/>
        </w:rPr>
      </w:pPr>
    </w:p>
    <w:p w14:paraId="6AEF8E96">
      <w:pPr>
        <w:spacing w:line="253" w:lineRule="auto"/>
        <w:rPr>
          <w:rFonts w:ascii="Arial"/>
          <w:color w:val="auto"/>
          <w:sz w:val="21"/>
          <w:highlight w:val="none"/>
        </w:rPr>
      </w:pPr>
    </w:p>
    <w:p w14:paraId="02986302">
      <w:pPr>
        <w:spacing w:line="253" w:lineRule="auto"/>
        <w:rPr>
          <w:rFonts w:ascii="Arial"/>
          <w:color w:val="auto"/>
          <w:sz w:val="21"/>
          <w:highlight w:val="none"/>
        </w:rPr>
      </w:pPr>
    </w:p>
    <w:p w14:paraId="0D50EC46">
      <w:pPr>
        <w:spacing w:line="253" w:lineRule="auto"/>
        <w:rPr>
          <w:rFonts w:ascii="Arial"/>
          <w:color w:val="auto"/>
          <w:sz w:val="21"/>
          <w:highlight w:val="none"/>
        </w:rPr>
      </w:pPr>
    </w:p>
    <w:p w14:paraId="4920515D">
      <w:pPr>
        <w:spacing w:line="253" w:lineRule="auto"/>
        <w:rPr>
          <w:rFonts w:ascii="Arial"/>
          <w:color w:val="auto"/>
          <w:sz w:val="21"/>
          <w:highlight w:val="none"/>
        </w:rPr>
      </w:pPr>
    </w:p>
    <w:p w14:paraId="1D20F3F9">
      <w:pPr>
        <w:spacing w:line="253" w:lineRule="auto"/>
        <w:rPr>
          <w:rFonts w:ascii="Arial"/>
          <w:color w:val="auto"/>
          <w:sz w:val="21"/>
          <w:highlight w:val="none"/>
        </w:rPr>
      </w:pPr>
    </w:p>
    <w:p w14:paraId="0FD978E9">
      <w:pPr>
        <w:spacing w:line="253" w:lineRule="auto"/>
        <w:rPr>
          <w:rFonts w:ascii="Arial"/>
          <w:color w:val="auto"/>
          <w:sz w:val="21"/>
          <w:highlight w:val="none"/>
        </w:rPr>
      </w:pPr>
    </w:p>
    <w:p w14:paraId="4793216C">
      <w:pPr>
        <w:spacing w:line="253" w:lineRule="auto"/>
        <w:rPr>
          <w:rFonts w:ascii="Arial"/>
          <w:color w:val="auto"/>
          <w:sz w:val="21"/>
          <w:highlight w:val="none"/>
        </w:rPr>
      </w:pPr>
    </w:p>
    <w:p w14:paraId="190A0719">
      <w:pPr>
        <w:spacing w:line="253" w:lineRule="auto"/>
        <w:rPr>
          <w:rFonts w:ascii="Arial"/>
          <w:color w:val="auto"/>
          <w:sz w:val="21"/>
          <w:highlight w:val="none"/>
        </w:rPr>
      </w:pPr>
    </w:p>
    <w:p w14:paraId="781FFAF5">
      <w:pPr>
        <w:spacing w:line="253" w:lineRule="auto"/>
        <w:rPr>
          <w:rFonts w:ascii="Arial"/>
          <w:color w:val="auto"/>
          <w:sz w:val="21"/>
          <w:highlight w:val="none"/>
        </w:rPr>
      </w:pPr>
    </w:p>
    <w:p w14:paraId="342AC5D8">
      <w:pPr>
        <w:spacing w:line="253" w:lineRule="auto"/>
        <w:rPr>
          <w:rFonts w:ascii="Arial"/>
          <w:color w:val="auto"/>
          <w:sz w:val="21"/>
          <w:highlight w:val="none"/>
        </w:rPr>
      </w:pPr>
    </w:p>
    <w:p w14:paraId="5AFF3695">
      <w:pPr>
        <w:spacing w:line="253" w:lineRule="auto"/>
        <w:rPr>
          <w:rFonts w:ascii="Arial"/>
          <w:color w:val="auto"/>
          <w:sz w:val="21"/>
          <w:highlight w:val="none"/>
        </w:rPr>
      </w:pPr>
    </w:p>
    <w:p w14:paraId="213506C5">
      <w:pPr>
        <w:spacing w:before="169" w:line="219" w:lineRule="auto"/>
        <w:ind w:left="2098"/>
        <w:outlineLvl w:val="0"/>
        <w:rPr>
          <w:rFonts w:ascii="宋体" w:hAnsi="宋体" w:eastAsia="宋体" w:cs="宋体"/>
          <w:color w:val="auto"/>
          <w:sz w:val="52"/>
          <w:szCs w:val="52"/>
          <w:highlight w:val="none"/>
        </w:rPr>
      </w:pPr>
      <w:bookmarkStart w:id="170" w:name="_Toc9757"/>
      <w:r>
        <w:rPr>
          <w:rFonts w:ascii="宋体" w:hAnsi="宋体" w:eastAsia="宋体" w:cs="宋体"/>
          <w:b/>
          <w:bCs/>
          <w:color w:val="auto"/>
          <w:spacing w:val="-5"/>
          <w:sz w:val="52"/>
          <w:szCs w:val="52"/>
          <w:highlight w:val="none"/>
        </w:rPr>
        <w:t>第三章</w:t>
      </w:r>
      <w:r>
        <w:rPr>
          <w:rFonts w:ascii="宋体" w:hAnsi="宋体" w:eastAsia="宋体" w:cs="宋体"/>
          <w:color w:val="auto"/>
          <w:spacing w:val="-5"/>
          <w:sz w:val="52"/>
          <w:szCs w:val="52"/>
          <w:highlight w:val="none"/>
        </w:rPr>
        <w:t xml:space="preserve">  </w:t>
      </w:r>
      <w:r>
        <w:rPr>
          <w:rFonts w:ascii="宋体" w:hAnsi="宋体" w:eastAsia="宋体" w:cs="宋体"/>
          <w:b/>
          <w:bCs/>
          <w:color w:val="auto"/>
          <w:spacing w:val="-5"/>
          <w:sz w:val="52"/>
          <w:szCs w:val="52"/>
          <w:highlight w:val="none"/>
        </w:rPr>
        <w:t>评标办法</w:t>
      </w:r>
      <w:bookmarkEnd w:id="170"/>
    </w:p>
    <w:p w14:paraId="61A8C7BC">
      <w:pPr>
        <w:spacing w:line="219" w:lineRule="auto"/>
        <w:rPr>
          <w:rFonts w:ascii="宋体" w:hAnsi="宋体" w:eastAsia="宋体" w:cs="宋体"/>
          <w:color w:val="auto"/>
          <w:sz w:val="52"/>
          <w:szCs w:val="52"/>
          <w:highlight w:val="none"/>
        </w:rPr>
        <w:sectPr>
          <w:footerReference r:id="rId44" w:type="default"/>
          <w:pgSz w:w="11906" w:h="16839"/>
          <w:pgMar w:top="1431" w:right="1785" w:bottom="1297" w:left="1785" w:header="0" w:footer="1067" w:gutter="0"/>
          <w:pgNumType w:fmt="decimal"/>
          <w:cols w:space="720" w:num="1"/>
        </w:sectPr>
      </w:pPr>
    </w:p>
    <w:p w14:paraId="31FE82D2">
      <w:pPr>
        <w:spacing w:before="64" w:line="223" w:lineRule="auto"/>
        <w:ind w:left="2250"/>
        <w:outlineLvl w:val="0"/>
        <w:rPr>
          <w:rFonts w:ascii="宋体" w:hAnsi="宋体" w:eastAsia="宋体" w:cs="宋体"/>
          <w:color w:val="auto"/>
          <w:sz w:val="31"/>
          <w:szCs w:val="31"/>
          <w:highlight w:val="none"/>
        </w:rPr>
      </w:pPr>
      <w:bookmarkStart w:id="171" w:name="_Toc10252"/>
      <w:r>
        <w:rPr>
          <w:rFonts w:ascii="宋体" w:hAnsi="宋体" w:eastAsia="宋体" w:cs="宋体"/>
          <w:b/>
          <w:bCs/>
          <w:color w:val="auto"/>
          <w:spacing w:val="6"/>
          <w:sz w:val="31"/>
          <w:szCs w:val="31"/>
          <w:highlight w:val="none"/>
        </w:rPr>
        <w:t>第三章</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评标办法（综合评估法）</w:t>
      </w:r>
      <w:bookmarkEnd w:id="171"/>
    </w:p>
    <w:p w14:paraId="48C654D5">
      <w:pPr>
        <w:spacing w:line="331" w:lineRule="auto"/>
        <w:rPr>
          <w:rFonts w:ascii="Arial"/>
          <w:color w:val="auto"/>
          <w:sz w:val="21"/>
          <w:highlight w:val="none"/>
        </w:rPr>
      </w:pPr>
    </w:p>
    <w:p w14:paraId="66EB8DEE">
      <w:pPr>
        <w:spacing w:before="78" w:line="233" w:lineRule="auto"/>
        <w:ind w:left="120"/>
        <w:outlineLvl w:val="1"/>
        <w:rPr>
          <w:rFonts w:ascii="宋体" w:hAnsi="宋体" w:eastAsia="宋体" w:cs="宋体"/>
          <w:color w:val="auto"/>
          <w:sz w:val="12"/>
          <w:szCs w:val="12"/>
          <w:highlight w:val="none"/>
        </w:rPr>
      </w:pPr>
      <w:bookmarkStart w:id="172" w:name="_Toc27087"/>
      <w:r>
        <w:rPr>
          <w:rFonts w:ascii="宋体" w:hAnsi="宋体" w:eastAsia="宋体" w:cs="宋体"/>
          <w:b/>
          <w:bCs/>
          <w:color w:val="auto"/>
          <w:spacing w:val="-3"/>
          <w:sz w:val="24"/>
          <w:szCs w:val="24"/>
          <w:highlight w:val="none"/>
        </w:rPr>
        <w:t>评标办法前附表</w:t>
      </w:r>
      <w:bookmarkEnd w:id="172"/>
    </w:p>
    <w:p w14:paraId="333DD1A7">
      <w:pPr>
        <w:spacing w:line="16" w:lineRule="exact"/>
        <w:rPr>
          <w:color w:val="auto"/>
          <w:highlight w:val="none"/>
        </w:rPr>
      </w:pPr>
    </w:p>
    <w:tbl>
      <w:tblPr>
        <w:tblStyle w:val="16"/>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4"/>
        <w:gridCol w:w="1336"/>
        <w:gridCol w:w="6916"/>
      </w:tblGrid>
      <w:tr w14:paraId="29D99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370" w:type="dxa"/>
            <w:gridSpan w:val="2"/>
            <w:vAlign w:val="top"/>
          </w:tcPr>
          <w:p w14:paraId="14D8CB9D">
            <w:pPr>
              <w:pStyle w:val="17"/>
              <w:spacing w:before="35" w:line="228" w:lineRule="auto"/>
              <w:ind w:left="877"/>
              <w:rPr>
                <w:color w:val="auto"/>
                <w:highlight w:val="none"/>
              </w:rPr>
            </w:pPr>
            <w:r>
              <w:rPr>
                <w:b/>
                <w:bCs/>
                <w:color w:val="auto"/>
                <w:spacing w:val="5"/>
                <w:highlight w:val="none"/>
              </w:rPr>
              <w:t>条款号</w:t>
            </w:r>
          </w:p>
        </w:tc>
        <w:tc>
          <w:tcPr>
            <w:tcW w:w="6916" w:type="dxa"/>
            <w:vAlign w:val="top"/>
          </w:tcPr>
          <w:p w14:paraId="3F356C5A">
            <w:pPr>
              <w:pStyle w:val="17"/>
              <w:spacing w:before="35" w:line="228" w:lineRule="auto"/>
              <w:ind w:left="2496"/>
              <w:rPr>
                <w:color w:val="auto"/>
                <w:highlight w:val="none"/>
              </w:rPr>
            </w:pPr>
            <w:r>
              <w:rPr>
                <w:b/>
                <w:bCs/>
                <w:color w:val="auto"/>
                <w:spacing w:val="11"/>
                <w:highlight w:val="none"/>
              </w:rPr>
              <w:t>评审因素与评审标准</w:t>
            </w:r>
          </w:p>
        </w:tc>
      </w:tr>
      <w:tr w14:paraId="4E52E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1034" w:type="dxa"/>
            <w:vAlign w:val="top"/>
          </w:tcPr>
          <w:p w14:paraId="66F005AE">
            <w:pPr>
              <w:spacing w:line="256" w:lineRule="auto"/>
              <w:rPr>
                <w:rFonts w:ascii="Arial"/>
                <w:color w:val="auto"/>
                <w:sz w:val="21"/>
                <w:highlight w:val="none"/>
              </w:rPr>
            </w:pPr>
          </w:p>
          <w:p w14:paraId="692B8268">
            <w:pPr>
              <w:spacing w:line="256" w:lineRule="auto"/>
              <w:rPr>
                <w:rFonts w:ascii="Arial"/>
                <w:color w:val="auto"/>
                <w:sz w:val="21"/>
                <w:highlight w:val="none"/>
              </w:rPr>
            </w:pPr>
          </w:p>
          <w:p w14:paraId="4EA90340">
            <w:pPr>
              <w:spacing w:line="256" w:lineRule="auto"/>
              <w:rPr>
                <w:rFonts w:ascii="Arial"/>
                <w:color w:val="auto"/>
                <w:sz w:val="21"/>
                <w:highlight w:val="none"/>
              </w:rPr>
            </w:pPr>
          </w:p>
          <w:p w14:paraId="6FE33D37">
            <w:pPr>
              <w:spacing w:line="256" w:lineRule="auto"/>
              <w:rPr>
                <w:rFonts w:ascii="Arial"/>
                <w:color w:val="auto"/>
                <w:sz w:val="21"/>
                <w:highlight w:val="none"/>
              </w:rPr>
            </w:pPr>
          </w:p>
          <w:p w14:paraId="17E5C4AD">
            <w:pPr>
              <w:spacing w:line="256" w:lineRule="auto"/>
              <w:rPr>
                <w:rFonts w:ascii="Arial"/>
                <w:color w:val="auto"/>
                <w:sz w:val="21"/>
                <w:highlight w:val="none"/>
              </w:rPr>
            </w:pPr>
          </w:p>
          <w:p w14:paraId="3ED28075">
            <w:pPr>
              <w:spacing w:line="256" w:lineRule="auto"/>
              <w:rPr>
                <w:rFonts w:ascii="Arial"/>
                <w:color w:val="auto"/>
                <w:sz w:val="21"/>
                <w:highlight w:val="none"/>
              </w:rPr>
            </w:pPr>
          </w:p>
          <w:p w14:paraId="10C25127">
            <w:pPr>
              <w:spacing w:line="256" w:lineRule="auto"/>
              <w:rPr>
                <w:rFonts w:ascii="Arial"/>
                <w:color w:val="auto"/>
                <w:sz w:val="21"/>
                <w:highlight w:val="none"/>
              </w:rPr>
            </w:pPr>
          </w:p>
          <w:p w14:paraId="3C604292">
            <w:pPr>
              <w:pStyle w:val="17"/>
              <w:spacing w:before="65" w:line="270" w:lineRule="exact"/>
              <w:ind w:left="485"/>
              <w:rPr>
                <w:color w:val="auto"/>
                <w:highlight w:val="none"/>
              </w:rPr>
            </w:pPr>
            <w:r>
              <w:rPr>
                <w:color w:val="auto"/>
                <w:position w:val="1"/>
                <w:highlight w:val="none"/>
              </w:rPr>
              <w:t>1</w:t>
            </w:r>
          </w:p>
        </w:tc>
        <w:tc>
          <w:tcPr>
            <w:tcW w:w="1336" w:type="dxa"/>
            <w:vAlign w:val="top"/>
          </w:tcPr>
          <w:p w14:paraId="648BA83E">
            <w:pPr>
              <w:spacing w:line="256" w:lineRule="auto"/>
              <w:rPr>
                <w:rFonts w:ascii="Arial"/>
                <w:color w:val="auto"/>
                <w:sz w:val="21"/>
                <w:highlight w:val="none"/>
              </w:rPr>
            </w:pPr>
          </w:p>
          <w:p w14:paraId="70C7A97E">
            <w:pPr>
              <w:spacing w:line="256" w:lineRule="auto"/>
              <w:rPr>
                <w:rFonts w:ascii="Arial"/>
                <w:color w:val="auto"/>
                <w:sz w:val="21"/>
                <w:highlight w:val="none"/>
              </w:rPr>
            </w:pPr>
          </w:p>
          <w:p w14:paraId="3DA9FCF7">
            <w:pPr>
              <w:spacing w:line="256" w:lineRule="auto"/>
              <w:rPr>
                <w:rFonts w:ascii="Arial"/>
                <w:color w:val="auto"/>
                <w:sz w:val="21"/>
                <w:highlight w:val="none"/>
              </w:rPr>
            </w:pPr>
          </w:p>
          <w:p w14:paraId="7C2B1B3E">
            <w:pPr>
              <w:spacing w:line="256" w:lineRule="auto"/>
              <w:rPr>
                <w:rFonts w:ascii="Arial"/>
                <w:color w:val="auto"/>
                <w:sz w:val="21"/>
                <w:highlight w:val="none"/>
              </w:rPr>
            </w:pPr>
          </w:p>
          <w:p w14:paraId="5F16E4D7">
            <w:pPr>
              <w:spacing w:line="256" w:lineRule="auto"/>
              <w:rPr>
                <w:rFonts w:ascii="Arial"/>
                <w:color w:val="auto"/>
                <w:sz w:val="21"/>
                <w:highlight w:val="none"/>
              </w:rPr>
            </w:pPr>
          </w:p>
          <w:p w14:paraId="4FE657C7">
            <w:pPr>
              <w:spacing w:line="256" w:lineRule="auto"/>
              <w:rPr>
                <w:rFonts w:ascii="Arial"/>
                <w:color w:val="auto"/>
                <w:sz w:val="21"/>
                <w:highlight w:val="none"/>
              </w:rPr>
            </w:pPr>
          </w:p>
          <w:p w14:paraId="07B1E0FB">
            <w:pPr>
              <w:spacing w:line="256" w:lineRule="auto"/>
              <w:rPr>
                <w:rFonts w:ascii="Arial"/>
                <w:color w:val="auto"/>
                <w:sz w:val="21"/>
                <w:highlight w:val="none"/>
              </w:rPr>
            </w:pPr>
          </w:p>
          <w:p w14:paraId="1122FE0E">
            <w:pPr>
              <w:pStyle w:val="17"/>
              <w:spacing w:before="65" w:line="228" w:lineRule="auto"/>
              <w:ind w:left="251"/>
              <w:rPr>
                <w:color w:val="auto"/>
                <w:highlight w:val="none"/>
              </w:rPr>
            </w:pPr>
            <w:r>
              <w:rPr>
                <w:color w:val="auto"/>
                <w:spacing w:val="7"/>
                <w:highlight w:val="none"/>
              </w:rPr>
              <w:t>评标方法</w:t>
            </w:r>
          </w:p>
        </w:tc>
        <w:tc>
          <w:tcPr>
            <w:tcW w:w="6916" w:type="dxa"/>
            <w:vAlign w:val="top"/>
          </w:tcPr>
          <w:p w14:paraId="097A3304">
            <w:pPr>
              <w:pStyle w:val="17"/>
              <w:spacing w:before="29" w:line="378" w:lineRule="auto"/>
              <w:ind w:left="116" w:right="106" w:firstLine="288"/>
              <w:rPr>
                <w:color w:val="auto"/>
                <w:highlight w:val="none"/>
              </w:rPr>
            </w:pPr>
            <w:r>
              <w:rPr>
                <w:color w:val="auto"/>
                <w:spacing w:val="13"/>
                <w:highlight w:val="none"/>
              </w:rPr>
              <w:t>综合评分相等时，评标委员会依次按照以下优先顺序推荐中标候选人</w:t>
            </w:r>
            <w:r>
              <w:rPr>
                <w:color w:val="auto"/>
                <w:spacing w:val="6"/>
                <w:highlight w:val="none"/>
              </w:rPr>
              <w:t>或确定中标人：</w:t>
            </w:r>
          </w:p>
          <w:p w14:paraId="6DD92231">
            <w:pPr>
              <w:pStyle w:val="17"/>
              <w:spacing w:line="226" w:lineRule="auto"/>
              <w:ind w:left="411"/>
              <w:rPr>
                <w:color w:val="auto"/>
                <w:highlight w:val="none"/>
              </w:rPr>
            </w:pPr>
            <w:r>
              <w:rPr>
                <w:color w:val="auto"/>
                <w:spacing w:val="7"/>
                <w:highlight w:val="none"/>
              </w:rPr>
              <w:t>（1）评标价低的投标人优先；</w:t>
            </w:r>
          </w:p>
          <w:p w14:paraId="0DF1C28E">
            <w:pPr>
              <w:pStyle w:val="17"/>
              <w:spacing w:before="164" w:line="347" w:lineRule="auto"/>
              <w:ind w:left="113" w:right="109" w:firstLine="298"/>
              <w:rPr>
                <w:color w:val="auto"/>
                <w:highlight w:val="none"/>
              </w:rPr>
            </w:pPr>
            <w:r>
              <w:rPr>
                <w:color w:val="auto"/>
                <w:spacing w:val="9"/>
                <w:highlight w:val="none"/>
              </w:rPr>
              <w:t>（2）按招标文件规定被认定为广东省交通运输厅最新年度发布的广东</w:t>
            </w:r>
            <w:r>
              <w:rPr>
                <w:color w:val="auto"/>
                <w:spacing w:val="16"/>
                <w:highlight w:val="none"/>
              </w:rPr>
              <w:t>省公路工程从业单位信用等级（监理单位）较高的</w:t>
            </w:r>
            <w:r>
              <w:rPr>
                <w:color w:val="auto"/>
                <w:spacing w:val="15"/>
                <w:highlight w:val="none"/>
              </w:rPr>
              <w:t>投标人优先（采用如</w:t>
            </w:r>
            <w:r>
              <w:rPr>
                <w:color w:val="auto"/>
                <w:spacing w:val="19"/>
                <w:highlight w:val="none"/>
              </w:rPr>
              <w:t>下的优先顺序：承诺使用的</w:t>
            </w:r>
            <w:r>
              <w:rPr>
                <w:color w:val="auto"/>
                <w:highlight w:val="none"/>
              </w:rPr>
              <w:t>AA</w:t>
            </w:r>
            <w:r>
              <w:rPr>
                <w:color w:val="auto"/>
                <w:spacing w:val="-16"/>
                <w:highlight w:val="none"/>
              </w:rPr>
              <w:t xml:space="preserve"> </w:t>
            </w:r>
            <w:r>
              <w:rPr>
                <w:color w:val="auto"/>
                <w:spacing w:val="19"/>
                <w:highlight w:val="none"/>
              </w:rPr>
              <w:t>级投标人、不承诺使用的</w:t>
            </w:r>
            <w:r>
              <w:rPr>
                <w:color w:val="auto"/>
                <w:highlight w:val="none"/>
              </w:rPr>
              <w:t>AA</w:t>
            </w:r>
            <w:r>
              <w:rPr>
                <w:color w:val="auto"/>
                <w:spacing w:val="-29"/>
                <w:highlight w:val="none"/>
              </w:rPr>
              <w:t xml:space="preserve"> </w:t>
            </w:r>
            <w:r>
              <w:rPr>
                <w:color w:val="auto"/>
                <w:spacing w:val="19"/>
                <w:highlight w:val="none"/>
              </w:rPr>
              <w:t>级投标人、</w:t>
            </w:r>
            <w:r>
              <w:rPr>
                <w:color w:val="auto"/>
                <w:spacing w:val="9"/>
                <w:highlight w:val="none"/>
              </w:rPr>
              <w:t>承诺使用的</w:t>
            </w:r>
            <w:r>
              <w:rPr>
                <w:color w:val="auto"/>
                <w:spacing w:val="-46"/>
                <w:highlight w:val="none"/>
              </w:rPr>
              <w:t xml:space="preserve"> </w:t>
            </w:r>
            <w:r>
              <w:rPr>
                <w:color w:val="auto"/>
                <w:spacing w:val="9"/>
                <w:highlight w:val="none"/>
              </w:rPr>
              <w:t>A</w:t>
            </w:r>
            <w:r>
              <w:rPr>
                <w:color w:val="auto"/>
                <w:spacing w:val="-34"/>
                <w:highlight w:val="none"/>
              </w:rPr>
              <w:t xml:space="preserve"> </w:t>
            </w:r>
            <w:r>
              <w:rPr>
                <w:color w:val="auto"/>
                <w:spacing w:val="9"/>
                <w:highlight w:val="none"/>
              </w:rPr>
              <w:t>级投标人、不承诺使用的</w:t>
            </w:r>
            <w:r>
              <w:rPr>
                <w:color w:val="auto"/>
                <w:spacing w:val="-43"/>
                <w:highlight w:val="none"/>
              </w:rPr>
              <w:t xml:space="preserve"> </w:t>
            </w:r>
            <w:r>
              <w:rPr>
                <w:color w:val="auto"/>
                <w:spacing w:val="9"/>
                <w:highlight w:val="none"/>
              </w:rPr>
              <w:t>A</w:t>
            </w:r>
            <w:r>
              <w:rPr>
                <w:color w:val="auto"/>
                <w:spacing w:val="-35"/>
                <w:highlight w:val="none"/>
              </w:rPr>
              <w:t xml:space="preserve"> </w:t>
            </w:r>
            <w:r>
              <w:rPr>
                <w:color w:val="auto"/>
                <w:spacing w:val="9"/>
                <w:highlight w:val="none"/>
              </w:rPr>
              <w:t>级投标人、</w:t>
            </w:r>
            <w:r>
              <w:rPr>
                <w:color w:val="auto"/>
                <w:spacing w:val="8"/>
                <w:highlight w:val="none"/>
              </w:rPr>
              <w:t>B</w:t>
            </w:r>
            <w:r>
              <w:rPr>
                <w:color w:val="auto"/>
                <w:spacing w:val="-35"/>
                <w:highlight w:val="none"/>
              </w:rPr>
              <w:t xml:space="preserve"> </w:t>
            </w:r>
            <w:r>
              <w:rPr>
                <w:color w:val="auto"/>
                <w:spacing w:val="8"/>
                <w:highlight w:val="none"/>
              </w:rPr>
              <w:t>级投标人、未参评</w:t>
            </w:r>
            <w:r>
              <w:rPr>
                <w:color w:val="auto"/>
                <w:spacing w:val="6"/>
                <w:highlight w:val="none"/>
              </w:rPr>
              <w:t>且被确定为</w:t>
            </w:r>
            <w:r>
              <w:rPr>
                <w:color w:val="auto"/>
                <w:spacing w:val="-43"/>
                <w:highlight w:val="none"/>
              </w:rPr>
              <w:t xml:space="preserve"> </w:t>
            </w:r>
            <w:r>
              <w:rPr>
                <w:color w:val="auto"/>
                <w:spacing w:val="6"/>
                <w:highlight w:val="none"/>
              </w:rPr>
              <w:t>B</w:t>
            </w:r>
            <w:r>
              <w:rPr>
                <w:color w:val="auto"/>
                <w:spacing w:val="-35"/>
                <w:highlight w:val="none"/>
              </w:rPr>
              <w:t xml:space="preserve"> </w:t>
            </w:r>
            <w:r>
              <w:rPr>
                <w:color w:val="auto"/>
                <w:spacing w:val="6"/>
                <w:highlight w:val="none"/>
              </w:rPr>
              <w:t>级投标人</w:t>
            </w:r>
            <w:r>
              <w:rPr>
                <w:color w:val="auto"/>
                <w:spacing w:val="3"/>
                <w:highlight w:val="none"/>
              </w:rPr>
              <w:t>）；</w:t>
            </w:r>
          </w:p>
          <w:p w14:paraId="39E957AC">
            <w:pPr>
              <w:pStyle w:val="17"/>
              <w:spacing w:before="160" w:line="228" w:lineRule="auto"/>
              <w:ind w:left="411"/>
              <w:rPr>
                <w:color w:val="auto"/>
                <w:highlight w:val="none"/>
              </w:rPr>
            </w:pPr>
            <w:r>
              <w:rPr>
                <w:color w:val="auto"/>
                <w:spacing w:val="8"/>
                <w:highlight w:val="none"/>
              </w:rPr>
              <w:t>（3）商务和技术得分较高的投标人优先；</w:t>
            </w:r>
          </w:p>
          <w:p w14:paraId="1C495720">
            <w:pPr>
              <w:pStyle w:val="17"/>
              <w:spacing w:before="161" w:line="227" w:lineRule="auto"/>
              <w:ind w:left="411"/>
              <w:rPr>
                <w:color w:val="auto"/>
                <w:highlight w:val="none"/>
              </w:rPr>
            </w:pPr>
            <w:r>
              <w:rPr>
                <w:color w:val="auto"/>
                <w:spacing w:val="8"/>
                <w:highlight w:val="none"/>
              </w:rPr>
              <w:t>（4）评标委员会视投标人情况综合比较，投票确定其名次。</w:t>
            </w:r>
          </w:p>
        </w:tc>
      </w:tr>
      <w:tr w14:paraId="3FCD5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9" w:hRule="atLeast"/>
        </w:trPr>
        <w:tc>
          <w:tcPr>
            <w:tcW w:w="1034" w:type="dxa"/>
            <w:vAlign w:val="top"/>
          </w:tcPr>
          <w:p w14:paraId="7EFA8D2F">
            <w:pPr>
              <w:spacing w:line="251" w:lineRule="auto"/>
              <w:rPr>
                <w:rFonts w:ascii="Arial"/>
                <w:color w:val="auto"/>
                <w:sz w:val="21"/>
                <w:highlight w:val="none"/>
              </w:rPr>
            </w:pPr>
          </w:p>
          <w:p w14:paraId="23BF62B5">
            <w:pPr>
              <w:spacing w:line="251" w:lineRule="auto"/>
              <w:rPr>
                <w:rFonts w:ascii="Arial"/>
                <w:color w:val="auto"/>
                <w:sz w:val="21"/>
                <w:highlight w:val="none"/>
              </w:rPr>
            </w:pPr>
          </w:p>
          <w:p w14:paraId="5E207B4E">
            <w:pPr>
              <w:spacing w:line="251" w:lineRule="auto"/>
              <w:rPr>
                <w:rFonts w:ascii="Arial"/>
                <w:color w:val="auto"/>
                <w:sz w:val="21"/>
                <w:highlight w:val="none"/>
              </w:rPr>
            </w:pPr>
          </w:p>
          <w:p w14:paraId="77F6FBA0">
            <w:pPr>
              <w:spacing w:line="251" w:lineRule="auto"/>
              <w:rPr>
                <w:rFonts w:ascii="Arial"/>
                <w:color w:val="auto"/>
                <w:sz w:val="21"/>
                <w:highlight w:val="none"/>
              </w:rPr>
            </w:pPr>
          </w:p>
          <w:p w14:paraId="562DF45D">
            <w:pPr>
              <w:spacing w:line="251" w:lineRule="auto"/>
              <w:rPr>
                <w:rFonts w:ascii="Arial"/>
                <w:color w:val="auto"/>
                <w:sz w:val="21"/>
                <w:highlight w:val="none"/>
              </w:rPr>
            </w:pPr>
          </w:p>
          <w:p w14:paraId="173AD15B">
            <w:pPr>
              <w:spacing w:line="251" w:lineRule="auto"/>
              <w:rPr>
                <w:rFonts w:ascii="Arial"/>
                <w:color w:val="auto"/>
                <w:sz w:val="21"/>
                <w:highlight w:val="none"/>
              </w:rPr>
            </w:pPr>
          </w:p>
          <w:p w14:paraId="3D933784">
            <w:pPr>
              <w:spacing w:line="251" w:lineRule="auto"/>
              <w:rPr>
                <w:rFonts w:ascii="Arial"/>
                <w:color w:val="auto"/>
                <w:sz w:val="21"/>
                <w:highlight w:val="none"/>
              </w:rPr>
            </w:pPr>
          </w:p>
          <w:p w14:paraId="39453A07">
            <w:pPr>
              <w:spacing w:line="251" w:lineRule="auto"/>
              <w:rPr>
                <w:rFonts w:ascii="Arial"/>
                <w:color w:val="auto"/>
                <w:sz w:val="21"/>
                <w:highlight w:val="none"/>
              </w:rPr>
            </w:pPr>
          </w:p>
          <w:p w14:paraId="71E816A2">
            <w:pPr>
              <w:spacing w:line="251" w:lineRule="auto"/>
              <w:rPr>
                <w:rFonts w:ascii="Arial"/>
                <w:color w:val="auto"/>
                <w:sz w:val="21"/>
                <w:highlight w:val="none"/>
              </w:rPr>
            </w:pPr>
          </w:p>
          <w:p w14:paraId="5ABCF599">
            <w:pPr>
              <w:spacing w:line="251" w:lineRule="auto"/>
              <w:rPr>
                <w:rFonts w:ascii="Arial"/>
                <w:color w:val="auto"/>
                <w:sz w:val="21"/>
                <w:highlight w:val="none"/>
              </w:rPr>
            </w:pPr>
          </w:p>
          <w:p w14:paraId="7DD81669">
            <w:pPr>
              <w:spacing w:line="251" w:lineRule="auto"/>
              <w:rPr>
                <w:rFonts w:ascii="Arial"/>
                <w:color w:val="auto"/>
                <w:sz w:val="21"/>
                <w:highlight w:val="none"/>
              </w:rPr>
            </w:pPr>
          </w:p>
          <w:p w14:paraId="30ED8846">
            <w:pPr>
              <w:spacing w:line="251" w:lineRule="auto"/>
              <w:rPr>
                <w:rFonts w:ascii="Arial"/>
                <w:color w:val="auto"/>
                <w:sz w:val="21"/>
                <w:highlight w:val="none"/>
              </w:rPr>
            </w:pPr>
          </w:p>
          <w:p w14:paraId="6B1E4B8C">
            <w:pPr>
              <w:pStyle w:val="17"/>
              <w:spacing w:before="65" w:line="268" w:lineRule="exact"/>
              <w:ind w:left="261"/>
              <w:rPr>
                <w:color w:val="auto"/>
                <w:highlight w:val="none"/>
              </w:rPr>
            </w:pPr>
            <w:r>
              <w:rPr>
                <w:color w:val="auto"/>
                <w:spacing w:val="2"/>
                <w:position w:val="1"/>
                <w:highlight w:val="none"/>
              </w:rPr>
              <w:t>2.1.1</w:t>
            </w:r>
          </w:p>
          <w:p w14:paraId="33E28E94">
            <w:pPr>
              <w:pStyle w:val="17"/>
              <w:spacing w:before="140" w:line="267" w:lineRule="exact"/>
              <w:ind w:left="261"/>
              <w:rPr>
                <w:color w:val="auto"/>
                <w:highlight w:val="none"/>
              </w:rPr>
            </w:pPr>
            <w:r>
              <w:rPr>
                <w:color w:val="auto"/>
                <w:spacing w:val="2"/>
                <w:position w:val="1"/>
                <w:highlight w:val="none"/>
              </w:rPr>
              <w:t>2.1.3</w:t>
            </w:r>
          </w:p>
        </w:tc>
        <w:tc>
          <w:tcPr>
            <w:tcW w:w="1336" w:type="dxa"/>
            <w:vAlign w:val="top"/>
          </w:tcPr>
          <w:p w14:paraId="2CC63BF3">
            <w:pPr>
              <w:spacing w:line="255" w:lineRule="auto"/>
              <w:rPr>
                <w:rFonts w:ascii="Arial"/>
                <w:color w:val="auto"/>
                <w:sz w:val="21"/>
                <w:highlight w:val="none"/>
              </w:rPr>
            </w:pPr>
          </w:p>
          <w:p w14:paraId="2B45ABE5">
            <w:pPr>
              <w:spacing w:line="255" w:lineRule="auto"/>
              <w:rPr>
                <w:rFonts w:ascii="Arial"/>
                <w:color w:val="auto"/>
                <w:sz w:val="21"/>
                <w:highlight w:val="none"/>
              </w:rPr>
            </w:pPr>
          </w:p>
          <w:p w14:paraId="058EB658">
            <w:pPr>
              <w:spacing w:line="255" w:lineRule="auto"/>
              <w:rPr>
                <w:rFonts w:ascii="Arial"/>
                <w:color w:val="auto"/>
                <w:sz w:val="21"/>
                <w:highlight w:val="none"/>
              </w:rPr>
            </w:pPr>
          </w:p>
          <w:p w14:paraId="1E30C2C6">
            <w:pPr>
              <w:spacing w:line="255" w:lineRule="auto"/>
              <w:rPr>
                <w:rFonts w:ascii="Arial"/>
                <w:color w:val="auto"/>
                <w:sz w:val="21"/>
                <w:highlight w:val="none"/>
              </w:rPr>
            </w:pPr>
          </w:p>
          <w:p w14:paraId="578EE253">
            <w:pPr>
              <w:spacing w:line="255" w:lineRule="auto"/>
              <w:rPr>
                <w:rFonts w:ascii="Arial"/>
                <w:color w:val="auto"/>
                <w:sz w:val="21"/>
                <w:highlight w:val="none"/>
              </w:rPr>
            </w:pPr>
          </w:p>
          <w:p w14:paraId="04D01911">
            <w:pPr>
              <w:spacing w:line="255" w:lineRule="auto"/>
              <w:rPr>
                <w:rFonts w:ascii="Arial"/>
                <w:color w:val="auto"/>
                <w:sz w:val="21"/>
                <w:highlight w:val="none"/>
              </w:rPr>
            </w:pPr>
          </w:p>
          <w:p w14:paraId="30C4098D">
            <w:pPr>
              <w:spacing w:line="256" w:lineRule="auto"/>
              <w:rPr>
                <w:rFonts w:ascii="Arial"/>
                <w:color w:val="auto"/>
                <w:sz w:val="21"/>
                <w:highlight w:val="none"/>
              </w:rPr>
            </w:pPr>
          </w:p>
          <w:p w14:paraId="4BB8DDEC">
            <w:pPr>
              <w:spacing w:line="256" w:lineRule="auto"/>
              <w:rPr>
                <w:rFonts w:ascii="Arial"/>
                <w:color w:val="auto"/>
                <w:sz w:val="21"/>
                <w:highlight w:val="none"/>
              </w:rPr>
            </w:pPr>
          </w:p>
          <w:p w14:paraId="4FFABDF9">
            <w:pPr>
              <w:spacing w:line="256" w:lineRule="auto"/>
              <w:rPr>
                <w:rFonts w:ascii="Arial"/>
                <w:color w:val="auto"/>
                <w:sz w:val="21"/>
                <w:highlight w:val="none"/>
              </w:rPr>
            </w:pPr>
          </w:p>
          <w:p w14:paraId="5964BEB1">
            <w:pPr>
              <w:spacing w:line="256" w:lineRule="auto"/>
              <w:rPr>
                <w:rFonts w:ascii="Arial"/>
                <w:color w:val="auto"/>
                <w:sz w:val="21"/>
                <w:highlight w:val="none"/>
              </w:rPr>
            </w:pPr>
          </w:p>
          <w:p w14:paraId="3496A50A">
            <w:pPr>
              <w:spacing w:line="256" w:lineRule="auto"/>
              <w:rPr>
                <w:rFonts w:ascii="Arial"/>
                <w:color w:val="auto"/>
                <w:sz w:val="21"/>
                <w:highlight w:val="none"/>
              </w:rPr>
            </w:pPr>
          </w:p>
          <w:p w14:paraId="5BEA3204">
            <w:pPr>
              <w:pStyle w:val="17"/>
              <w:spacing w:before="65" w:line="228" w:lineRule="auto"/>
              <w:ind w:left="149"/>
              <w:rPr>
                <w:color w:val="auto"/>
                <w:highlight w:val="none"/>
              </w:rPr>
            </w:pPr>
            <w:r>
              <w:rPr>
                <w:color w:val="auto"/>
                <w:spacing w:val="7"/>
                <w:highlight w:val="none"/>
              </w:rPr>
              <w:t>形式评审与</w:t>
            </w:r>
          </w:p>
          <w:p w14:paraId="0CD9A8D1">
            <w:pPr>
              <w:pStyle w:val="17"/>
              <w:spacing w:before="160" w:line="228" w:lineRule="auto"/>
              <w:ind w:left="157"/>
              <w:rPr>
                <w:color w:val="auto"/>
                <w:highlight w:val="none"/>
              </w:rPr>
            </w:pPr>
            <w:r>
              <w:rPr>
                <w:color w:val="auto"/>
                <w:spacing w:val="6"/>
                <w:highlight w:val="none"/>
              </w:rPr>
              <w:t>响应性评审</w:t>
            </w:r>
          </w:p>
          <w:p w14:paraId="545EC64A">
            <w:pPr>
              <w:pStyle w:val="17"/>
              <w:spacing w:before="143" w:line="265" w:lineRule="exact"/>
              <w:ind w:left="411"/>
              <w:rPr>
                <w:color w:val="auto"/>
                <w:sz w:val="10"/>
                <w:szCs w:val="10"/>
                <w:highlight w:val="none"/>
              </w:rPr>
            </w:pPr>
            <w:r>
              <w:rPr>
                <w:color w:val="auto"/>
                <w:spacing w:val="5"/>
                <w:highlight w:val="none"/>
              </w:rPr>
              <w:t>标准</w:t>
            </w:r>
            <w:r>
              <w:rPr>
                <w:color w:val="auto"/>
                <w:highlight w:val="none"/>
              </w:rPr>
              <w:fldChar w:fldCharType="begin"/>
            </w:r>
            <w:r>
              <w:rPr>
                <w:color w:val="auto"/>
                <w:highlight w:val="none"/>
              </w:rPr>
              <w:instrText xml:space="preserve"> HYPERLINK \l "bookmark113" </w:instrText>
            </w:r>
            <w:r>
              <w:rPr>
                <w:color w:val="auto"/>
                <w:highlight w:val="none"/>
              </w:rPr>
              <w:fldChar w:fldCharType="separate"/>
            </w:r>
            <w:r>
              <w:rPr>
                <w:color w:val="auto"/>
                <w:spacing w:val="5"/>
                <w:position w:val="10"/>
                <w:sz w:val="10"/>
                <w:szCs w:val="10"/>
                <w:highlight w:val="none"/>
              </w:rPr>
              <w:t>②</w:t>
            </w:r>
            <w:r>
              <w:rPr>
                <w:color w:val="auto"/>
                <w:spacing w:val="5"/>
                <w:position w:val="10"/>
                <w:sz w:val="10"/>
                <w:szCs w:val="10"/>
                <w:highlight w:val="none"/>
              </w:rPr>
              <w:fldChar w:fldCharType="end"/>
            </w:r>
          </w:p>
        </w:tc>
        <w:tc>
          <w:tcPr>
            <w:tcW w:w="6916" w:type="dxa"/>
            <w:vAlign w:val="top"/>
          </w:tcPr>
          <w:p w14:paraId="569DD5E0">
            <w:pPr>
              <w:pStyle w:val="17"/>
              <w:spacing w:before="33" w:line="228" w:lineRule="auto"/>
              <w:ind w:left="533"/>
              <w:rPr>
                <w:color w:val="auto"/>
                <w:highlight w:val="none"/>
              </w:rPr>
            </w:pPr>
            <w:r>
              <w:rPr>
                <w:b/>
                <w:bCs/>
                <w:color w:val="auto"/>
                <w:spacing w:val="7"/>
                <w:highlight w:val="none"/>
              </w:rPr>
              <w:t>第一个信封（商务及技术文件）评审标准：</w:t>
            </w:r>
          </w:p>
          <w:p w14:paraId="390BA5C3">
            <w:pPr>
              <w:pStyle w:val="17"/>
              <w:spacing w:before="160" w:line="377" w:lineRule="auto"/>
              <w:ind w:left="114" w:right="106" w:firstLine="429"/>
              <w:rPr>
                <w:color w:val="auto"/>
                <w:highlight w:val="none"/>
              </w:rPr>
            </w:pPr>
            <w:r>
              <w:rPr>
                <w:color w:val="auto"/>
                <w:spacing w:val="16"/>
                <w:highlight w:val="none"/>
              </w:rPr>
              <w:t>（1）</w:t>
            </w:r>
            <w:r>
              <w:rPr>
                <w:color w:val="auto"/>
                <w:spacing w:val="-56"/>
                <w:highlight w:val="none"/>
              </w:rPr>
              <w:t xml:space="preserve"> </w:t>
            </w:r>
            <w:r>
              <w:rPr>
                <w:color w:val="auto"/>
                <w:spacing w:val="16"/>
                <w:highlight w:val="none"/>
              </w:rPr>
              <w:t>投标文件按照招标文件规定的格式、</w:t>
            </w:r>
            <w:r>
              <w:rPr>
                <w:color w:val="auto"/>
                <w:spacing w:val="-49"/>
                <w:highlight w:val="none"/>
              </w:rPr>
              <w:t xml:space="preserve"> </w:t>
            </w:r>
            <w:r>
              <w:rPr>
                <w:color w:val="auto"/>
                <w:spacing w:val="16"/>
                <w:highlight w:val="none"/>
              </w:rPr>
              <w:t>内容填写，字迹清晰可</w:t>
            </w:r>
            <w:r>
              <w:rPr>
                <w:color w:val="auto"/>
                <w:highlight w:val="none"/>
              </w:rPr>
              <w:t>辨：</w:t>
            </w:r>
          </w:p>
          <w:p w14:paraId="1F698DA4">
            <w:pPr>
              <w:pStyle w:val="17"/>
              <w:spacing w:line="303" w:lineRule="auto"/>
              <w:ind w:left="113" w:right="106" w:firstLine="420"/>
              <w:rPr>
                <w:color w:val="auto"/>
                <w:highlight w:val="none"/>
              </w:rPr>
            </w:pPr>
            <w:r>
              <w:rPr>
                <w:color w:val="auto"/>
                <w:spacing w:val="14"/>
                <w:highlight w:val="none"/>
              </w:rPr>
              <w:t>a.投标函按招标文件规定填报了项目名称、标段号（如有）</w:t>
            </w:r>
            <w:r>
              <w:rPr>
                <w:color w:val="auto"/>
                <w:spacing w:val="-52"/>
                <w:highlight w:val="none"/>
              </w:rPr>
              <w:t xml:space="preserve"> </w:t>
            </w:r>
            <w:r>
              <w:rPr>
                <w:color w:val="auto"/>
                <w:spacing w:val="14"/>
                <w:highlight w:val="none"/>
              </w:rPr>
              <w:t>、监理</w:t>
            </w:r>
            <w:r>
              <w:rPr>
                <w:color w:val="auto"/>
                <w:spacing w:val="8"/>
                <w:highlight w:val="none"/>
              </w:rPr>
              <w:t>服务期限、工程质量要求及安全目标；</w:t>
            </w:r>
          </w:p>
          <w:p w14:paraId="0DA867ED">
            <w:pPr>
              <w:pStyle w:val="17"/>
              <w:spacing w:before="160" w:line="228" w:lineRule="auto"/>
              <w:ind w:left="530"/>
              <w:rPr>
                <w:color w:val="auto"/>
                <w:highlight w:val="none"/>
              </w:rPr>
            </w:pPr>
            <w:r>
              <w:rPr>
                <w:color w:val="auto"/>
                <w:spacing w:val="8"/>
                <w:highlight w:val="none"/>
              </w:rPr>
              <w:t>b.投标文件组成齐全完整，内容均按规定填写。</w:t>
            </w:r>
          </w:p>
          <w:p w14:paraId="51402226">
            <w:pPr>
              <w:pStyle w:val="17"/>
              <w:spacing w:before="161" w:line="302" w:lineRule="auto"/>
              <w:ind w:left="121" w:right="109" w:firstLine="422"/>
              <w:rPr>
                <w:color w:val="auto"/>
                <w:highlight w:val="none"/>
              </w:rPr>
            </w:pPr>
            <w:r>
              <w:rPr>
                <w:color w:val="auto"/>
                <w:spacing w:val="12"/>
                <w:highlight w:val="none"/>
              </w:rPr>
              <w:t>（2）投标文件上法定代表人或其委托代理人的签字、投标</w:t>
            </w:r>
            <w:r>
              <w:rPr>
                <w:color w:val="auto"/>
                <w:spacing w:val="11"/>
                <w:highlight w:val="none"/>
              </w:rPr>
              <w:t>人的单位</w:t>
            </w:r>
            <w:r>
              <w:rPr>
                <w:color w:val="auto"/>
                <w:spacing w:val="8"/>
                <w:highlight w:val="none"/>
              </w:rPr>
              <w:t>章盖章齐全，符合招标文件规定。</w:t>
            </w:r>
          </w:p>
          <w:p w14:paraId="051FDA7E">
            <w:pPr>
              <w:pStyle w:val="17"/>
              <w:spacing w:before="162" w:line="227" w:lineRule="auto"/>
              <w:ind w:left="543"/>
              <w:rPr>
                <w:color w:val="auto"/>
                <w:highlight w:val="none"/>
              </w:rPr>
            </w:pPr>
            <w:r>
              <w:rPr>
                <w:color w:val="auto"/>
                <w:spacing w:val="8"/>
                <w:highlight w:val="none"/>
              </w:rPr>
              <w:t>（3） 投标人按照招标文件的规定提供了投标保证金：</w:t>
            </w:r>
          </w:p>
          <w:p w14:paraId="70529188">
            <w:pPr>
              <w:pStyle w:val="17"/>
              <w:spacing w:before="161" w:line="304" w:lineRule="auto"/>
              <w:ind w:left="117" w:right="109" w:firstLine="417"/>
              <w:rPr>
                <w:color w:val="auto"/>
                <w:highlight w:val="none"/>
              </w:rPr>
            </w:pPr>
            <w:r>
              <w:rPr>
                <w:color w:val="auto"/>
                <w:spacing w:val="15"/>
                <w:highlight w:val="none"/>
              </w:rPr>
              <w:t>a.投标保证金金额符合招标文件规定的金额，且投标保证金有效期</w:t>
            </w:r>
            <w:r>
              <w:rPr>
                <w:color w:val="auto"/>
                <w:spacing w:val="7"/>
                <w:highlight w:val="none"/>
              </w:rPr>
              <w:t>不少于投标有效期；</w:t>
            </w:r>
          </w:p>
          <w:p w14:paraId="6D24ACE6">
            <w:pPr>
              <w:pStyle w:val="17"/>
              <w:spacing w:before="162" w:line="327" w:lineRule="auto"/>
              <w:ind w:left="114" w:right="106" w:firstLine="415"/>
              <w:rPr>
                <w:color w:val="auto"/>
                <w:highlight w:val="none"/>
              </w:rPr>
            </w:pPr>
            <w:r>
              <w:rPr>
                <w:color w:val="auto"/>
                <w:spacing w:val="16"/>
                <w:highlight w:val="none"/>
              </w:rPr>
              <w:t>b.若投标保证金采用现金或支票形式提交，</w:t>
            </w:r>
            <w:r>
              <w:rPr>
                <w:color w:val="auto"/>
                <w:spacing w:val="15"/>
                <w:highlight w:val="none"/>
              </w:rPr>
              <w:t>投标人应在招标文件规</w:t>
            </w:r>
            <w:r>
              <w:rPr>
                <w:color w:val="auto"/>
                <w:spacing w:val="16"/>
                <w:highlight w:val="none"/>
              </w:rPr>
              <w:t>定的投标保证金递交截止时间之前，将投标保证金由</w:t>
            </w:r>
            <w:r>
              <w:rPr>
                <w:color w:val="auto"/>
                <w:spacing w:val="15"/>
                <w:highlight w:val="none"/>
              </w:rPr>
              <w:t>投标人的基本账户</w:t>
            </w:r>
            <w:r>
              <w:rPr>
                <w:color w:val="auto"/>
                <w:spacing w:val="7"/>
                <w:highlight w:val="none"/>
              </w:rPr>
              <w:t>转入招标人指定账户；</w:t>
            </w:r>
          </w:p>
          <w:p w14:paraId="046900D6">
            <w:pPr>
              <w:pStyle w:val="17"/>
              <w:spacing w:before="163" w:line="302" w:lineRule="auto"/>
              <w:ind w:left="114" w:right="106" w:firstLine="423"/>
              <w:rPr>
                <w:color w:val="auto"/>
                <w:highlight w:val="none"/>
              </w:rPr>
            </w:pPr>
            <w:r>
              <w:rPr>
                <w:color w:val="auto"/>
                <w:spacing w:val="13"/>
                <w:highlight w:val="none"/>
              </w:rPr>
              <w:t>c.若投标保证金采用银行保函或投标人须知前附表</w:t>
            </w:r>
            <w:r>
              <w:rPr>
                <w:color w:val="auto"/>
                <w:spacing w:val="-24"/>
                <w:highlight w:val="none"/>
              </w:rPr>
              <w:t xml:space="preserve"> </w:t>
            </w:r>
            <w:r>
              <w:rPr>
                <w:color w:val="auto"/>
                <w:spacing w:val="13"/>
                <w:highlight w:val="none"/>
              </w:rPr>
              <w:t>3.4.1</w:t>
            </w:r>
            <w:r>
              <w:rPr>
                <w:color w:val="auto"/>
                <w:spacing w:val="-27"/>
                <w:highlight w:val="none"/>
              </w:rPr>
              <w:t xml:space="preserve"> </w:t>
            </w:r>
            <w:r>
              <w:rPr>
                <w:color w:val="auto"/>
                <w:spacing w:val="13"/>
                <w:highlight w:val="none"/>
              </w:rPr>
              <w:t>项规定的</w:t>
            </w:r>
            <w:r>
              <w:rPr>
                <w:color w:val="auto"/>
                <w:spacing w:val="8"/>
                <w:highlight w:val="none"/>
              </w:rPr>
              <w:t>其他形式提交，应满足招标文件要求。</w:t>
            </w:r>
          </w:p>
          <w:p w14:paraId="508144B6">
            <w:pPr>
              <w:pStyle w:val="17"/>
              <w:spacing w:before="161" w:line="228" w:lineRule="auto"/>
              <w:ind w:left="543"/>
              <w:rPr>
                <w:color w:val="auto"/>
                <w:highlight w:val="none"/>
              </w:rPr>
            </w:pPr>
            <w:r>
              <w:rPr>
                <w:color w:val="auto"/>
                <w:spacing w:val="12"/>
                <w:highlight w:val="none"/>
              </w:rPr>
              <w:t>（4）投标人法定代表人授权委托代理人签署投标文件的，</w:t>
            </w:r>
            <w:r>
              <w:rPr>
                <w:color w:val="auto"/>
                <w:spacing w:val="11"/>
                <w:highlight w:val="none"/>
              </w:rPr>
              <w:t>须提交授</w:t>
            </w:r>
          </w:p>
        </w:tc>
      </w:tr>
    </w:tbl>
    <w:p w14:paraId="0E25F585">
      <w:pPr>
        <w:spacing w:line="404" w:lineRule="auto"/>
        <w:rPr>
          <w:rFonts w:ascii="Arial"/>
          <w:color w:val="auto"/>
          <w:sz w:val="21"/>
          <w:highlight w:val="none"/>
        </w:rPr>
      </w:pPr>
      <w:r>
        <w:rPr>
          <w:color w:val="auto"/>
          <w:highlight w:val="none"/>
        </w:rPr>
        <w:pict>
          <v:shape id="_x0000_s1069" o:spid="_x0000_s1069" style="position:absolute;left:0pt;margin-left:5.6pt;margin-top:15.85pt;height:0pt;width:144pt;z-index:251682816;mso-width-relative:page;mso-height-relative:page;" filled="f" stroked="t" coordsize="2880,0" path="m0,0l2880,0e">
            <v:fill on="f" focussize="0,0"/>
            <v:stroke weight="0pt" color="#000000" miterlimit="0" joinstyle="bevel" endcap="square"/>
            <v:imagedata o:title=""/>
            <o:lock v:ext="edit"/>
          </v:shape>
        </w:pict>
      </w:r>
    </w:p>
    <w:p w14:paraId="402E6D3A">
      <w:pPr>
        <w:spacing w:before="58" w:line="230" w:lineRule="auto"/>
        <w:ind w:left="120" w:right="313" w:hanging="2"/>
        <w:rPr>
          <w:rFonts w:ascii="宋体" w:hAnsi="宋体" w:eastAsia="宋体" w:cs="宋体"/>
          <w:color w:val="auto"/>
          <w:sz w:val="18"/>
          <w:szCs w:val="18"/>
          <w:highlight w:val="none"/>
        </w:rPr>
      </w:pPr>
      <w:bookmarkStart w:id="173" w:name="bookmark112"/>
      <w:bookmarkEnd w:id="173"/>
      <w:r>
        <w:rPr>
          <w:rFonts w:ascii="宋体" w:hAnsi="宋体" w:eastAsia="宋体" w:cs="宋体"/>
          <w:color w:val="auto"/>
          <w:spacing w:val="-1"/>
          <w:sz w:val="18"/>
          <w:szCs w:val="18"/>
          <w:highlight w:val="none"/>
        </w:rPr>
        <w:t>① “评标办法前附表</w:t>
      </w:r>
      <w:r>
        <w:rPr>
          <w:rFonts w:ascii="宋体" w:hAnsi="宋体" w:eastAsia="宋体" w:cs="宋体"/>
          <w:color w:val="auto"/>
          <w:spacing w:val="-66"/>
          <w:sz w:val="18"/>
          <w:szCs w:val="18"/>
          <w:highlight w:val="none"/>
        </w:rPr>
        <w:t xml:space="preserve"> </w:t>
      </w:r>
      <w:r>
        <w:rPr>
          <w:rFonts w:ascii="宋体" w:hAnsi="宋体" w:eastAsia="宋体" w:cs="宋体"/>
          <w:color w:val="auto"/>
          <w:spacing w:val="-1"/>
          <w:sz w:val="18"/>
          <w:szCs w:val="18"/>
          <w:highlight w:val="none"/>
        </w:rPr>
        <w:t>”用于明确评标的方法、因素、</w:t>
      </w:r>
      <w:r>
        <w:rPr>
          <w:rFonts w:ascii="宋体" w:hAnsi="宋体" w:eastAsia="宋体" w:cs="宋体"/>
          <w:color w:val="auto"/>
          <w:spacing w:val="-2"/>
          <w:sz w:val="18"/>
          <w:szCs w:val="18"/>
          <w:highlight w:val="none"/>
        </w:rPr>
        <w:t>标准和程序。招标人应根据招标项目具体特点和实际需要，</w:t>
      </w:r>
      <w:bookmarkStart w:id="174" w:name="bookmark113"/>
      <w:bookmarkEnd w:id="174"/>
      <w:r>
        <w:rPr>
          <w:rFonts w:ascii="宋体" w:hAnsi="宋体" w:eastAsia="宋体" w:cs="宋体"/>
          <w:color w:val="auto"/>
          <w:sz w:val="18"/>
          <w:szCs w:val="18"/>
          <w:highlight w:val="none"/>
        </w:rPr>
        <w:t>详细列明全部评审因素、标准，没有列明的因素和标</w:t>
      </w:r>
      <w:r>
        <w:rPr>
          <w:rFonts w:ascii="宋体" w:hAnsi="宋体" w:eastAsia="宋体" w:cs="宋体"/>
          <w:color w:val="auto"/>
          <w:spacing w:val="-1"/>
          <w:sz w:val="18"/>
          <w:szCs w:val="18"/>
          <w:highlight w:val="none"/>
        </w:rPr>
        <w:t>准不得作为评标的依据。</w:t>
      </w:r>
    </w:p>
    <w:p w14:paraId="7893F3F9">
      <w:pPr>
        <w:spacing w:before="19" w:line="229" w:lineRule="auto"/>
        <w:ind w:left="120" w:right="223" w:hanging="3"/>
        <w:rPr>
          <w:rFonts w:ascii="宋体" w:hAnsi="宋体" w:eastAsia="宋体" w:cs="宋体"/>
          <w:color w:val="auto"/>
          <w:sz w:val="18"/>
          <w:szCs w:val="18"/>
          <w:highlight w:val="none"/>
        </w:rPr>
      </w:pPr>
      <w:r>
        <w:rPr>
          <w:rFonts w:ascii="宋体" w:hAnsi="宋体" w:eastAsia="宋体" w:cs="宋体"/>
          <w:color w:val="auto"/>
          <w:sz w:val="18"/>
          <w:szCs w:val="18"/>
          <w:highlight w:val="none"/>
        </w:rPr>
        <w:t>②</w:t>
      </w:r>
      <w:r>
        <w:rPr>
          <w:rFonts w:ascii="宋体" w:hAnsi="宋体" w:eastAsia="宋体" w:cs="宋体"/>
          <w:color w:val="auto"/>
          <w:spacing w:val="53"/>
          <w:sz w:val="18"/>
          <w:szCs w:val="18"/>
          <w:highlight w:val="none"/>
        </w:rPr>
        <w:t xml:space="preserve"> </w:t>
      </w:r>
      <w:r>
        <w:rPr>
          <w:rFonts w:ascii="宋体" w:hAnsi="宋体" w:eastAsia="宋体" w:cs="宋体"/>
          <w:color w:val="auto"/>
          <w:sz w:val="18"/>
          <w:szCs w:val="18"/>
          <w:highlight w:val="none"/>
        </w:rPr>
        <w:t>评标委员应严格按照招标文件规定的条款进行评审，对投标文件中非实质性错误</w:t>
      </w:r>
      <w:r>
        <w:rPr>
          <w:rFonts w:ascii="宋体" w:hAnsi="宋体" w:eastAsia="宋体" w:cs="宋体"/>
          <w:color w:val="auto"/>
          <w:spacing w:val="-1"/>
          <w:sz w:val="18"/>
          <w:szCs w:val="18"/>
          <w:highlight w:val="none"/>
        </w:rPr>
        <w:t>应谨慎区分细微偏差和重大偏差，严禁以非实质性的细微偏差否决投标文件。</w:t>
      </w:r>
    </w:p>
    <w:p w14:paraId="50E5704B">
      <w:pPr>
        <w:spacing w:line="229" w:lineRule="auto"/>
        <w:rPr>
          <w:rFonts w:ascii="宋体" w:hAnsi="宋体" w:eastAsia="宋体" w:cs="宋体"/>
          <w:color w:val="auto"/>
          <w:sz w:val="18"/>
          <w:szCs w:val="18"/>
          <w:highlight w:val="none"/>
        </w:rPr>
        <w:sectPr>
          <w:footerReference r:id="rId45" w:type="default"/>
          <w:pgSz w:w="11906" w:h="16839"/>
          <w:pgMar w:top="1403" w:right="1310" w:bottom="1297" w:left="1304" w:header="0" w:footer="1069" w:gutter="0"/>
          <w:pgNumType w:fmt="decimal"/>
          <w:cols w:space="720" w:num="1"/>
        </w:sectPr>
      </w:pPr>
    </w:p>
    <w:tbl>
      <w:tblPr>
        <w:tblStyle w:val="16"/>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4"/>
        <w:gridCol w:w="1336"/>
        <w:gridCol w:w="6916"/>
      </w:tblGrid>
      <w:tr w14:paraId="53B51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370" w:type="dxa"/>
            <w:gridSpan w:val="2"/>
            <w:vAlign w:val="top"/>
          </w:tcPr>
          <w:p w14:paraId="007FE832">
            <w:pPr>
              <w:pStyle w:val="17"/>
              <w:spacing w:before="35" w:line="228" w:lineRule="auto"/>
              <w:ind w:left="877"/>
              <w:rPr>
                <w:color w:val="auto"/>
                <w:highlight w:val="none"/>
              </w:rPr>
            </w:pPr>
            <w:r>
              <w:rPr>
                <w:b/>
                <w:bCs/>
                <w:color w:val="auto"/>
                <w:spacing w:val="5"/>
                <w:highlight w:val="none"/>
              </w:rPr>
              <w:t>条款号</w:t>
            </w:r>
          </w:p>
        </w:tc>
        <w:tc>
          <w:tcPr>
            <w:tcW w:w="6916" w:type="dxa"/>
            <w:vAlign w:val="top"/>
          </w:tcPr>
          <w:p w14:paraId="5580B414">
            <w:pPr>
              <w:pStyle w:val="17"/>
              <w:spacing w:before="35" w:line="228" w:lineRule="auto"/>
              <w:ind w:left="2496"/>
              <w:rPr>
                <w:color w:val="auto"/>
                <w:highlight w:val="none"/>
              </w:rPr>
            </w:pPr>
            <w:r>
              <w:rPr>
                <w:b/>
                <w:bCs/>
                <w:color w:val="auto"/>
                <w:spacing w:val="11"/>
                <w:highlight w:val="none"/>
              </w:rPr>
              <w:t>评审因素与评审标准</w:t>
            </w:r>
          </w:p>
        </w:tc>
      </w:tr>
      <w:tr w14:paraId="033E1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40" w:hRule="atLeast"/>
        </w:trPr>
        <w:tc>
          <w:tcPr>
            <w:tcW w:w="1034" w:type="dxa"/>
            <w:vAlign w:val="top"/>
          </w:tcPr>
          <w:p w14:paraId="436F13A4">
            <w:pPr>
              <w:rPr>
                <w:rFonts w:ascii="Arial"/>
                <w:color w:val="auto"/>
                <w:sz w:val="21"/>
                <w:highlight w:val="none"/>
              </w:rPr>
            </w:pPr>
          </w:p>
        </w:tc>
        <w:tc>
          <w:tcPr>
            <w:tcW w:w="1336" w:type="dxa"/>
            <w:vAlign w:val="top"/>
          </w:tcPr>
          <w:p w14:paraId="4700CA86">
            <w:pPr>
              <w:rPr>
                <w:rFonts w:ascii="Arial"/>
                <w:color w:val="auto"/>
                <w:sz w:val="21"/>
                <w:highlight w:val="none"/>
              </w:rPr>
            </w:pPr>
          </w:p>
        </w:tc>
        <w:tc>
          <w:tcPr>
            <w:tcW w:w="6916" w:type="dxa"/>
            <w:vAlign w:val="top"/>
          </w:tcPr>
          <w:p w14:paraId="46382149">
            <w:pPr>
              <w:pStyle w:val="17"/>
              <w:spacing w:before="30" w:line="378" w:lineRule="auto"/>
              <w:ind w:left="112" w:right="106"/>
              <w:rPr>
                <w:color w:val="auto"/>
                <w:highlight w:val="none"/>
              </w:rPr>
            </w:pPr>
            <w:r>
              <w:rPr>
                <w:color w:val="auto"/>
                <w:spacing w:val="16"/>
                <w:highlight w:val="none"/>
              </w:rPr>
              <w:t>权委托书，且授权人和被授权人均在授权委托书上使用个</w:t>
            </w:r>
            <w:r>
              <w:rPr>
                <w:color w:val="auto"/>
                <w:spacing w:val="15"/>
                <w:highlight w:val="none"/>
              </w:rPr>
              <w:t>人电子签名章</w:t>
            </w:r>
            <w:r>
              <w:rPr>
                <w:color w:val="auto"/>
                <w:spacing w:val="8"/>
                <w:highlight w:val="none"/>
              </w:rPr>
              <w:t>进行签名或亲笔签名。</w:t>
            </w:r>
          </w:p>
          <w:p w14:paraId="26E9D79B">
            <w:pPr>
              <w:pStyle w:val="17"/>
              <w:spacing w:before="3" w:line="326" w:lineRule="auto"/>
              <w:ind w:left="113" w:right="106" w:firstLine="430"/>
              <w:rPr>
                <w:color w:val="auto"/>
                <w:highlight w:val="none"/>
              </w:rPr>
            </w:pPr>
            <w:r>
              <w:rPr>
                <w:color w:val="auto"/>
                <w:spacing w:val="12"/>
                <w:highlight w:val="none"/>
              </w:rPr>
              <w:t>（5）投标人法定代表人亲自签署投标文件的，提供了法定</w:t>
            </w:r>
            <w:r>
              <w:rPr>
                <w:color w:val="auto"/>
                <w:spacing w:val="11"/>
                <w:highlight w:val="none"/>
              </w:rPr>
              <w:t>代表人身</w:t>
            </w:r>
            <w:r>
              <w:rPr>
                <w:color w:val="auto"/>
                <w:spacing w:val="16"/>
                <w:highlight w:val="none"/>
              </w:rPr>
              <w:t>份证明，且法定代表人在法定代表人身份证明上使用个</w:t>
            </w:r>
            <w:r>
              <w:rPr>
                <w:color w:val="auto"/>
                <w:spacing w:val="15"/>
                <w:highlight w:val="none"/>
              </w:rPr>
              <w:t>人电子签名章进</w:t>
            </w:r>
            <w:r>
              <w:rPr>
                <w:color w:val="auto"/>
                <w:spacing w:val="7"/>
                <w:highlight w:val="none"/>
              </w:rPr>
              <w:t>行签名或亲笔签名。</w:t>
            </w:r>
          </w:p>
          <w:p w14:paraId="77622824">
            <w:pPr>
              <w:pStyle w:val="17"/>
              <w:spacing w:before="160" w:line="378" w:lineRule="auto"/>
              <w:ind w:left="114" w:right="109" w:firstLine="421"/>
              <w:rPr>
                <w:color w:val="auto"/>
                <w:highlight w:val="none"/>
              </w:rPr>
            </w:pPr>
            <w:r>
              <w:rPr>
                <w:color w:val="auto"/>
                <w:spacing w:val="9"/>
                <w:highlight w:val="none"/>
              </w:rPr>
              <w:t>（6）投标人未以联合体形式投标。</w:t>
            </w:r>
          </w:p>
          <w:p w14:paraId="283484D7">
            <w:pPr>
              <w:pStyle w:val="17"/>
              <w:spacing w:line="302" w:lineRule="auto"/>
              <w:ind w:left="114" w:right="109" w:firstLine="429"/>
              <w:rPr>
                <w:color w:val="auto"/>
                <w:highlight w:val="none"/>
              </w:rPr>
            </w:pPr>
            <w:r>
              <w:rPr>
                <w:color w:val="auto"/>
                <w:spacing w:val="10"/>
                <w:highlight w:val="none"/>
              </w:rPr>
              <w:t>（7）</w:t>
            </w:r>
            <w:r>
              <w:rPr>
                <w:color w:val="auto"/>
                <w:spacing w:val="-44"/>
                <w:highlight w:val="none"/>
              </w:rPr>
              <w:t xml:space="preserve"> </w:t>
            </w:r>
            <w:r>
              <w:rPr>
                <w:color w:val="auto"/>
                <w:spacing w:val="10"/>
                <w:highlight w:val="none"/>
              </w:rPr>
              <w:t>同一投标人未提交两个以上不同的投标文件，但招标文件要求</w:t>
            </w:r>
            <w:r>
              <w:rPr>
                <w:color w:val="auto"/>
                <w:spacing w:val="7"/>
                <w:highlight w:val="none"/>
              </w:rPr>
              <w:t>提交备选投标的除外。</w:t>
            </w:r>
          </w:p>
          <w:p w14:paraId="425F0A36">
            <w:pPr>
              <w:pStyle w:val="17"/>
              <w:spacing w:before="161" w:line="226" w:lineRule="auto"/>
              <w:ind w:left="543"/>
              <w:rPr>
                <w:color w:val="auto"/>
                <w:highlight w:val="none"/>
              </w:rPr>
            </w:pPr>
            <w:r>
              <w:rPr>
                <w:color w:val="auto"/>
                <w:spacing w:val="8"/>
                <w:highlight w:val="none"/>
              </w:rPr>
              <w:t>（8）投标文件中未出现有关投标报价的内容。</w:t>
            </w:r>
          </w:p>
          <w:p w14:paraId="6BA4A479">
            <w:pPr>
              <w:pStyle w:val="17"/>
              <w:spacing w:before="162" w:line="304" w:lineRule="auto"/>
              <w:ind w:left="128" w:right="106" w:firstLine="415"/>
              <w:rPr>
                <w:color w:val="auto"/>
                <w:highlight w:val="none"/>
              </w:rPr>
            </w:pPr>
            <w:r>
              <w:rPr>
                <w:color w:val="auto"/>
                <w:spacing w:val="18"/>
                <w:highlight w:val="none"/>
              </w:rPr>
              <w:t>（9）</w:t>
            </w:r>
            <w:r>
              <w:rPr>
                <w:color w:val="auto"/>
                <w:spacing w:val="-55"/>
                <w:highlight w:val="none"/>
              </w:rPr>
              <w:t xml:space="preserve"> </w:t>
            </w:r>
            <w:r>
              <w:rPr>
                <w:color w:val="auto"/>
                <w:spacing w:val="18"/>
                <w:highlight w:val="none"/>
              </w:rPr>
              <w:t>投标文件载明的招标项目完成期限未超过</w:t>
            </w:r>
            <w:r>
              <w:rPr>
                <w:color w:val="auto"/>
                <w:spacing w:val="17"/>
                <w:highlight w:val="none"/>
              </w:rPr>
              <w:t>招标文件规定的时</w:t>
            </w:r>
            <w:r>
              <w:rPr>
                <w:color w:val="auto"/>
                <w:spacing w:val="-7"/>
                <w:highlight w:val="none"/>
              </w:rPr>
              <w:t>限。</w:t>
            </w:r>
          </w:p>
          <w:p w14:paraId="4FB66C41">
            <w:pPr>
              <w:pStyle w:val="17"/>
              <w:spacing w:before="160" w:line="228" w:lineRule="auto"/>
              <w:ind w:left="543"/>
              <w:rPr>
                <w:color w:val="auto"/>
                <w:highlight w:val="none"/>
              </w:rPr>
            </w:pPr>
            <w:r>
              <w:rPr>
                <w:color w:val="auto"/>
                <w:spacing w:val="8"/>
                <w:highlight w:val="none"/>
              </w:rPr>
              <w:t>（10）投标文件对招标文件的实质性要求和条件作出响应。</w:t>
            </w:r>
          </w:p>
          <w:p w14:paraId="5D5A87DC">
            <w:pPr>
              <w:pStyle w:val="17"/>
              <w:spacing w:before="161" w:line="228" w:lineRule="auto"/>
              <w:ind w:left="543"/>
              <w:rPr>
                <w:color w:val="auto"/>
                <w:highlight w:val="none"/>
              </w:rPr>
            </w:pPr>
            <w:r>
              <w:rPr>
                <w:color w:val="auto"/>
                <w:spacing w:val="7"/>
                <w:highlight w:val="none"/>
              </w:rPr>
              <w:t>（11）权利义务符合招标文件规定：</w:t>
            </w:r>
          </w:p>
          <w:p w14:paraId="7226C8C6">
            <w:pPr>
              <w:pStyle w:val="17"/>
              <w:spacing w:before="162" w:line="303" w:lineRule="auto"/>
              <w:ind w:left="116" w:right="109" w:firstLine="418"/>
              <w:rPr>
                <w:color w:val="auto"/>
                <w:highlight w:val="none"/>
              </w:rPr>
            </w:pPr>
            <w:r>
              <w:rPr>
                <w:color w:val="auto"/>
                <w:spacing w:val="15"/>
                <w:highlight w:val="none"/>
              </w:rPr>
              <w:t>a.投标人应接受招标文件规定的风险划分原则，未提出新的风险划</w:t>
            </w:r>
            <w:r>
              <w:rPr>
                <w:color w:val="auto"/>
                <w:spacing w:val="4"/>
                <w:highlight w:val="none"/>
              </w:rPr>
              <w:t>分办法；</w:t>
            </w:r>
          </w:p>
          <w:p w14:paraId="4ACE4E1E">
            <w:pPr>
              <w:pStyle w:val="17"/>
              <w:spacing w:before="161" w:line="228" w:lineRule="auto"/>
              <w:ind w:left="530"/>
              <w:rPr>
                <w:color w:val="auto"/>
                <w:highlight w:val="none"/>
              </w:rPr>
            </w:pPr>
            <w:r>
              <w:rPr>
                <w:color w:val="auto"/>
                <w:spacing w:val="9"/>
                <w:highlight w:val="none"/>
              </w:rPr>
              <w:t>b.投标人未增加委托人的责任范围，或减少投标人</w:t>
            </w:r>
            <w:r>
              <w:rPr>
                <w:color w:val="auto"/>
                <w:spacing w:val="8"/>
                <w:highlight w:val="none"/>
              </w:rPr>
              <w:t>义务；</w:t>
            </w:r>
          </w:p>
          <w:p w14:paraId="3A3BF832">
            <w:pPr>
              <w:pStyle w:val="17"/>
              <w:spacing w:before="161" w:line="228" w:lineRule="auto"/>
              <w:ind w:left="537"/>
              <w:rPr>
                <w:color w:val="auto"/>
                <w:highlight w:val="none"/>
              </w:rPr>
            </w:pPr>
            <w:r>
              <w:rPr>
                <w:color w:val="auto"/>
                <w:spacing w:val="7"/>
                <w:highlight w:val="none"/>
              </w:rPr>
              <w:t>c.投标人未提出不同的支付办法；</w:t>
            </w:r>
          </w:p>
          <w:p w14:paraId="44AFDAFB">
            <w:pPr>
              <w:pStyle w:val="17"/>
              <w:spacing w:before="161" w:line="228" w:lineRule="auto"/>
              <w:ind w:left="537"/>
              <w:rPr>
                <w:color w:val="auto"/>
                <w:highlight w:val="none"/>
              </w:rPr>
            </w:pPr>
            <w:r>
              <w:rPr>
                <w:color w:val="auto"/>
                <w:spacing w:val="8"/>
                <w:highlight w:val="none"/>
              </w:rPr>
              <w:t>d.投标人对合同纠纷、事故处理办法未提出异议；</w:t>
            </w:r>
          </w:p>
          <w:p w14:paraId="27968CED">
            <w:pPr>
              <w:pStyle w:val="17"/>
              <w:spacing w:before="161" w:line="228" w:lineRule="auto"/>
              <w:ind w:left="538"/>
              <w:rPr>
                <w:color w:val="auto"/>
                <w:highlight w:val="none"/>
              </w:rPr>
            </w:pPr>
            <w:r>
              <w:rPr>
                <w:color w:val="auto"/>
                <w:spacing w:val="7"/>
                <w:highlight w:val="none"/>
              </w:rPr>
              <w:t>e.投标人在投标活动中无欺诈行为；</w:t>
            </w:r>
          </w:p>
          <w:p w14:paraId="3F115D12">
            <w:pPr>
              <w:pStyle w:val="17"/>
              <w:spacing w:before="161" w:line="228" w:lineRule="auto"/>
              <w:ind w:left="537"/>
              <w:rPr>
                <w:color w:val="auto"/>
                <w:highlight w:val="none"/>
              </w:rPr>
            </w:pPr>
            <w:r>
              <w:rPr>
                <w:color w:val="auto"/>
                <w:spacing w:val="7"/>
                <w:highlight w:val="none"/>
              </w:rPr>
              <w:t>f.投标人未对合同条款有重要保留。</w:t>
            </w:r>
          </w:p>
          <w:p w14:paraId="1521452F">
            <w:pPr>
              <w:spacing w:line="251" w:lineRule="auto"/>
              <w:rPr>
                <w:rFonts w:ascii="Arial"/>
                <w:color w:val="auto"/>
                <w:sz w:val="21"/>
                <w:highlight w:val="none"/>
              </w:rPr>
            </w:pPr>
          </w:p>
          <w:p w14:paraId="54BFF9BD">
            <w:pPr>
              <w:spacing w:line="252" w:lineRule="auto"/>
              <w:rPr>
                <w:rFonts w:ascii="Arial"/>
                <w:color w:val="auto"/>
                <w:sz w:val="21"/>
                <w:highlight w:val="none"/>
              </w:rPr>
            </w:pPr>
          </w:p>
          <w:p w14:paraId="4B1C4854">
            <w:pPr>
              <w:pStyle w:val="17"/>
              <w:spacing w:before="66" w:line="226" w:lineRule="auto"/>
              <w:ind w:left="533"/>
              <w:rPr>
                <w:color w:val="auto"/>
                <w:highlight w:val="none"/>
              </w:rPr>
            </w:pPr>
            <w:r>
              <w:rPr>
                <w:b/>
                <w:bCs/>
                <w:color w:val="auto"/>
                <w:spacing w:val="7"/>
                <w:highlight w:val="none"/>
              </w:rPr>
              <w:t>第二个信封（报价文件）评审标准：</w:t>
            </w:r>
          </w:p>
          <w:p w14:paraId="3A7E56B3">
            <w:pPr>
              <w:pStyle w:val="17"/>
              <w:spacing w:before="162" w:line="378" w:lineRule="auto"/>
              <w:ind w:left="114" w:right="106" w:firstLine="429"/>
              <w:rPr>
                <w:color w:val="auto"/>
                <w:highlight w:val="none"/>
              </w:rPr>
            </w:pPr>
            <w:r>
              <w:rPr>
                <w:color w:val="auto"/>
                <w:spacing w:val="16"/>
                <w:highlight w:val="none"/>
              </w:rPr>
              <w:t>（1）</w:t>
            </w:r>
            <w:r>
              <w:rPr>
                <w:color w:val="auto"/>
                <w:spacing w:val="-56"/>
                <w:highlight w:val="none"/>
              </w:rPr>
              <w:t xml:space="preserve"> </w:t>
            </w:r>
            <w:r>
              <w:rPr>
                <w:color w:val="auto"/>
                <w:spacing w:val="16"/>
                <w:highlight w:val="none"/>
              </w:rPr>
              <w:t>投标文件按照招标文件规定的格式、</w:t>
            </w:r>
            <w:r>
              <w:rPr>
                <w:color w:val="auto"/>
                <w:spacing w:val="-49"/>
                <w:highlight w:val="none"/>
              </w:rPr>
              <w:t xml:space="preserve"> </w:t>
            </w:r>
            <w:r>
              <w:rPr>
                <w:color w:val="auto"/>
                <w:spacing w:val="16"/>
                <w:highlight w:val="none"/>
              </w:rPr>
              <w:t>内容填写，字迹清晰可</w:t>
            </w:r>
            <w:r>
              <w:rPr>
                <w:color w:val="auto"/>
                <w:spacing w:val="2"/>
                <w:highlight w:val="none"/>
              </w:rPr>
              <w:t>辨，</w:t>
            </w:r>
            <w:r>
              <w:rPr>
                <w:color w:val="auto"/>
                <w:spacing w:val="-51"/>
                <w:highlight w:val="none"/>
              </w:rPr>
              <w:t xml:space="preserve"> </w:t>
            </w:r>
            <w:r>
              <w:rPr>
                <w:color w:val="auto"/>
                <w:spacing w:val="2"/>
                <w:highlight w:val="none"/>
              </w:rPr>
              <w:t>内容齐全完整：</w:t>
            </w:r>
          </w:p>
          <w:p w14:paraId="1DB4E8C5">
            <w:pPr>
              <w:pStyle w:val="17"/>
              <w:spacing w:before="1" w:line="301" w:lineRule="auto"/>
              <w:ind w:left="119" w:right="106" w:firstLine="415"/>
              <w:rPr>
                <w:color w:val="auto"/>
                <w:highlight w:val="none"/>
              </w:rPr>
            </w:pPr>
            <w:r>
              <w:rPr>
                <w:color w:val="auto"/>
                <w:spacing w:val="14"/>
                <w:highlight w:val="none"/>
              </w:rPr>
              <w:t>a.投标函按招标文件规定填报了项目名称、标段号（如有）</w:t>
            </w:r>
            <w:r>
              <w:rPr>
                <w:color w:val="auto"/>
                <w:spacing w:val="-52"/>
                <w:highlight w:val="none"/>
              </w:rPr>
              <w:t xml:space="preserve"> </w:t>
            </w:r>
            <w:r>
              <w:rPr>
                <w:color w:val="auto"/>
                <w:spacing w:val="14"/>
                <w:highlight w:val="none"/>
              </w:rPr>
              <w:t>、投标</w:t>
            </w:r>
            <w:r>
              <w:rPr>
                <w:color w:val="auto"/>
                <w:spacing w:val="9"/>
                <w:highlight w:val="none"/>
              </w:rPr>
              <w:t>总报价（包括大写金额和小写金额</w:t>
            </w:r>
            <w:r>
              <w:rPr>
                <w:color w:val="auto"/>
                <w:highlight w:val="none"/>
              </w:rPr>
              <w:t>）；</w:t>
            </w:r>
          </w:p>
          <w:p w14:paraId="55656DD1">
            <w:pPr>
              <w:pStyle w:val="17"/>
              <w:spacing w:before="163" w:line="302" w:lineRule="auto"/>
              <w:ind w:left="121" w:right="109" w:firstLine="409"/>
              <w:rPr>
                <w:color w:val="auto"/>
                <w:highlight w:val="none"/>
              </w:rPr>
            </w:pPr>
            <w:r>
              <w:rPr>
                <w:color w:val="auto"/>
                <w:spacing w:val="16"/>
                <w:highlight w:val="none"/>
              </w:rPr>
              <w:t>b.已标价报价清单说明文字与招标文件规定</w:t>
            </w:r>
            <w:r>
              <w:rPr>
                <w:color w:val="auto"/>
                <w:spacing w:val="15"/>
                <w:highlight w:val="none"/>
              </w:rPr>
              <w:t>一致，未进行实质性修</w:t>
            </w:r>
            <w:r>
              <w:rPr>
                <w:color w:val="auto"/>
                <w:spacing w:val="4"/>
                <w:highlight w:val="none"/>
              </w:rPr>
              <w:t>改和删减；</w:t>
            </w:r>
          </w:p>
          <w:p w14:paraId="119153E2">
            <w:pPr>
              <w:pStyle w:val="17"/>
              <w:spacing w:before="65" w:line="228" w:lineRule="auto"/>
              <w:ind w:left="537"/>
              <w:rPr>
                <w:color w:val="auto"/>
                <w:highlight w:val="none"/>
              </w:rPr>
            </w:pPr>
            <w:r>
              <w:rPr>
                <w:color w:val="auto"/>
                <w:spacing w:val="8"/>
                <w:highlight w:val="none"/>
              </w:rPr>
              <w:t>c.投标文件组成齐全完整，内容均按规定填写。</w:t>
            </w:r>
          </w:p>
        </w:tc>
      </w:tr>
    </w:tbl>
    <w:p w14:paraId="2C8A8241">
      <w:pPr>
        <w:spacing w:line="361" w:lineRule="auto"/>
        <w:rPr>
          <w:rFonts w:ascii="Arial"/>
          <w:color w:val="auto"/>
          <w:sz w:val="21"/>
          <w:highlight w:val="none"/>
        </w:rPr>
      </w:pPr>
    </w:p>
    <w:tbl>
      <w:tblPr>
        <w:tblStyle w:val="16"/>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4"/>
        <w:gridCol w:w="1336"/>
        <w:gridCol w:w="6916"/>
      </w:tblGrid>
      <w:tr w14:paraId="35C78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370" w:type="dxa"/>
            <w:gridSpan w:val="2"/>
            <w:vAlign w:val="top"/>
          </w:tcPr>
          <w:p w14:paraId="5ADD0663">
            <w:pPr>
              <w:pStyle w:val="17"/>
              <w:spacing w:before="35" w:line="228" w:lineRule="auto"/>
              <w:ind w:left="877"/>
              <w:rPr>
                <w:color w:val="auto"/>
                <w:highlight w:val="none"/>
              </w:rPr>
            </w:pPr>
            <w:bookmarkStart w:id="175" w:name="bookmark114"/>
            <w:bookmarkEnd w:id="175"/>
            <w:r>
              <w:rPr>
                <w:b/>
                <w:bCs/>
                <w:color w:val="auto"/>
                <w:spacing w:val="5"/>
                <w:highlight w:val="none"/>
              </w:rPr>
              <w:t>条款号</w:t>
            </w:r>
          </w:p>
        </w:tc>
        <w:tc>
          <w:tcPr>
            <w:tcW w:w="6916" w:type="dxa"/>
            <w:vAlign w:val="top"/>
          </w:tcPr>
          <w:p w14:paraId="7BE55075">
            <w:pPr>
              <w:pStyle w:val="17"/>
              <w:spacing w:before="35" w:line="228" w:lineRule="auto"/>
              <w:ind w:left="2496"/>
              <w:rPr>
                <w:color w:val="auto"/>
                <w:highlight w:val="none"/>
              </w:rPr>
            </w:pPr>
            <w:r>
              <w:rPr>
                <w:b/>
                <w:bCs/>
                <w:color w:val="auto"/>
                <w:spacing w:val="11"/>
                <w:highlight w:val="none"/>
              </w:rPr>
              <w:t>评审因素与评审标准</w:t>
            </w:r>
          </w:p>
        </w:tc>
      </w:tr>
      <w:tr w14:paraId="746DC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1034" w:type="dxa"/>
            <w:vAlign w:val="top"/>
          </w:tcPr>
          <w:p w14:paraId="64A471E8">
            <w:pPr>
              <w:rPr>
                <w:rFonts w:ascii="Arial"/>
                <w:color w:val="auto"/>
                <w:sz w:val="21"/>
                <w:highlight w:val="none"/>
              </w:rPr>
            </w:pPr>
          </w:p>
        </w:tc>
        <w:tc>
          <w:tcPr>
            <w:tcW w:w="1336" w:type="dxa"/>
            <w:vAlign w:val="top"/>
          </w:tcPr>
          <w:p w14:paraId="7AC9A1DE">
            <w:pPr>
              <w:rPr>
                <w:rFonts w:ascii="Arial"/>
                <w:color w:val="auto"/>
                <w:sz w:val="21"/>
                <w:highlight w:val="none"/>
              </w:rPr>
            </w:pPr>
          </w:p>
        </w:tc>
        <w:tc>
          <w:tcPr>
            <w:tcW w:w="6916" w:type="dxa"/>
            <w:vAlign w:val="top"/>
          </w:tcPr>
          <w:p w14:paraId="04093777">
            <w:pPr>
              <w:pStyle w:val="17"/>
              <w:spacing w:before="30" w:line="302" w:lineRule="auto"/>
              <w:ind w:left="121" w:right="109" w:firstLine="422"/>
              <w:rPr>
                <w:color w:val="auto"/>
                <w:highlight w:val="none"/>
              </w:rPr>
            </w:pPr>
            <w:r>
              <w:rPr>
                <w:color w:val="auto"/>
                <w:spacing w:val="12"/>
                <w:highlight w:val="none"/>
              </w:rPr>
              <w:t>（2）投标文件上法定代表人或其委托代理人的签字、投标</w:t>
            </w:r>
            <w:r>
              <w:rPr>
                <w:color w:val="auto"/>
                <w:spacing w:val="11"/>
                <w:highlight w:val="none"/>
              </w:rPr>
              <w:t>人的单位</w:t>
            </w:r>
            <w:r>
              <w:rPr>
                <w:color w:val="auto"/>
                <w:spacing w:val="8"/>
                <w:highlight w:val="none"/>
              </w:rPr>
              <w:t>章盖章齐全，符合招标文件规定。</w:t>
            </w:r>
          </w:p>
          <w:p w14:paraId="4AD849DF">
            <w:pPr>
              <w:pStyle w:val="17"/>
              <w:spacing w:before="164" w:line="226" w:lineRule="auto"/>
              <w:ind w:left="543"/>
              <w:rPr>
                <w:color w:val="auto"/>
                <w:highlight w:val="none"/>
              </w:rPr>
            </w:pPr>
            <w:r>
              <w:rPr>
                <w:color w:val="auto"/>
                <w:spacing w:val="8"/>
                <w:highlight w:val="none"/>
              </w:rPr>
              <w:t>（3）投标报价未超过招标文件设定的最高投标限价（如有）。</w:t>
            </w:r>
          </w:p>
          <w:p w14:paraId="3E871E43">
            <w:pPr>
              <w:pStyle w:val="17"/>
              <w:spacing w:before="163" w:line="226" w:lineRule="auto"/>
              <w:ind w:left="543"/>
              <w:rPr>
                <w:color w:val="auto"/>
                <w:highlight w:val="none"/>
              </w:rPr>
            </w:pPr>
            <w:r>
              <w:rPr>
                <w:color w:val="auto"/>
                <w:spacing w:val="8"/>
                <w:highlight w:val="none"/>
              </w:rPr>
              <w:t>（4）投标总报价的大写金额能够确定具体数值。</w:t>
            </w:r>
          </w:p>
          <w:p w14:paraId="0A7347FF">
            <w:pPr>
              <w:pStyle w:val="17"/>
              <w:spacing w:before="163" w:line="302" w:lineRule="auto"/>
              <w:ind w:left="114" w:right="109" w:firstLine="429"/>
              <w:rPr>
                <w:color w:val="auto"/>
                <w:highlight w:val="none"/>
              </w:rPr>
            </w:pPr>
            <w:r>
              <w:rPr>
                <w:color w:val="auto"/>
                <w:spacing w:val="10"/>
                <w:highlight w:val="none"/>
              </w:rPr>
              <w:t>（5）</w:t>
            </w:r>
            <w:r>
              <w:rPr>
                <w:color w:val="auto"/>
                <w:spacing w:val="-44"/>
                <w:highlight w:val="none"/>
              </w:rPr>
              <w:t xml:space="preserve"> </w:t>
            </w:r>
            <w:r>
              <w:rPr>
                <w:color w:val="auto"/>
                <w:spacing w:val="10"/>
                <w:highlight w:val="none"/>
              </w:rPr>
              <w:t>同一投标人未提交两个以上不同的投标报价，但招标文件要求</w:t>
            </w:r>
            <w:r>
              <w:rPr>
                <w:color w:val="auto"/>
                <w:spacing w:val="7"/>
                <w:highlight w:val="none"/>
              </w:rPr>
              <w:t>提交备选投标的除外。</w:t>
            </w:r>
          </w:p>
        </w:tc>
      </w:tr>
      <w:tr w14:paraId="5FF5F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2" w:hRule="atLeast"/>
        </w:trPr>
        <w:tc>
          <w:tcPr>
            <w:tcW w:w="1034" w:type="dxa"/>
            <w:vAlign w:val="top"/>
          </w:tcPr>
          <w:p w14:paraId="37F86B85">
            <w:pPr>
              <w:spacing w:line="251" w:lineRule="auto"/>
              <w:rPr>
                <w:rFonts w:ascii="Arial"/>
                <w:color w:val="auto"/>
                <w:sz w:val="21"/>
                <w:highlight w:val="none"/>
              </w:rPr>
            </w:pPr>
          </w:p>
          <w:p w14:paraId="62A5E610">
            <w:pPr>
              <w:spacing w:line="251" w:lineRule="auto"/>
              <w:rPr>
                <w:rFonts w:ascii="Arial"/>
                <w:color w:val="auto"/>
                <w:sz w:val="21"/>
                <w:highlight w:val="none"/>
              </w:rPr>
            </w:pPr>
          </w:p>
          <w:p w14:paraId="64230BA0">
            <w:pPr>
              <w:spacing w:line="251" w:lineRule="auto"/>
              <w:rPr>
                <w:rFonts w:ascii="Arial"/>
                <w:color w:val="auto"/>
                <w:sz w:val="21"/>
                <w:highlight w:val="none"/>
              </w:rPr>
            </w:pPr>
          </w:p>
          <w:p w14:paraId="3864FE32">
            <w:pPr>
              <w:spacing w:line="251" w:lineRule="auto"/>
              <w:rPr>
                <w:rFonts w:ascii="Arial"/>
                <w:color w:val="auto"/>
                <w:sz w:val="21"/>
                <w:highlight w:val="none"/>
              </w:rPr>
            </w:pPr>
          </w:p>
          <w:p w14:paraId="1402FF9D">
            <w:pPr>
              <w:spacing w:line="251" w:lineRule="auto"/>
              <w:rPr>
                <w:rFonts w:ascii="Arial"/>
                <w:color w:val="auto"/>
                <w:sz w:val="21"/>
                <w:highlight w:val="none"/>
              </w:rPr>
            </w:pPr>
          </w:p>
          <w:p w14:paraId="6AFD9F1E">
            <w:pPr>
              <w:spacing w:line="251" w:lineRule="auto"/>
              <w:rPr>
                <w:rFonts w:ascii="Arial"/>
                <w:color w:val="auto"/>
                <w:sz w:val="21"/>
                <w:highlight w:val="none"/>
              </w:rPr>
            </w:pPr>
          </w:p>
          <w:p w14:paraId="4F1C067D">
            <w:pPr>
              <w:spacing w:line="251" w:lineRule="auto"/>
              <w:rPr>
                <w:rFonts w:ascii="Arial"/>
                <w:color w:val="auto"/>
                <w:sz w:val="21"/>
                <w:highlight w:val="none"/>
              </w:rPr>
            </w:pPr>
          </w:p>
          <w:p w14:paraId="15B415C2">
            <w:pPr>
              <w:spacing w:line="251" w:lineRule="auto"/>
              <w:rPr>
                <w:rFonts w:ascii="Arial"/>
                <w:color w:val="auto"/>
                <w:sz w:val="21"/>
                <w:highlight w:val="none"/>
              </w:rPr>
            </w:pPr>
          </w:p>
          <w:p w14:paraId="24605BEC">
            <w:pPr>
              <w:spacing w:line="251" w:lineRule="auto"/>
              <w:rPr>
                <w:rFonts w:ascii="Arial"/>
                <w:color w:val="auto"/>
                <w:sz w:val="21"/>
                <w:highlight w:val="none"/>
              </w:rPr>
            </w:pPr>
          </w:p>
          <w:p w14:paraId="49BA3175">
            <w:pPr>
              <w:spacing w:line="251" w:lineRule="auto"/>
              <w:rPr>
                <w:rFonts w:ascii="Arial"/>
                <w:color w:val="auto"/>
                <w:sz w:val="21"/>
                <w:highlight w:val="none"/>
              </w:rPr>
            </w:pPr>
          </w:p>
          <w:p w14:paraId="46454CB4">
            <w:pPr>
              <w:spacing w:line="251" w:lineRule="auto"/>
              <w:rPr>
                <w:rFonts w:ascii="Arial"/>
                <w:color w:val="auto"/>
                <w:sz w:val="21"/>
                <w:highlight w:val="none"/>
              </w:rPr>
            </w:pPr>
          </w:p>
          <w:p w14:paraId="3F9D13BA">
            <w:pPr>
              <w:spacing w:line="251" w:lineRule="auto"/>
              <w:rPr>
                <w:rFonts w:ascii="Arial"/>
                <w:color w:val="auto"/>
                <w:sz w:val="21"/>
                <w:highlight w:val="none"/>
              </w:rPr>
            </w:pPr>
          </w:p>
          <w:p w14:paraId="23DC0928">
            <w:pPr>
              <w:pStyle w:val="17"/>
              <w:spacing w:before="65" w:line="267" w:lineRule="exact"/>
              <w:ind w:left="261"/>
              <w:rPr>
                <w:color w:val="auto"/>
                <w:highlight w:val="none"/>
              </w:rPr>
            </w:pPr>
            <w:r>
              <w:rPr>
                <w:color w:val="auto"/>
                <w:spacing w:val="2"/>
                <w:position w:val="1"/>
                <w:highlight w:val="none"/>
              </w:rPr>
              <w:t>2.1.2</w:t>
            </w:r>
          </w:p>
        </w:tc>
        <w:tc>
          <w:tcPr>
            <w:tcW w:w="1336" w:type="dxa"/>
            <w:vAlign w:val="top"/>
          </w:tcPr>
          <w:p w14:paraId="429A0335">
            <w:pPr>
              <w:spacing w:line="255" w:lineRule="auto"/>
              <w:rPr>
                <w:rFonts w:ascii="Arial"/>
                <w:color w:val="auto"/>
                <w:sz w:val="21"/>
                <w:highlight w:val="none"/>
              </w:rPr>
            </w:pPr>
          </w:p>
          <w:p w14:paraId="432928E5">
            <w:pPr>
              <w:spacing w:line="255" w:lineRule="auto"/>
              <w:rPr>
                <w:rFonts w:ascii="Arial"/>
                <w:color w:val="auto"/>
                <w:sz w:val="21"/>
                <w:highlight w:val="none"/>
              </w:rPr>
            </w:pPr>
          </w:p>
          <w:p w14:paraId="40C3EDAC">
            <w:pPr>
              <w:spacing w:line="255" w:lineRule="auto"/>
              <w:rPr>
                <w:rFonts w:ascii="Arial"/>
                <w:color w:val="auto"/>
                <w:sz w:val="21"/>
                <w:highlight w:val="none"/>
              </w:rPr>
            </w:pPr>
          </w:p>
          <w:p w14:paraId="1A2FD52D">
            <w:pPr>
              <w:spacing w:line="255" w:lineRule="auto"/>
              <w:rPr>
                <w:rFonts w:ascii="Arial"/>
                <w:color w:val="auto"/>
                <w:sz w:val="21"/>
                <w:highlight w:val="none"/>
              </w:rPr>
            </w:pPr>
          </w:p>
          <w:p w14:paraId="2BBEFE5A">
            <w:pPr>
              <w:spacing w:line="255" w:lineRule="auto"/>
              <w:rPr>
                <w:rFonts w:ascii="Arial"/>
                <w:color w:val="auto"/>
                <w:sz w:val="21"/>
                <w:highlight w:val="none"/>
              </w:rPr>
            </w:pPr>
          </w:p>
          <w:p w14:paraId="6828CAFA">
            <w:pPr>
              <w:spacing w:line="255" w:lineRule="auto"/>
              <w:rPr>
                <w:rFonts w:ascii="Arial"/>
                <w:color w:val="auto"/>
                <w:sz w:val="21"/>
                <w:highlight w:val="none"/>
              </w:rPr>
            </w:pPr>
          </w:p>
          <w:p w14:paraId="6DCEC86A">
            <w:pPr>
              <w:spacing w:line="255" w:lineRule="auto"/>
              <w:rPr>
                <w:rFonts w:ascii="Arial"/>
                <w:color w:val="auto"/>
                <w:sz w:val="21"/>
                <w:highlight w:val="none"/>
              </w:rPr>
            </w:pPr>
          </w:p>
          <w:p w14:paraId="3ACC687D">
            <w:pPr>
              <w:spacing w:line="255" w:lineRule="auto"/>
              <w:rPr>
                <w:rFonts w:ascii="Arial"/>
                <w:color w:val="auto"/>
                <w:sz w:val="21"/>
                <w:highlight w:val="none"/>
              </w:rPr>
            </w:pPr>
          </w:p>
          <w:p w14:paraId="0B36D4A7">
            <w:pPr>
              <w:spacing w:line="256" w:lineRule="auto"/>
              <w:rPr>
                <w:rFonts w:ascii="Arial"/>
                <w:color w:val="auto"/>
                <w:sz w:val="21"/>
                <w:highlight w:val="none"/>
              </w:rPr>
            </w:pPr>
          </w:p>
          <w:p w14:paraId="03428B0B">
            <w:pPr>
              <w:spacing w:line="256" w:lineRule="auto"/>
              <w:rPr>
                <w:rFonts w:ascii="Arial"/>
                <w:color w:val="auto"/>
                <w:sz w:val="21"/>
                <w:highlight w:val="none"/>
              </w:rPr>
            </w:pPr>
          </w:p>
          <w:p w14:paraId="7970616A">
            <w:pPr>
              <w:spacing w:line="256" w:lineRule="auto"/>
              <w:rPr>
                <w:rFonts w:ascii="Arial"/>
                <w:color w:val="auto"/>
                <w:sz w:val="21"/>
                <w:highlight w:val="none"/>
              </w:rPr>
            </w:pPr>
          </w:p>
          <w:p w14:paraId="7EAF9C39">
            <w:pPr>
              <w:pStyle w:val="17"/>
              <w:spacing w:before="65" w:line="379" w:lineRule="auto"/>
              <w:ind w:left="567" w:right="143" w:hanging="412"/>
              <w:rPr>
                <w:color w:val="auto"/>
                <w:highlight w:val="none"/>
              </w:rPr>
            </w:pPr>
            <w:r>
              <w:rPr>
                <w:color w:val="auto"/>
                <w:spacing w:val="6"/>
                <w:highlight w:val="none"/>
              </w:rPr>
              <w:t>资格评审标</w:t>
            </w:r>
            <w:r>
              <w:rPr>
                <w:color w:val="auto"/>
                <w:highlight w:val="none"/>
              </w:rPr>
              <w:t>准</w:t>
            </w:r>
          </w:p>
        </w:tc>
        <w:tc>
          <w:tcPr>
            <w:tcW w:w="6916" w:type="dxa"/>
            <w:vAlign w:val="top"/>
          </w:tcPr>
          <w:p w14:paraId="5634A4F1">
            <w:pPr>
              <w:pStyle w:val="17"/>
              <w:spacing w:before="34" w:line="339" w:lineRule="auto"/>
              <w:ind w:left="115" w:right="106" w:firstLine="428"/>
              <w:rPr>
                <w:color w:val="auto"/>
                <w:highlight w:val="none"/>
              </w:rPr>
            </w:pPr>
            <w:r>
              <w:rPr>
                <w:color w:val="auto"/>
                <w:spacing w:val="12"/>
                <w:highlight w:val="none"/>
              </w:rPr>
              <w:t>（1）投标人具备有效的营业执照、监理资质证书和基本账</w:t>
            </w:r>
            <w:r>
              <w:rPr>
                <w:color w:val="auto"/>
                <w:spacing w:val="11"/>
                <w:highlight w:val="none"/>
              </w:rPr>
              <w:t>户开户许</w:t>
            </w:r>
            <w:r>
              <w:rPr>
                <w:color w:val="auto"/>
                <w:spacing w:val="23"/>
                <w:highlight w:val="none"/>
              </w:rPr>
              <w:t>可证（如企业所在地已取消企业银行账户许可而无法提供开户</w:t>
            </w:r>
            <w:r>
              <w:rPr>
                <w:color w:val="auto"/>
                <w:spacing w:val="22"/>
                <w:highlight w:val="none"/>
              </w:rPr>
              <w:t>许可证</w:t>
            </w:r>
            <w:r>
              <w:rPr>
                <w:color w:val="auto"/>
                <w:spacing w:val="14"/>
                <w:highlight w:val="none"/>
              </w:rPr>
              <w:t>的，则需附上开户银行出具的“基本存款账户信息</w:t>
            </w:r>
            <w:r>
              <w:rPr>
                <w:color w:val="auto"/>
                <w:spacing w:val="-47"/>
                <w:highlight w:val="none"/>
              </w:rPr>
              <w:t xml:space="preserve"> </w:t>
            </w:r>
            <w:r>
              <w:rPr>
                <w:color w:val="auto"/>
                <w:spacing w:val="14"/>
                <w:highlight w:val="none"/>
              </w:rPr>
              <w:t>”或“人民银行账户</w:t>
            </w:r>
            <w:r>
              <w:rPr>
                <w:color w:val="auto"/>
                <w:spacing w:val="7"/>
                <w:highlight w:val="none"/>
              </w:rPr>
              <w:t>管理系统查询的基本账户信息截图</w:t>
            </w:r>
            <w:r>
              <w:rPr>
                <w:color w:val="auto"/>
                <w:spacing w:val="-73"/>
                <w:highlight w:val="none"/>
              </w:rPr>
              <w:t xml:space="preserve"> </w:t>
            </w:r>
            <w:r>
              <w:rPr>
                <w:color w:val="auto"/>
                <w:spacing w:val="7"/>
                <w:highlight w:val="none"/>
              </w:rPr>
              <w:t>”）。</w:t>
            </w:r>
          </w:p>
          <w:p w14:paraId="54998F96">
            <w:pPr>
              <w:pStyle w:val="17"/>
              <w:spacing w:before="161" w:line="228" w:lineRule="auto"/>
              <w:ind w:left="543"/>
              <w:rPr>
                <w:color w:val="auto"/>
                <w:highlight w:val="none"/>
              </w:rPr>
            </w:pPr>
            <w:r>
              <w:rPr>
                <w:color w:val="auto"/>
                <w:spacing w:val="8"/>
                <w:highlight w:val="none"/>
              </w:rPr>
              <w:t>（2）投标人的资质等级符合招标文件规定。</w:t>
            </w:r>
          </w:p>
          <w:p w14:paraId="301FDA1F">
            <w:pPr>
              <w:pStyle w:val="17"/>
              <w:spacing w:before="161" w:line="228" w:lineRule="auto"/>
              <w:ind w:left="543"/>
              <w:rPr>
                <w:color w:val="auto"/>
                <w:highlight w:val="none"/>
              </w:rPr>
            </w:pPr>
            <w:r>
              <w:rPr>
                <w:color w:val="auto"/>
                <w:spacing w:val="8"/>
                <w:highlight w:val="none"/>
              </w:rPr>
              <w:t>（3）投标人的类似工程业绩符合招标文件规定。</w:t>
            </w:r>
          </w:p>
          <w:p w14:paraId="4FE64C51">
            <w:pPr>
              <w:pStyle w:val="17"/>
              <w:spacing w:before="163" w:line="227" w:lineRule="auto"/>
              <w:ind w:left="543"/>
              <w:rPr>
                <w:color w:val="auto"/>
                <w:highlight w:val="none"/>
              </w:rPr>
            </w:pPr>
            <w:r>
              <w:rPr>
                <w:color w:val="auto"/>
                <w:spacing w:val="8"/>
                <w:highlight w:val="none"/>
              </w:rPr>
              <w:t>（4）投标人的信誉符合招标文件规定。</w:t>
            </w:r>
          </w:p>
          <w:p w14:paraId="768B1A8A">
            <w:pPr>
              <w:pStyle w:val="17"/>
              <w:spacing w:before="162" w:line="302" w:lineRule="auto"/>
              <w:ind w:left="122" w:right="127" w:firstLine="421"/>
              <w:rPr>
                <w:color w:val="auto"/>
                <w:highlight w:val="none"/>
              </w:rPr>
            </w:pPr>
            <w:r>
              <w:rPr>
                <w:color w:val="auto"/>
                <w:spacing w:val="11"/>
                <w:highlight w:val="none"/>
              </w:rPr>
              <w:t>（5）投标人的总监理工程师或驻地监理工程师（含备选人，如有）</w:t>
            </w:r>
            <w:r>
              <w:rPr>
                <w:color w:val="auto"/>
                <w:spacing w:val="9"/>
                <w:highlight w:val="none"/>
              </w:rPr>
              <w:t>资格、在岗情况符合招标文件规定，并按规定在投标文件中签字确认。</w:t>
            </w:r>
          </w:p>
          <w:p w14:paraId="2AA5534D">
            <w:pPr>
              <w:pStyle w:val="17"/>
              <w:spacing w:before="130" w:line="408" w:lineRule="exact"/>
              <w:ind w:left="543"/>
              <w:rPr>
                <w:color w:val="auto"/>
                <w:sz w:val="10"/>
                <w:szCs w:val="10"/>
                <w:highlight w:val="none"/>
              </w:rPr>
            </w:pPr>
            <w:r>
              <w:rPr>
                <w:color w:val="auto"/>
                <w:spacing w:val="8"/>
                <w:position w:val="4"/>
                <w:highlight w:val="none"/>
              </w:rPr>
              <w:t>（6）投标人的其他要求符合招标文件规定。</w:t>
            </w:r>
          </w:p>
          <w:p w14:paraId="3456DE35">
            <w:pPr>
              <w:pStyle w:val="17"/>
              <w:spacing w:before="34" w:line="302" w:lineRule="auto"/>
              <w:ind w:left="114" w:right="109" w:firstLine="429"/>
              <w:rPr>
                <w:color w:val="auto"/>
                <w:highlight w:val="none"/>
              </w:rPr>
            </w:pPr>
            <w:r>
              <w:rPr>
                <w:color w:val="auto"/>
                <w:spacing w:val="7"/>
                <w:highlight w:val="none"/>
              </w:rPr>
              <w:t>（7）投标人不存在第二章“投标人须知</w:t>
            </w:r>
            <w:r>
              <w:rPr>
                <w:color w:val="auto"/>
                <w:spacing w:val="-68"/>
                <w:highlight w:val="none"/>
              </w:rPr>
              <w:t xml:space="preserve"> </w:t>
            </w:r>
            <w:r>
              <w:rPr>
                <w:color w:val="auto"/>
                <w:spacing w:val="7"/>
                <w:highlight w:val="none"/>
              </w:rPr>
              <w:t>”第</w:t>
            </w:r>
            <w:r>
              <w:rPr>
                <w:color w:val="auto"/>
                <w:spacing w:val="-21"/>
                <w:highlight w:val="none"/>
              </w:rPr>
              <w:t xml:space="preserve"> </w:t>
            </w:r>
            <w:r>
              <w:rPr>
                <w:color w:val="auto"/>
                <w:spacing w:val="7"/>
                <w:highlight w:val="none"/>
              </w:rPr>
              <w:t>1.4.3</w:t>
            </w:r>
            <w:r>
              <w:rPr>
                <w:color w:val="auto"/>
                <w:spacing w:val="-30"/>
                <w:highlight w:val="none"/>
              </w:rPr>
              <w:t xml:space="preserve"> </w:t>
            </w:r>
            <w:r>
              <w:rPr>
                <w:color w:val="auto"/>
                <w:spacing w:val="6"/>
                <w:highlight w:val="none"/>
              </w:rPr>
              <w:t>项或第</w:t>
            </w:r>
            <w:r>
              <w:rPr>
                <w:color w:val="auto"/>
                <w:spacing w:val="-21"/>
                <w:highlight w:val="none"/>
              </w:rPr>
              <w:t xml:space="preserve"> </w:t>
            </w:r>
            <w:r>
              <w:rPr>
                <w:color w:val="auto"/>
                <w:spacing w:val="6"/>
                <w:highlight w:val="none"/>
              </w:rPr>
              <w:t>1.4.4</w:t>
            </w:r>
            <w:r>
              <w:rPr>
                <w:color w:val="auto"/>
                <w:spacing w:val="-33"/>
                <w:highlight w:val="none"/>
              </w:rPr>
              <w:t xml:space="preserve"> </w:t>
            </w:r>
            <w:r>
              <w:rPr>
                <w:color w:val="auto"/>
                <w:spacing w:val="6"/>
                <w:highlight w:val="none"/>
              </w:rPr>
              <w:t>项</w:t>
            </w:r>
            <w:r>
              <w:rPr>
                <w:color w:val="auto"/>
                <w:spacing w:val="7"/>
                <w:highlight w:val="none"/>
              </w:rPr>
              <w:t>规定的任何一种情形。</w:t>
            </w:r>
          </w:p>
          <w:p w14:paraId="53EB67F1">
            <w:pPr>
              <w:pStyle w:val="17"/>
              <w:spacing w:before="130" w:line="408" w:lineRule="exact"/>
              <w:ind w:left="543"/>
              <w:rPr>
                <w:color w:val="auto"/>
                <w:sz w:val="10"/>
                <w:szCs w:val="10"/>
                <w:highlight w:val="none"/>
              </w:rPr>
            </w:pPr>
            <w:r>
              <w:rPr>
                <w:color w:val="auto"/>
                <w:spacing w:val="6"/>
                <w:position w:val="4"/>
                <w:highlight w:val="none"/>
              </w:rPr>
              <w:t>（8）投标人符合第二章“投标人须知</w:t>
            </w:r>
            <w:r>
              <w:rPr>
                <w:color w:val="auto"/>
                <w:spacing w:val="-72"/>
                <w:position w:val="4"/>
                <w:highlight w:val="none"/>
              </w:rPr>
              <w:t xml:space="preserve"> </w:t>
            </w:r>
            <w:r>
              <w:rPr>
                <w:color w:val="auto"/>
                <w:spacing w:val="6"/>
                <w:position w:val="4"/>
                <w:highlight w:val="none"/>
              </w:rPr>
              <w:t>”第</w:t>
            </w:r>
            <w:r>
              <w:rPr>
                <w:color w:val="auto"/>
                <w:spacing w:val="-24"/>
                <w:position w:val="4"/>
                <w:highlight w:val="none"/>
              </w:rPr>
              <w:t xml:space="preserve"> </w:t>
            </w:r>
            <w:r>
              <w:rPr>
                <w:color w:val="auto"/>
                <w:spacing w:val="6"/>
                <w:position w:val="4"/>
                <w:highlight w:val="none"/>
              </w:rPr>
              <w:t>1.4.5</w:t>
            </w:r>
            <w:r>
              <w:rPr>
                <w:color w:val="auto"/>
                <w:spacing w:val="-34"/>
                <w:position w:val="4"/>
                <w:highlight w:val="none"/>
              </w:rPr>
              <w:t xml:space="preserve"> </w:t>
            </w:r>
            <w:r>
              <w:rPr>
                <w:color w:val="auto"/>
                <w:spacing w:val="6"/>
                <w:position w:val="4"/>
                <w:highlight w:val="none"/>
              </w:rPr>
              <w:t>项规</w:t>
            </w:r>
            <w:r>
              <w:rPr>
                <w:color w:val="auto"/>
                <w:spacing w:val="5"/>
                <w:position w:val="4"/>
                <w:highlight w:val="none"/>
              </w:rPr>
              <w:t>定。</w:t>
            </w:r>
          </w:p>
          <w:p w14:paraId="662B51A9">
            <w:pPr>
              <w:pStyle w:val="17"/>
              <w:spacing w:before="31" w:line="366" w:lineRule="auto"/>
              <w:ind w:left="115" w:right="106" w:firstLine="428"/>
              <w:rPr>
                <w:color w:val="auto"/>
                <w:highlight w:val="none"/>
              </w:rPr>
            </w:pPr>
          </w:p>
        </w:tc>
      </w:tr>
    </w:tbl>
    <w:p w14:paraId="0BECB225">
      <w:pPr>
        <w:spacing w:line="259" w:lineRule="auto"/>
        <w:rPr>
          <w:rFonts w:ascii="Arial"/>
          <w:color w:val="auto"/>
          <w:sz w:val="21"/>
          <w:highlight w:val="none"/>
        </w:rPr>
      </w:pPr>
    </w:p>
    <w:p w14:paraId="740B6CAC">
      <w:pPr>
        <w:spacing w:line="259" w:lineRule="auto"/>
        <w:rPr>
          <w:rFonts w:ascii="Arial"/>
          <w:color w:val="auto"/>
          <w:sz w:val="21"/>
          <w:highlight w:val="none"/>
        </w:rPr>
      </w:pPr>
    </w:p>
    <w:p w14:paraId="7066767D">
      <w:pPr>
        <w:spacing w:line="259" w:lineRule="auto"/>
        <w:rPr>
          <w:rFonts w:ascii="Arial"/>
          <w:color w:val="auto"/>
          <w:sz w:val="21"/>
          <w:highlight w:val="none"/>
        </w:rPr>
      </w:pPr>
    </w:p>
    <w:p w14:paraId="4EE90EFB">
      <w:pPr>
        <w:spacing w:line="260" w:lineRule="auto"/>
        <w:rPr>
          <w:rFonts w:ascii="Arial"/>
          <w:color w:val="auto"/>
          <w:sz w:val="21"/>
          <w:highlight w:val="none"/>
        </w:rPr>
      </w:pPr>
    </w:p>
    <w:p w14:paraId="5A116456">
      <w:pPr>
        <w:spacing w:line="260" w:lineRule="auto"/>
        <w:rPr>
          <w:rFonts w:ascii="Arial"/>
          <w:color w:val="auto"/>
          <w:sz w:val="21"/>
          <w:highlight w:val="none"/>
        </w:rPr>
      </w:pPr>
    </w:p>
    <w:p w14:paraId="297292C9">
      <w:pPr>
        <w:spacing w:line="260" w:lineRule="auto"/>
        <w:rPr>
          <w:rFonts w:ascii="Arial"/>
          <w:color w:val="auto"/>
          <w:sz w:val="21"/>
          <w:highlight w:val="none"/>
        </w:rPr>
      </w:pPr>
    </w:p>
    <w:p w14:paraId="65F8ABED">
      <w:pPr>
        <w:spacing w:line="260" w:lineRule="auto"/>
        <w:rPr>
          <w:rFonts w:ascii="Arial"/>
          <w:color w:val="auto"/>
          <w:sz w:val="21"/>
          <w:highlight w:val="none"/>
        </w:rPr>
      </w:pPr>
    </w:p>
    <w:p w14:paraId="64A4CD23">
      <w:pPr>
        <w:spacing w:line="260" w:lineRule="auto"/>
        <w:rPr>
          <w:rFonts w:ascii="Arial"/>
          <w:color w:val="auto"/>
          <w:sz w:val="21"/>
          <w:highlight w:val="none"/>
        </w:rPr>
      </w:pPr>
    </w:p>
    <w:p w14:paraId="5D583FE4">
      <w:pPr>
        <w:spacing w:line="260" w:lineRule="auto"/>
        <w:rPr>
          <w:rFonts w:ascii="Arial"/>
          <w:color w:val="auto"/>
          <w:sz w:val="21"/>
          <w:highlight w:val="none"/>
        </w:rPr>
      </w:pPr>
    </w:p>
    <w:p w14:paraId="29089F62">
      <w:pPr>
        <w:spacing w:line="260" w:lineRule="auto"/>
        <w:rPr>
          <w:rFonts w:ascii="Arial"/>
          <w:color w:val="auto"/>
          <w:sz w:val="21"/>
          <w:highlight w:val="none"/>
        </w:rPr>
      </w:pPr>
    </w:p>
    <w:p w14:paraId="2452881F">
      <w:pPr>
        <w:spacing w:line="260" w:lineRule="auto"/>
        <w:rPr>
          <w:rFonts w:ascii="Arial"/>
          <w:color w:val="auto"/>
          <w:sz w:val="21"/>
          <w:highlight w:val="none"/>
        </w:rPr>
      </w:pPr>
    </w:p>
    <w:p w14:paraId="26617CB6">
      <w:pPr>
        <w:spacing w:line="260" w:lineRule="auto"/>
        <w:rPr>
          <w:rFonts w:ascii="Arial"/>
          <w:color w:val="auto"/>
          <w:sz w:val="21"/>
          <w:highlight w:val="none"/>
        </w:rPr>
      </w:pPr>
    </w:p>
    <w:p w14:paraId="38AEC4A8">
      <w:pPr>
        <w:spacing w:line="220" w:lineRule="auto"/>
        <w:rPr>
          <w:rFonts w:ascii="宋体" w:hAnsi="宋体" w:eastAsia="宋体" w:cs="宋体"/>
          <w:color w:val="auto"/>
          <w:sz w:val="18"/>
          <w:szCs w:val="18"/>
          <w:highlight w:val="none"/>
        </w:rPr>
        <w:sectPr>
          <w:footerReference r:id="rId46" w:type="default"/>
          <w:pgSz w:w="11906" w:h="16839"/>
          <w:pgMar w:top="1416" w:right="1310" w:bottom="1297" w:left="1304" w:header="0" w:footer="1067" w:gutter="0"/>
          <w:pgNumType w:fmt="decimal"/>
          <w:cols w:space="720" w:num="1"/>
        </w:sectPr>
      </w:pPr>
    </w:p>
    <w:p w14:paraId="042FAA0B">
      <w:pPr>
        <w:spacing w:before="41" w:line="222" w:lineRule="auto"/>
        <w:jc w:val="right"/>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续上表</w:t>
      </w:r>
    </w:p>
    <w:tbl>
      <w:tblPr>
        <w:tblStyle w:val="16"/>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1336"/>
        <w:gridCol w:w="6623"/>
      </w:tblGrid>
      <w:tr w14:paraId="1EC91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936" w:type="dxa"/>
            <w:vAlign w:val="top"/>
          </w:tcPr>
          <w:p w14:paraId="6FD6AD10">
            <w:pPr>
              <w:pStyle w:val="17"/>
              <w:spacing w:before="143" w:line="217" w:lineRule="auto"/>
              <w:ind w:left="159"/>
              <w:rPr>
                <w:color w:val="auto"/>
                <w:highlight w:val="none"/>
              </w:rPr>
            </w:pPr>
            <w:r>
              <w:rPr>
                <w:b/>
                <w:bCs/>
                <w:color w:val="auto"/>
                <w:spacing w:val="5"/>
                <w:highlight w:val="none"/>
              </w:rPr>
              <w:t>条款号</w:t>
            </w:r>
          </w:p>
        </w:tc>
        <w:tc>
          <w:tcPr>
            <w:tcW w:w="1336" w:type="dxa"/>
            <w:vAlign w:val="top"/>
          </w:tcPr>
          <w:p w14:paraId="30A92472">
            <w:pPr>
              <w:pStyle w:val="17"/>
              <w:spacing w:before="143" w:line="217" w:lineRule="auto"/>
              <w:ind w:left="253"/>
              <w:rPr>
                <w:color w:val="auto"/>
                <w:highlight w:val="none"/>
              </w:rPr>
            </w:pPr>
            <w:r>
              <w:rPr>
                <w:b/>
                <w:bCs/>
                <w:color w:val="auto"/>
                <w:spacing w:val="6"/>
                <w:highlight w:val="none"/>
              </w:rPr>
              <w:t>条款内容</w:t>
            </w:r>
          </w:p>
        </w:tc>
        <w:tc>
          <w:tcPr>
            <w:tcW w:w="6623" w:type="dxa"/>
            <w:vAlign w:val="top"/>
          </w:tcPr>
          <w:p w14:paraId="72877AD6">
            <w:pPr>
              <w:pStyle w:val="17"/>
              <w:spacing w:before="143" w:line="217" w:lineRule="auto"/>
              <w:ind w:left="2896"/>
              <w:rPr>
                <w:color w:val="auto"/>
                <w:highlight w:val="none"/>
              </w:rPr>
            </w:pPr>
            <w:r>
              <w:rPr>
                <w:b/>
                <w:bCs/>
                <w:color w:val="auto"/>
                <w:spacing w:val="6"/>
                <w:highlight w:val="none"/>
              </w:rPr>
              <w:t>编列内容</w:t>
            </w:r>
          </w:p>
        </w:tc>
      </w:tr>
      <w:tr w14:paraId="35A45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trPr>
        <w:tc>
          <w:tcPr>
            <w:tcW w:w="936" w:type="dxa"/>
            <w:vAlign w:val="top"/>
          </w:tcPr>
          <w:p w14:paraId="6337EFB5">
            <w:pPr>
              <w:spacing w:line="249" w:lineRule="auto"/>
              <w:rPr>
                <w:rFonts w:ascii="Arial"/>
                <w:color w:val="auto"/>
                <w:sz w:val="21"/>
                <w:highlight w:val="none"/>
              </w:rPr>
            </w:pPr>
          </w:p>
          <w:p w14:paraId="526F2ECE">
            <w:pPr>
              <w:spacing w:line="249" w:lineRule="auto"/>
              <w:rPr>
                <w:rFonts w:ascii="Arial"/>
                <w:color w:val="auto"/>
                <w:sz w:val="21"/>
                <w:highlight w:val="none"/>
              </w:rPr>
            </w:pPr>
          </w:p>
          <w:p w14:paraId="39880AB1">
            <w:pPr>
              <w:spacing w:line="249" w:lineRule="auto"/>
              <w:rPr>
                <w:rFonts w:ascii="Arial"/>
                <w:color w:val="auto"/>
                <w:sz w:val="21"/>
                <w:highlight w:val="none"/>
              </w:rPr>
            </w:pPr>
          </w:p>
          <w:p w14:paraId="574B7AD4">
            <w:pPr>
              <w:spacing w:line="249" w:lineRule="auto"/>
              <w:rPr>
                <w:rFonts w:ascii="Arial"/>
                <w:color w:val="auto"/>
                <w:sz w:val="21"/>
                <w:highlight w:val="none"/>
              </w:rPr>
            </w:pPr>
          </w:p>
          <w:p w14:paraId="3C4C0731">
            <w:pPr>
              <w:spacing w:line="250" w:lineRule="auto"/>
              <w:rPr>
                <w:rFonts w:ascii="Arial"/>
                <w:color w:val="auto"/>
                <w:sz w:val="21"/>
                <w:highlight w:val="none"/>
              </w:rPr>
            </w:pPr>
          </w:p>
          <w:p w14:paraId="59903A10">
            <w:pPr>
              <w:spacing w:line="250" w:lineRule="auto"/>
              <w:rPr>
                <w:rFonts w:ascii="Arial"/>
                <w:color w:val="auto"/>
                <w:sz w:val="21"/>
                <w:highlight w:val="none"/>
              </w:rPr>
            </w:pPr>
          </w:p>
          <w:p w14:paraId="0214AE9C">
            <w:pPr>
              <w:pStyle w:val="17"/>
              <w:spacing w:before="65" w:line="268" w:lineRule="exact"/>
              <w:ind w:left="213"/>
              <w:rPr>
                <w:color w:val="auto"/>
                <w:highlight w:val="none"/>
              </w:rPr>
            </w:pPr>
            <w:r>
              <w:rPr>
                <w:color w:val="auto"/>
                <w:spacing w:val="2"/>
                <w:position w:val="1"/>
                <w:highlight w:val="none"/>
              </w:rPr>
              <w:t>2.2.1</w:t>
            </w:r>
          </w:p>
        </w:tc>
        <w:tc>
          <w:tcPr>
            <w:tcW w:w="1336" w:type="dxa"/>
            <w:vAlign w:val="top"/>
          </w:tcPr>
          <w:p w14:paraId="480B83B1">
            <w:pPr>
              <w:spacing w:line="279" w:lineRule="auto"/>
              <w:rPr>
                <w:rFonts w:ascii="Arial"/>
                <w:color w:val="auto"/>
                <w:sz w:val="21"/>
                <w:highlight w:val="none"/>
              </w:rPr>
            </w:pPr>
          </w:p>
          <w:p w14:paraId="36C87A9D">
            <w:pPr>
              <w:spacing w:line="279" w:lineRule="auto"/>
              <w:rPr>
                <w:rFonts w:ascii="Arial"/>
                <w:color w:val="auto"/>
                <w:sz w:val="21"/>
                <w:highlight w:val="none"/>
              </w:rPr>
            </w:pPr>
          </w:p>
          <w:p w14:paraId="47198BB2">
            <w:pPr>
              <w:spacing w:line="279" w:lineRule="auto"/>
              <w:rPr>
                <w:rFonts w:ascii="Arial"/>
                <w:color w:val="auto"/>
                <w:sz w:val="21"/>
                <w:highlight w:val="none"/>
              </w:rPr>
            </w:pPr>
          </w:p>
          <w:p w14:paraId="34F0854B">
            <w:pPr>
              <w:spacing w:line="280" w:lineRule="auto"/>
              <w:rPr>
                <w:rFonts w:ascii="Arial"/>
                <w:color w:val="auto"/>
                <w:sz w:val="21"/>
                <w:highlight w:val="none"/>
              </w:rPr>
            </w:pPr>
          </w:p>
          <w:p w14:paraId="3231652B">
            <w:pPr>
              <w:pStyle w:val="17"/>
              <w:spacing w:before="65" w:line="228" w:lineRule="auto"/>
              <w:ind w:left="254"/>
              <w:rPr>
                <w:color w:val="auto"/>
                <w:highlight w:val="none"/>
              </w:rPr>
            </w:pPr>
            <w:r>
              <w:rPr>
                <w:color w:val="auto"/>
                <w:spacing w:val="6"/>
                <w:highlight w:val="none"/>
              </w:rPr>
              <w:t>分值构成</w:t>
            </w:r>
          </w:p>
          <w:p w14:paraId="3163372C">
            <w:pPr>
              <w:pStyle w:val="17"/>
              <w:spacing w:before="135" w:line="228" w:lineRule="auto"/>
              <w:ind w:left="182"/>
              <w:rPr>
                <w:color w:val="auto"/>
                <w:highlight w:val="none"/>
              </w:rPr>
            </w:pPr>
            <w:r>
              <w:rPr>
                <w:color w:val="auto"/>
                <w:highlight w:val="none"/>
              </w:rPr>
              <w:t>（总分</w:t>
            </w:r>
            <w:r>
              <w:rPr>
                <w:color w:val="auto"/>
                <w:spacing w:val="-22"/>
                <w:highlight w:val="none"/>
              </w:rPr>
              <w:t xml:space="preserve"> </w:t>
            </w:r>
            <w:r>
              <w:rPr>
                <w:color w:val="auto"/>
                <w:highlight w:val="none"/>
              </w:rPr>
              <w:t>100</w:t>
            </w:r>
          </w:p>
          <w:p w14:paraId="6836A5E4">
            <w:pPr>
              <w:pStyle w:val="17"/>
              <w:spacing w:before="132" w:line="228" w:lineRule="auto"/>
              <w:ind w:left="465"/>
              <w:rPr>
                <w:color w:val="auto"/>
                <w:highlight w:val="none"/>
              </w:rPr>
            </w:pPr>
            <w:r>
              <w:rPr>
                <w:color w:val="auto"/>
                <w:spacing w:val="-1"/>
                <w:highlight w:val="none"/>
              </w:rPr>
              <w:t>分）</w:t>
            </w:r>
          </w:p>
        </w:tc>
        <w:tc>
          <w:tcPr>
            <w:tcW w:w="6623" w:type="dxa"/>
            <w:vAlign w:val="top"/>
          </w:tcPr>
          <w:p w14:paraId="2A99D1E7">
            <w:pPr>
              <w:pStyle w:val="17"/>
              <w:spacing w:before="101" w:line="267" w:lineRule="exact"/>
              <w:ind w:left="533"/>
              <w:rPr>
                <w:color w:val="auto"/>
                <w:highlight w:val="none"/>
              </w:rPr>
            </w:pPr>
            <w:r>
              <w:rPr>
                <w:b/>
                <w:bCs/>
                <w:color w:val="auto"/>
                <w:spacing w:val="7"/>
                <w:highlight w:val="none"/>
              </w:rPr>
              <w:t>第一个信封（商务及技术文件）评分分值构成:</w:t>
            </w:r>
          </w:p>
          <w:p w14:paraId="4805BC38">
            <w:pPr>
              <w:pStyle w:val="17"/>
              <w:spacing w:before="113" w:line="228" w:lineRule="auto"/>
              <w:ind w:left="534"/>
              <w:rPr>
                <w:color w:val="auto"/>
                <w:highlight w:val="none"/>
              </w:rPr>
            </w:pPr>
            <w:r>
              <w:rPr>
                <w:b/>
                <w:bCs/>
                <w:color w:val="auto"/>
                <w:spacing w:val="5"/>
                <w:highlight w:val="none"/>
              </w:rPr>
              <w:t>方案一</w:t>
            </w:r>
            <w:r>
              <w:rPr>
                <w:color w:val="auto"/>
                <w:spacing w:val="1"/>
                <w:highlight w:val="none"/>
              </w:rPr>
              <w:t xml:space="preserve">                    </w:t>
            </w:r>
            <w:r>
              <w:rPr>
                <w:color w:val="auto"/>
                <w:highlight w:val="none"/>
              </w:rPr>
              <w:t xml:space="preserve">   </w:t>
            </w:r>
          </w:p>
          <w:p w14:paraId="2965F79E">
            <w:pPr>
              <w:pStyle w:val="17"/>
              <w:spacing w:before="112" w:line="227" w:lineRule="auto"/>
              <w:ind w:left="534"/>
              <w:rPr>
                <w:color w:val="auto"/>
                <w:highlight w:val="none"/>
              </w:rPr>
            </w:pPr>
            <w:r>
              <w:rPr>
                <w:color w:val="auto"/>
                <w:spacing w:val="6"/>
                <w:highlight w:val="none"/>
              </w:rPr>
              <w:t>技术建议书：30</w:t>
            </w:r>
            <w:r>
              <w:rPr>
                <w:color w:val="auto"/>
                <w:spacing w:val="-30"/>
                <w:highlight w:val="none"/>
              </w:rPr>
              <w:t xml:space="preserve"> </w:t>
            </w:r>
            <w:r>
              <w:rPr>
                <w:color w:val="auto"/>
                <w:spacing w:val="6"/>
                <w:highlight w:val="none"/>
              </w:rPr>
              <w:t xml:space="preserve">分            </w:t>
            </w:r>
          </w:p>
          <w:p w14:paraId="78E9D767">
            <w:pPr>
              <w:pStyle w:val="17"/>
              <w:spacing w:before="114" w:line="228" w:lineRule="auto"/>
              <w:ind w:left="535"/>
              <w:rPr>
                <w:color w:val="auto"/>
                <w:highlight w:val="none"/>
              </w:rPr>
            </w:pPr>
            <w:r>
              <w:rPr>
                <w:color w:val="auto"/>
                <w:spacing w:val="6"/>
                <w:highlight w:val="none"/>
              </w:rPr>
              <w:t>主要人员：20</w:t>
            </w:r>
            <w:r>
              <w:rPr>
                <w:color w:val="auto"/>
                <w:spacing w:val="-38"/>
                <w:highlight w:val="none"/>
              </w:rPr>
              <w:t xml:space="preserve"> </w:t>
            </w:r>
            <w:r>
              <w:rPr>
                <w:color w:val="auto"/>
                <w:spacing w:val="6"/>
                <w:highlight w:val="none"/>
              </w:rPr>
              <w:t xml:space="preserve">分              </w:t>
            </w:r>
          </w:p>
          <w:p w14:paraId="43B9DA0F">
            <w:pPr>
              <w:pStyle w:val="17"/>
              <w:spacing w:before="112" w:line="228" w:lineRule="auto"/>
              <w:ind w:left="534"/>
              <w:rPr>
                <w:color w:val="auto"/>
                <w:highlight w:val="none"/>
              </w:rPr>
            </w:pPr>
            <w:r>
              <w:rPr>
                <w:color w:val="auto"/>
                <w:spacing w:val="6"/>
                <w:highlight w:val="none"/>
              </w:rPr>
              <w:t>技术能力：0</w:t>
            </w:r>
            <w:r>
              <w:rPr>
                <w:color w:val="auto"/>
                <w:spacing w:val="-35"/>
                <w:highlight w:val="none"/>
              </w:rPr>
              <w:t xml:space="preserve"> </w:t>
            </w:r>
            <w:r>
              <w:rPr>
                <w:color w:val="auto"/>
                <w:spacing w:val="6"/>
                <w:highlight w:val="none"/>
              </w:rPr>
              <w:t xml:space="preserve">分               </w:t>
            </w:r>
          </w:p>
          <w:p w14:paraId="4CB392F8">
            <w:pPr>
              <w:pStyle w:val="17"/>
              <w:spacing w:before="113" w:line="228" w:lineRule="auto"/>
              <w:ind w:left="532"/>
              <w:rPr>
                <w:color w:val="auto"/>
                <w:highlight w:val="none"/>
              </w:rPr>
            </w:pPr>
            <w:r>
              <w:rPr>
                <w:color w:val="auto"/>
                <w:spacing w:val="5"/>
                <w:highlight w:val="none"/>
              </w:rPr>
              <w:t>业绩：25</w:t>
            </w:r>
            <w:r>
              <w:rPr>
                <w:color w:val="auto"/>
                <w:spacing w:val="-35"/>
                <w:highlight w:val="none"/>
              </w:rPr>
              <w:t xml:space="preserve"> </w:t>
            </w:r>
            <w:r>
              <w:rPr>
                <w:color w:val="auto"/>
                <w:spacing w:val="5"/>
                <w:highlight w:val="none"/>
              </w:rPr>
              <w:t xml:space="preserve">分                  </w:t>
            </w:r>
          </w:p>
          <w:p w14:paraId="0B431919">
            <w:pPr>
              <w:pStyle w:val="17"/>
              <w:spacing w:before="113" w:line="227" w:lineRule="auto"/>
              <w:ind w:left="536"/>
              <w:rPr>
                <w:color w:val="auto"/>
                <w:highlight w:val="none"/>
              </w:rPr>
            </w:pPr>
            <w:r>
              <w:rPr>
                <w:color w:val="auto"/>
                <w:spacing w:val="6"/>
                <w:highlight w:val="none"/>
              </w:rPr>
              <w:t>履约信誉：15</w:t>
            </w:r>
            <w:r>
              <w:rPr>
                <w:color w:val="auto"/>
                <w:spacing w:val="-38"/>
                <w:highlight w:val="none"/>
              </w:rPr>
              <w:t xml:space="preserve"> </w:t>
            </w:r>
            <w:r>
              <w:rPr>
                <w:color w:val="auto"/>
                <w:spacing w:val="6"/>
                <w:highlight w:val="none"/>
              </w:rPr>
              <w:t xml:space="preserve">分              </w:t>
            </w:r>
          </w:p>
          <w:p w14:paraId="1BBE8E99">
            <w:pPr>
              <w:pStyle w:val="17"/>
              <w:spacing w:before="114" w:line="226" w:lineRule="auto"/>
              <w:ind w:left="533"/>
              <w:rPr>
                <w:color w:val="auto"/>
                <w:highlight w:val="none"/>
              </w:rPr>
            </w:pPr>
            <w:r>
              <w:rPr>
                <w:b/>
                <w:bCs/>
                <w:color w:val="auto"/>
                <w:spacing w:val="7"/>
                <w:highlight w:val="none"/>
              </w:rPr>
              <w:t>第二个信封（报价文件）评分分值构成：</w:t>
            </w:r>
          </w:p>
          <w:p w14:paraId="3DD31205">
            <w:pPr>
              <w:pStyle w:val="17"/>
              <w:spacing w:before="115" w:line="215" w:lineRule="auto"/>
              <w:ind w:left="532"/>
              <w:rPr>
                <w:color w:val="auto"/>
                <w:highlight w:val="none"/>
              </w:rPr>
            </w:pPr>
            <w:r>
              <w:rPr>
                <w:color w:val="auto"/>
                <w:spacing w:val="6"/>
                <w:highlight w:val="none"/>
              </w:rPr>
              <w:t>评标价：10</w:t>
            </w:r>
            <w:r>
              <w:rPr>
                <w:color w:val="auto"/>
                <w:spacing w:val="-38"/>
                <w:highlight w:val="none"/>
              </w:rPr>
              <w:t xml:space="preserve"> </w:t>
            </w:r>
            <w:r>
              <w:rPr>
                <w:color w:val="auto"/>
                <w:spacing w:val="6"/>
                <w:highlight w:val="none"/>
              </w:rPr>
              <w:t>分</w:t>
            </w:r>
          </w:p>
        </w:tc>
      </w:tr>
      <w:tr w14:paraId="49EFA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9" w:hRule="atLeast"/>
        </w:trPr>
        <w:tc>
          <w:tcPr>
            <w:tcW w:w="936" w:type="dxa"/>
            <w:vAlign w:val="top"/>
          </w:tcPr>
          <w:p w14:paraId="19DB00B7">
            <w:pPr>
              <w:spacing w:line="242" w:lineRule="auto"/>
              <w:rPr>
                <w:rFonts w:ascii="Arial"/>
                <w:color w:val="auto"/>
                <w:sz w:val="21"/>
                <w:highlight w:val="none"/>
              </w:rPr>
            </w:pPr>
          </w:p>
          <w:p w14:paraId="4F6E4A71">
            <w:pPr>
              <w:spacing w:line="242" w:lineRule="auto"/>
              <w:rPr>
                <w:rFonts w:ascii="Arial"/>
                <w:color w:val="auto"/>
                <w:sz w:val="21"/>
                <w:highlight w:val="none"/>
              </w:rPr>
            </w:pPr>
          </w:p>
          <w:p w14:paraId="1C4A39E0">
            <w:pPr>
              <w:spacing w:line="242" w:lineRule="auto"/>
              <w:rPr>
                <w:rFonts w:ascii="Arial"/>
                <w:color w:val="auto"/>
                <w:sz w:val="21"/>
                <w:highlight w:val="none"/>
              </w:rPr>
            </w:pPr>
          </w:p>
          <w:p w14:paraId="5E06337D">
            <w:pPr>
              <w:spacing w:line="242" w:lineRule="auto"/>
              <w:rPr>
                <w:rFonts w:ascii="Arial"/>
                <w:color w:val="auto"/>
                <w:sz w:val="21"/>
                <w:highlight w:val="none"/>
              </w:rPr>
            </w:pPr>
          </w:p>
          <w:p w14:paraId="05554022">
            <w:pPr>
              <w:spacing w:line="242" w:lineRule="auto"/>
              <w:rPr>
                <w:rFonts w:ascii="Arial"/>
                <w:color w:val="auto"/>
                <w:sz w:val="21"/>
                <w:highlight w:val="none"/>
              </w:rPr>
            </w:pPr>
          </w:p>
          <w:p w14:paraId="59F29D0C">
            <w:pPr>
              <w:spacing w:line="242" w:lineRule="auto"/>
              <w:rPr>
                <w:rFonts w:ascii="Arial"/>
                <w:color w:val="auto"/>
                <w:sz w:val="21"/>
                <w:highlight w:val="none"/>
              </w:rPr>
            </w:pPr>
          </w:p>
          <w:p w14:paraId="7333AA0A">
            <w:pPr>
              <w:spacing w:line="242" w:lineRule="auto"/>
              <w:rPr>
                <w:rFonts w:ascii="Arial"/>
                <w:color w:val="auto"/>
                <w:sz w:val="21"/>
                <w:highlight w:val="none"/>
              </w:rPr>
            </w:pPr>
          </w:p>
          <w:p w14:paraId="653882F8">
            <w:pPr>
              <w:spacing w:line="242" w:lineRule="auto"/>
              <w:rPr>
                <w:rFonts w:ascii="Arial"/>
                <w:color w:val="auto"/>
                <w:sz w:val="21"/>
                <w:highlight w:val="none"/>
              </w:rPr>
            </w:pPr>
          </w:p>
          <w:p w14:paraId="616CCFB0">
            <w:pPr>
              <w:spacing w:line="242" w:lineRule="auto"/>
              <w:rPr>
                <w:rFonts w:ascii="Arial"/>
                <w:color w:val="auto"/>
                <w:sz w:val="21"/>
                <w:highlight w:val="none"/>
              </w:rPr>
            </w:pPr>
          </w:p>
          <w:p w14:paraId="33A57265">
            <w:pPr>
              <w:spacing w:line="242" w:lineRule="auto"/>
              <w:rPr>
                <w:rFonts w:ascii="Arial"/>
                <w:color w:val="auto"/>
                <w:sz w:val="21"/>
                <w:highlight w:val="none"/>
              </w:rPr>
            </w:pPr>
          </w:p>
          <w:p w14:paraId="1A76935E">
            <w:pPr>
              <w:spacing w:line="242" w:lineRule="auto"/>
              <w:rPr>
                <w:rFonts w:ascii="Arial"/>
                <w:color w:val="auto"/>
                <w:sz w:val="21"/>
                <w:highlight w:val="none"/>
              </w:rPr>
            </w:pPr>
          </w:p>
          <w:p w14:paraId="1123985D">
            <w:pPr>
              <w:spacing w:line="242" w:lineRule="auto"/>
              <w:rPr>
                <w:rFonts w:ascii="Arial"/>
                <w:color w:val="auto"/>
                <w:sz w:val="21"/>
                <w:highlight w:val="none"/>
              </w:rPr>
            </w:pPr>
          </w:p>
          <w:p w14:paraId="2CFE8E08">
            <w:pPr>
              <w:spacing w:line="242" w:lineRule="auto"/>
              <w:rPr>
                <w:rFonts w:ascii="Arial"/>
                <w:color w:val="auto"/>
                <w:sz w:val="21"/>
                <w:highlight w:val="none"/>
              </w:rPr>
            </w:pPr>
          </w:p>
          <w:p w14:paraId="62388783">
            <w:pPr>
              <w:spacing w:line="242" w:lineRule="auto"/>
              <w:rPr>
                <w:rFonts w:ascii="Arial"/>
                <w:color w:val="auto"/>
                <w:sz w:val="21"/>
                <w:highlight w:val="none"/>
              </w:rPr>
            </w:pPr>
          </w:p>
          <w:p w14:paraId="0B3D4915">
            <w:pPr>
              <w:spacing w:line="242" w:lineRule="auto"/>
              <w:rPr>
                <w:rFonts w:ascii="Arial"/>
                <w:color w:val="auto"/>
                <w:sz w:val="21"/>
                <w:highlight w:val="none"/>
              </w:rPr>
            </w:pPr>
          </w:p>
          <w:p w14:paraId="0D8C3F99">
            <w:pPr>
              <w:spacing w:line="243" w:lineRule="auto"/>
              <w:rPr>
                <w:rFonts w:ascii="Arial"/>
                <w:color w:val="auto"/>
                <w:sz w:val="21"/>
                <w:highlight w:val="none"/>
              </w:rPr>
            </w:pPr>
          </w:p>
          <w:p w14:paraId="5ECECB0A">
            <w:pPr>
              <w:spacing w:line="243" w:lineRule="auto"/>
              <w:rPr>
                <w:rFonts w:ascii="Arial"/>
                <w:color w:val="auto"/>
                <w:sz w:val="21"/>
                <w:highlight w:val="none"/>
              </w:rPr>
            </w:pPr>
          </w:p>
          <w:p w14:paraId="05F908A4">
            <w:pPr>
              <w:spacing w:line="243" w:lineRule="auto"/>
              <w:rPr>
                <w:rFonts w:ascii="Arial"/>
                <w:color w:val="auto"/>
                <w:sz w:val="21"/>
                <w:highlight w:val="none"/>
              </w:rPr>
            </w:pPr>
          </w:p>
          <w:p w14:paraId="6C6E7C9A">
            <w:pPr>
              <w:pStyle w:val="17"/>
              <w:spacing w:before="65" w:line="268" w:lineRule="exact"/>
              <w:ind w:left="213"/>
              <w:rPr>
                <w:color w:val="auto"/>
                <w:highlight w:val="none"/>
              </w:rPr>
            </w:pPr>
            <w:r>
              <w:rPr>
                <w:color w:val="auto"/>
                <w:spacing w:val="2"/>
                <w:position w:val="1"/>
                <w:highlight w:val="none"/>
              </w:rPr>
              <w:t>2.2.2</w:t>
            </w:r>
          </w:p>
        </w:tc>
        <w:tc>
          <w:tcPr>
            <w:tcW w:w="1336" w:type="dxa"/>
            <w:vAlign w:val="top"/>
          </w:tcPr>
          <w:p w14:paraId="08F7FCC1">
            <w:pPr>
              <w:spacing w:line="245" w:lineRule="auto"/>
              <w:rPr>
                <w:rFonts w:ascii="Arial"/>
                <w:color w:val="auto"/>
                <w:sz w:val="21"/>
                <w:highlight w:val="none"/>
              </w:rPr>
            </w:pPr>
          </w:p>
          <w:p w14:paraId="78CF2755">
            <w:pPr>
              <w:spacing w:line="245" w:lineRule="auto"/>
              <w:rPr>
                <w:rFonts w:ascii="Arial"/>
                <w:color w:val="auto"/>
                <w:sz w:val="21"/>
                <w:highlight w:val="none"/>
              </w:rPr>
            </w:pPr>
          </w:p>
          <w:p w14:paraId="3C62AC1C">
            <w:pPr>
              <w:spacing w:line="245" w:lineRule="auto"/>
              <w:rPr>
                <w:rFonts w:ascii="Arial"/>
                <w:color w:val="auto"/>
                <w:sz w:val="21"/>
                <w:highlight w:val="none"/>
              </w:rPr>
            </w:pPr>
          </w:p>
          <w:p w14:paraId="570AEA39">
            <w:pPr>
              <w:spacing w:line="245" w:lineRule="auto"/>
              <w:rPr>
                <w:rFonts w:ascii="Arial"/>
                <w:color w:val="auto"/>
                <w:sz w:val="21"/>
                <w:highlight w:val="none"/>
              </w:rPr>
            </w:pPr>
          </w:p>
          <w:p w14:paraId="431AB6F5">
            <w:pPr>
              <w:spacing w:line="245" w:lineRule="auto"/>
              <w:rPr>
                <w:rFonts w:ascii="Arial"/>
                <w:color w:val="auto"/>
                <w:sz w:val="21"/>
                <w:highlight w:val="none"/>
              </w:rPr>
            </w:pPr>
          </w:p>
          <w:p w14:paraId="55026D77">
            <w:pPr>
              <w:spacing w:line="245" w:lineRule="auto"/>
              <w:rPr>
                <w:rFonts w:ascii="Arial"/>
                <w:color w:val="auto"/>
                <w:sz w:val="21"/>
                <w:highlight w:val="none"/>
              </w:rPr>
            </w:pPr>
          </w:p>
          <w:p w14:paraId="39E4DB43">
            <w:pPr>
              <w:spacing w:line="245" w:lineRule="auto"/>
              <w:rPr>
                <w:rFonts w:ascii="Arial"/>
                <w:color w:val="auto"/>
                <w:sz w:val="21"/>
                <w:highlight w:val="none"/>
              </w:rPr>
            </w:pPr>
          </w:p>
          <w:p w14:paraId="124AED33">
            <w:pPr>
              <w:spacing w:line="245" w:lineRule="auto"/>
              <w:rPr>
                <w:rFonts w:ascii="Arial"/>
                <w:color w:val="auto"/>
                <w:sz w:val="21"/>
                <w:highlight w:val="none"/>
              </w:rPr>
            </w:pPr>
          </w:p>
          <w:p w14:paraId="13C099A1">
            <w:pPr>
              <w:spacing w:line="245" w:lineRule="auto"/>
              <w:rPr>
                <w:rFonts w:ascii="Arial"/>
                <w:color w:val="auto"/>
                <w:sz w:val="21"/>
                <w:highlight w:val="none"/>
              </w:rPr>
            </w:pPr>
          </w:p>
          <w:p w14:paraId="0645D051">
            <w:pPr>
              <w:spacing w:line="245" w:lineRule="auto"/>
              <w:rPr>
                <w:rFonts w:ascii="Arial"/>
                <w:color w:val="auto"/>
                <w:sz w:val="21"/>
                <w:highlight w:val="none"/>
              </w:rPr>
            </w:pPr>
          </w:p>
          <w:p w14:paraId="5628D377">
            <w:pPr>
              <w:spacing w:line="246" w:lineRule="auto"/>
              <w:rPr>
                <w:rFonts w:ascii="Arial"/>
                <w:color w:val="auto"/>
                <w:sz w:val="21"/>
                <w:highlight w:val="none"/>
              </w:rPr>
            </w:pPr>
          </w:p>
          <w:p w14:paraId="79BEBCEE">
            <w:pPr>
              <w:spacing w:line="246" w:lineRule="auto"/>
              <w:rPr>
                <w:rFonts w:ascii="Arial"/>
                <w:color w:val="auto"/>
                <w:sz w:val="21"/>
                <w:highlight w:val="none"/>
              </w:rPr>
            </w:pPr>
          </w:p>
          <w:p w14:paraId="0D50E047">
            <w:pPr>
              <w:spacing w:line="246" w:lineRule="auto"/>
              <w:rPr>
                <w:rFonts w:ascii="Arial"/>
                <w:color w:val="auto"/>
                <w:sz w:val="21"/>
                <w:highlight w:val="none"/>
              </w:rPr>
            </w:pPr>
          </w:p>
          <w:p w14:paraId="16B2B16D">
            <w:pPr>
              <w:spacing w:line="246" w:lineRule="auto"/>
              <w:rPr>
                <w:rFonts w:ascii="Arial"/>
                <w:color w:val="auto"/>
                <w:sz w:val="21"/>
                <w:highlight w:val="none"/>
              </w:rPr>
            </w:pPr>
          </w:p>
          <w:p w14:paraId="41C34F7C">
            <w:pPr>
              <w:spacing w:line="246" w:lineRule="auto"/>
              <w:rPr>
                <w:rFonts w:ascii="Arial"/>
                <w:color w:val="auto"/>
                <w:sz w:val="21"/>
                <w:highlight w:val="none"/>
              </w:rPr>
            </w:pPr>
          </w:p>
          <w:p w14:paraId="7D05A9AE">
            <w:pPr>
              <w:spacing w:line="246" w:lineRule="auto"/>
              <w:rPr>
                <w:rFonts w:ascii="Arial"/>
                <w:color w:val="auto"/>
                <w:sz w:val="21"/>
                <w:highlight w:val="none"/>
              </w:rPr>
            </w:pPr>
          </w:p>
          <w:p w14:paraId="0787A5D3">
            <w:pPr>
              <w:spacing w:line="246" w:lineRule="auto"/>
              <w:rPr>
                <w:rFonts w:ascii="Arial"/>
                <w:color w:val="auto"/>
                <w:sz w:val="21"/>
                <w:highlight w:val="none"/>
              </w:rPr>
            </w:pPr>
          </w:p>
          <w:p w14:paraId="4F309A05">
            <w:pPr>
              <w:pStyle w:val="17"/>
              <w:spacing w:before="65" w:line="351" w:lineRule="auto"/>
              <w:ind w:left="251" w:right="144" w:hanging="106"/>
              <w:rPr>
                <w:color w:val="auto"/>
                <w:highlight w:val="none"/>
              </w:rPr>
            </w:pPr>
            <w:r>
              <w:rPr>
                <w:color w:val="auto"/>
                <w:spacing w:val="8"/>
                <w:highlight w:val="none"/>
              </w:rPr>
              <w:t>评标基准价</w:t>
            </w:r>
            <w:r>
              <w:rPr>
                <w:color w:val="auto"/>
                <w:spacing w:val="7"/>
                <w:highlight w:val="none"/>
              </w:rPr>
              <w:t>计算方法</w:t>
            </w:r>
          </w:p>
        </w:tc>
        <w:tc>
          <w:tcPr>
            <w:tcW w:w="6623" w:type="dxa"/>
            <w:vAlign w:val="top"/>
          </w:tcPr>
          <w:p w14:paraId="73ACE6C2">
            <w:pPr>
              <w:pStyle w:val="17"/>
              <w:spacing w:before="122" w:line="226" w:lineRule="auto"/>
              <w:ind w:left="532"/>
              <w:rPr>
                <w:color w:val="auto"/>
                <w:highlight w:val="none"/>
              </w:rPr>
            </w:pPr>
            <w:r>
              <w:rPr>
                <w:color w:val="auto"/>
                <w:spacing w:val="7"/>
                <w:highlight w:val="none"/>
              </w:rPr>
              <w:t>评标基准价的计算：</w:t>
            </w:r>
          </w:p>
          <w:p w14:paraId="11B35FCF">
            <w:pPr>
              <w:pStyle w:val="17"/>
              <w:spacing w:before="115" w:line="226" w:lineRule="auto"/>
              <w:ind w:left="532"/>
              <w:rPr>
                <w:color w:val="auto"/>
                <w:highlight w:val="none"/>
              </w:rPr>
            </w:pPr>
            <w:r>
              <w:rPr>
                <w:color w:val="auto"/>
                <w:spacing w:val="9"/>
                <w:highlight w:val="none"/>
              </w:rPr>
              <w:t>在开标现场，招标人将当场计算并宣布评标基准价。</w:t>
            </w:r>
          </w:p>
          <w:p w14:paraId="68FAE547">
            <w:pPr>
              <w:pStyle w:val="17"/>
              <w:spacing w:before="115" w:line="226" w:lineRule="auto"/>
              <w:ind w:left="543"/>
              <w:rPr>
                <w:color w:val="auto"/>
                <w:highlight w:val="none"/>
              </w:rPr>
            </w:pPr>
            <w:r>
              <w:rPr>
                <w:color w:val="auto"/>
                <w:spacing w:val="6"/>
                <w:highlight w:val="none"/>
              </w:rPr>
              <w:t>（1）评标价的确定：</w:t>
            </w:r>
          </w:p>
          <w:p w14:paraId="2F0DF5E5">
            <w:pPr>
              <w:pStyle w:val="17"/>
              <w:spacing w:before="115" w:line="226" w:lineRule="auto"/>
              <w:ind w:left="532"/>
              <w:rPr>
                <w:color w:val="auto"/>
                <w:highlight w:val="none"/>
              </w:rPr>
            </w:pPr>
            <w:r>
              <w:rPr>
                <w:color w:val="auto"/>
                <w:spacing w:val="9"/>
                <w:highlight w:val="none"/>
              </w:rPr>
              <w:t>评标价＝投标函文字报价</w:t>
            </w:r>
          </w:p>
          <w:p w14:paraId="3BB0914F">
            <w:pPr>
              <w:pStyle w:val="17"/>
              <w:spacing w:before="115" w:line="294" w:lineRule="auto"/>
              <w:ind w:left="113" w:right="109" w:firstLine="430"/>
              <w:rPr>
                <w:color w:val="auto"/>
                <w:sz w:val="10"/>
                <w:szCs w:val="10"/>
                <w:highlight w:val="none"/>
              </w:rPr>
            </w:pPr>
            <w:r>
              <w:rPr>
                <w:color w:val="auto"/>
                <w:spacing w:val="10"/>
                <w:highlight w:val="none"/>
              </w:rPr>
              <w:t>（2）</w:t>
            </w:r>
            <w:r>
              <w:rPr>
                <w:color w:val="auto"/>
                <w:spacing w:val="10"/>
                <w:highlight w:val="none"/>
                <w:u w:val="single" w:color="auto"/>
              </w:rPr>
              <w:t>评标价的平均值或最高评标限价的计算</w:t>
            </w:r>
            <w:r>
              <w:rPr>
                <w:color w:val="auto"/>
                <w:spacing w:val="-3"/>
                <w:highlight w:val="none"/>
              </w:rPr>
              <w:t>：（</w:t>
            </w:r>
            <w:r>
              <w:rPr>
                <w:color w:val="auto"/>
                <w:spacing w:val="10"/>
                <w:highlight w:val="none"/>
              </w:rPr>
              <w:t>三个方案选择一</w:t>
            </w:r>
            <w:r>
              <w:rPr>
                <w:color w:val="auto"/>
                <w:spacing w:val="5"/>
                <w:position w:val="-1"/>
                <w:highlight w:val="none"/>
              </w:rPr>
              <w:t>个）</w:t>
            </w:r>
          </w:p>
          <w:p w14:paraId="7F3DAC85">
            <w:pPr>
              <w:pStyle w:val="17"/>
              <w:spacing w:before="82" w:line="228" w:lineRule="auto"/>
              <w:ind w:left="534"/>
              <w:rPr>
                <w:color w:val="auto"/>
                <w:highlight w:val="none"/>
              </w:rPr>
            </w:pPr>
            <w:r>
              <w:rPr>
                <w:b/>
                <w:bCs/>
                <w:color w:val="auto"/>
                <w:spacing w:val="3"/>
                <w:highlight w:val="none"/>
              </w:rPr>
              <w:t>方案一</w:t>
            </w:r>
            <w:r>
              <w:rPr>
                <w:color w:val="auto"/>
                <w:spacing w:val="3"/>
                <w:highlight w:val="none"/>
              </w:rPr>
              <w:t>：</w:t>
            </w:r>
          </w:p>
          <w:p w14:paraId="428A6602">
            <w:pPr>
              <w:pStyle w:val="17"/>
              <w:spacing w:before="113" w:line="225" w:lineRule="auto"/>
              <w:ind w:left="532"/>
              <w:rPr>
                <w:color w:val="auto"/>
                <w:highlight w:val="none"/>
              </w:rPr>
            </w:pPr>
            <w:r>
              <w:rPr>
                <w:color w:val="auto"/>
                <w:spacing w:val="9"/>
                <w:highlight w:val="none"/>
              </w:rPr>
              <w:t>①最高投标限价下浮率的确定</w:t>
            </w:r>
          </w:p>
          <w:p w14:paraId="2ADCD401">
            <w:pPr>
              <w:pStyle w:val="17"/>
              <w:spacing w:before="117" w:line="326" w:lineRule="auto"/>
              <w:ind w:left="113" w:right="107" w:firstLine="426"/>
              <w:rPr>
                <w:color w:val="auto"/>
                <w:highlight w:val="none"/>
              </w:rPr>
            </w:pPr>
            <w:r>
              <w:rPr>
                <w:color w:val="auto"/>
                <w:spacing w:val="13"/>
                <w:highlight w:val="none"/>
              </w:rPr>
              <w:t>下浮率在第二个信封（报价文件）开标前在开标现场采取摇珠方</w:t>
            </w:r>
            <w:r>
              <w:rPr>
                <w:color w:val="auto"/>
                <w:spacing w:val="9"/>
                <w:highlight w:val="none"/>
              </w:rPr>
              <w:t>式确定。摇珠操作办法如下：在下浮率摇珠范围内，</w:t>
            </w:r>
            <w:r>
              <w:rPr>
                <w:color w:val="auto"/>
                <w:spacing w:val="-57"/>
                <w:highlight w:val="none"/>
              </w:rPr>
              <w:t xml:space="preserve"> </w:t>
            </w:r>
            <w:r>
              <w:rPr>
                <w:color w:val="auto"/>
                <w:spacing w:val="9"/>
                <w:highlight w:val="none"/>
              </w:rPr>
              <w:t>以</w:t>
            </w:r>
            <w:r>
              <w:rPr>
                <w:color w:val="auto"/>
                <w:spacing w:val="-37"/>
                <w:highlight w:val="none"/>
              </w:rPr>
              <w:t xml:space="preserve"> </w:t>
            </w:r>
            <w:r>
              <w:rPr>
                <w:color w:val="auto"/>
                <w:spacing w:val="9"/>
                <w:highlight w:val="none"/>
              </w:rPr>
              <w:t>0.1%为一档次</w:t>
            </w:r>
            <w:r>
              <w:rPr>
                <w:color w:val="auto"/>
                <w:spacing w:val="5"/>
                <w:highlight w:val="none"/>
              </w:rPr>
              <w:t>增序确定摇珠号码，</w:t>
            </w:r>
            <w:r>
              <w:rPr>
                <w:color w:val="auto"/>
                <w:spacing w:val="5"/>
                <w:highlight w:val="none"/>
                <w:u w:val="single" w:color="auto"/>
              </w:rPr>
              <w:t xml:space="preserve"> </w:t>
            </w:r>
            <w:r>
              <w:rPr>
                <w:rFonts w:hint="eastAsia"/>
                <w:color w:val="auto"/>
                <w:spacing w:val="5"/>
                <w:highlight w:val="none"/>
                <w:u w:val="single" w:color="auto"/>
                <w:lang w:val="en-US" w:eastAsia="zh-CN"/>
              </w:rPr>
              <w:t>31</w:t>
            </w:r>
            <w:r>
              <w:rPr>
                <w:color w:val="auto"/>
                <w:spacing w:val="5"/>
                <w:highlight w:val="none"/>
                <w:u w:val="single" w:color="auto"/>
              </w:rPr>
              <w:t xml:space="preserve"> </w:t>
            </w:r>
            <w:r>
              <w:rPr>
                <w:color w:val="auto"/>
                <w:spacing w:val="-77"/>
                <w:highlight w:val="none"/>
              </w:rPr>
              <w:t xml:space="preserve"> </w:t>
            </w:r>
            <w:r>
              <w:rPr>
                <w:color w:val="auto"/>
                <w:spacing w:val="5"/>
                <w:highlight w:val="none"/>
              </w:rPr>
              <w:t>个球</w:t>
            </w:r>
            <w:r>
              <w:rPr>
                <w:color w:val="auto"/>
                <w:spacing w:val="-25"/>
                <w:position w:val="10"/>
                <w:sz w:val="10"/>
                <w:szCs w:val="10"/>
                <w:highlight w:val="none"/>
              </w:rPr>
              <w:t xml:space="preserve"> </w:t>
            </w:r>
            <w:r>
              <w:rPr>
                <w:color w:val="auto"/>
                <w:spacing w:val="5"/>
                <w:highlight w:val="none"/>
              </w:rPr>
              <w:t>,</w:t>
            </w:r>
            <w:r>
              <w:rPr>
                <w:color w:val="auto"/>
                <w:spacing w:val="61"/>
                <w:highlight w:val="none"/>
              </w:rPr>
              <w:t xml:space="preserve"> </w:t>
            </w:r>
            <w:r>
              <w:rPr>
                <w:color w:val="auto"/>
                <w:spacing w:val="5"/>
                <w:highlight w:val="none"/>
              </w:rPr>
              <w:t>每个标段各一次性摇取</w:t>
            </w:r>
            <w:r>
              <w:rPr>
                <w:color w:val="auto"/>
                <w:spacing w:val="-35"/>
                <w:highlight w:val="none"/>
              </w:rPr>
              <w:t xml:space="preserve"> </w:t>
            </w:r>
            <w:r>
              <w:rPr>
                <w:color w:val="auto"/>
                <w:spacing w:val="5"/>
                <w:highlight w:val="none"/>
              </w:rPr>
              <w:t>3</w:t>
            </w:r>
            <w:r>
              <w:rPr>
                <w:color w:val="auto"/>
                <w:spacing w:val="-38"/>
                <w:highlight w:val="none"/>
              </w:rPr>
              <w:t xml:space="preserve"> </w:t>
            </w:r>
            <w:r>
              <w:rPr>
                <w:color w:val="auto"/>
                <w:spacing w:val="5"/>
                <w:highlight w:val="none"/>
              </w:rPr>
              <w:t>个球（摇出的</w:t>
            </w:r>
            <w:r>
              <w:rPr>
                <w:color w:val="auto"/>
                <w:spacing w:val="11"/>
                <w:highlight w:val="none"/>
              </w:rPr>
              <w:t>球不放回</w:t>
            </w:r>
            <w:r>
              <w:rPr>
                <w:color w:val="auto"/>
                <w:spacing w:val="4"/>
                <w:highlight w:val="none"/>
              </w:rPr>
              <w:t>）</w:t>
            </w:r>
            <w:r>
              <w:rPr>
                <w:color w:val="auto"/>
                <w:spacing w:val="-57"/>
                <w:highlight w:val="none"/>
              </w:rPr>
              <w:t xml:space="preserve"> </w:t>
            </w:r>
            <w:r>
              <w:rPr>
                <w:color w:val="auto"/>
                <w:spacing w:val="4"/>
                <w:highlight w:val="none"/>
              </w:rPr>
              <w:t>，</w:t>
            </w:r>
            <w:r>
              <w:rPr>
                <w:color w:val="auto"/>
                <w:spacing w:val="11"/>
                <w:highlight w:val="none"/>
              </w:rPr>
              <w:t>摇出</w:t>
            </w:r>
            <w:r>
              <w:rPr>
                <w:color w:val="auto"/>
                <w:spacing w:val="-30"/>
                <w:highlight w:val="none"/>
              </w:rPr>
              <w:t xml:space="preserve"> </w:t>
            </w:r>
            <w:r>
              <w:rPr>
                <w:color w:val="auto"/>
                <w:spacing w:val="11"/>
                <w:highlight w:val="none"/>
              </w:rPr>
              <w:t>3</w:t>
            </w:r>
            <w:r>
              <w:rPr>
                <w:color w:val="auto"/>
                <w:spacing w:val="-35"/>
                <w:highlight w:val="none"/>
              </w:rPr>
              <w:t xml:space="preserve"> </w:t>
            </w:r>
            <w:r>
              <w:rPr>
                <w:color w:val="auto"/>
                <w:spacing w:val="11"/>
                <w:highlight w:val="none"/>
              </w:rPr>
              <w:t>个球对应的下浮率的平均值即为本标段招标的下浮率。（注：下浮率摇珠区间</w:t>
            </w:r>
            <w:r>
              <w:rPr>
                <w:rFonts w:hint="eastAsia" w:ascii="宋体" w:hAnsi="宋体" w:cs="宋体"/>
                <w:color w:val="auto"/>
                <w:szCs w:val="21"/>
                <w:highlight w:val="none"/>
              </w:rPr>
              <w:t>为0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rFonts w:hint="eastAsia" w:ascii="宋体" w:hAnsi="宋体" w:eastAsia="宋体" w:cs="宋体"/>
                <w:color w:val="auto"/>
                <w:szCs w:val="21"/>
                <w:highlight w:val="none"/>
              </w:rPr>
              <w:t>～</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color w:val="auto"/>
                <w:spacing w:val="10"/>
                <w:highlight w:val="none"/>
              </w:rPr>
              <w:t>，摇出三个</w:t>
            </w:r>
            <w:r>
              <w:rPr>
                <w:color w:val="auto"/>
                <w:spacing w:val="6"/>
                <w:highlight w:val="none"/>
              </w:rPr>
              <w:t>下浮率的平均值四舍五入取整到</w:t>
            </w:r>
            <w:r>
              <w:rPr>
                <w:color w:val="auto"/>
                <w:spacing w:val="-21"/>
                <w:highlight w:val="none"/>
              </w:rPr>
              <w:t xml:space="preserve"> </w:t>
            </w:r>
            <w:r>
              <w:rPr>
                <w:color w:val="auto"/>
                <w:spacing w:val="6"/>
                <w:highlight w:val="none"/>
              </w:rPr>
              <w:t>0.001%）。</w:t>
            </w:r>
          </w:p>
          <w:p w14:paraId="6C266AEB">
            <w:pPr>
              <w:pStyle w:val="17"/>
              <w:spacing w:before="40" w:line="225" w:lineRule="auto"/>
              <w:ind w:left="531"/>
              <w:rPr>
                <w:color w:val="auto"/>
                <w:highlight w:val="none"/>
              </w:rPr>
            </w:pPr>
            <w:r>
              <w:rPr>
                <w:color w:val="auto"/>
                <w:spacing w:val="9"/>
                <w:highlight w:val="none"/>
              </w:rPr>
              <w:t>②最高评标限价=最高投标限价×（1-最高投标限</w:t>
            </w:r>
            <w:r>
              <w:rPr>
                <w:color w:val="auto"/>
                <w:spacing w:val="8"/>
                <w:highlight w:val="none"/>
              </w:rPr>
              <w:t>价下浮率）</w:t>
            </w:r>
          </w:p>
          <w:p w14:paraId="4F712481">
            <w:pPr>
              <w:pStyle w:val="17"/>
              <w:spacing w:before="116" w:line="332" w:lineRule="auto"/>
              <w:ind w:left="114" w:right="141" w:firstLine="420"/>
              <w:rPr>
                <w:color w:val="auto"/>
                <w:highlight w:val="none"/>
              </w:rPr>
            </w:pPr>
            <w:r>
              <w:rPr>
                <w:color w:val="auto"/>
                <w:spacing w:val="12"/>
                <w:highlight w:val="none"/>
              </w:rPr>
              <w:t>有效评标价范围：不大于最高评标限价的评标价为有效评标价。</w:t>
            </w:r>
            <w:r>
              <w:rPr>
                <w:color w:val="auto"/>
                <w:spacing w:val="10"/>
                <w:highlight w:val="none"/>
              </w:rPr>
              <w:t>若大于最高评标限价的评标价，其评标价得分为0</w:t>
            </w:r>
            <w:r>
              <w:rPr>
                <w:color w:val="auto"/>
                <w:spacing w:val="-21"/>
                <w:highlight w:val="none"/>
              </w:rPr>
              <w:t xml:space="preserve"> </w:t>
            </w:r>
            <w:r>
              <w:rPr>
                <w:color w:val="auto"/>
                <w:spacing w:val="10"/>
                <w:highlight w:val="none"/>
              </w:rPr>
              <w:t>分。</w:t>
            </w:r>
          </w:p>
        </w:tc>
      </w:tr>
    </w:tbl>
    <w:p w14:paraId="671BFEE2">
      <w:pPr>
        <w:spacing w:line="331" w:lineRule="auto"/>
        <w:rPr>
          <w:rFonts w:ascii="Arial"/>
          <w:color w:val="auto"/>
          <w:sz w:val="21"/>
          <w:highlight w:val="none"/>
        </w:rPr>
      </w:pPr>
    </w:p>
    <w:p w14:paraId="72CCDFED">
      <w:pPr>
        <w:spacing w:line="228" w:lineRule="auto"/>
        <w:rPr>
          <w:rFonts w:ascii="宋体" w:hAnsi="宋体" w:eastAsia="宋体" w:cs="宋体"/>
          <w:color w:val="auto"/>
          <w:sz w:val="18"/>
          <w:szCs w:val="18"/>
          <w:highlight w:val="none"/>
        </w:rPr>
        <w:sectPr>
          <w:footerReference r:id="rId47" w:type="default"/>
          <w:pgSz w:w="11906" w:h="16839"/>
          <w:pgMar w:top="1406" w:right="1422" w:bottom="1297" w:left="1304" w:header="0" w:footer="1067" w:gutter="0"/>
          <w:pgNumType w:fmt="decimal"/>
          <w:cols w:space="720" w:num="1"/>
        </w:sectPr>
      </w:pPr>
      <w:bookmarkStart w:id="176" w:name="bookmark119"/>
      <w:bookmarkEnd w:id="176"/>
      <w:bookmarkStart w:id="177" w:name="bookmark118"/>
      <w:bookmarkEnd w:id="177"/>
    </w:p>
    <w:tbl>
      <w:tblPr>
        <w:tblStyle w:val="16"/>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1336"/>
        <w:gridCol w:w="6623"/>
      </w:tblGrid>
      <w:tr w14:paraId="5395D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8" w:hRule="atLeast"/>
        </w:trPr>
        <w:tc>
          <w:tcPr>
            <w:tcW w:w="936" w:type="dxa"/>
            <w:vAlign w:val="top"/>
          </w:tcPr>
          <w:p w14:paraId="216583DE">
            <w:pPr>
              <w:rPr>
                <w:rFonts w:ascii="Arial"/>
                <w:color w:val="auto"/>
                <w:sz w:val="21"/>
                <w:highlight w:val="none"/>
              </w:rPr>
            </w:pPr>
          </w:p>
        </w:tc>
        <w:tc>
          <w:tcPr>
            <w:tcW w:w="1336" w:type="dxa"/>
            <w:vAlign w:val="top"/>
          </w:tcPr>
          <w:p w14:paraId="09221615">
            <w:pPr>
              <w:rPr>
                <w:rFonts w:ascii="Arial"/>
                <w:color w:val="auto"/>
                <w:sz w:val="21"/>
                <w:highlight w:val="none"/>
              </w:rPr>
            </w:pPr>
          </w:p>
        </w:tc>
        <w:tc>
          <w:tcPr>
            <w:tcW w:w="6623" w:type="dxa"/>
            <w:vAlign w:val="top"/>
          </w:tcPr>
          <w:p w14:paraId="2CB61F9D">
            <w:pPr>
              <w:pStyle w:val="17"/>
              <w:spacing w:before="116" w:line="295" w:lineRule="auto"/>
              <w:ind w:left="115" w:right="107" w:firstLine="416"/>
              <w:rPr>
                <w:color w:val="auto"/>
                <w:highlight w:val="none"/>
              </w:rPr>
            </w:pPr>
          </w:p>
          <w:p w14:paraId="549AE472">
            <w:pPr>
              <w:pStyle w:val="17"/>
              <w:spacing w:line="360" w:lineRule="exact"/>
              <w:ind w:left="543"/>
              <w:rPr>
                <w:color w:val="auto"/>
                <w:sz w:val="10"/>
                <w:szCs w:val="10"/>
                <w:highlight w:val="none"/>
              </w:rPr>
            </w:pPr>
            <w:r>
              <w:rPr>
                <w:color w:val="auto"/>
                <w:spacing w:val="10"/>
                <w:position w:val="3"/>
                <w:highlight w:val="none"/>
              </w:rPr>
              <w:t>（3）评标基准价的确定</w:t>
            </w:r>
            <w:r>
              <w:rPr>
                <w:color w:val="auto"/>
                <w:spacing w:val="-5"/>
                <w:position w:val="3"/>
                <w:highlight w:val="none"/>
              </w:rPr>
              <w:t>：</w:t>
            </w:r>
          </w:p>
          <w:p w14:paraId="50D1934B">
            <w:pPr>
              <w:pStyle w:val="17"/>
              <w:spacing w:before="105" w:line="327" w:lineRule="auto"/>
              <w:ind w:left="132" w:right="107" w:firstLine="402"/>
              <w:rPr>
                <w:color w:val="auto"/>
                <w:highlight w:val="none"/>
              </w:rPr>
            </w:pPr>
            <w:r>
              <w:rPr>
                <w:b/>
                <w:bCs/>
                <w:color w:val="auto"/>
                <w:spacing w:val="15"/>
                <w:highlight w:val="none"/>
              </w:rPr>
              <w:t>方法一：</w:t>
            </w:r>
            <w:r>
              <w:rPr>
                <w:color w:val="auto"/>
                <w:spacing w:val="15"/>
                <w:highlight w:val="none"/>
              </w:rPr>
              <w:t>最高评标限价下浮</w:t>
            </w:r>
            <w:r>
              <w:rPr>
                <w:color w:val="auto"/>
                <w:spacing w:val="-72"/>
                <w:highlight w:val="none"/>
              </w:rPr>
              <w:t xml:space="preserve"> </w:t>
            </w:r>
            <w:r>
              <w:rPr>
                <w:color w:val="auto"/>
                <w:spacing w:val="12"/>
                <w:highlight w:val="none"/>
                <w:u w:val="single" w:color="auto"/>
              </w:rPr>
              <w:t xml:space="preserve"> </w:t>
            </w:r>
            <w:r>
              <w:rPr>
                <w:rFonts w:hint="eastAsia"/>
                <w:color w:val="auto"/>
                <w:spacing w:val="12"/>
                <w:highlight w:val="none"/>
                <w:u w:val="single" w:color="auto"/>
                <w:lang w:val="en-US" w:eastAsia="zh-CN"/>
              </w:rPr>
              <w:t>1.0</w:t>
            </w:r>
            <w:r>
              <w:rPr>
                <w:color w:val="auto"/>
                <w:spacing w:val="12"/>
                <w:highlight w:val="none"/>
                <w:u w:val="single" w:color="auto"/>
              </w:rPr>
              <w:t xml:space="preserve"> </w:t>
            </w:r>
            <w:r>
              <w:rPr>
                <w:color w:val="auto"/>
                <w:spacing w:val="-99"/>
                <w:highlight w:val="none"/>
              </w:rPr>
              <w:t xml:space="preserve"> </w:t>
            </w:r>
            <w:r>
              <w:rPr>
                <w:rFonts w:ascii="MingLiU-ExtB" w:hAnsi="MingLiU-ExtB" w:eastAsia="MingLiU-ExtB" w:cs="MingLiU-ExtB"/>
                <w:color w:val="auto"/>
                <w:spacing w:val="15"/>
                <w:highlight w:val="none"/>
              </w:rPr>
              <w:t>%</w:t>
            </w:r>
            <w:r>
              <w:rPr>
                <w:color w:val="auto"/>
                <w:spacing w:val="15"/>
                <w:highlight w:val="none"/>
              </w:rPr>
              <w:t>，作为评标基准价。</w:t>
            </w:r>
          </w:p>
          <w:p w14:paraId="40E1D8E1">
            <w:pPr>
              <w:pStyle w:val="17"/>
              <w:spacing w:before="3" w:line="304" w:lineRule="auto"/>
              <w:ind w:left="115" w:right="107" w:firstLine="416"/>
              <w:jc w:val="both"/>
              <w:rPr>
                <w:color w:val="auto"/>
                <w:highlight w:val="none"/>
              </w:rPr>
            </w:pPr>
            <w:r>
              <w:rPr>
                <w:color w:val="auto"/>
                <w:spacing w:val="13"/>
                <w:highlight w:val="none"/>
              </w:rPr>
              <w:t>在评标过程中，评标委员会应对招标人计算的评标基准价进行复</w:t>
            </w:r>
            <w:r>
              <w:rPr>
                <w:color w:val="auto"/>
                <w:spacing w:val="19"/>
                <w:highlight w:val="none"/>
              </w:rPr>
              <w:t>核，存在计算错误的应予以修正并在评标报告中作出说明</w:t>
            </w:r>
            <w:r>
              <w:rPr>
                <w:color w:val="auto"/>
                <w:spacing w:val="-57"/>
                <w:highlight w:val="none"/>
              </w:rPr>
              <w:t xml:space="preserve"> </w:t>
            </w:r>
            <w:r>
              <w:rPr>
                <w:color w:val="auto"/>
                <w:spacing w:val="19"/>
                <w:highlight w:val="none"/>
              </w:rPr>
              <w:t>。除此之</w:t>
            </w:r>
            <w:r>
              <w:rPr>
                <w:color w:val="auto"/>
                <w:spacing w:val="9"/>
                <w:highlight w:val="none"/>
              </w:rPr>
              <w:t>外，评标基准价在整个评标期间保持不变，不随任何因素发生变化。</w:t>
            </w:r>
          </w:p>
          <w:p w14:paraId="7E27677D">
            <w:pPr>
              <w:pStyle w:val="17"/>
              <w:spacing w:before="2" w:line="270" w:lineRule="auto"/>
              <w:ind w:left="113" w:right="107" w:firstLine="420"/>
              <w:jc w:val="both"/>
              <w:rPr>
                <w:color w:val="auto"/>
                <w:highlight w:val="none"/>
              </w:rPr>
            </w:pPr>
            <w:r>
              <w:rPr>
                <w:color w:val="auto"/>
                <w:spacing w:val="13"/>
                <w:highlight w:val="none"/>
              </w:rPr>
              <w:t>注：评标价平均值、最高评标限价、评标基准价均四舍五入至个</w:t>
            </w:r>
            <w:r>
              <w:rPr>
                <w:color w:val="auto"/>
                <w:spacing w:val="5"/>
                <w:highlight w:val="none"/>
              </w:rPr>
              <w:t>位整数。</w:t>
            </w:r>
          </w:p>
        </w:tc>
      </w:tr>
      <w:tr w14:paraId="06E4E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8" w:hRule="atLeast"/>
        </w:trPr>
        <w:tc>
          <w:tcPr>
            <w:tcW w:w="936" w:type="dxa"/>
            <w:vAlign w:val="top"/>
          </w:tcPr>
          <w:p w14:paraId="55D15474">
            <w:pPr>
              <w:spacing w:line="455" w:lineRule="auto"/>
              <w:rPr>
                <w:rFonts w:ascii="Arial"/>
                <w:color w:val="auto"/>
                <w:sz w:val="21"/>
                <w:highlight w:val="none"/>
              </w:rPr>
            </w:pPr>
          </w:p>
          <w:p w14:paraId="4505C890">
            <w:pPr>
              <w:pStyle w:val="17"/>
              <w:spacing w:before="65" w:line="268" w:lineRule="exact"/>
              <w:ind w:left="213" w:leftChars="0"/>
              <w:rPr>
                <w:rFonts w:ascii="Arial"/>
                <w:color w:val="auto"/>
                <w:sz w:val="21"/>
                <w:highlight w:val="none"/>
              </w:rPr>
            </w:pPr>
            <w:r>
              <w:rPr>
                <w:color w:val="auto"/>
                <w:spacing w:val="2"/>
                <w:position w:val="1"/>
                <w:highlight w:val="none"/>
              </w:rPr>
              <w:t>2.2.3</w:t>
            </w:r>
          </w:p>
        </w:tc>
        <w:tc>
          <w:tcPr>
            <w:tcW w:w="1336" w:type="dxa"/>
            <w:vAlign w:val="top"/>
          </w:tcPr>
          <w:p w14:paraId="6FDC5007">
            <w:pPr>
              <w:pStyle w:val="17"/>
              <w:spacing w:before="144" w:line="226" w:lineRule="auto"/>
              <w:ind w:left="145"/>
              <w:rPr>
                <w:color w:val="auto"/>
                <w:highlight w:val="none"/>
              </w:rPr>
            </w:pPr>
            <w:r>
              <w:rPr>
                <w:color w:val="auto"/>
                <w:spacing w:val="8"/>
                <w:highlight w:val="none"/>
              </w:rPr>
              <w:t>评标价的偏</w:t>
            </w:r>
          </w:p>
          <w:p w14:paraId="70C33B4C">
            <w:pPr>
              <w:pStyle w:val="17"/>
              <w:spacing w:before="134" w:line="284" w:lineRule="auto"/>
              <w:ind w:left="569" w:leftChars="0" w:right="144" w:rightChars="0" w:hanging="421" w:firstLineChars="0"/>
              <w:rPr>
                <w:rFonts w:ascii="Arial"/>
                <w:color w:val="auto"/>
                <w:sz w:val="21"/>
                <w:highlight w:val="none"/>
              </w:rPr>
            </w:pPr>
            <w:r>
              <w:rPr>
                <w:color w:val="auto"/>
                <w:spacing w:val="7"/>
                <w:highlight w:val="none"/>
              </w:rPr>
              <w:t>差率计算公</w:t>
            </w:r>
            <w:r>
              <w:rPr>
                <w:color w:val="auto"/>
                <w:highlight w:val="none"/>
              </w:rPr>
              <w:t>式</w:t>
            </w:r>
          </w:p>
        </w:tc>
        <w:tc>
          <w:tcPr>
            <w:tcW w:w="6623" w:type="dxa"/>
            <w:vAlign w:val="top"/>
          </w:tcPr>
          <w:p w14:paraId="46795B62">
            <w:pPr>
              <w:pStyle w:val="17"/>
              <w:spacing w:before="154" w:line="226" w:lineRule="auto"/>
              <w:ind w:left="533"/>
              <w:rPr>
                <w:color w:val="auto"/>
                <w:highlight w:val="none"/>
              </w:rPr>
            </w:pPr>
            <w:r>
              <w:rPr>
                <w:color w:val="auto"/>
                <w:spacing w:val="7"/>
                <w:highlight w:val="none"/>
              </w:rPr>
              <w:t>偏差率=100%</w:t>
            </w:r>
            <w:r>
              <w:rPr>
                <w:color w:val="auto"/>
                <w:spacing w:val="51"/>
                <w:highlight w:val="none"/>
              </w:rPr>
              <w:t xml:space="preserve"> </w:t>
            </w:r>
            <w:r>
              <w:rPr>
                <w:color w:val="auto"/>
                <w:spacing w:val="7"/>
                <w:highlight w:val="none"/>
              </w:rPr>
              <w:t>×（投标人评标价－评标基准价）/评标基准价</w:t>
            </w:r>
          </w:p>
          <w:p w14:paraId="4FF0DF48">
            <w:pPr>
              <w:pStyle w:val="17"/>
              <w:spacing w:before="113" w:line="289" w:lineRule="auto"/>
              <w:ind w:left="113" w:leftChars="0" w:right="158" w:rightChars="0" w:firstLine="420" w:firstLineChars="0"/>
              <w:rPr>
                <w:color w:val="auto"/>
                <w:spacing w:val="13"/>
                <w:highlight w:val="none"/>
              </w:rPr>
            </w:pPr>
            <w:r>
              <w:rPr>
                <w:color w:val="auto"/>
                <w:spacing w:val="11"/>
                <w:highlight w:val="none"/>
              </w:rPr>
              <w:t>注：偏差率保留百分比后四位小数，小数点后第五位四舍五入，</w:t>
            </w:r>
            <w:r>
              <w:rPr>
                <w:color w:val="auto"/>
                <w:spacing w:val="2"/>
                <w:highlight w:val="none"/>
              </w:rPr>
              <w:t>例如</w:t>
            </w:r>
            <w:r>
              <w:rPr>
                <w:color w:val="auto"/>
                <w:spacing w:val="-24"/>
                <w:highlight w:val="none"/>
              </w:rPr>
              <w:t xml:space="preserve"> </w:t>
            </w:r>
            <w:r>
              <w:rPr>
                <w:color w:val="auto"/>
                <w:spacing w:val="2"/>
                <w:highlight w:val="none"/>
              </w:rPr>
              <w:t>1.2345%。</w:t>
            </w:r>
          </w:p>
        </w:tc>
      </w:tr>
    </w:tbl>
    <w:p w14:paraId="133F172B">
      <w:pPr>
        <w:spacing w:line="259" w:lineRule="auto"/>
        <w:rPr>
          <w:rFonts w:ascii="Arial"/>
          <w:color w:val="auto"/>
          <w:sz w:val="21"/>
          <w:highlight w:val="none"/>
        </w:rPr>
      </w:pPr>
    </w:p>
    <w:p w14:paraId="259FE523">
      <w:pPr>
        <w:rPr>
          <w:rFonts w:ascii="Arial"/>
          <w:color w:val="auto"/>
          <w:sz w:val="21"/>
          <w:highlight w:val="none"/>
        </w:rPr>
      </w:pPr>
      <w:bookmarkStart w:id="178" w:name="bookmark121"/>
      <w:bookmarkEnd w:id="178"/>
    </w:p>
    <w:p w14:paraId="195B35EC">
      <w:pPr>
        <w:rPr>
          <w:rFonts w:ascii="Arial" w:hAnsi="Arial" w:eastAsia="Arial" w:cs="Arial"/>
          <w:color w:val="auto"/>
          <w:sz w:val="21"/>
          <w:szCs w:val="21"/>
          <w:highlight w:val="none"/>
        </w:rPr>
        <w:sectPr>
          <w:footerReference r:id="rId48" w:type="default"/>
          <w:pgSz w:w="11906" w:h="16839"/>
          <w:pgMar w:top="1416" w:right="1701" w:bottom="1297" w:left="1304" w:header="0" w:footer="1067" w:gutter="0"/>
          <w:pgNumType w:fmt="decimal"/>
          <w:cols w:space="720" w:num="1"/>
        </w:sectPr>
      </w:pPr>
    </w:p>
    <w:p w14:paraId="779451B6">
      <w:pPr>
        <w:spacing w:before="41" w:line="222" w:lineRule="auto"/>
        <w:jc w:val="right"/>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续上表</w:t>
      </w:r>
    </w:p>
    <w:tbl>
      <w:tblPr>
        <w:tblStyle w:val="16"/>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172"/>
        <w:gridCol w:w="919"/>
        <w:gridCol w:w="946"/>
        <w:gridCol w:w="600"/>
        <w:gridCol w:w="1181"/>
        <w:gridCol w:w="3150"/>
      </w:tblGrid>
      <w:tr w14:paraId="3641C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4564" w:type="dxa"/>
            <w:gridSpan w:val="5"/>
            <w:vAlign w:val="top"/>
          </w:tcPr>
          <w:p w14:paraId="76B90721">
            <w:pPr>
              <w:pStyle w:val="17"/>
              <w:spacing w:before="126" w:line="233" w:lineRule="auto"/>
              <w:ind w:left="1287"/>
              <w:rPr>
                <w:color w:val="auto"/>
                <w:sz w:val="10"/>
                <w:szCs w:val="10"/>
                <w:highlight w:val="none"/>
              </w:rPr>
            </w:pPr>
            <w:r>
              <w:rPr>
                <w:b/>
                <w:bCs/>
                <w:color w:val="auto"/>
                <w:spacing w:val="7"/>
                <w:highlight w:val="none"/>
              </w:rPr>
              <w:t>评分因素与权重分值</w:t>
            </w:r>
          </w:p>
        </w:tc>
        <w:tc>
          <w:tcPr>
            <w:tcW w:w="4331" w:type="dxa"/>
            <w:gridSpan w:val="2"/>
            <w:vMerge w:val="restart"/>
            <w:tcBorders>
              <w:bottom w:val="nil"/>
            </w:tcBorders>
            <w:vAlign w:val="top"/>
          </w:tcPr>
          <w:p w14:paraId="1634390E">
            <w:pPr>
              <w:spacing w:line="316" w:lineRule="auto"/>
              <w:rPr>
                <w:rFonts w:ascii="Arial"/>
                <w:color w:val="auto"/>
                <w:sz w:val="21"/>
                <w:highlight w:val="none"/>
              </w:rPr>
            </w:pPr>
          </w:p>
          <w:p w14:paraId="5D2421A9">
            <w:pPr>
              <w:spacing w:line="317" w:lineRule="auto"/>
              <w:rPr>
                <w:rFonts w:ascii="Arial"/>
                <w:color w:val="auto"/>
                <w:sz w:val="21"/>
                <w:highlight w:val="none"/>
              </w:rPr>
            </w:pPr>
          </w:p>
          <w:p w14:paraId="27D9E4FA">
            <w:pPr>
              <w:pStyle w:val="17"/>
              <w:spacing w:before="65" w:line="264" w:lineRule="exact"/>
              <w:ind w:left="1694"/>
              <w:rPr>
                <w:color w:val="auto"/>
                <w:sz w:val="10"/>
                <w:szCs w:val="10"/>
                <w:highlight w:val="none"/>
              </w:rPr>
            </w:pPr>
            <w:r>
              <w:rPr>
                <w:b/>
                <w:bCs/>
                <w:color w:val="auto"/>
                <w:spacing w:val="6"/>
                <w:highlight w:val="none"/>
              </w:rPr>
              <w:t>评分标准</w:t>
            </w:r>
          </w:p>
        </w:tc>
      </w:tr>
      <w:tr w14:paraId="6575B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27" w:type="dxa"/>
            <w:vAlign w:val="top"/>
          </w:tcPr>
          <w:p w14:paraId="309A54EC">
            <w:pPr>
              <w:spacing w:line="451" w:lineRule="auto"/>
              <w:rPr>
                <w:rFonts w:ascii="Arial"/>
                <w:color w:val="auto"/>
                <w:sz w:val="21"/>
                <w:highlight w:val="none"/>
              </w:rPr>
            </w:pPr>
          </w:p>
          <w:p w14:paraId="548A6996">
            <w:pPr>
              <w:pStyle w:val="17"/>
              <w:spacing w:before="65" w:line="228" w:lineRule="auto"/>
              <w:ind w:left="155"/>
              <w:rPr>
                <w:color w:val="auto"/>
                <w:highlight w:val="none"/>
              </w:rPr>
            </w:pPr>
            <w:r>
              <w:rPr>
                <w:b/>
                <w:bCs/>
                <w:color w:val="auto"/>
                <w:spacing w:val="5"/>
                <w:highlight w:val="none"/>
              </w:rPr>
              <w:t>条款号</w:t>
            </w:r>
          </w:p>
        </w:tc>
        <w:tc>
          <w:tcPr>
            <w:tcW w:w="1172" w:type="dxa"/>
            <w:vAlign w:val="top"/>
          </w:tcPr>
          <w:p w14:paraId="56AEC4DE">
            <w:pPr>
              <w:spacing w:line="451" w:lineRule="auto"/>
              <w:rPr>
                <w:rFonts w:ascii="Arial"/>
                <w:color w:val="auto"/>
                <w:sz w:val="21"/>
                <w:highlight w:val="none"/>
              </w:rPr>
            </w:pPr>
          </w:p>
          <w:p w14:paraId="225EFDD5">
            <w:pPr>
              <w:pStyle w:val="17"/>
              <w:spacing w:before="65" w:line="228" w:lineRule="auto"/>
              <w:ind w:left="168"/>
              <w:rPr>
                <w:color w:val="auto"/>
                <w:highlight w:val="none"/>
              </w:rPr>
            </w:pPr>
            <w:r>
              <w:rPr>
                <w:b/>
                <w:bCs/>
                <w:color w:val="auto"/>
                <w:spacing w:val="6"/>
                <w:highlight w:val="none"/>
              </w:rPr>
              <w:t>评分因素</w:t>
            </w:r>
          </w:p>
        </w:tc>
        <w:tc>
          <w:tcPr>
            <w:tcW w:w="919" w:type="dxa"/>
            <w:vAlign w:val="top"/>
          </w:tcPr>
          <w:p w14:paraId="38E4C79E">
            <w:pPr>
              <w:spacing w:line="264" w:lineRule="auto"/>
              <w:rPr>
                <w:rFonts w:ascii="Arial"/>
                <w:color w:val="auto"/>
                <w:sz w:val="21"/>
                <w:highlight w:val="none"/>
              </w:rPr>
            </w:pPr>
          </w:p>
          <w:p w14:paraId="2E7462A3">
            <w:pPr>
              <w:pStyle w:val="17"/>
              <w:spacing w:before="65" w:line="351" w:lineRule="auto"/>
              <w:ind w:left="43" w:right="35"/>
              <w:rPr>
                <w:color w:val="auto"/>
                <w:highlight w:val="none"/>
              </w:rPr>
            </w:pPr>
            <w:r>
              <w:rPr>
                <w:b/>
                <w:bCs/>
                <w:color w:val="auto"/>
                <w:spacing w:val="6"/>
                <w:highlight w:val="none"/>
              </w:rPr>
              <w:t>评分因素权重分值</w:t>
            </w:r>
          </w:p>
        </w:tc>
        <w:tc>
          <w:tcPr>
            <w:tcW w:w="946" w:type="dxa"/>
            <w:vAlign w:val="top"/>
          </w:tcPr>
          <w:p w14:paraId="74E510CE">
            <w:pPr>
              <w:pStyle w:val="17"/>
              <w:spacing w:before="141" w:line="228" w:lineRule="auto"/>
              <w:ind w:left="164"/>
              <w:rPr>
                <w:color w:val="auto"/>
                <w:highlight w:val="none"/>
              </w:rPr>
            </w:pPr>
            <w:r>
              <w:rPr>
                <w:b/>
                <w:bCs/>
                <w:color w:val="auto"/>
                <w:spacing w:val="4"/>
                <w:highlight w:val="none"/>
              </w:rPr>
              <w:t>各评分</w:t>
            </w:r>
          </w:p>
          <w:p w14:paraId="235B2B21">
            <w:pPr>
              <w:pStyle w:val="17"/>
              <w:spacing w:before="132" w:line="283" w:lineRule="auto"/>
              <w:ind w:left="269" w:right="156" w:hanging="91"/>
              <w:rPr>
                <w:color w:val="auto"/>
                <w:highlight w:val="none"/>
              </w:rPr>
            </w:pPr>
            <w:r>
              <w:rPr>
                <w:b/>
                <w:bCs/>
                <w:color w:val="auto"/>
                <w:highlight w:val="none"/>
              </w:rPr>
              <w:t>因素细</w:t>
            </w:r>
            <w:r>
              <w:rPr>
                <w:b/>
                <w:bCs/>
                <w:color w:val="auto"/>
                <w:spacing w:val="2"/>
                <w:highlight w:val="none"/>
              </w:rPr>
              <w:t>分项</w:t>
            </w:r>
          </w:p>
        </w:tc>
        <w:tc>
          <w:tcPr>
            <w:tcW w:w="600" w:type="dxa"/>
            <w:textDirection w:val="tbRlV"/>
            <w:vAlign w:val="top"/>
          </w:tcPr>
          <w:p w14:paraId="2C59B362">
            <w:pPr>
              <w:pStyle w:val="17"/>
              <w:spacing w:before="193" w:line="216" w:lineRule="auto"/>
              <w:ind w:left="330"/>
              <w:rPr>
                <w:color w:val="auto"/>
                <w:highlight w:val="none"/>
              </w:rPr>
            </w:pPr>
            <w:r>
              <w:rPr>
                <w:b/>
                <w:bCs/>
                <w:color w:val="auto"/>
                <w:spacing w:val="6"/>
                <w:highlight w:val="none"/>
              </w:rPr>
              <w:t>分</w:t>
            </w:r>
            <w:r>
              <w:rPr>
                <w:color w:val="auto"/>
                <w:spacing w:val="70"/>
                <w:highlight w:val="none"/>
              </w:rPr>
              <w:t xml:space="preserve"> </w:t>
            </w:r>
            <w:r>
              <w:rPr>
                <w:b/>
                <w:bCs/>
                <w:color w:val="auto"/>
                <w:spacing w:val="6"/>
                <w:highlight w:val="none"/>
              </w:rPr>
              <w:t>值</w:t>
            </w:r>
          </w:p>
        </w:tc>
        <w:tc>
          <w:tcPr>
            <w:tcW w:w="4331" w:type="dxa"/>
            <w:gridSpan w:val="2"/>
            <w:vMerge w:val="continue"/>
            <w:tcBorders>
              <w:top w:val="nil"/>
            </w:tcBorders>
            <w:vAlign w:val="top"/>
          </w:tcPr>
          <w:p w14:paraId="74CF3AEB">
            <w:pPr>
              <w:rPr>
                <w:rFonts w:ascii="Arial"/>
                <w:color w:val="auto"/>
                <w:sz w:val="21"/>
                <w:highlight w:val="none"/>
              </w:rPr>
            </w:pPr>
          </w:p>
        </w:tc>
      </w:tr>
      <w:tr w14:paraId="3D5C5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3" w:hRule="atLeast"/>
        </w:trPr>
        <w:tc>
          <w:tcPr>
            <w:tcW w:w="927" w:type="dxa"/>
            <w:vMerge w:val="restart"/>
            <w:tcBorders>
              <w:bottom w:val="nil"/>
            </w:tcBorders>
            <w:vAlign w:val="top"/>
          </w:tcPr>
          <w:p w14:paraId="78E344A2">
            <w:pPr>
              <w:rPr>
                <w:rFonts w:ascii="Arial"/>
                <w:color w:val="auto"/>
                <w:sz w:val="21"/>
                <w:highlight w:val="none"/>
              </w:rPr>
            </w:pPr>
          </w:p>
          <w:p w14:paraId="5BA9F485">
            <w:pPr>
              <w:rPr>
                <w:rFonts w:ascii="Arial"/>
                <w:color w:val="auto"/>
                <w:sz w:val="21"/>
                <w:highlight w:val="none"/>
              </w:rPr>
            </w:pPr>
          </w:p>
          <w:p w14:paraId="1F6F51E9">
            <w:pPr>
              <w:rPr>
                <w:rFonts w:ascii="Arial"/>
                <w:color w:val="auto"/>
                <w:sz w:val="21"/>
                <w:highlight w:val="none"/>
              </w:rPr>
            </w:pPr>
          </w:p>
          <w:p w14:paraId="29FBA743">
            <w:pPr>
              <w:rPr>
                <w:rFonts w:ascii="Arial"/>
                <w:color w:val="auto"/>
                <w:sz w:val="21"/>
                <w:highlight w:val="none"/>
              </w:rPr>
            </w:pPr>
          </w:p>
          <w:p w14:paraId="1C03624D">
            <w:pPr>
              <w:rPr>
                <w:rFonts w:ascii="Arial"/>
                <w:color w:val="auto"/>
                <w:sz w:val="21"/>
                <w:highlight w:val="none"/>
              </w:rPr>
            </w:pPr>
          </w:p>
          <w:p w14:paraId="2F68B77C">
            <w:pPr>
              <w:rPr>
                <w:rFonts w:ascii="Arial"/>
                <w:color w:val="auto"/>
                <w:sz w:val="21"/>
                <w:highlight w:val="none"/>
              </w:rPr>
            </w:pPr>
          </w:p>
          <w:p w14:paraId="05EAF4C7">
            <w:pPr>
              <w:rPr>
                <w:rFonts w:ascii="Arial"/>
                <w:color w:val="auto"/>
                <w:sz w:val="21"/>
                <w:highlight w:val="none"/>
              </w:rPr>
            </w:pPr>
          </w:p>
          <w:p w14:paraId="040FDF2C">
            <w:pPr>
              <w:rPr>
                <w:rFonts w:ascii="Arial"/>
                <w:color w:val="auto"/>
                <w:sz w:val="21"/>
                <w:highlight w:val="none"/>
              </w:rPr>
            </w:pPr>
          </w:p>
          <w:p w14:paraId="0B64EFCB">
            <w:pPr>
              <w:rPr>
                <w:rFonts w:ascii="Arial"/>
                <w:color w:val="auto"/>
                <w:sz w:val="21"/>
                <w:highlight w:val="none"/>
              </w:rPr>
            </w:pPr>
          </w:p>
          <w:p w14:paraId="56EECB12">
            <w:pPr>
              <w:rPr>
                <w:rFonts w:ascii="Arial"/>
                <w:color w:val="auto"/>
                <w:sz w:val="21"/>
                <w:highlight w:val="none"/>
              </w:rPr>
            </w:pPr>
          </w:p>
          <w:p w14:paraId="7C73C973">
            <w:pPr>
              <w:spacing w:line="241" w:lineRule="auto"/>
              <w:rPr>
                <w:rFonts w:ascii="Arial"/>
                <w:color w:val="auto"/>
                <w:sz w:val="21"/>
                <w:highlight w:val="none"/>
              </w:rPr>
            </w:pPr>
          </w:p>
          <w:p w14:paraId="3FF29443">
            <w:pPr>
              <w:spacing w:line="241" w:lineRule="auto"/>
              <w:rPr>
                <w:rFonts w:ascii="Arial"/>
                <w:color w:val="auto"/>
                <w:sz w:val="21"/>
                <w:highlight w:val="none"/>
              </w:rPr>
            </w:pPr>
          </w:p>
          <w:p w14:paraId="2A8E9492">
            <w:pPr>
              <w:spacing w:line="241" w:lineRule="auto"/>
              <w:rPr>
                <w:rFonts w:ascii="Arial"/>
                <w:color w:val="auto"/>
                <w:sz w:val="21"/>
                <w:highlight w:val="none"/>
              </w:rPr>
            </w:pPr>
          </w:p>
          <w:p w14:paraId="59EFA551">
            <w:pPr>
              <w:spacing w:line="241" w:lineRule="auto"/>
              <w:rPr>
                <w:rFonts w:ascii="Arial"/>
                <w:color w:val="auto"/>
                <w:sz w:val="21"/>
                <w:highlight w:val="none"/>
              </w:rPr>
            </w:pPr>
          </w:p>
          <w:p w14:paraId="2CE00BA6">
            <w:pPr>
              <w:spacing w:line="241" w:lineRule="auto"/>
              <w:rPr>
                <w:rFonts w:ascii="Arial"/>
                <w:color w:val="auto"/>
                <w:sz w:val="21"/>
                <w:highlight w:val="none"/>
              </w:rPr>
            </w:pPr>
          </w:p>
          <w:p w14:paraId="5700ADD9">
            <w:pPr>
              <w:spacing w:line="241" w:lineRule="auto"/>
              <w:rPr>
                <w:rFonts w:ascii="Arial"/>
                <w:color w:val="auto"/>
                <w:sz w:val="21"/>
                <w:highlight w:val="none"/>
              </w:rPr>
            </w:pPr>
          </w:p>
          <w:p w14:paraId="5991F8F1">
            <w:pPr>
              <w:spacing w:line="241" w:lineRule="auto"/>
              <w:rPr>
                <w:rFonts w:ascii="Arial"/>
                <w:color w:val="auto"/>
                <w:sz w:val="21"/>
                <w:highlight w:val="none"/>
              </w:rPr>
            </w:pPr>
          </w:p>
          <w:p w14:paraId="342FD5E1">
            <w:pPr>
              <w:spacing w:line="241" w:lineRule="auto"/>
              <w:rPr>
                <w:rFonts w:ascii="Arial"/>
                <w:color w:val="auto"/>
                <w:sz w:val="21"/>
                <w:highlight w:val="none"/>
              </w:rPr>
            </w:pPr>
          </w:p>
          <w:p w14:paraId="26161825">
            <w:pPr>
              <w:spacing w:line="241" w:lineRule="auto"/>
              <w:rPr>
                <w:rFonts w:ascii="Arial"/>
                <w:color w:val="auto"/>
                <w:sz w:val="21"/>
                <w:highlight w:val="none"/>
              </w:rPr>
            </w:pPr>
          </w:p>
          <w:p w14:paraId="05BB1E66">
            <w:pPr>
              <w:spacing w:line="241" w:lineRule="auto"/>
              <w:rPr>
                <w:rFonts w:ascii="Arial"/>
                <w:color w:val="auto"/>
                <w:sz w:val="21"/>
                <w:highlight w:val="none"/>
              </w:rPr>
            </w:pPr>
          </w:p>
          <w:p w14:paraId="5EFD85AA">
            <w:pPr>
              <w:pStyle w:val="17"/>
              <w:spacing w:before="65" w:line="268" w:lineRule="exact"/>
              <w:ind w:left="208"/>
              <w:rPr>
                <w:color w:val="auto"/>
                <w:highlight w:val="none"/>
              </w:rPr>
            </w:pPr>
            <w:r>
              <w:rPr>
                <w:color w:val="auto"/>
                <w:spacing w:val="2"/>
                <w:position w:val="1"/>
                <w:highlight w:val="none"/>
              </w:rPr>
              <w:t>2.2.4</w:t>
            </w:r>
          </w:p>
          <w:p w14:paraId="48D273D7">
            <w:pPr>
              <w:pStyle w:val="17"/>
              <w:spacing w:before="113" w:line="231" w:lineRule="auto"/>
              <w:ind w:left="348"/>
              <w:rPr>
                <w:color w:val="auto"/>
                <w:highlight w:val="none"/>
              </w:rPr>
            </w:pPr>
            <w:r>
              <w:rPr>
                <w:color w:val="auto"/>
                <w:spacing w:val="-10"/>
                <w:highlight w:val="none"/>
              </w:rPr>
              <w:t>(1)</w:t>
            </w:r>
          </w:p>
        </w:tc>
        <w:tc>
          <w:tcPr>
            <w:tcW w:w="1172" w:type="dxa"/>
            <w:vMerge w:val="restart"/>
            <w:tcBorders>
              <w:bottom w:val="nil"/>
            </w:tcBorders>
            <w:vAlign w:val="top"/>
          </w:tcPr>
          <w:p w14:paraId="30D1E96D">
            <w:pPr>
              <w:rPr>
                <w:rFonts w:ascii="Arial"/>
                <w:color w:val="auto"/>
                <w:sz w:val="21"/>
                <w:highlight w:val="none"/>
              </w:rPr>
            </w:pPr>
          </w:p>
          <w:p w14:paraId="1B85DBE5">
            <w:pPr>
              <w:rPr>
                <w:rFonts w:ascii="Arial"/>
                <w:color w:val="auto"/>
                <w:sz w:val="21"/>
                <w:highlight w:val="none"/>
              </w:rPr>
            </w:pPr>
          </w:p>
          <w:p w14:paraId="299D67E5">
            <w:pPr>
              <w:rPr>
                <w:rFonts w:ascii="Arial"/>
                <w:color w:val="auto"/>
                <w:sz w:val="21"/>
                <w:highlight w:val="none"/>
              </w:rPr>
            </w:pPr>
          </w:p>
          <w:p w14:paraId="7A0A808D">
            <w:pPr>
              <w:rPr>
                <w:rFonts w:ascii="Arial"/>
                <w:color w:val="auto"/>
                <w:sz w:val="21"/>
                <w:highlight w:val="none"/>
              </w:rPr>
            </w:pPr>
          </w:p>
          <w:p w14:paraId="70892EF2">
            <w:pPr>
              <w:rPr>
                <w:rFonts w:ascii="Arial"/>
                <w:color w:val="auto"/>
                <w:sz w:val="21"/>
                <w:highlight w:val="none"/>
              </w:rPr>
            </w:pPr>
          </w:p>
          <w:p w14:paraId="763AC55D">
            <w:pPr>
              <w:rPr>
                <w:rFonts w:ascii="Arial"/>
                <w:color w:val="auto"/>
                <w:sz w:val="21"/>
                <w:highlight w:val="none"/>
              </w:rPr>
            </w:pPr>
          </w:p>
          <w:p w14:paraId="17307B8E">
            <w:pPr>
              <w:rPr>
                <w:rFonts w:ascii="Arial"/>
                <w:color w:val="auto"/>
                <w:sz w:val="21"/>
                <w:highlight w:val="none"/>
              </w:rPr>
            </w:pPr>
          </w:p>
          <w:p w14:paraId="22CE2140">
            <w:pPr>
              <w:rPr>
                <w:rFonts w:ascii="Arial"/>
                <w:color w:val="auto"/>
                <w:sz w:val="21"/>
                <w:highlight w:val="none"/>
              </w:rPr>
            </w:pPr>
          </w:p>
          <w:p w14:paraId="584DF0BB">
            <w:pPr>
              <w:rPr>
                <w:rFonts w:ascii="Arial"/>
                <w:color w:val="auto"/>
                <w:sz w:val="21"/>
                <w:highlight w:val="none"/>
              </w:rPr>
            </w:pPr>
          </w:p>
          <w:p w14:paraId="2E7C5F22">
            <w:pPr>
              <w:spacing w:line="241" w:lineRule="auto"/>
              <w:rPr>
                <w:rFonts w:ascii="Arial"/>
                <w:color w:val="auto"/>
                <w:sz w:val="21"/>
                <w:highlight w:val="none"/>
              </w:rPr>
            </w:pPr>
          </w:p>
          <w:p w14:paraId="79F9049E">
            <w:pPr>
              <w:spacing w:line="241" w:lineRule="auto"/>
              <w:rPr>
                <w:rFonts w:ascii="Arial"/>
                <w:color w:val="auto"/>
                <w:sz w:val="21"/>
                <w:highlight w:val="none"/>
              </w:rPr>
            </w:pPr>
          </w:p>
          <w:p w14:paraId="74102EEE">
            <w:pPr>
              <w:spacing w:line="241" w:lineRule="auto"/>
              <w:rPr>
                <w:rFonts w:ascii="Arial"/>
                <w:color w:val="auto"/>
                <w:sz w:val="21"/>
                <w:highlight w:val="none"/>
              </w:rPr>
            </w:pPr>
          </w:p>
          <w:p w14:paraId="37FDD55D">
            <w:pPr>
              <w:spacing w:line="241" w:lineRule="auto"/>
              <w:rPr>
                <w:rFonts w:ascii="Arial"/>
                <w:color w:val="auto"/>
                <w:sz w:val="21"/>
                <w:highlight w:val="none"/>
              </w:rPr>
            </w:pPr>
          </w:p>
          <w:p w14:paraId="6342EDFF">
            <w:pPr>
              <w:spacing w:line="241" w:lineRule="auto"/>
              <w:rPr>
                <w:rFonts w:ascii="Arial"/>
                <w:color w:val="auto"/>
                <w:sz w:val="21"/>
                <w:highlight w:val="none"/>
              </w:rPr>
            </w:pPr>
          </w:p>
          <w:p w14:paraId="25573A39">
            <w:pPr>
              <w:spacing w:line="241" w:lineRule="auto"/>
              <w:rPr>
                <w:rFonts w:ascii="Arial"/>
                <w:color w:val="auto"/>
                <w:sz w:val="21"/>
                <w:highlight w:val="none"/>
              </w:rPr>
            </w:pPr>
          </w:p>
          <w:p w14:paraId="6EB7E3DD">
            <w:pPr>
              <w:spacing w:line="241" w:lineRule="auto"/>
              <w:rPr>
                <w:rFonts w:ascii="Arial"/>
                <w:color w:val="auto"/>
                <w:sz w:val="21"/>
                <w:highlight w:val="none"/>
              </w:rPr>
            </w:pPr>
          </w:p>
          <w:p w14:paraId="5C0A7113">
            <w:pPr>
              <w:spacing w:line="241" w:lineRule="auto"/>
              <w:rPr>
                <w:rFonts w:ascii="Arial"/>
                <w:color w:val="auto"/>
                <w:sz w:val="21"/>
                <w:highlight w:val="none"/>
              </w:rPr>
            </w:pPr>
          </w:p>
          <w:p w14:paraId="7DAF3416">
            <w:pPr>
              <w:spacing w:line="241" w:lineRule="auto"/>
              <w:rPr>
                <w:rFonts w:ascii="Arial"/>
                <w:color w:val="auto"/>
                <w:sz w:val="21"/>
                <w:highlight w:val="none"/>
              </w:rPr>
            </w:pPr>
          </w:p>
          <w:p w14:paraId="53062308">
            <w:pPr>
              <w:spacing w:line="241" w:lineRule="auto"/>
              <w:rPr>
                <w:rFonts w:ascii="Arial"/>
                <w:color w:val="auto"/>
                <w:sz w:val="21"/>
                <w:highlight w:val="none"/>
              </w:rPr>
            </w:pPr>
          </w:p>
          <w:p w14:paraId="5B48CE2D">
            <w:pPr>
              <w:spacing w:line="241" w:lineRule="auto"/>
              <w:rPr>
                <w:rFonts w:ascii="Arial"/>
                <w:color w:val="auto"/>
                <w:sz w:val="21"/>
                <w:highlight w:val="none"/>
              </w:rPr>
            </w:pPr>
          </w:p>
          <w:p w14:paraId="670144B4">
            <w:pPr>
              <w:pStyle w:val="17"/>
              <w:spacing w:before="65" w:line="347" w:lineRule="auto"/>
              <w:ind w:left="437" w:right="167" w:hanging="267"/>
              <w:rPr>
                <w:color w:val="auto"/>
                <w:sz w:val="10"/>
                <w:szCs w:val="10"/>
                <w:highlight w:val="none"/>
              </w:rPr>
            </w:pPr>
            <w:r>
              <w:rPr>
                <w:color w:val="auto"/>
                <w:spacing w:val="7"/>
                <w:highlight w:val="none"/>
              </w:rPr>
              <w:t>技术建议</w:t>
            </w:r>
            <w:r>
              <w:rPr>
                <w:color w:val="auto"/>
                <w:spacing w:val="1"/>
                <w:position w:val="-2"/>
                <w:highlight w:val="none"/>
              </w:rPr>
              <w:t>书</w:t>
            </w:r>
          </w:p>
        </w:tc>
        <w:tc>
          <w:tcPr>
            <w:tcW w:w="919" w:type="dxa"/>
            <w:vMerge w:val="restart"/>
            <w:tcBorders>
              <w:bottom w:val="nil"/>
            </w:tcBorders>
            <w:vAlign w:val="top"/>
          </w:tcPr>
          <w:p w14:paraId="4985599A">
            <w:pPr>
              <w:spacing w:line="250" w:lineRule="auto"/>
              <w:rPr>
                <w:rFonts w:ascii="Arial"/>
                <w:color w:val="auto"/>
                <w:sz w:val="21"/>
                <w:highlight w:val="none"/>
              </w:rPr>
            </w:pPr>
          </w:p>
          <w:p w14:paraId="214CB130">
            <w:pPr>
              <w:spacing w:line="250" w:lineRule="auto"/>
              <w:rPr>
                <w:rFonts w:ascii="Arial"/>
                <w:color w:val="auto"/>
                <w:sz w:val="21"/>
                <w:highlight w:val="none"/>
              </w:rPr>
            </w:pPr>
          </w:p>
          <w:p w14:paraId="75377FD3">
            <w:pPr>
              <w:spacing w:line="250" w:lineRule="auto"/>
              <w:rPr>
                <w:rFonts w:ascii="Arial"/>
                <w:color w:val="auto"/>
                <w:sz w:val="21"/>
                <w:highlight w:val="none"/>
              </w:rPr>
            </w:pPr>
          </w:p>
          <w:p w14:paraId="0F8A6645">
            <w:pPr>
              <w:spacing w:line="250" w:lineRule="auto"/>
              <w:rPr>
                <w:rFonts w:ascii="Arial"/>
                <w:color w:val="auto"/>
                <w:sz w:val="21"/>
                <w:highlight w:val="none"/>
              </w:rPr>
            </w:pPr>
          </w:p>
          <w:p w14:paraId="5C56D366">
            <w:pPr>
              <w:spacing w:line="250" w:lineRule="auto"/>
              <w:rPr>
                <w:rFonts w:ascii="Arial"/>
                <w:color w:val="auto"/>
                <w:sz w:val="21"/>
                <w:highlight w:val="none"/>
              </w:rPr>
            </w:pPr>
          </w:p>
          <w:p w14:paraId="42342C9F">
            <w:pPr>
              <w:spacing w:line="250" w:lineRule="auto"/>
              <w:rPr>
                <w:rFonts w:ascii="Arial"/>
                <w:color w:val="auto"/>
                <w:sz w:val="21"/>
                <w:highlight w:val="none"/>
              </w:rPr>
            </w:pPr>
          </w:p>
          <w:p w14:paraId="474ECD55">
            <w:pPr>
              <w:spacing w:line="250" w:lineRule="auto"/>
              <w:rPr>
                <w:rFonts w:ascii="Arial"/>
                <w:color w:val="auto"/>
                <w:sz w:val="21"/>
                <w:highlight w:val="none"/>
              </w:rPr>
            </w:pPr>
          </w:p>
          <w:p w14:paraId="005E2A52">
            <w:pPr>
              <w:spacing w:line="250" w:lineRule="auto"/>
              <w:rPr>
                <w:rFonts w:ascii="Arial"/>
                <w:color w:val="auto"/>
                <w:sz w:val="21"/>
                <w:highlight w:val="none"/>
              </w:rPr>
            </w:pPr>
          </w:p>
          <w:p w14:paraId="63110A75">
            <w:pPr>
              <w:spacing w:line="250" w:lineRule="auto"/>
              <w:rPr>
                <w:rFonts w:ascii="Arial"/>
                <w:color w:val="auto"/>
                <w:sz w:val="21"/>
                <w:highlight w:val="none"/>
              </w:rPr>
            </w:pPr>
          </w:p>
          <w:p w14:paraId="3CE097EF">
            <w:pPr>
              <w:spacing w:line="250" w:lineRule="auto"/>
              <w:rPr>
                <w:rFonts w:ascii="Arial"/>
                <w:color w:val="auto"/>
                <w:sz w:val="21"/>
                <w:highlight w:val="none"/>
              </w:rPr>
            </w:pPr>
          </w:p>
          <w:p w14:paraId="204368F9">
            <w:pPr>
              <w:spacing w:line="250" w:lineRule="auto"/>
              <w:rPr>
                <w:rFonts w:ascii="Arial"/>
                <w:color w:val="auto"/>
                <w:sz w:val="21"/>
                <w:highlight w:val="none"/>
              </w:rPr>
            </w:pPr>
          </w:p>
          <w:p w14:paraId="3688CCCD">
            <w:pPr>
              <w:spacing w:line="250" w:lineRule="auto"/>
              <w:rPr>
                <w:rFonts w:ascii="Arial"/>
                <w:color w:val="auto"/>
                <w:sz w:val="21"/>
                <w:highlight w:val="none"/>
              </w:rPr>
            </w:pPr>
          </w:p>
          <w:p w14:paraId="2B4ACE54">
            <w:pPr>
              <w:spacing w:line="250" w:lineRule="auto"/>
              <w:rPr>
                <w:rFonts w:ascii="Arial"/>
                <w:color w:val="auto"/>
                <w:sz w:val="21"/>
                <w:highlight w:val="none"/>
              </w:rPr>
            </w:pPr>
          </w:p>
          <w:p w14:paraId="27E8E10B">
            <w:pPr>
              <w:spacing w:line="250" w:lineRule="auto"/>
              <w:rPr>
                <w:rFonts w:ascii="Arial"/>
                <w:color w:val="auto"/>
                <w:sz w:val="21"/>
                <w:highlight w:val="none"/>
              </w:rPr>
            </w:pPr>
          </w:p>
          <w:p w14:paraId="734E8F39">
            <w:pPr>
              <w:spacing w:line="250" w:lineRule="auto"/>
              <w:rPr>
                <w:rFonts w:ascii="Arial"/>
                <w:color w:val="auto"/>
                <w:sz w:val="21"/>
                <w:highlight w:val="none"/>
              </w:rPr>
            </w:pPr>
          </w:p>
          <w:p w14:paraId="4C15E887">
            <w:pPr>
              <w:spacing w:line="250" w:lineRule="auto"/>
              <w:rPr>
                <w:rFonts w:ascii="Arial"/>
                <w:color w:val="auto"/>
                <w:sz w:val="21"/>
                <w:highlight w:val="none"/>
              </w:rPr>
            </w:pPr>
          </w:p>
          <w:p w14:paraId="7AC0B24E">
            <w:pPr>
              <w:spacing w:line="250" w:lineRule="auto"/>
              <w:rPr>
                <w:rFonts w:ascii="Arial"/>
                <w:color w:val="auto"/>
                <w:sz w:val="21"/>
                <w:highlight w:val="none"/>
              </w:rPr>
            </w:pPr>
          </w:p>
          <w:p w14:paraId="4012AF05">
            <w:pPr>
              <w:spacing w:line="250" w:lineRule="auto"/>
              <w:rPr>
                <w:rFonts w:ascii="Arial"/>
                <w:color w:val="auto"/>
                <w:sz w:val="21"/>
                <w:highlight w:val="none"/>
              </w:rPr>
            </w:pPr>
          </w:p>
          <w:p w14:paraId="21AEB175">
            <w:pPr>
              <w:spacing w:line="250" w:lineRule="auto"/>
              <w:rPr>
                <w:rFonts w:ascii="Arial"/>
                <w:color w:val="auto"/>
                <w:sz w:val="21"/>
                <w:highlight w:val="none"/>
              </w:rPr>
            </w:pPr>
          </w:p>
          <w:p w14:paraId="04821AFF">
            <w:pPr>
              <w:spacing w:line="251" w:lineRule="auto"/>
              <w:rPr>
                <w:rFonts w:ascii="Arial"/>
                <w:color w:val="auto"/>
                <w:sz w:val="21"/>
                <w:highlight w:val="none"/>
              </w:rPr>
            </w:pPr>
          </w:p>
          <w:p w14:paraId="61456C7C">
            <w:pPr>
              <w:pStyle w:val="17"/>
              <w:spacing w:before="65" w:line="228" w:lineRule="auto"/>
              <w:ind w:left="232"/>
              <w:rPr>
                <w:color w:val="auto"/>
                <w:highlight w:val="none"/>
              </w:rPr>
            </w:pPr>
            <w:r>
              <w:rPr>
                <w:color w:val="auto"/>
                <w:spacing w:val="-1"/>
                <w:highlight w:val="none"/>
              </w:rPr>
              <w:t>30</w:t>
            </w:r>
            <w:r>
              <w:rPr>
                <w:color w:val="auto"/>
                <w:spacing w:val="-38"/>
                <w:highlight w:val="none"/>
              </w:rPr>
              <w:t xml:space="preserve"> </w:t>
            </w:r>
            <w:r>
              <w:rPr>
                <w:color w:val="auto"/>
                <w:spacing w:val="-1"/>
                <w:highlight w:val="none"/>
              </w:rPr>
              <w:t>分</w:t>
            </w:r>
          </w:p>
        </w:tc>
        <w:tc>
          <w:tcPr>
            <w:tcW w:w="946" w:type="dxa"/>
            <w:vMerge w:val="restart"/>
            <w:tcBorders>
              <w:bottom w:val="nil"/>
            </w:tcBorders>
            <w:vAlign w:val="top"/>
          </w:tcPr>
          <w:p w14:paraId="5FFAFC02">
            <w:pPr>
              <w:spacing w:line="249" w:lineRule="auto"/>
              <w:rPr>
                <w:rFonts w:ascii="Arial"/>
                <w:color w:val="auto"/>
                <w:sz w:val="21"/>
                <w:highlight w:val="none"/>
              </w:rPr>
            </w:pPr>
          </w:p>
          <w:p w14:paraId="15ECF909">
            <w:pPr>
              <w:spacing w:line="249" w:lineRule="auto"/>
              <w:rPr>
                <w:rFonts w:ascii="Arial"/>
                <w:color w:val="auto"/>
                <w:sz w:val="21"/>
                <w:highlight w:val="none"/>
              </w:rPr>
            </w:pPr>
          </w:p>
          <w:p w14:paraId="536FE172">
            <w:pPr>
              <w:spacing w:line="249" w:lineRule="auto"/>
              <w:rPr>
                <w:rFonts w:ascii="Arial"/>
                <w:color w:val="auto"/>
                <w:sz w:val="21"/>
                <w:highlight w:val="none"/>
              </w:rPr>
            </w:pPr>
          </w:p>
          <w:p w14:paraId="369E21FA">
            <w:pPr>
              <w:spacing w:line="249" w:lineRule="auto"/>
              <w:rPr>
                <w:rFonts w:ascii="Arial"/>
                <w:color w:val="auto"/>
                <w:sz w:val="21"/>
                <w:highlight w:val="none"/>
              </w:rPr>
            </w:pPr>
          </w:p>
          <w:p w14:paraId="22EB317A">
            <w:pPr>
              <w:spacing w:line="249" w:lineRule="auto"/>
              <w:rPr>
                <w:rFonts w:ascii="Arial"/>
                <w:color w:val="auto"/>
                <w:sz w:val="21"/>
                <w:highlight w:val="none"/>
              </w:rPr>
            </w:pPr>
          </w:p>
          <w:p w14:paraId="79468215">
            <w:pPr>
              <w:spacing w:line="250" w:lineRule="auto"/>
              <w:rPr>
                <w:rFonts w:ascii="Arial"/>
                <w:color w:val="auto"/>
                <w:sz w:val="21"/>
                <w:highlight w:val="none"/>
              </w:rPr>
            </w:pPr>
          </w:p>
          <w:p w14:paraId="1365F1CC">
            <w:pPr>
              <w:spacing w:line="250" w:lineRule="auto"/>
              <w:rPr>
                <w:rFonts w:ascii="Arial"/>
                <w:color w:val="auto"/>
                <w:sz w:val="21"/>
                <w:highlight w:val="none"/>
              </w:rPr>
            </w:pPr>
          </w:p>
          <w:p w14:paraId="5D3516E9">
            <w:pPr>
              <w:spacing w:line="250" w:lineRule="auto"/>
              <w:rPr>
                <w:rFonts w:ascii="Arial"/>
                <w:color w:val="auto"/>
                <w:sz w:val="21"/>
                <w:highlight w:val="none"/>
              </w:rPr>
            </w:pPr>
          </w:p>
          <w:p w14:paraId="778B549C">
            <w:pPr>
              <w:spacing w:line="250" w:lineRule="auto"/>
              <w:rPr>
                <w:rFonts w:ascii="Arial"/>
                <w:color w:val="auto"/>
                <w:sz w:val="21"/>
                <w:highlight w:val="none"/>
              </w:rPr>
            </w:pPr>
          </w:p>
          <w:p w14:paraId="5BD6FF92">
            <w:pPr>
              <w:spacing w:line="250" w:lineRule="auto"/>
              <w:rPr>
                <w:rFonts w:ascii="Arial"/>
                <w:color w:val="auto"/>
                <w:sz w:val="21"/>
                <w:highlight w:val="none"/>
              </w:rPr>
            </w:pPr>
          </w:p>
          <w:p w14:paraId="05B44080">
            <w:pPr>
              <w:spacing w:line="250" w:lineRule="auto"/>
              <w:rPr>
                <w:rFonts w:ascii="Arial"/>
                <w:color w:val="auto"/>
                <w:sz w:val="21"/>
                <w:highlight w:val="none"/>
              </w:rPr>
            </w:pPr>
          </w:p>
          <w:p w14:paraId="75322E0E">
            <w:pPr>
              <w:spacing w:line="250" w:lineRule="auto"/>
              <w:rPr>
                <w:rFonts w:ascii="Arial"/>
                <w:color w:val="auto"/>
                <w:sz w:val="21"/>
                <w:highlight w:val="none"/>
              </w:rPr>
            </w:pPr>
          </w:p>
          <w:p w14:paraId="07410A44">
            <w:pPr>
              <w:spacing w:line="250" w:lineRule="auto"/>
              <w:rPr>
                <w:rFonts w:ascii="Arial"/>
                <w:color w:val="auto"/>
                <w:sz w:val="21"/>
                <w:highlight w:val="none"/>
              </w:rPr>
            </w:pPr>
          </w:p>
          <w:p w14:paraId="38061259">
            <w:pPr>
              <w:spacing w:line="250" w:lineRule="auto"/>
              <w:rPr>
                <w:rFonts w:ascii="Arial"/>
                <w:color w:val="auto"/>
                <w:sz w:val="21"/>
                <w:highlight w:val="none"/>
              </w:rPr>
            </w:pPr>
          </w:p>
          <w:p w14:paraId="5E744A20">
            <w:pPr>
              <w:spacing w:line="250" w:lineRule="auto"/>
              <w:rPr>
                <w:rFonts w:ascii="Arial"/>
                <w:color w:val="auto"/>
                <w:sz w:val="21"/>
                <w:highlight w:val="none"/>
              </w:rPr>
            </w:pPr>
          </w:p>
          <w:p w14:paraId="51959AB0">
            <w:pPr>
              <w:spacing w:line="250" w:lineRule="auto"/>
              <w:rPr>
                <w:rFonts w:ascii="Arial"/>
                <w:color w:val="auto"/>
                <w:sz w:val="21"/>
                <w:highlight w:val="none"/>
              </w:rPr>
            </w:pPr>
          </w:p>
          <w:p w14:paraId="1B38BE95">
            <w:pPr>
              <w:spacing w:line="250" w:lineRule="auto"/>
              <w:rPr>
                <w:rFonts w:ascii="Arial"/>
                <w:color w:val="auto"/>
                <w:sz w:val="21"/>
                <w:highlight w:val="none"/>
              </w:rPr>
            </w:pPr>
          </w:p>
          <w:p w14:paraId="33275072">
            <w:pPr>
              <w:pStyle w:val="17"/>
              <w:spacing w:before="65" w:line="228" w:lineRule="auto"/>
              <w:ind w:left="162"/>
              <w:rPr>
                <w:color w:val="auto"/>
                <w:highlight w:val="none"/>
              </w:rPr>
            </w:pPr>
            <w:r>
              <w:rPr>
                <w:color w:val="auto"/>
                <w:spacing w:val="6"/>
                <w:highlight w:val="none"/>
              </w:rPr>
              <w:t>监理大</w:t>
            </w:r>
          </w:p>
          <w:p w14:paraId="528452EF">
            <w:pPr>
              <w:pStyle w:val="17"/>
              <w:spacing w:before="131" w:line="231" w:lineRule="auto"/>
              <w:ind w:left="165"/>
              <w:rPr>
                <w:color w:val="auto"/>
                <w:highlight w:val="none"/>
              </w:rPr>
            </w:pPr>
            <w:r>
              <w:rPr>
                <w:color w:val="auto"/>
                <w:spacing w:val="5"/>
                <w:highlight w:val="none"/>
              </w:rPr>
              <w:t>纲（或</w:t>
            </w:r>
          </w:p>
          <w:p w14:paraId="7669B691">
            <w:pPr>
              <w:pStyle w:val="17"/>
              <w:spacing w:before="131" w:line="229" w:lineRule="auto"/>
              <w:ind w:left="162"/>
              <w:rPr>
                <w:color w:val="auto"/>
                <w:highlight w:val="none"/>
              </w:rPr>
            </w:pPr>
            <w:r>
              <w:rPr>
                <w:color w:val="auto"/>
                <w:spacing w:val="6"/>
                <w:highlight w:val="none"/>
              </w:rPr>
              <w:t>监理方</w:t>
            </w:r>
          </w:p>
          <w:p w14:paraId="51BCDABB">
            <w:pPr>
              <w:pStyle w:val="17"/>
              <w:spacing w:before="131" w:line="228" w:lineRule="auto"/>
              <w:ind w:left="163"/>
              <w:rPr>
                <w:color w:val="auto"/>
                <w:highlight w:val="none"/>
              </w:rPr>
            </w:pPr>
            <w:r>
              <w:rPr>
                <w:color w:val="auto"/>
                <w:spacing w:val="6"/>
                <w:highlight w:val="none"/>
              </w:rPr>
              <w:t>案）和</w:t>
            </w:r>
          </w:p>
          <w:p w14:paraId="579CA5A0">
            <w:pPr>
              <w:pStyle w:val="17"/>
              <w:spacing w:before="132" w:line="228" w:lineRule="auto"/>
              <w:ind w:left="267"/>
              <w:rPr>
                <w:color w:val="auto"/>
                <w:highlight w:val="none"/>
              </w:rPr>
            </w:pPr>
            <w:r>
              <w:rPr>
                <w:color w:val="auto"/>
                <w:spacing w:val="4"/>
                <w:highlight w:val="none"/>
              </w:rPr>
              <w:t>措施</w:t>
            </w:r>
          </w:p>
        </w:tc>
        <w:tc>
          <w:tcPr>
            <w:tcW w:w="600" w:type="dxa"/>
            <w:vMerge w:val="restart"/>
            <w:tcBorders>
              <w:bottom w:val="nil"/>
            </w:tcBorders>
            <w:vAlign w:val="top"/>
          </w:tcPr>
          <w:p w14:paraId="5DFFE602">
            <w:pPr>
              <w:rPr>
                <w:rFonts w:ascii="Arial"/>
                <w:color w:val="auto"/>
                <w:sz w:val="21"/>
                <w:highlight w:val="none"/>
              </w:rPr>
            </w:pPr>
          </w:p>
          <w:p w14:paraId="06A2C09D">
            <w:pPr>
              <w:rPr>
                <w:rFonts w:ascii="Arial"/>
                <w:color w:val="auto"/>
                <w:sz w:val="21"/>
                <w:highlight w:val="none"/>
              </w:rPr>
            </w:pPr>
          </w:p>
          <w:p w14:paraId="67FC2DBB">
            <w:pPr>
              <w:rPr>
                <w:rFonts w:ascii="Arial"/>
                <w:color w:val="auto"/>
                <w:sz w:val="21"/>
                <w:highlight w:val="none"/>
              </w:rPr>
            </w:pPr>
          </w:p>
          <w:p w14:paraId="3C89B89C">
            <w:pPr>
              <w:rPr>
                <w:rFonts w:ascii="Arial"/>
                <w:color w:val="auto"/>
                <w:sz w:val="21"/>
                <w:highlight w:val="none"/>
              </w:rPr>
            </w:pPr>
          </w:p>
          <w:p w14:paraId="6CBAF2B9">
            <w:pPr>
              <w:rPr>
                <w:rFonts w:ascii="Arial"/>
                <w:color w:val="auto"/>
                <w:sz w:val="21"/>
                <w:highlight w:val="none"/>
              </w:rPr>
            </w:pPr>
          </w:p>
          <w:p w14:paraId="30D83C73">
            <w:pPr>
              <w:rPr>
                <w:rFonts w:ascii="Arial"/>
                <w:color w:val="auto"/>
                <w:sz w:val="21"/>
                <w:highlight w:val="none"/>
              </w:rPr>
            </w:pPr>
          </w:p>
          <w:p w14:paraId="1D9C0F7D">
            <w:pPr>
              <w:rPr>
                <w:rFonts w:ascii="Arial"/>
                <w:color w:val="auto"/>
                <w:sz w:val="21"/>
                <w:highlight w:val="none"/>
              </w:rPr>
            </w:pPr>
          </w:p>
          <w:p w14:paraId="4A2094B2">
            <w:pPr>
              <w:rPr>
                <w:rFonts w:ascii="Arial"/>
                <w:color w:val="auto"/>
                <w:sz w:val="21"/>
                <w:highlight w:val="none"/>
              </w:rPr>
            </w:pPr>
          </w:p>
          <w:p w14:paraId="643C7FF1">
            <w:pPr>
              <w:rPr>
                <w:rFonts w:ascii="Arial"/>
                <w:color w:val="auto"/>
                <w:sz w:val="21"/>
                <w:highlight w:val="none"/>
              </w:rPr>
            </w:pPr>
          </w:p>
          <w:p w14:paraId="1329160A">
            <w:pPr>
              <w:rPr>
                <w:rFonts w:ascii="Arial"/>
                <w:color w:val="auto"/>
                <w:sz w:val="21"/>
                <w:highlight w:val="none"/>
              </w:rPr>
            </w:pPr>
          </w:p>
          <w:p w14:paraId="760A5D13">
            <w:pPr>
              <w:spacing w:line="241" w:lineRule="auto"/>
              <w:rPr>
                <w:rFonts w:ascii="Arial"/>
                <w:color w:val="auto"/>
                <w:sz w:val="21"/>
                <w:highlight w:val="none"/>
              </w:rPr>
            </w:pPr>
          </w:p>
          <w:p w14:paraId="05541B06">
            <w:pPr>
              <w:spacing w:line="241" w:lineRule="auto"/>
              <w:rPr>
                <w:rFonts w:ascii="Arial"/>
                <w:color w:val="auto"/>
                <w:sz w:val="21"/>
                <w:highlight w:val="none"/>
              </w:rPr>
            </w:pPr>
          </w:p>
          <w:p w14:paraId="328BF995">
            <w:pPr>
              <w:spacing w:line="241" w:lineRule="auto"/>
              <w:rPr>
                <w:rFonts w:ascii="Arial"/>
                <w:color w:val="auto"/>
                <w:sz w:val="21"/>
                <w:highlight w:val="none"/>
              </w:rPr>
            </w:pPr>
          </w:p>
          <w:p w14:paraId="7DDEA6E4">
            <w:pPr>
              <w:spacing w:line="241" w:lineRule="auto"/>
              <w:rPr>
                <w:rFonts w:ascii="Arial"/>
                <w:color w:val="auto"/>
                <w:sz w:val="21"/>
                <w:highlight w:val="none"/>
              </w:rPr>
            </w:pPr>
          </w:p>
          <w:p w14:paraId="063920BD">
            <w:pPr>
              <w:spacing w:line="241" w:lineRule="auto"/>
              <w:rPr>
                <w:rFonts w:ascii="Arial"/>
                <w:color w:val="auto"/>
                <w:sz w:val="21"/>
                <w:highlight w:val="none"/>
              </w:rPr>
            </w:pPr>
          </w:p>
          <w:p w14:paraId="461997EE">
            <w:pPr>
              <w:spacing w:line="241" w:lineRule="auto"/>
              <w:rPr>
                <w:rFonts w:ascii="Arial"/>
                <w:color w:val="auto"/>
                <w:sz w:val="21"/>
                <w:highlight w:val="none"/>
              </w:rPr>
            </w:pPr>
          </w:p>
          <w:p w14:paraId="52C1D2CF">
            <w:pPr>
              <w:spacing w:line="241" w:lineRule="auto"/>
              <w:rPr>
                <w:rFonts w:ascii="Arial"/>
                <w:color w:val="auto"/>
                <w:sz w:val="21"/>
                <w:highlight w:val="none"/>
              </w:rPr>
            </w:pPr>
          </w:p>
          <w:p w14:paraId="7530B0BC">
            <w:pPr>
              <w:spacing w:line="241" w:lineRule="auto"/>
              <w:rPr>
                <w:rFonts w:ascii="Arial"/>
                <w:color w:val="auto"/>
                <w:sz w:val="21"/>
                <w:highlight w:val="none"/>
              </w:rPr>
            </w:pPr>
          </w:p>
          <w:p w14:paraId="2775B30D">
            <w:pPr>
              <w:spacing w:line="241" w:lineRule="auto"/>
              <w:rPr>
                <w:rFonts w:ascii="Arial"/>
                <w:color w:val="auto"/>
                <w:sz w:val="21"/>
                <w:highlight w:val="none"/>
              </w:rPr>
            </w:pPr>
          </w:p>
          <w:p w14:paraId="7871A2EB">
            <w:pPr>
              <w:spacing w:line="241" w:lineRule="auto"/>
              <w:rPr>
                <w:rFonts w:ascii="Arial"/>
                <w:color w:val="auto"/>
                <w:sz w:val="21"/>
                <w:highlight w:val="none"/>
              </w:rPr>
            </w:pPr>
          </w:p>
          <w:p w14:paraId="53493FB9">
            <w:pPr>
              <w:pStyle w:val="17"/>
              <w:spacing w:before="65" w:line="354" w:lineRule="auto"/>
              <w:ind w:left="202" w:right="193" w:firstLine="12"/>
              <w:rPr>
                <w:color w:val="auto"/>
                <w:highlight w:val="none"/>
              </w:rPr>
            </w:pPr>
            <w:r>
              <w:rPr>
                <w:color w:val="auto"/>
                <w:spacing w:val="-7"/>
                <w:highlight w:val="none"/>
                <w:u w:val="single" w:color="auto"/>
              </w:rPr>
              <w:t>15</w:t>
            </w:r>
            <w:r>
              <w:rPr>
                <w:color w:val="auto"/>
                <w:spacing w:val="-2"/>
                <w:highlight w:val="none"/>
              </w:rPr>
              <w:t>分</w:t>
            </w:r>
          </w:p>
        </w:tc>
        <w:tc>
          <w:tcPr>
            <w:tcW w:w="1181" w:type="dxa"/>
            <w:vAlign w:val="top"/>
          </w:tcPr>
          <w:p w14:paraId="20EC51A6">
            <w:pPr>
              <w:spacing w:line="265" w:lineRule="auto"/>
              <w:rPr>
                <w:rFonts w:ascii="Arial"/>
                <w:color w:val="auto"/>
                <w:sz w:val="21"/>
                <w:highlight w:val="none"/>
              </w:rPr>
            </w:pPr>
          </w:p>
          <w:p w14:paraId="3598BE23">
            <w:pPr>
              <w:spacing w:line="265" w:lineRule="auto"/>
              <w:rPr>
                <w:rFonts w:ascii="Arial"/>
                <w:color w:val="auto"/>
                <w:sz w:val="21"/>
                <w:highlight w:val="none"/>
              </w:rPr>
            </w:pPr>
          </w:p>
          <w:p w14:paraId="4BB0F252">
            <w:pPr>
              <w:spacing w:line="265" w:lineRule="auto"/>
              <w:rPr>
                <w:rFonts w:ascii="Arial"/>
                <w:color w:val="auto"/>
                <w:sz w:val="21"/>
                <w:highlight w:val="none"/>
              </w:rPr>
            </w:pPr>
          </w:p>
          <w:p w14:paraId="0F8EF130">
            <w:pPr>
              <w:spacing w:line="266" w:lineRule="auto"/>
              <w:rPr>
                <w:rFonts w:ascii="Arial"/>
                <w:color w:val="auto"/>
                <w:sz w:val="21"/>
                <w:highlight w:val="none"/>
              </w:rPr>
            </w:pPr>
          </w:p>
          <w:p w14:paraId="054217C9">
            <w:pPr>
              <w:pStyle w:val="17"/>
              <w:spacing w:before="65" w:line="228" w:lineRule="auto"/>
              <w:ind w:left="176"/>
              <w:rPr>
                <w:color w:val="auto"/>
                <w:highlight w:val="none"/>
              </w:rPr>
            </w:pPr>
            <w:r>
              <w:rPr>
                <w:color w:val="auto"/>
                <w:spacing w:val="7"/>
                <w:highlight w:val="none"/>
              </w:rPr>
              <w:t>质量和安</w:t>
            </w:r>
          </w:p>
          <w:p w14:paraId="5BF742C0">
            <w:pPr>
              <w:pStyle w:val="17"/>
              <w:spacing w:before="52" w:line="236" w:lineRule="auto"/>
              <w:ind w:left="281"/>
              <w:rPr>
                <w:color w:val="auto"/>
                <w:highlight w:val="none"/>
              </w:rPr>
            </w:pPr>
            <w:r>
              <w:rPr>
                <w:color w:val="auto"/>
                <w:spacing w:val="6"/>
                <w:highlight w:val="none"/>
              </w:rPr>
              <w:t>全监理</w:t>
            </w:r>
          </w:p>
          <w:p w14:paraId="38E2F8C9">
            <w:pPr>
              <w:pStyle w:val="17"/>
              <w:spacing w:before="45" w:line="228" w:lineRule="auto"/>
              <w:ind w:left="212"/>
              <w:rPr>
                <w:color w:val="auto"/>
                <w:highlight w:val="none"/>
              </w:rPr>
            </w:pPr>
            <w:r>
              <w:rPr>
                <w:color w:val="auto"/>
                <w:spacing w:val="-2"/>
                <w:highlight w:val="none"/>
              </w:rPr>
              <w:t>（</w:t>
            </w:r>
            <w:r>
              <w:rPr>
                <w:color w:val="auto"/>
                <w:spacing w:val="-2"/>
                <w:highlight w:val="none"/>
                <w:u w:val="single" w:color="auto"/>
              </w:rPr>
              <w:t>5</w:t>
            </w:r>
            <w:r>
              <w:rPr>
                <w:color w:val="auto"/>
                <w:spacing w:val="-36"/>
                <w:highlight w:val="none"/>
                <w:u w:val="single" w:color="auto"/>
              </w:rPr>
              <w:t xml:space="preserve"> </w:t>
            </w:r>
            <w:r>
              <w:rPr>
                <w:color w:val="auto"/>
                <w:spacing w:val="-2"/>
                <w:highlight w:val="none"/>
              </w:rPr>
              <w:t>分）</w:t>
            </w:r>
          </w:p>
        </w:tc>
        <w:tc>
          <w:tcPr>
            <w:tcW w:w="3150" w:type="dxa"/>
            <w:vAlign w:val="top"/>
          </w:tcPr>
          <w:p w14:paraId="6EFD7248">
            <w:pPr>
              <w:pStyle w:val="17"/>
              <w:spacing w:before="144" w:line="331" w:lineRule="auto"/>
              <w:ind w:left="114" w:right="107" w:firstLine="1"/>
              <w:rPr>
                <w:color w:val="auto"/>
                <w:highlight w:val="none"/>
              </w:rPr>
            </w:pPr>
            <w:r>
              <w:rPr>
                <w:color w:val="auto"/>
                <w:spacing w:val="21"/>
                <w:highlight w:val="none"/>
              </w:rPr>
              <w:t>质量和安全监理目标明确</w:t>
            </w:r>
            <w:r>
              <w:rPr>
                <w:color w:val="auto"/>
                <w:spacing w:val="-53"/>
                <w:highlight w:val="none"/>
              </w:rPr>
              <w:t xml:space="preserve"> </w:t>
            </w:r>
            <w:r>
              <w:rPr>
                <w:color w:val="auto"/>
                <w:spacing w:val="21"/>
                <w:highlight w:val="none"/>
              </w:rPr>
              <w:t>，且</w:t>
            </w:r>
            <w:r>
              <w:rPr>
                <w:color w:val="auto"/>
                <w:spacing w:val="24"/>
                <w:highlight w:val="none"/>
              </w:rPr>
              <w:t>完全响应广东省施工标准化和</w:t>
            </w:r>
            <w:r>
              <w:rPr>
                <w:color w:val="auto"/>
                <w:spacing w:val="15"/>
                <w:highlight w:val="none"/>
              </w:rPr>
              <w:t>安全标准化指南的得</w:t>
            </w:r>
            <w:r>
              <w:rPr>
                <w:color w:val="auto"/>
                <w:spacing w:val="-15"/>
                <w:highlight w:val="none"/>
              </w:rPr>
              <w:t xml:space="preserve"> </w:t>
            </w:r>
            <w:r>
              <w:rPr>
                <w:color w:val="auto"/>
                <w:spacing w:val="15"/>
                <w:highlight w:val="none"/>
                <w:u w:val="single" w:color="auto"/>
              </w:rPr>
              <w:t>3.0</w:t>
            </w:r>
            <w:r>
              <w:rPr>
                <w:color w:val="auto"/>
                <w:spacing w:val="-18"/>
                <w:highlight w:val="none"/>
                <w:u w:val="single" w:color="auto"/>
              </w:rPr>
              <w:t xml:space="preserve"> </w:t>
            </w:r>
            <w:r>
              <w:rPr>
                <w:color w:val="auto"/>
                <w:spacing w:val="15"/>
                <w:highlight w:val="none"/>
              </w:rPr>
              <w:t>分</w:t>
            </w:r>
            <w:r>
              <w:rPr>
                <w:color w:val="auto"/>
                <w:spacing w:val="-55"/>
                <w:highlight w:val="none"/>
              </w:rPr>
              <w:t xml:space="preserve"> </w:t>
            </w:r>
            <w:r>
              <w:rPr>
                <w:color w:val="auto"/>
                <w:spacing w:val="15"/>
                <w:highlight w:val="none"/>
              </w:rPr>
              <w:t>；</w:t>
            </w:r>
            <w:r>
              <w:rPr>
                <w:color w:val="auto"/>
                <w:spacing w:val="21"/>
                <w:highlight w:val="none"/>
              </w:rPr>
              <w:t>监理措施具体且有效</w:t>
            </w:r>
            <w:r>
              <w:rPr>
                <w:color w:val="auto"/>
                <w:spacing w:val="-51"/>
                <w:highlight w:val="none"/>
              </w:rPr>
              <w:t xml:space="preserve"> </w:t>
            </w:r>
            <w:r>
              <w:rPr>
                <w:color w:val="auto"/>
                <w:spacing w:val="21"/>
                <w:highlight w:val="none"/>
              </w:rPr>
              <w:t>，对质量</w:t>
            </w:r>
            <w:r>
              <w:rPr>
                <w:color w:val="auto"/>
                <w:spacing w:val="24"/>
                <w:highlight w:val="none"/>
              </w:rPr>
              <w:t>和安全问题所采取的对策及预</w:t>
            </w:r>
            <w:r>
              <w:rPr>
                <w:color w:val="auto"/>
                <w:spacing w:val="18"/>
                <w:highlight w:val="none"/>
              </w:rPr>
              <w:t>控方法合理可行的</w:t>
            </w:r>
            <w:r>
              <w:rPr>
                <w:color w:val="auto"/>
                <w:spacing w:val="-54"/>
                <w:highlight w:val="none"/>
              </w:rPr>
              <w:t xml:space="preserve"> </w:t>
            </w:r>
            <w:r>
              <w:rPr>
                <w:color w:val="auto"/>
                <w:spacing w:val="18"/>
                <w:highlight w:val="none"/>
              </w:rPr>
              <w:t>，</w:t>
            </w:r>
            <w:r>
              <w:rPr>
                <w:color w:val="auto"/>
                <w:spacing w:val="-58"/>
                <w:highlight w:val="none"/>
              </w:rPr>
              <w:t xml:space="preserve"> </w:t>
            </w:r>
            <w:r>
              <w:rPr>
                <w:color w:val="auto"/>
                <w:spacing w:val="18"/>
                <w:highlight w:val="none"/>
              </w:rPr>
              <w:t>响应广东</w:t>
            </w:r>
            <w:r>
              <w:rPr>
                <w:color w:val="auto"/>
                <w:spacing w:val="24"/>
                <w:highlight w:val="none"/>
              </w:rPr>
              <w:t>省施工标准化和安全标准化指</w:t>
            </w:r>
            <w:r>
              <w:rPr>
                <w:color w:val="auto"/>
                <w:spacing w:val="5"/>
                <w:highlight w:val="none"/>
              </w:rPr>
              <w:t>南程度，酌情加</w:t>
            </w:r>
            <w:r>
              <w:rPr>
                <w:color w:val="auto"/>
                <w:spacing w:val="-34"/>
                <w:highlight w:val="none"/>
                <w:u w:val="single"/>
              </w:rPr>
              <w:t xml:space="preserve"> </w:t>
            </w:r>
            <w:r>
              <w:rPr>
                <w:color w:val="auto"/>
                <w:spacing w:val="5"/>
                <w:highlight w:val="none"/>
                <w:u w:val="single"/>
              </w:rPr>
              <w:t>0-</w:t>
            </w:r>
            <w:r>
              <w:rPr>
                <w:color w:val="auto"/>
                <w:spacing w:val="5"/>
                <w:highlight w:val="none"/>
                <w:u w:val="single" w:color="auto"/>
              </w:rPr>
              <w:t>2.0</w:t>
            </w:r>
            <w:r>
              <w:rPr>
                <w:color w:val="auto"/>
                <w:spacing w:val="-36"/>
                <w:highlight w:val="none"/>
                <w:u w:val="single" w:color="auto"/>
              </w:rPr>
              <w:t xml:space="preserve"> </w:t>
            </w:r>
            <w:r>
              <w:rPr>
                <w:color w:val="auto"/>
                <w:spacing w:val="5"/>
                <w:highlight w:val="none"/>
              </w:rPr>
              <w:t>分；</w:t>
            </w:r>
          </w:p>
        </w:tc>
      </w:tr>
      <w:tr w14:paraId="6A55B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5" w:hRule="atLeast"/>
        </w:trPr>
        <w:tc>
          <w:tcPr>
            <w:tcW w:w="927" w:type="dxa"/>
            <w:vMerge w:val="continue"/>
            <w:tcBorders>
              <w:top w:val="nil"/>
              <w:bottom w:val="nil"/>
            </w:tcBorders>
            <w:vAlign w:val="top"/>
          </w:tcPr>
          <w:p w14:paraId="548BD217">
            <w:pPr>
              <w:rPr>
                <w:rFonts w:ascii="Arial"/>
                <w:color w:val="auto"/>
                <w:sz w:val="21"/>
                <w:highlight w:val="none"/>
              </w:rPr>
            </w:pPr>
          </w:p>
        </w:tc>
        <w:tc>
          <w:tcPr>
            <w:tcW w:w="1172" w:type="dxa"/>
            <w:vMerge w:val="continue"/>
            <w:tcBorders>
              <w:top w:val="nil"/>
              <w:bottom w:val="nil"/>
            </w:tcBorders>
            <w:vAlign w:val="top"/>
          </w:tcPr>
          <w:p w14:paraId="417CDD7C">
            <w:pPr>
              <w:rPr>
                <w:rFonts w:ascii="Arial"/>
                <w:color w:val="auto"/>
                <w:sz w:val="21"/>
                <w:highlight w:val="none"/>
              </w:rPr>
            </w:pPr>
          </w:p>
        </w:tc>
        <w:tc>
          <w:tcPr>
            <w:tcW w:w="919" w:type="dxa"/>
            <w:vMerge w:val="continue"/>
            <w:tcBorders>
              <w:top w:val="nil"/>
              <w:bottom w:val="nil"/>
            </w:tcBorders>
            <w:vAlign w:val="top"/>
          </w:tcPr>
          <w:p w14:paraId="569351E8">
            <w:pPr>
              <w:rPr>
                <w:rFonts w:ascii="Arial"/>
                <w:color w:val="auto"/>
                <w:sz w:val="21"/>
                <w:highlight w:val="none"/>
              </w:rPr>
            </w:pPr>
          </w:p>
        </w:tc>
        <w:tc>
          <w:tcPr>
            <w:tcW w:w="946" w:type="dxa"/>
            <w:vMerge w:val="continue"/>
            <w:tcBorders>
              <w:top w:val="nil"/>
              <w:bottom w:val="nil"/>
            </w:tcBorders>
            <w:vAlign w:val="top"/>
          </w:tcPr>
          <w:p w14:paraId="1DC0B128">
            <w:pPr>
              <w:rPr>
                <w:rFonts w:ascii="Arial"/>
                <w:color w:val="auto"/>
                <w:sz w:val="21"/>
                <w:highlight w:val="none"/>
              </w:rPr>
            </w:pPr>
          </w:p>
        </w:tc>
        <w:tc>
          <w:tcPr>
            <w:tcW w:w="600" w:type="dxa"/>
            <w:vMerge w:val="continue"/>
            <w:tcBorders>
              <w:top w:val="nil"/>
              <w:bottom w:val="nil"/>
            </w:tcBorders>
            <w:vAlign w:val="top"/>
          </w:tcPr>
          <w:p w14:paraId="0EAB496D">
            <w:pPr>
              <w:rPr>
                <w:rFonts w:ascii="Arial"/>
                <w:color w:val="auto"/>
                <w:sz w:val="21"/>
                <w:highlight w:val="none"/>
              </w:rPr>
            </w:pPr>
          </w:p>
        </w:tc>
        <w:tc>
          <w:tcPr>
            <w:tcW w:w="1181" w:type="dxa"/>
            <w:vAlign w:val="top"/>
          </w:tcPr>
          <w:p w14:paraId="3BC98DD1">
            <w:pPr>
              <w:spacing w:line="331" w:lineRule="auto"/>
              <w:rPr>
                <w:rFonts w:ascii="Arial"/>
                <w:color w:val="auto"/>
                <w:sz w:val="21"/>
                <w:highlight w:val="none"/>
              </w:rPr>
            </w:pPr>
          </w:p>
          <w:p w14:paraId="0F0F19F5">
            <w:pPr>
              <w:spacing w:line="332" w:lineRule="auto"/>
              <w:rPr>
                <w:rFonts w:ascii="Arial"/>
                <w:color w:val="auto"/>
                <w:sz w:val="21"/>
                <w:highlight w:val="none"/>
              </w:rPr>
            </w:pPr>
          </w:p>
          <w:p w14:paraId="7356813A">
            <w:pPr>
              <w:pStyle w:val="17"/>
              <w:spacing w:before="65" w:line="354" w:lineRule="auto"/>
              <w:ind w:left="212" w:right="170" w:hanging="38"/>
              <w:rPr>
                <w:color w:val="auto"/>
                <w:highlight w:val="none"/>
              </w:rPr>
            </w:pPr>
            <w:r>
              <w:rPr>
                <w:color w:val="auto"/>
                <w:spacing w:val="7"/>
                <w:highlight w:val="none"/>
              </w:rPr>
              <w:t>进度监理</w:t>
            </w:r>
            <w:r>
              <w:rPr>
                <w:color w:val="auto"/>
                <w:spacing w:val="-2"/>
                <w:highlight w:val="none"/>
              </w:rPr>
              <w:t>（</w:t>
            </w:r>
            <w:r>
              <w:rPr>
                <w:color w:val="auto"/>
                <w:spacing w:val="-2"/>
                <w:highlight w:val="none"/>
                <w:u w:val="single" w:color="auto"/>
              </w:rPr>
              <w:t>5</w:t>
            </w:r>
            <w:r>
              <w:rPr>
                <w:color w:val="auto"/>
                <w:spacing w:val="-36"/>
                <w:highlight w:val="none"/>
                <w:u w:val="single" w:color="auto"/>
              </w:rPr>
              <w:t xml:space="preserve"> </w:t>
            </w:r>
            <w:r>
              <w:rPr>
                <w:color w:val="auto"/>
                <w:spacing w:val="-2"/>
                <w:highlight w:val="none"/>
              </w:rPr>
              <w:t>分）</w:t>
            </w:r>
          </w:p>
        </w:tc>
        <w:tc>
          <w:tcPr>
            <w:tcW w:w="3150" w:type="dxa"/>
            <w:vAlign w:val="top"/>
          </w:tcPr>
          <w:p w14:paraId="192674B9">
            <w:pPr>
              <w:pStyle w:val="17"/>
              <w:spacing w:before="165" w:line="323" w:lineRule="auto"/>
              <w:ind w:left="113" w:right="107"/>
              <w:jc w:val="both"/>
              <w:rPr>
                <w:color w:val="auto"/>
                <w:highlight w:val="none"/>
              </w:rPr>
            </w:pPr>
            <w:r>
              <w:rPr>
                <w:color w:val="auto"/>
                <w:spacing w:val="24"/>
                <w:highlight w:val="none"/>
              </w:rPr>
              <w:t>进度监理目标明确并满足招标</w:t>
            </w:r>
            <w:r>
              <w:rPr>
                <w:color w:val="auto"/>
                <w:spacing w:val="15"/>
                <w:highlight w:val="none"/>
              </w:rPr>
              <w:t>文件的要求得</w:t>
            </w:r>
            <w:r>
              <w:rPr>
                <w:color w:val="auto"/>
                <w:spacing w:val="-17"/>
                <w:highlight w:val="none"/>
              </w:rPr>
              <w:t xml:space="preserve"> </w:t>
            </w:r>
            <w:r>
              <w:rPr>
                <w:color w:val="auto"/>
                <w:spacing w:val="15"/>
                <w:highlight w:val="none"/>
                <w:u w:val="single" w:color="auto"/>
              </w:rPr>
              <w:t>3.0</w:t>
            </w:r>
            <w:r>
              <w:rPr>
                <w:color w:val="auto"/>
                <w:spacing w:val="-19"/>
                <w:highlight w:val="none"/>
                <w:u w:val="single" w:color="auto"/>
              </w:rPr>
              <w:t xml:space="preserve"> </w:t>
            </w:r>
            <w:r>
              <w:rPr>
                <w:color w:val="auto"/>
                <w:spacing w:val="15"/>
                <w:highlight w:val="none"/>
              </w:rPr>
              <w:t>分</w:t>
            </w:r>
            <w:r>
              <w:rPr>
                <w:color w:val="auto"/>
                <w:spacing w:val="-55"/>
                <w:highlight w:val="none"/>
              </w:rPr>
              <w:t xml:space="preserve"> </w:t>
            </w:r>
            <w:r>
              <w:rPr>
                <w:color w:val="auto"/>
                <w:spacing w:val="15"/>
                <w:highlight w:val="none"/>
              </w:rPr>
              <w:t>；监理措</w:t>
            </w:r>
            <w:r>
              <w:rPr>
                <w:color w:val="auto"/>
                <w:spacing w:val="21"/>
                <w:highlight w:val="none"/>
              </w:rPr>
              <w:t>施具体且有效</w:t>
            </w:r>
            <w:r>
              <w:rPr>
                <w:color w:val="auto"/>
                <w:spacing w:val="-51"/>
                <w:highlight w:val="none"/>
              </w:rPr>
              <w:t xml:space="preserve"> </w:t>
            </w:r>
            <w:r>
              <w:rPr>
                <w:color w:val="auto"/>
                <w:spacing w:val="21"/>
                <w:highlight w:val="none"/>
              </w:rPr>
              <w:t>，对保证工期所</w:t>
            </w:r>
            <w:r>
              <w:rPr>
                <w:color w:val="auto"/>
                <w:spacing w:val="24"/>
                <w:highlight w:val="none"/>
              </w:rPr>
              <w:t>采取的对策及预控方法合理可</w:t>
            </w:r>
            <w:r>
              <w:rPr>
                <w:color w:val="auto"/>
                <w:spacing w:val="5"/>
                <w:highlight w:val="none"/>
              </w:rPr>
              <w:t>行的，酌情加</w:t>
            </w:r>
            <w:r>
              <w:rPr>
                <w:color w:val="auto"/>
                <w:spacing w:val="-38"/>
                <w:highlight w:val="none"/>
              </w:rPr>
              <w:t xml:space="preserve"> </w:t>
            </w:r>
            <w:r>
              <w:rPr>
                <w:color w:val="auto"/>
                <w:spacing w:val="5"/>
                <w:highlight w:val="none"/>
                <w:u w:val="single" w:color="auto"/>
              </w:rPr>
              <w:t>0-2.0</w:t>
            </w:r>
            <w:r>
              <w:rPr>
                <w:color w:val="auto"/>
                <w:spacing w:val="-38"/>
                <w:highlight w:val="none"/>
                <w:u w:val="single" w:color="auto"/>
              </w:rPr>
              <w:t xml:space="preserve"> </w:t>
            </w:r>
            <w:r>
              <w:rPr>
                <w:color w:val="auto"/>
                <w:spacing w:val="5"/>
                <w:highlight w:val="none"/>
              </w:rPr>
              <w:t>分。</w:t>
            </w:r>
          </w:p>
        </w:tc>
      </w:tr>
      <w:tr w14:paraId="59D2E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4" w:hRule="atLeast"/>
        </w:trPr>
        <w:tc>
          <w:tcPr>
            <w:tcW w:w="927" w:type="dxa"/>
            <w:vMerge w:val="continue"/>
            <w:tcBorders>
              <w:top w:val="nil"/>
              <w:bottom w:val="nil"/>
            </w:tcBorders>
            <w:vAlign w:val="top"/>
          </w:tcPr>
          <w:p w14:paraId="68872099">
            <w:pPr>
              <w:rPr>
                <w:rFonts w:ascii="Arial"/>
                <w:color w:val="auto"/>
                <w:sz w:val="21"/>
                <w:highlight w:val="none"/>
              </w:rPr>
            </w:pPr>
          </w:p>
        </w:tc>
        <w:tc>
          <w:tcPr>
            <w:tcW w:w="1172" w:type="dxa"/>
            <w:vMerge w:val="continue"/>
            <w:tcBorders>
              <w:top w:val="nil"/>
              <w:bottom w:val="nil"/>
            </w:tcBorders>
            <w:vAlign w:val="top"/>
          </w:tcPr>
          <w:p w14:paraId="4E3224B7">
            <w:pPr>
              <w:rPr>
                <w:rFonts w:ascii="Arial"/>
                <w:color w:val="auto"/>
                <w:sz w:val="21"/>
                <w:highlight w:val="none"/>
              </w:rPr>
            </w:pPr>
          </w:p>
        </w:tc>
        <w:tc>
          <w:tcPr>
            <w:tcW w:w="919" w:type="dxa"/>
            <w:vMerge w:val="continue"/>
            <w:tcBorders>
              <w:top w:val="nil"/>
              <w:bottom w:val="nil"/>
            </w:tcBorders>
            <w:vAlign w:val="top"/>
          </w:tcPr>
          <w:p w14:paraId="12D5CEAF">
            <w:pPr>
              <w:rPr>
                <w:rFonts w:ascii="Arial"/>
                <w:color w:val="auto"/>
                <w:sz w:val="21"/>
                <w:highlight w:val="none"/>
              </w:rPr>
            </w:pPr>
          </w:p>
        </w:tc>
        <w:tc>
          <w:tcPr>
            <w:tcW w:w="946" w:type="dxa"/>
            <w:vMerge w:val="continue"/>
            <w:tcBorders>
              <w:top w:val="nil"/>
              <w:bottom w:val="nil"/>
            </w:tcBorders>
            <w:vAlign w:val="top"/>
          </w:tcPr>
          <w:p w14:paraId="53651927">
            <w:pPr>
              <w:rPr>
                <w:rFonts w:ascii="Arial"/>
                <w:color w:val="auto"/>
                <w:sz w:val="21"/>
                <w:highlight w:val="none"/>
              </w:rPr>
            </w:pPr>
          </w:p>
        </w:tc>
        <w:tc>
          <w:tcPr>
            <w:tcW w:w="600" w:type="dxa"/>
            <w:vMerge w:val="continue"/>
            <w:tcBorders>
              <w:top w:val="nil"/>
              <w:bottom w:val="nil"/>
            </w:tcBorders>
            <w:vAlign w:val="top"/>
          </w:tcPr>
          <w:p w14:paraId="097D8F11">
            <w:pPr>
              <w:rPr>
                <w:rFonts w:ascii="Arial"/>
                <w:color w:val="auto"/>
                <w:sz w:val="21"/>
                <w:highlight w:val="none"/>
              </w:rPr>
            </w:pPr>
          </w:p>
        </w:tc>
        <w:tc>
          <w:tcPr>
            <w:tcW w:w="1181" w:type="dxa"/>
            <w:vAlign w:val="top"/>
          </w:tcPr>
          <w:p w14:paraId="7C8A3D1D">
            <w:pPr>
              <w:spacing w:line="255" w:lineRule="auto"/>
              <w:rPr>
                <w:rFonts w:ascii="Arial"/>
                <w:color w:val="auto"/>
                <w:sz w:val="21"/>
                <w:highlight w:val="none"/>
              </w:rPr>
            </w:pPr>
          </w:p>
          <w:p w14:paraId="75801373">
            <w:pPr>
              <w:spacing w:line="256" w:lineRule="auto"/>
              <w:rPr>
                <w:rFonts w:ascii="Arial"/>
                <w:color w:val="auto"/>
                <w:sz w:val="21"/>
                <w:highlight w:val="none"/>
              </w:rPr>
            </w:pPr>
          </w:p>
          <w:p w14:paraId="6BAF7806">
            <w:pPr>
              <w:spacing w:line="256" w:lineRule="auto"/>
              <w:rPr>
                <w:rFonts w:ascii="Arial"/>
                <w:color w:val="auto"/>
                <w:sz w:val="21"/>
                <w:highlight w:val="none"/>
              </w:rPr>
            </w:pPr>
          </w:p>
          <w:p w14:paraId="61B48D37">
            <w:pPr>
              <w:spacing w:line="256" w:lineRule="auto"/>
              <w:rPr>
                <w:rFonts w:ascii="Arial"/>
                <w:color w:val="auto"/>
                <w:sz w:val="21"/>
                <w:highlight w:val="none"/>
              </w:rPr>
            </w:pPr>
          </w:p>
          <w:p w14:paraId="755743CB">
            <w:pPr>
              <w:pStyle w:val="17"/>
              <w:spacing w:before="65" w:line="228" w:lineRule="auto"/>
              <w:ind w:left="187"/>
              <w:rPr>
                <w:color w:val="auto"/>
                <w:highlight w:val="none"/>
              </w:rPr>
            </w:pPr>
            <w:r>
              <w:rPr>
                <w:color w:val="auto"/>
                <w:spacing w:val="4"/>
                <w:highlight w:val="none"/>
              </w:rPr>
              <w:t>费用和合</w:t>
            </w:r>
          </w:p>
          <w:p w14:paraId="3548DA2C">
            <w:pPr>
              <w:pStyle w:val="17"/>
              <w:spacing w:before="131" w:line="230" w:lineRule="auto"/>
              <w:ind w:left="301"/>
              <w:rPr>
                <w:color w:val="auto"/>
                <w:highlight w:val="none"/>
              </w:rPr>
            </w:pPr>
            <w:r>
              <w:rPr>
                <w:color w:val="auto"/>
                <w:highlight w:val="none"/>
              </w:rPr>
              <w:t>同监理</w:t>
            </w:r>
          </w:p>
          <w:p w14:paraId="308C5565">
            <w:pPr>
              <w:pStyle w:val="17"/>
              <w:spacing w:before="130" w:line="228" w:lineRule="auto"/>
              <w:ind w:left="212"/>
              <w:rPr>
                <w:color w:val="auto"/>
                <w:highlight w:val="none"/>
              </w:rPr>
            </w:pPr>
            <w:r>
              <w:rPr>
                <w:color w:val="auto"/>
                <w:spacing w:val="-2"/>
                <w:highlight w:val="none"/>
              </w:rPr>
              <w:t>（</w:t>
            </w:r>
            <w:r>
              <w:rPr>
                <w:color w:val="auto"/>
                <w:spacing w:val="-2"/>
                <w:highlight w:val="none"/>
                <w:u w:val="single" w:color="auto"/>
              </w:rPr>
              <w:t>3</w:t>
            </w:r>
            <w:r>
              <w:rPr>
                <w:color w:val="auto"/>
                <w:spacing w:val="-36"/>
                <w:highlight w:val="none"/>
                <w:u w:val="single" w:color="auto"/>
              </w:rPr>
              <w:t xml:space="preserve"> </w:t>
            </w:r>
            <w:r>
              <w:rPr>
                <w:color w:val="auto"/>
                <w:spacing w:val="-2"/>
                <w:highlight w:val="none"/>
              </w:rPr>
              <w:t>分）</w:t>
            </w:r>
          </w:p>
        </w:tc>
        <w:tc>
          <w:tcPr>
            <w:tcW w:w="3150" w:type="dxa"/>
            <w:vAlign w:val="top"/>
          </w:tcPr>
          <w:p w14:paraId="054FAEA4">
            <w:pPr>
              <w:pStyle w:val="17"/>
              <w:spacing w:before="148" w:line="333" w:lineRule="auto"/>
              <w:ind w:left="114" w:right="107" w:firstLine="1"/>
              <w:jc w:val="both"/>
              <w:rPr>
                <w:color w:val="auto"/>
                <w:highlight w:val="none"/>
              </w:rPr>
            </w:pPr>
            <w:r>
              <w:rPr>
                <w:color w:val="auto"/>
                <w:spacing w:val="24"/>
                <w:highlight w:val="none"/>
              </w:rPr>
              <w:t>有工程计量与支付监理方面的具体管理方法和措施具体且有</w:t>
            </w:r>
            <w:r>
              <w:rPr>
                <w:color w:val="auto"/>
                <w:spacing w:val="18"/>
                <w:highlight w:val="none"/>
              </w:rPr>
              <w:t>效</w:t>
            </w:r>
            <w:r>
              <w:rPr>
                <w:color w:val="auto"/>
                <w:spacing w:val="-54"/>
                <w:highlight w:val="none"/>
              </w:rPr>
              <w:t xml:space="preserve"> </w:t>
            </w:r>
            <w:r>
              <w:rPr>
                <w:color w:val="auto"/>
                <w:spacing w:val="18"/>
                <w:highlight w:val="none"/>
              </w:rPr>
              <w:t>，有明确的变更管理</w:t>
            </w:r>
            <w:r>
              <w:rPr>
                <w:color w:val="auto"/>
                <w:spacing w:val="-58"/>
                <w:highlight w:val="none"/>
              </w:rPr>
              <w:t xml:space="preserve"> </w:t>
            </w:r>
            <w:r>
              <w:rPr>
                <w:color w:val="auto"/>
                <w:spacing w:val="18"/>
                <w:highlight w:val="none"/>
              </w:rPr>
              <w:t>、预防</w:t>
            </w:r>
            <w:r>
              <w:rPr>
                <w:color w:val="auto"/>
                <w:spacing w:val="21"/>
                <w:highlight w:val="none"/>
              </w:rPr>
              <w:t>索赔</w:t>
            </w:r>
            <w:r>
              <w:rPr>
                <w:color w:val="auto"/>
                <w:spacing w:val="-51"/>
                <w:highlight w:val="none"/>
              </w:rPr>
              <w:t xml:space="preserve"> </w:t>
            </w:r>
            <w:r>
              <w:rPr>
                <w:color w:val="auto"/>
                <w:spacing w:val="21"/>
                <w:highlight w:val="none"/>
              </w:rPr>
              <w:t>、减少合同纠纷的管理和</w:t>
            </w:r>
            <w:r>
              <w:rPr>
                <w:color w:val="auto"/>
                <w:spacing w:val="13"/>
                <w:highlight w:val="none"/>
              </w:rPr>
              <w:t xml:space="preserve">控制措施得 </w:t>
            </w:r>
            <w:r>
              <w:rPr>
                <w:color w:val="auto"/>
                <w:spacing w:val="13"/>
                <w:highlight w:val="none"/>
                <w:u w:val="single" w:color="auto"/>
              </w:rPr>
              <w:t>1.8</w:t>
            </w:r>
            <w:r>
              <w:rPr>
                <w:color w:val="auto"/>
                <w:spacing w:val="-18"/>
                <w:highlight w:val="none"/>
                <w:u w:val="single" w:color="auto"/>
              </w:rPr>
              <w:t xml:space="preserve"> </w:t>
            </w:r>
            <w:r>
              <w:rPr>
                <w:color w:val="auto"/>
                <w:spacing w:val="13"/>
                <w:highlight w:val="none"/>
              </w:rPr>
              <w:t>分</w:t>
            </w:r>
            <w:r>
              <w:rPr>
                <w:color w:val="auto"/>
                <w:spacing w:val="-55"/>
                <w:highlight w:val="none"/>
              </w:rPr>
              <w:t xml:space="preserve"> </w:t>
            </w:r>
            <w:r>
              <w:rPr>
                <w:color w:val="auto"/>
                <w:spacing w:val="13"/>
                <w:highlight w:val="none"/>
              </w:rPr>
              <w:t>；有合理可</w:t>
            </w:r>
            <w:r>
              <w:rPr>
                <w:color w:val="auto"/>
                <w:spacing w:val="24"/>
                <w:highlight w:val="none"/>
              </w:rPr>
              <w:t>行的控制超计量支付及提前计</w:t>
            </w:r>
            <w:r>
              <w:rPr>
                <w:color w:val="auto"/>
                <w:spacing w:val="21"/>
                <w:highlight w:val="none"/>
              </w:rPr>
              <w:t>量支付的预控方法的</w:t>
            </w:r>
            <w:r>
              <w:rPr>
                <w:color w:val="auto"/>
                <w:spacing w:val="-51"/>
                <w:highlight w:val="none"/>
              </w:rPr>
              <w:t xml:space="preserve"> </w:t>
            </w:r>
            <w:r>
              <w:rPr>
                <w:color w:val="auto"/>
                <w:spacing w:val="21"/>
                <w:highlight w:val="none"/>
              </w:rPr>
              <w:t>，酌情加</w:t>
            </w:r>
            <w:r>
              <w:rPr>
                <w:color w:val="auto"/>
                <w:spacing w:val="-1"/>
                <w:highlight w:val="none"/>
                <w:u w:val="single"/>
              </w:rPr>
              <w:t>0-</w:t>
            </w:r>
            <w:r>
              <w:rPr>
                <w:color w:val="auto"/>
                <w:spacing w:val="27"/>
                <w:highlight w:val="none"/>
                <w:u w:val="single"/>
              </w:rPr>
              <w:t xml:space="preserve"> </w:t>
            </w:r>
            <w:r>
              <w:rPr>
                <w:color w:val="auto"/>
                <w:spacing w:val="-1"/>
                <w:highlight w:val="none"/>
                <w:u w:val="single"/>
              </w:rPr>
              <w:t>1.2</w:t>
            </w:r>
            <w:r>
              <w:rPr>
                <w:color w:val="auto"/>
                <w:spacing w:val="-38"/>
                <w:highlight w:val="none"/>
                <w:u w:val="single"/>
              </w:rPr>
              <w:t xml:space="preserve"> </w:t>
            </w:r>
            <w:r>
              <w:rPr>
                <w:color w:val="auto"/>
                <w:spacing w:val="-1"/>
                <w:highlight w:val="none"/>
              </w:rPr>
              <w:t>分。</w:t>
            </w:r>
          </w:p>
        </w:tc>
      </w:tr>
      <w:tr w14:paraId="11C60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927" w:type="dxa"/>
            <w:vMerge w:val="continue"/>
            <w:tcBorders>
              <w:top w:val="nil"/>
            </w:tcBorders>
            <w:vAlign w:val="top"/>
          </w:tcPr>
          <w:p w14:paraId="71FE8AE3">
            <w:pPr>
              <w:rPr>
                <w:rFonts w:ascii="Arial"/>
                <w:color w:val="auto"/>
                <w:sz w:val="21"/>
                <w:highlight w:val="none"/>
              </w:rPr>
            </w:pPr>
          </w:p>
        </w:tc>
        <w:tc>
          <w:tcPr>
            <w:tcW w:w="1172" w:type="dxa"/>
            <w:vMerge w:val="continue"/>
            <w:tcBorders>
              <w:top w:val="nil"/>
            </w:tcBorders>
            <w:vAlign w:val="top"/>
          </w:tcPr>
          <w:p w14:paraId="30C51625">
            <w:pPr>
              <w:rPr>
                <w:rFonts w:ascii="Arial"/>
                <w:color w:val="auto"/>
                <w:sz w:val="21"/>
                <w:highlight w:val="none"/>
              </w:rPr>
            </w:pPr>
          </w:p>
        </w:tc>
        <w:tc>
          <w:tcPr>
            <w:tcW w:w="919" w:type="dxa"/>
            <w:vMerge w:val="continue"/>
            <w:tcBorders>
              <w:top w:val="nil"/>
            </w:tcBorders>
            <w:vAlign w:val="top"/>
          </w:tcPr>
          <w:p w14:paraId="6065BA9E">
            <w:pPr>
              <w:rPr>
                <w:rFonts w:ascii="Arial"/>
                <w:color w:val="auto"/>
                <w:sz w:val="21"/>
                <w:highlight w:val="none"/>
              </w:rPr>
            </w:pPr>
          </w:p>
        </w:tc>
        <w:tc>
          <w:tcPr>
            <w:tcW w:w="946" w:type="dxa"/>
            <w:vMerge w:val="continue"/>
            <w:tcBorders>
              <w:top w:val="nil"/>
            </w:tcBorders>
            <w:vAlign w:val="top"/>
          </w:tcPr>
          <w:p w14:paraId="7790DDE8">
            <w:pPr>
              <w:rPr>
                <w:rFonts w:ascii="Arial"/>
                <w:color w:val="auto"/>
                <w:sz w:val="21"/>
                <w:highlight w:val="none"/>
              </w:rPr>
            </w:pPr>
          </w:p>
        </w:tc>
        <w:tc>
          <w:tcPr>
            <w:tcW w:w="600" w:type="dxa"/>
            <w:vMerge w:val="continue"/>
            <w:tcBorders>
              <w:top w:val="nil"/>
            </w:tcBorders>
            <w:vAlign w:val="top"/>
          </w:tcPr>
          <w:p w14:paraId="34DD1930">
            <w:pPr>
              <w:rPr>
                <w:rFonts w:ascii="Arial"/>
                <w:color w:val="auto"/>
                <w:sz w:val="21"/>
                <w:highlight w:val="none"/>
              </w:rPr>
            </w:pPr>
          </w:p>
        </w:tc>
        <w:tc>
          <w:tcPr>
            <w:tcW w:w="1181" w:type="dxa"/>
            <w:vAlign w:val="top"/>
          </w:tcPr>
          <w:p w14:paraId="36439EED">
            <w:pPr>
              <w:spacing w:line="323" w:lineRule="auto"/>
              <w:rPr>
                <w:rFonts w:ascii="Arial"/>
                <w:color w:val="auto"/>
                <w:sz w:val="21"/>
                <w:highlight w:val="none"/>
              </w:rPr>
            </w:pPr>
          </w:p>
          <w:p w14:paraId="0C447B57">
            <w:pPr>
              <w:spacing w:line="323" w:lineRule="auto"/>
              <w:rPr>
                <w:rFonts w:ascii="Arial"/>
                <w:color w:val="auto"/>
                <w:sz w:val="21"/>
                <w:highlight w:val="none"/>
              </w:rPr>
            </w:pPr>
          </w:p>
          <w:p w14:paraId="15866A62">
            <w:pPr>
              <w:pStyle w:val="17"/>
              <w:spacing w:before="65" w:line="352" w:lineRule="auto"/>
              <w:ind w:left="175" w:right="170" w:hanging="1"/>
              <w:jc w:val="both"/>
              <w:rPr>
                <w:color w:val="auto"/>
                <w:highlight w:val="none"/>
              </w:rPr>
            </w:pPr>
            <w:r>
              <w:rPr>
                <w:color w:val="auto"/>
                <w:spacing w:val="7"/>
                <w:highlight w:val="none"/>
              </w:rPr>
              <w:t>施工环境保护管理</w:t>
            </w:r>
            <w:r>
              <w:rPr>
                <w:color w:val="auto"/>
                <w:spacing w:val="12"/>
                <w:highlight w:val="none"/>
              </w:rPr>
              <w:t>（</w:t>
            </w:r>
            <w:r>
              <w:rPr>
                <w:color w:val="auto"/>
                <w:spacing w:val="-56"/>
                <w:highlight w:val="none"/>
              </w:rPr>
              <w:t xml:space="preserve"> </w:t>
            </w:r>
            <w:r>
              <w:rPr>
                <w:color w:val="auto"/>
                <w:spacing w:val="12"/>
                <w:highlight w:val="none"/>
                <w:u w:val="single" w:color="auto"/>
              </w:rPr>
              <w:t>2</w:t>
            </w:r>
            <w:r>
              <w:rPr>
                <w:color w:val="auto"/>
                <w:spacing w:val="12"/>
                <w:highlight w:val="none"/>
              </w:rPr>
              <w:t>分）</w:t>
            </w:r>
          </w:p>
        </w:tc>
        <w:tc>
          <w:tcPr>
            <w:tcW w:w="3150" w:type="dxa"/>
            <w:vAlign w:val="top"/>
          </w:tcPr>
          <w:p w14:paraId="7759A8C6">
            <w:pPr>
              <w:pStyle w:val="17"/>
              <w:spacing w:before="145" w:line="328" w:lineRule="auto"/>
              <w:ind w:left="115" w:right="107"/>
              <w:jc w:val="both"/>
              <w:rPr>
                <w:color w:val="auto"/>
                <w:highlight w:val="none"/>
              </w:rPr>
            </w:pPr>
            <w:r>
              <w:rPr>
                <w:color w:val="auto"/>
                <w:spacing w:val="21"/>
                <w:highlight w:val="none"/>
              </w:rPr>
              <w:t>有环保监理措施</w:t>
            </w:r>
            <w:r>
              <w:rPr>
                <w:color w:val="auto"/>
                <w:spacing w:val="-53"/>
                <w:highlight w:val="none"/>
              </w:rPr>
              <w:t xml:space="preserve"> </w:t>
            </w:r>
            <w:r>
              <w:rPr>
                <w:color w:val="auto"/>
                <w:spacing w:val="21"/>
                <w:highlight w:val="none"/>
              </w:rPr>
              <w:t>，且完全响应</w:t>
            </w:r>
            <w:r>
              <w:rPr>
                <w:color w:val="auto"/>
                <w:spacing w:val="24"/>
                <w:highlight w:val="none"/>
              </w:rPr>
              <w:t>广东省施工标准化和安全标准</w:t>
            </w:r>
            <w:r>
              <w:rPr>
                <w:color w:val="auto"/>
                <w:spacing w:val="13"/>
                <w:highlight w:val="none"/>
              </w:rPr>
              <w:t xml:space="preserve">化指南的得 </w:t>
            </w:r>
            <w:r>
              <w:rPr>
                <w:color w:val="auto"/>
                <w:spacing w:val="13"/>
                <w:highlight w:val="none"/>
                <w:u w:val="single" w:color="auto"/>
              </w:rPr>
              <w:t>1.2</w:t>
            </w:r>
            <w:r>
              <w:rPr>
                <w:color w:val="auto"/>
                <w:spacing w:val="-19"/>
                <w:highlight w:val="none"/>
                <w:u w:val="single" w:color="auto"/>
              </w:rPr>
              <w:t xml:space="preserve"> </w:t>
            </w:r>
            <w:r>
              <w:rPr>
                <w:color w:val="auto"/>
                <w:spacing w:val="13"/>
                <w:highlight w:val="none"/>
              </w:rPr>
              <w:t>分</w:t>
            </w:r>
            <w:r>
              <w:rPr>
                <w:color w:val="auto"/>
                <w:spacing w:val="-55"/>
                <w:highlight w:val="none"/>
              </w:rPr>
              <w:t xml:space="preserve"> </w:t>
            </w:r>
            <w:r>
              <w:rPr>
                <w:color w:val="auto"/>
                <w:spacing w:val="13"/>
                <w:highlight w:val="none"/>
              </w:rPr>
              <w:t>；环保监理</w:t>
            </w:r>
            <w:r>
              <w:rPr>
                <w:color w:val="auto"/>
                <w:spacing w:val="18"/>
                <w:highlight w:val="none"/>
              </w:rPr>
              <w:t>措施和方法具体且有效的</w:t>
            </w:r>
            <w:r>
              <w:rPr>
                <w:color w:val="auto"/>
                <w:spacing w:val="-57"/>
                <w:highlight w:val="none"/>
              </w:rPr>
              <w:t xml:space="preserve"> </w:t>
            </w:r>
            <w:r>
              <w:rPr>
                <w:color w:val="auto"/>
                <w:spacing w:val="18"/>
                <w:highlight w:val="none"/>
              </w:rPr>
              <w:t>，</w:t>
            </w:r>
            <w:r>
              <w:rPr>
                <w:color w:val="auto"/>
                <w:spacing w:val="-56"/>
                <w:highlight w:val="none"/>
              </w:rPr>
              <w:t xml:space="preserve"> </w:t>
            </w:r>
            <w:r>
              <w:rPr>
                <w:color w:val="auto"/>
                <w:spacing w:val="18"/>
                <w:highlight w:val="none"/>
              </w:rPr>
              <w:t>响</w:t>
            </w:r>
            <w:r>
              <w:rPr>
                <w:color w:val="auto"/>
                <w:spacing w:val="24"/>
                <w:highlight w:val="none"/>
              </w:rPr>
              <w:t>应广东省施工标准化和安全标</w:t>
            </w:r>
            <w:r>
              <w:rPr>
                <w:color w:val="auto"/>
                <w:spacing w:val="15"/>
                <w:highlight w:val="none"/>
              </w:rPr>
              <w:t>准化指南程度</w:t>
            </w:r>
            <w:r>
              <w:rPr>
                <w:color w:val="auto"/>
                <w:spacing w:val="-38"/>
                <w:highlight w:val="none"/>
              </w:rPr>
              <w:t xml:space="preserve"> </w:t>
            </w:r>
            <w:r>
              <w:rPr>
                <w:color w:val="auto"/>
                <w:spacing w:val="15"/>
                <w:highlight w:val="none"/>
              </w:rPr>
              <w:t>，</w:t>
            </w:r>
            <w:r>
              <w:rPr>
                <w:color w:val="auto"/>
                <w:spacing w:val="-56"/>
                <w:highlight w:val="none"/>
              </w:rPr>
              <w:t xml:space="preserve"> </w:t>
            </w:r>
            <w:r>
              <w:rPr>
                <w:color w:val="auto"/>
                <w:spacing w:val="15"/>
                <w:highlight w:val="none"/>
              </w:rPr>
              <w:t>酌情加</w:t>
            </w:r>
            <w:r>
              <w:rPr>
                <w:color w:val="auto"/>
                <w:spacing w:val="-11"/>
                <w:highlight w:val="none"/>
              </w:rPr>
              <w:t xml:space="preserve"> </w:t>
            </w:r>
            <w:r>
              <w:rPr>
                <w:color w:val="auto"/>
                <w:spacing w:val="15"/>
                <w:highlight w:val="none"/>
                <w:u w:val="single" w:color="auto"/>
              </w:rPr>
              <w:t>0-0.8</w:t>
            </w:r>
          </w:p>
        </w:tc>
      </w:tr>
    </w:tbl>
    <w:p w14:paraId="600E3FF1">
      <w:pPr>
        <w:spacing w:line="228" w:lineRule="auto"/>
        <w:rPr>
          <w:rFonts w:ascii="宋体" w:hAnsi="宋体" w:eastAsia="宋体" w:cs="宋体"/>
          <w:color w:val="auto"/>
          <w:sz w:val="18"/>
          <w:szCs w:val="18"/>
          <w:highlight w:val="none"/>
        </w:rPr>
        <w:sectPr>
          <w:footerReference r:id="rId49" w:type="default"/>
          <w:pgSz w:w="11906" w:h="16839"/>
          <w:pgMar w:top="1406" w:right="1422" w:bottom="1297" w:left="1304" w:header="0" w:footer="1067" w:gutter="0"/>
          <w:pgNumType w:fmt="decimal"/>
          <w:cols w:space="720" w:num="1"/>
        </w:sectPr>
      </w:pPr>
    </w:p>
    <w:tbl>
      <w:tblPr>
        <w:tblStyle w:val="16"/>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172"/>
        <w:gridCol w:w="919"/>
        <w:gridCol w:w="946"/>
        <w:gridCol w:w="600"/>
        <w:gridCol w:w="1181"/>
        <w:gridCol w:w="3150"/>
      </w:tblGrid>
      <w:tr w14:paraId="1AFCA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564" w:type="dxa"/>
            <w:gridSpan w:val="5"/>
            <w:vAlign w:val="top"/>
          </w:tcPr>
          <w:p w14:paraId="32C35A6F">
            <w:pPr>
              <w:pStyle w:val="17"/>
              <w:spacing w:before="127" w:line="233" w:lineRule="auto"/>
              <w:ind w:left="1287"/>
              <w:rPr>
                <w:color w:val="auto"/>
                <w:sz w:val="10"/>
                <w:szCs w:val="10"/>
                <w:highlight w:val="none"/>
              </w:rPr>
            </w:pPr>
            <w:r>
              <w:rPr>
                <w:b/>
                <w:bCs/>
                <w:color w:val="auto"/>
                <w:spacing w:val="7"/>
                <w:highlight w:val="none"/>
              </w:rPr>
              <w:t>评分因素与权重分值</w:t>
            </w:r>
          </w:p>
        </w:tc>
        <w:tc>
          <w:tcPr>
            <w:tcW w:w="4331" w:type="dxa"/>
            <w:gridSpan w:val="2"/>
            <w:vMerge w:val="restart"/>
            <w:tcBorders>
              <w:bottom w:val="nil"/>
            </w:tcBorders>
            <w:vAlign w:val="top"/>
          </w:tcPr>
          <w:p w14:paraId="6F65C30C">
            <w:pPr>
              <w:spacing w:line="315" w:lineRule="auto"/>
              <w:rPr>
                <w:rFonts w:ascii="Arial"/>
                <w:color w:val="auto"/>
                <w:sz w:val="21"/>
                <w:highlight w:val="none"/>
              </w:rPr>
            </w:pPr>
          </w:p>
          <w:p w14:paraId="3B29A230">
            <w:pPr>
              <w:spacing w:line="316" w:lineRule="auto"/>
              <w:rPr>
                <w:rFonts w:ascii="Arial"/>
                <w:color w:val="auto"/>
                <w:sz w:val="21"/>
                <w:highlight w:val="none"/>
              </w:rPr>
            </w:pPr>
          </w:p>
          <w:p w14:paraId="365FEBF5">
            <w:pPr>
              <w:pStyle w:val="17"/>
              <w:spacing w:before="65" w:line="267" w:lineRule="exact"/>
              <w:ind w:left="1694"/>
              <w:rPr>
                <w:color w:val="auto"/>
                <w:sz w:val="10"/>
                <w:szCs w:val="10"/>
                <w:highlight w:val="none"/>
              </w:rPr>
            </w:pPr>
            <w:r>
              <w:rPr>
                <w:b/>
                <w:bCs/>
                <w:color w:val="auto"/>
                <w:spacing w:val="6"/>
                <w:highlight w:val="none"/>
              </w:rPr>
              <w:t>评分标准</w:t>
            </w:r>
          </w:p>
        </w:tc>
      </w:tr>
      <w:tr w14:paraId="0FD16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27" w:type="dxa"/>
            <w:vAlign w:val="top"/>
          </w:tcPr>
          <w:p w14:paraId="4C6C25D5">
            <w:pPr>
              <w:spacing w:line="451" w:lineRule="auto"/>
              <w:rPr>
                <w:rFonts w:ascii="Arial"/>
                <w:color w:val="auto"/>
                <w:sz w:val="21"/>
                <w:highlight w:val="none"/>
              </w:rPr>
            </w:pPr>
          </w:p>
          <w:p w14:paraId="71CC6D65">
            <w:pPr>
              <w:pStyle w:val="17"/>
              <w:spacing w:before="65" w:line="228" w:lineRule="auto"/>
              <w:ind w:left="155"/>
              <w:rPr>
                <w:color w:val="auto"/>
                <w:highlight w:val="none"/>
              </w:rPr>
            </w:pPr>
            <w:r>
              <w:rPr>
                <w:b/>
                <w:bCs/>
                <w:color w:val="auto"/>
                <w:spacing w:val="5"/>
                <w:highlight w:val="none"/>
              </w:rPr>
              <w:t>条款号</w:t>
            </w:r>
          </w:p>
        </w:tc>
        <w:tc>
          <w:tcPr>
            <w:tcW w:w="1172" w:type="dxa"/>
            <w:vAlign w:val="top"/>
          </w:tcPr>
          <w:p w14:paraId="1382ECE7">
            <w:pPr>
              <w:spacing w:line="451" w:lineRule="auto"/>
              <w:rPr>
                <w:rFonts w:ascii="Arial"/>
                <w:color w:val="auto"/>
                <w:sz w:val="21"/>
                <w:highlight w:val="none"/>
              </w:rPr>
            </w:pPr>
          </w:p>
          <w:p w14:paraId="6E46AB4C">
            <w:pPr>
              <w:pStyle w:val="17"/>
              <w:spacing w:before="65" w:line="228" w:lineRule="auto"/>
              <w:ind w:left="168"/>
              <w:rPr>
                <w:color w:val="auto"/>
                <w:highlight w:val="none"/>
              </w:rPr>
            </w:pPr>
            <w:r>
              <w:rPr>
                <w:b/>
                <w:bCs/>
                <w:color w:val="auto"/>
                <w:spacing w:val="6"/>
                <w:highlight w:val="none"/>
              </w:rPr>
              <w:t>评分因素</w:t>
            </w:r>
          </w:p>
        </w:tc>
        <w:tc>
          <w:tcPr>
            <w:tcW w:w="919" w:type="dxa"/>
            <w:vAlign w:val="top"/>
          </w:tcPr>
          <w:p w14:paraId="6D612765">
            <w:pPr>
              <w:spacing w:line="264" w:lineRule="auto"/>
              <w:rPr>
                <w:rFonts w:ascii="Arial"/>
                <w:color w:val="auto"/>
                <w:sz w:val="21"/>
                <w:highlight w:val="none"/>
              </w:rPr>
            </w:pPr>
          </w:p>
          <w:p w14:paraId="7DDA1BA3">
            <w:pPr>
              <w:pStyle w:val="17"/>
              <w:spacing w:before="65" w:line="351" w:lineRule="auto"/>
              <w:ind w:left="43" w:right="35"/>
              <w:rPr>
                <w:color w:val="auto"/>
                <w:highlight w:val="none"/>
              </w:rPr>
            </w:pPr>
            <w:r>
              <w:rPr>
                <w:b/>
                <w:bCs/>
                <w:color w:val="auto"/>
                <w:spacing w:val="6"/>
                <w:highlight w:val="none"/>
              </w:rPr>
              <w:t>评分因素权重分值</w:t>
            </w:r>
          </w:p>
        </w:tc>
        <w:tc>
          <w:tcPr>
            <w:tcW w:w="946" w:type="dxa"/>
            <w:vAlign w:val="top"/>
          </w:tcPr>
          <w:p w14:paraId="3ADB96E9">
            <w:pPr>
              <w:pStyle w:val="17"/>
              <w:spacing w:before="140" w:line="228" w:lineRule="auto"/>
              <w:ind w:left="164"/>
              <w:rPr>
                <w:color w:val="auto"/>
                <w:highlight w:val="none"/>
              </w:rPr>
            </w:pPr>
            <w:r>
              <w:rPr>
                <w:b/>
                <w:bCs/>
                <w:color w:val="auto"/>
                <w:spacing w:val="4"/>
                <w:highlight w:val="none"/>
              </w:rPr>
              <w:t>各评分</w:t>
            </w:r>
          </w:p>
          <w:p w14:paraId="3014FBBA">
            <w:pPr>
              <w:pStyle w:val="17"/>
              <w:spacing w:before="130" w:line="284" w:lineRule="auto"/>
              <w:ind w:left="269" w:right="156" w:hanging="91"/>
              <w:rPr>
                <w:color w:val="auto"/>
                <w:highlight w:val="none"/>
              </w:rPr>
            </w:pPr>
            <w:r>
              <w:rPr>
                <w:b/>
                <w:bCs/>
                <w:color w:val="auto"/>
                <w:highlight w:val="none"/>
              </w:rPr>
              <w:t>因素细</w:t>
            </w:r>
            <w:r>
              <w:rPr>
                <w:b/>
                <w:bCs/>
                <w:color w:val="auto"/>
                <w:spacing w:val="2"/>
                <w:highlight w:val="none"/>
              </w:rPr>
              <w:t>分项</w:t>
            </w:r>
          </w:p>
        </w:tc>
        <w:tc>
          <w:tcPr>
            <w:tcW w:w="600" w:type="dxa"/>
            <w:textDirection w:val="tbRlV"/>
            <w:vAlign w:val="top"/>
          </w:tcPr>
          <w:p w14:paraId="3F3BCD12">
            <w:pPr>
              <w:pStyle w:val="17"/>
              <w:spacing w:before="193" w:line="216" w:lineRule="auto"/>
              <w:ind w:left="330"/>
              <w:rPr>
                <w:color w:val="auto"/>
                <w:highlight w:val="none"/>
              </w:rPr>
            </w:pPr>
            <w:r>
              <w:rPr>
                <w:b/>
                <w:bCs/>
                <w:color w:val="auto"/>
                <w:spacing w:val="6"/>
                <w:highlight w:val="none"/>
              </w:rPr>
              <w:t>分</w:t>
            </w:r>
            <w:r>
              <w:rPr>
                <w:color w:val="auto"/>
                <w:spacing w:val="70"/>
                <w:highlight w:val="none"/>
              </w:rPr>
              <w:t xml:space="preserve"> </w:t>
            </w:r>
            <w:r>
              <w:rPr>
                <w:b/>
                <w:bCs/>
                <w:color w:val="auto"/>
                <w:spacing w:val="6"/>
                <w:highlight w:val="none"/>
              </w:rPr>
              <w:t>值</w:t>
            </w:r>
          </w:p>
        </w:tc>
        <w:tc>
          <w:tcPr>
            <w:tcW w:w="4331" w:type="dxa"/>
            <w:gridSpan w:val="2"/>
            <w:vMerge w:val="continue"/>
            <w:tcBorders>
              <w:top w:val="nil"/>
            </w:tcBorders>
            <w:vAlign w:val="top"/>
          </w:tcPr>
          <w:p w14:paraId="37280CB2">
            <w:pPr>
              <w:rPr>
                <w:rFonts w:ascii="Arial"/>
                <w:color w:val="auto"/>
                <w:sz w:val="21"/>
                <w:highlight w:val="none"/>
              </w:rPr>
            </w:pPr>
          </w:p>
        </w:tc>
      </w:tr>
      <w:tr w14:paraId="2BCF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27" w:type="dxa"/>
            <w:vMerge w:val="restart"/>
            <w:tcBorders>
              <w:bottom w:val="nil"/>
            </w:tcBorders>
            <w:vAlign w:val="top"/>
          </w:tcPr>
          <w:p w14:paraId="707FAD37">
            <w:pPr>
              <w:rPr>
                <w:rFonts w:ascii="Arial"/>
                <w:color w:val="auto"/>
                <w:sz w:val="21"/>
                <w:highlight w:val="none"/>
              </w:rPr>
            </w:pPr>
          </w:p>
        </w:tc>
        <w:tc>
          <w:tcPr>
            <w:tcW w:w="1172" w:type="dxa"/>
            <w:vMerge w:val="restart"/>
            <w:tcBorders>
              <w:bottom w:val="nil"/>
            </w:tcBorders>
            <w:vAlign w:val="top"/>
          </w:tcPr>
          <w:p w14:paraId="5BA4F153">
            <w:pPr>
              <w:rPr>
                <w:rFonts w:ascii="Arial"/>
                <w:color w:val="auto"/>
                <w:sz w:val="21"/>
                <w:highlight w:val="none"/>
              </w:rPr>
            </w:pPr>
          </w:p>
        </w:tc>
        <w:tc>
          <w:tcPr>
            <w:tcW w:w="919" w:type="dxa"/>
            <w:vMerge w:val="restart"/>
            <w:tcBorders>
              <w:bottom w:val="nil"/>
            </w:tcBorders>
            <w:vAlign w:val="top"/>
          </w:tcPr>
          <w:p w14:paraId="7F6D9C9E">
            <w:pPr>
              <w:rPr>
                <w:rFonts w:ascii="Arial"/>
                <w:color w:val="auto"/>
                <w:sz w:val="21"/>
                <w:highlight w:val="none"/>
              </w:rPr>
            </w:pPr>
          </w:p>
        </w:tc>
        <w:tc>
          <w:tcPr>
            <w:tcW w:w="946" w:type="dxa"/>
            <w:vAlign w:val="top"/>
          </w:tcPr>
          <w:p w14:paraId="5AE9A37A">
            <w:pPr>
              <w:rPr>
                <w:rFonts w:ascii="Arial"/>
                <w:color w:val="auto"/>
                <w:sz w:val="21"/>
                <w:highlight w:val="none"/>
              </w:rPr>
            </w:pPr>
          </w:p>
        </w:tc>
        <w:tc>
          <w:tcPr>
            <w:tcW w:w="600" w:type="dxa"/>
            <w:vAlign w:val="top"/>
          </w:tcPr>
          <w:p w14:paraId="2499FA55">
            <w:pPr>
              <w:rPr>
                <w:rFonts w:ascii="Arial"/>
                <w:color w:val="auto"/>
                <w:sz w:val="21"/>
                <w:highlight w:val="none"/>
              </w:rPr>
            </w:pPr>
          </w:p>
        </w:tc>
        <w:tc>
          <w:tcPr>
            <w:tcW w:w="1181" w:type="dxa"/>
            <w:vAlign w:val="top"/>
          </w:tcPr>
          <w:p w14:paraId="7DE42388">
            <w:pPr>
              <w:rPr>
                <w:rFonts w:ascii="Arial"/>
                <w:color w:val="auto"/>
                <w:sz w:val="21"/>
                <w:highlight w:val="none"/>
              </w:rPr>
            </w:pPr>
          </w:p>
        </w:tc>
        <w:tc>
          <w:tcPr>
            <w:tcW w:w="3150" w:type="dxa"/>
            <w:vAlign w:val="top"/>
          </w:tcPr>
          <w:p w14:paraId="22C19FB3">
            <w:pPr>
              <w:pStyle w:val="17"/>
              <w:spacing w:before="141" w:line="216" w:lineRule="auto"/>
              <w:ind w:left="118"/>
              <w:rPr>
                <w:color w:val="auto"/>
                <w:highlight w:val="none"/>
              </w:rPr>
            </w:pPr>
            <w:r>
              <w:rPr>
                <w:color w:val="auto"/>
                <w:spacing w:val="-1"/>
                <w:highlight w:val="none"/>
              </w:rPr>
              <w:t>分。</w:t>
            </w:r>
          </w:p>
        </w:tc>
      </w:tr>
      <w:tr w14:paraId="1B749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927" w:type="dxa"/>
            <w:vMerge w:val="continue"/>
            <w:tcBorders>
              <w:top w:val="nil"/>
              <w:bottom w:val="nil"/>
            </w:tcBorders>
            <w:vAlign w:val="top"/>
          </w:tcPr>
          <w:p w14:paraId="67C8729F">
            <w:pPr>
              <w:rPr>
                <w:rFonts w:ascii="Arial"/>
                <w:color w:val="auto"/>
                <w:sz w:val="21"/>
                <w:highlight w:val="none"/>
              </w:rPr>
            </w:pPr>
          </w:p>
        </w:tc>
        <w:tc>
          <w:tcPr>
            <w:tcW w:w="1172" w:type="dxa"/>
            <w:vMerge w:val="continue"/>
            <w:tcBorders>
              <w:top w:val="nil"/>
              <w:bottom w:val="nil"/>
            </w:tcBorders>
            <w:vAlign w:val="top"/>
          </w:tcPr>
          <w:p w14:paraId="3A950EDF">
            <w:pPr>
              <w:rPr>
                <w:rFonts w:ascii="Arial"/>
                <w:color w:val="auto"/>
                <w:sz w:val="21"/>
                <w:highlight w:val="none"/>
              </w:rPr>
            </w:pPr>
          </w:p>
        </w:tc>
        <w:tc>
          <w:tcPr>
            <w:tcW w:w="919" w:type="dxa"/>
            <w:vMerge w:val="continue"/>
            <w:tcBorders>
              <w:top w:val="nil"/>
              <w:bottom w:val="nil"/>
            </w:tcBorders>
            <w:vAlign w:val="top"/>
          </w:tcPr>
          <w:p w14:paraId="30780C34">
            <w:pPr>
              <w:rPr>
                <w:rFonts w:ascii="Arial"/>
                <w:color w:val="auto"/>
                <w:sz w:val="21"/>
                <w:highlight w:val="none"/>
              </w:rPr>
            </w:pPr>
          </w:p>
        </w:tc>
        <w:tc>
          <w:tcPr>
            <w:tcW w:w="946" w:type="dxa"/>
            <w:vAlign w:val="top"/>
          </w:tcPr>
          <w:p w14:paraId="7F4FA9D1">
            <w:pPr>
              <w:pStyle w:val="17"/>
              <w:spacing w:before="139" w:line="227" w:lineRule="auto"/>
              <w:ind w:left="162"/>
              <w:rPr>
                <w:color w:val="auto"/>
                <w:highlight w:val="none"/>
              </w:rPr>
            </w:pPr>
            <w:r>
              <w:rPr>
                <w:color w:val="auto"/>
                <w:spacing w:val="6"/>
                <w:highlight w:val="none"/>
              </w:rPr>
              <w:t>本工程</w:t>
            </w:r>
          </w:p>
          <w:p w14:paraId="69036229">
            <w:pPr>
              <w:pStyle w:val="17"/>
              <w:spacing w:before="136" w:line="236" w:lineRule="auto"/>
              <w:ind w:left="162"/>
              <w:rPr>
                <w:color w:val="auto"/>
                <w:highlight w:val="none"/>
              </w:rPr>
            </w:pPr>
            <w:r>
              <w:rPr>
                <w:color w:val="auto"/>
                <w:spacing w:val="6"/>
                <w:highlight w:val="none"/>
              </w:rPr>
              <w:t>监理工</w:t>
            </w:r>
          </w:p>
          <w:p w14:paraId="695633A3">
            <w:pPr>
              <w:pStyle w:val="17"/>
              <w:spacing w:before="123" w:line="228" w:lineRule="auto"/>
              <w:ind w:left="162"/>
              <w:rPr>
                <w:color w:val="auto"/>
                <w:highlight w:val="none"/>
              </w:rPr>
            </w:pPr>
            <w:r>
              <w:rPr>
                <w:color w:val="auto"/>
                <w:spacing w:val="6"/>
                <w:highlight w:val="none"/>
              </w:rPr>
              <w:t>作的重</w:t>
            </w:r>
          </w:p>
          <w:p w14:paraId="5A18A5BE">
            <w:pPr>
              <w:pStyle w:val="17"/>
              <w:spacing w:before="131" w:line="229" w:lineRule="auto"/>
              <w:ind w:left="172"/>
              <w:rPr>
                <w:color w:val="auto"/>
                <w:highlight w:val="none"/>
              </w:rPr>
            </w:pPr>
            <w:r>
              <w:rPr>
                <w:color w:val="auto"/>
                <w:spacing w:val="3"/>
                <w:highlight w:val="none"/>
              </w:rPr>
              <w:t>点与难</w:t>
            </w:r>
          </w:p>
          <w:p w14:paraId="5C16B10B">
            <w:pPr>
              <w:pStyle w:val="17"/>
              <w:spacing w:before="133" w:line="215" w:lineRule="auto"/>
              <w:ind w:left="172"/>
              <w:rPr>
                <w:color w:val="auto"/>
                <w:highlight w:val="none"/>
              </w:rPr>
            </w:pPr>
            <w:r>
              <w:rPr>
                <w:color w:val="auto"/>
                <w:spacing w:val="3"/>
                <w:highlight w:val="none"/>
              </w:rPr>
              <w:t>点分析</w:t>
            </w:r>
          </w:p>
        </w:tc>
        <w:tc>
          <w:tcPr>
            <w:tcW w:w="600" w:type="dxa"/>
            <w:vAlign w:val="top"/>
          </w:tcPr>
          <w:p w14:paraId="34009FC3">
            <w:pPr>
              <w:spacing w:line="320" w:lineRule="auto"/>
              <w:rPr>
                <w:rFonts w:ascii="Arial"/>
                <w:color w:val="auto"/>
                <w:sz w:val="21"/>
                <w:highlight w:val="none"/>
              </w:rPr>
            </w:pPr>
          </w:p>
          <w:p w14:paraId="757A1F6E">
            <w:pPr>
              <w:spacing w:line="321" w:lineRule="auto"/>
              <w:rPr>
                <w:rFonts w:ascii="Arial"/>
                <w:color w:val="auto"/>
                <w:sz w:val="21"/>
                <w:highlight w:val="none"/>
              </w:rPr>
            </w:pPr>
          </w:p>
          <w:p w14:paraId="09D0E586">
            <w:pPr>
              <w:pStyle w:val="17"/>
              <w:spacing w:before="65" w:line="352" w:lineRule="auto"/>
              <w:ind w:left="202" w:right="193" w:firstLine="12"/>
              <w:rPr>
                <w:color w:val="auto"/>
                <w:highlight w:val="none"/>
              </w:rPr>
            </w:pPr>
            <w:r>
              <w:rPr>
                <w:color w:val="auto"/>
                <w:spacing w:val="-7"/>
                <w:highlight w:val="none"/>
                <w:u w:val="single" w:color="auto"/>
              </w:rPr>
              <w:t>10</w:t>
            </w:r>
            <w:r>
              <w:rPr>
                <w:color w:val="auto"/>
                <w:spacing w:val="-2"/>
                <w:highlight w:val="none"/>
              </w:rPr>
              <w:t>分</w:t>
            </w:r>
          </w:p>
        </w:tc>
        <w:tc>
          <w:tcPr>
            <w:tcW w:w="4331" w:type="dxa"/>
            <w:gridSpan w:val="2"/>
            <w:vAlign w:val="top"/>
          </w:tcPr>
          <w:p w14:paraId="5CA0E517">
            <w:pPr>
              <w:spacing w:line="243" w:lineRule="auto"/>
              <w:rPr>
                <w:rFonts w:ascii="Arial"/>
                <w:color w:val="auto"/>
                <w:sz w:val="21"/>
                <w:highlight w:val="none"/>
              </w:rPr>
            </w:pPr>
          </w:p>
          <w:p w14:paraId="0034AC1A">
            <w:pPr>
              <w:spacing w:line="244" w:lineRule="auto"/>
              <w:rPr>
                <w:rFonts w:ascii="Arial"/>
                <w:color w:val="auto"/>
                <w:sz w:val="21"/>
                <w:highlight w:val="none"/>
              </w:rPr>
            </w:pPr>
          </w:p>
          <w:p w14:paraId="3F947836">
            <w:pPr>
              <w:pStyle w:val="17"/>
              <w:spacing w:before="65" w:line="289" w:lineRule="auto"/>
              <w:ind w:left="114" w:right="107"/>
              <w:jc w:val="both"/>
              <w:rPr>
                <w:color w:val="auto"/>
                <w:highlight w:val="none"/>
              </w:rPr>
            </w:pPr>
            <w:r>
              <w:rPr>
                <w:color w:val="auto"/>
                <w:spacing w:val="13"/>
                <w:highlight w:val="none"/>
              </w:rPr>
              <w:t>有对工程重点、难点的分析得</w:t>
            </w:r>
            <w:r>
              <w:rPr>
                <w:color w:val="auto"/>
                <w:spacing w:val="-26"/>
                <w:highlight w:val="none"/>
              </w:rPr>
              <w:t xml:space="preserve"> </w:t>
            </w:r>
            <w:r>
              <w:rPr>
                <w:color w:val="auto"/>
                <w:spacing w:val="13"/>
                <w:highlight w:val="none"/>
                <w:u w:val="single" w:color="auto"/>
              </w:rPr>
              <w:t>6.0</w:t>
            </w:r>
            <w:r>
              <w:rPr>
                <w:color w:val="auto"/>
                <w:spacing w:val="-31"/>
                <w:highlight w:val="none"/>
                <w:u w:val="single" w:color="auto"/>
              </w:rPr>
              <w:t xml:space="preserve"> </w:t>
            </w:r>
            <w:r>
              <w:rPr>
                <w:color w:val="auto"/>
                <w:spacing w:val="13"/>
                <w:highlight w:val="none"/>
              </w:rPr>
              <w:t>分；分析</w:t>
            </w:r>
            <w:r>
              <w:rPr>
                <w:color w:val="auto"/>
                <w:spacing w:val="15"/>
                <w:highlight w:val="none"/>
              </w:rPr>
              <w:t>准确，且有合理可行的应对措施的，酌情加</w:t>
            </w:r>
            <w:r>
              <w:rPr>
                <w:color w:val="auto"/>
                <w:spacing w:val="2"/>
                <w:highlight w:val="none"/>
                <w:u w:val="single" w:color="auto"/>
              </w:rPr>
              <w:t>0-4.0</w:t>
            </w:r>
            <w:r>
              <w:rPr>
                <w:color w:val="auto"/>
                <w:spacing w:val="-38"/>
                <w:highlight w:val="none"/>
                <w:u w:val="single" w:color="auto"/>
              </w:rPr>
              <w:t xml:space="preserve"> </w:t>
            </w:r>
            <w:r>
              <w:rPr>
                <w:color w:val="auto"/>
                <w:spacing w:val="2"/>
                <w:highlight w:val="none"/>
              </w:rPr>
              <w:t>分。</w:t>
            </w:r>
          </w:p>
        </w:tc>
      </w:tr>
      <w:tr w14:paraId="02F00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27" w:type="dxa"/>
            <w:vMerge w:val="continue"/>
            <w:tcBorders>
              <w:top w:val="nil"/>
            </w:tcBorders>
            <w:vAlign w:val="top"/>
          </w:tcPr>
          <w:p w14:paraId="47DB5054">
            <w:pPr>
              <w:rPr>
                <w:rFonts w:ascii="Arial"/>
                <w:color w:val="auto"/>
                <w:sz w:val="21"/>
                <w:highlight w:val="none"/>
              </w:rPr>
            </w:pPr>
          </w:p>
        </w:tc>
        <w:tc>
          <w:tcPr>
            <w:tcW w:w="1172" w:type="dxa"/>
            <w:vMerge w:val="continue"/>
            <w:tcBorders>
              <w:top w:val="nil"/>
            </w:tcBorders>
            <w:vAlign w:val="top"/>
          </w:tcPr>
          <w:p w14:paraId="07BC30A4">
            <w:pPr>
              <w:rPr>
                <w:rFonts w:ascii="Arial"/>
                <w:color w:val="auto"/>
                <w:sz w:val="21"/>
                <w:highlight w:val="none"/>
              </w:rPr>
            </w:pPr>
          </w:p>
        </w:tc>
        <w:tc>
          <w:tcPr>
            <w:tcW w:w="919" w:type="dxa"/>
            <w:vMerge w:val="continue"/>
            <w:tcBorders>
              <w:top w:val="nil"/>
            </w:tcBorders>
            <w:vAlign w:val="top"/>
          </w:tcPr>
          <w:p w14:paraId="61A54CC0">
            <w:pPr>
              <w:rPr>
                <w:rFonts w:ascii="Arial"/>
                <w:color w:val="auto"/>
                <w:sz w:val="21"/>
                <w:highlight w:val="none"/>
              </w:rPr>
            </w:pPr>
          </w:p>
        </w:tc>
        <w:tc>
          <w:tcPr>
            <w:tcW w:w="946" w:type="dxa"/>
            <w:vAlign w:val="top"/>
          </w:tcPr>
          <w:p w14:paraId="37E46CE3">
            <w:pPr>
              <w:pStyle w:val="17"/>
              <w:spacing w:before="196" w:line="227" w:lineRule="auto"/>
              <w:ind w:left="160"/>
              <w:rPr>
                <w:color w:val="auto"/>
                <w:highlight w:val="none"/>
              </w:rPr>
            </w:pPr>
            <w:r>
              <w:rPr>
                <w:color w:val="auto"/>
                <w:spacing w:val="7"/>
                <w:highlight w:val="none"/>
              </w:rPr>
              <w:t>对本工</w:t>
            </w:r>
          </w:p>
          <w:p w14:paraId="401780AC">
            <w:pPr>
              <w:pStyle w:val="17"/>
              <w:spacing w:before="132" w:line="308" w:lineRule="auto"/>
              <w:ind w:left="373" w:right="158" w:hanging="213"/>
              <w:rPr>
                <w:color w:val="auto"/>
                <w:highlight w:val="none"/>
              </w:rPr>
            </w:pPr>
            <w:r>
              <w:rPr>
                <w:color w:val="auto"/>
                <w:spacing w:val="7"/>
                <w:highlight w:val="none"/>
              </w:rPr>
              <w:t>程的建</w:t>
            </w:r>
            <w:r>
              <w:rPr>
                <w:color w:val="auto"/>
                <w:highlight w:val="none"/>
              </w:rPr>
              <w:t>议</w:t>
            </w:r>
          </w:p>
        </w:tc>
        <w:tc>
          <w:tcPr>
            <w:tcW w:w="600" w:type="dxa"/>
            <w:vAlign w:val="top"/>
          </w:tcPr>
          <w:p w14:paraId="17D06623">
            <w:pPr>
              <w:spacing w:line="253" w:lineRule="auto"/>
              <w:rPr>
                <w:rFonts w:ascii="Arial"/>
                <w:color w:val="auto"/>
                <w:sz w:val="21"/>
                <w:highlight w:val="none"/>
              </w:rPr>
            </w:pPr>
          </w:p>
          <w:p w14:paraId="629B63CD">
            <w:pPr>
              <w:spacing w:line="254" w:lineRule="auto"/>
              <w:rPr>
                <w:rFonts w:ascii="Arial"/>
                <w:color w:val="auto"/>
                <w:sz w:val="21"/>
                <w:highlight w:val="none"/>
              </w:rPr>
            </w:pPr>
          </w:p>
          <w:p w14:paraId="6E3D5264">
            <w:pPr>
              <w:pStyle w:val="17"/>
              <w:spacing w:before="65" w:line="228" w:lineRule="auto"/>
              <w:ind w:left="134"/>
              <w:rPr>
                <w:color w:val="auto"/>
                <w:highlight w:val="none"/>
              </w:rPr>
            </w:pPr>
            <w:r>
              <w:rPr>
                <w:color w:val="auto"/>
                <w:spacing w:val="-4"/>
                <w:highlight w:val="none"/>
                <w:u w:val="single" w:color="auto"/>
              </w:rPr>
              <w:t>5</w:t>
            </w:r>
            <w:r>
              <w:rPr>
                <w:color w:val="auto"/>
                <w:spacing w:val="-38"/>
                <w:highlight w:val="none"/>
                <w:u w:val="single" w:color="auto"/>
              </w:rPr>
              <w:t xml:space="preserve"> </w:t>
            </w:r>
            <w:r>
              <w:rPr>
                <w:color w:val="auto"/>
                <w:spacing w:val="-4"/>
                <w:highlight w:val="none"/>
              </w:rPr>
              <w:t>分</w:t>
            </w:r>
          </w:p>
        </w:tc>
        <w:tc>
          <w:tcPr>
            <w:tcW w:w="4331" w:type="dxa"/>
            <w:gridSpan w:val="2"/>
            <w:vAlign w:val="top"/>
          </w:tcPr>
          <w:p w14:paraId="7890EE93">
            <w:pPr>
              <w:pStyle w:val="17"/>
              <w:spacing w:before="71" w:line="270" w:lineRule="auto"/>
              <w:ind w:left="114" w:right="108"/>
              <w:rPr>
                <w:color w:val="auto"/>
                <w:highlight w:val="none"/>
              </w:rPr>
            </w:pPr>
            <w:r>
              <w:rPr>
                <w:color w:val="auto"/>
                <w:spacing w:val="12"/>
                <w:highlight w:val="none"/>
              </w:rPr>
              <w:t>有对本工程的建议的</w:t>
            </w:r>
            <w:r>
              <w:rPr>
                <w:color w:val="auto"/>
                <w:spacing w:val="-10"/>
                <w:highlight w:val="none"/>
              </w:rPr>
              <w:t xml:space="preserve"> </w:t>
            </w:r>
            <w:r>
              <w:rPr>
                <w:color w:val="auto"/>
                <w:spacing w:val="12"/>
                <w:highlight w:val="none"/>
                <w:u w:val="single" w:color="auto"/>
              </w:rPr>
              <w:t>3.0</w:t>
            </w:r>
            <w:r>
              <w:rPr>
                <w:color w:val="auto"/>
                <w:spacing w:val="-28"/>
                <w:highlight w:val="none"/>
                <w:u w:val="single" w:color="auto"/>
              </w:rPr>
              <w:t xml:space="preserve"> </w:t>
            </w:r>
            <w:r>
              <w:rPr>
                <w:color w:val="auto"/>
                <w:spacing w:val="12"/>
                <w:highlight w:val="none"/>
              </w:rPr>
              <w:t>分；对管理模式、</w:t>
            </w:r>
            <w:r>
              <w:rPr>
                <w:color w:val="auto"/>
                <w:spacing w:val="15"/>
                <w:highlight w:val="none"/>
              </w:rPr>
              <w:t>工程质量、进度、投资控制、合同管理等方</w:t>
            </w:r>
            <w:r>
              <w:rPr>
                <w:color w:val="auto"/>
                <w:spacing w:val="1"/>
                <w:highlight w:val="none"/>
              </w:rPr>
              <w:t>面均</w:t>
            </w:r>
            <w:r>
              <w:rPr>
                <w:color w:val="auto"/>
                <w:spacing w:val="-46"/>
                <w:highlight w:val="none"/>
              </w:rPr>
              <w:t xml:space="preserve"> </w:t>
            </w:r>
            <w:r>
              <w:rPr>
                <w:color w:val="auto"/>
                <w:spacing w:val="1"/>
                <w:highlight w:val="none"/>
              </w:rPr>
              <w:t>提</w:t>
            </w:r>
            <w:r>
              <w:rPr>
                <w:color w:val="auto"/>
                <w:spacing w:val="-43"/>
                <w:highlight w:val="none"/>
              </w:rPr>
              <w:t xml:space="preserve"> </w:t>
            </w:r>
            <w:r>
              <w:rPr>
                <w:color w:val="auto"/>
                <w:spacing w:val="1"/>
                <w:highlight w:val="none"/>
              </w:rPr>
              <w:t>出合</w:t>
            </w:r>
            <w:r>
              <w:rPr>
                <w:color w:val="auto"/>
                <w:spacing w:val="-58"/>
                <w:highlight w:val="none"/>
              </w:rPr>
              <w:t xml:space="preserve"> </w:t>
            </w:r>
            <w:r>
              <w:rPr>
                <w:color w:val="auto"/>
                <w:spacing w:val="1"/>
                <w:highlight w:val="none"/>
              </w:rPr>
              <w:t>理</w:t>
            </w:r>
            <w:r>
              <w:rPr>
                <w:color w:val="auto"/>
                <w:spacing w:val="-57"/>
                <w:highlight w:val="none"/>
              </w:rPr>
              <w:t xml:space="preserve"> </w:t>
            </w:r>
            <w:r>
              <w:rPr>
                <w:color w:val="auto"/>
                <w:spacing w:val="1"/>
                <w:highlight w:val="none"/>
              </w:rPr>
              <w:t>可</w:t>
            </w:r>
            <w:r>
              <w:rPr>
                <w:color w:val="auto"/>
                <w:spacing w:val="-57"/>
                <w:highlight w:val="none"/>
              </w:rPr>
              <w:t xml:space="preserve"> </w:t>
            </w:r>
            <w:r>
              <w:rPr>
                <w:color w:val="auto"/>
                <w:spacing w:val="1"/>
                <w:highlight w:val="none"/>
              </w:rPr>
              <w:t>行</w:t>
            </w:r>
            <w:r>
              <w:rPr>
                <w:color w:val="auto"/>
                <w:spacing w:val="-44"/>
                <w:highlight w:val="none"/>
              </w:rPr>
              <w:t xml:space="preserve"> </w:t>
            </w:r>
            <w:r>
              <w:rPr>
                <w:color w:val="auto"/>
                <w:spacing w:val="1"/>
                <w:highlight w:val="none"/>
              </w:rPr>
              <w:t>的</w:t>
            </w:r>
            <w:r>
              <w:rPr>
                <w:color w:val="auto"/>
                <w:spacing w:val="-58"/>
                <w:highlight w:val="none"/>
              </w:rPr>
              <w:t xml:space="preserve"> </w:t>
            </w:r>
            <w:r>
              <w:rPr>
                <w:color w:val="auto"/>
                <w:spacing w:val="1"/>
                <w:highlight w:val="none"/>
              </w:rPr>
              <w:t>建</w:t>
            </w:r>
            <w:r>
              <w:rPr>
                <w:color w:val="auto"/>
                <w:spacing w:val="-57"/>
                <w:highlight w:val="none"/>
              </w:rPr>
              <w:t xml:space="preserve"> </w:t>
            </w:r>
            <w:r>
              <w:rPr>
                <w:color w:val="auto"/>
                <w:spacing w:val="1"/>
                <w:highlight w:val="none"/>
              </w:rPr>
              <w:t>议</w:t>
            </w:r>
            <w:r>
              <w:rPr>
                <w:color w:val="auto"/>
                <w:spacing w:val="-44"/>
                <w:highlight w:val="none"/>
              </w:rPr>
              <w:t xml:space="preserve"> </w:t>
            </w:r>
            <w:r>
              <w:rPr>
                <w:color w:val="auto"/>
                <w:spacing w:val="1"/>
                <w:highlight w:val="none"/>
              </w:rPr>
              <w:t>的</w:t>
            </w:r>
            <w:r>
              <w:rPr>
                <w:color w:val="auto"/>
                <w:spacing w:val="-44"/>
                <w:highlight w:val="none"/>
              </w:rPr>
              <w:t xml:space="preserve"> </w:t>
            </w:r>
            <w:r>
              <w:rPr>
                <w:color w:val="auto"/>
                <w:spacing w:val="1"/>
                <w:highlight w:val="none"/>
              </w:rPr>
              <w:t>，</w:t>
            </w:r>
            <w:r>
              <w:rPr>
                <w:color w:val="auto"/>
                <w:spacing w:val="-51"/>
                <w:highlight w:val="none"/>
              </w:rPr>
              <w:t xml:space="preserve"> </w:t>
            </w:r>
            <w:r>
              <w:rPr>
                <w:color w:val="auto"/>
                <w:spacing w:val="1"/>
                <w:highlight w:val="none"/>
              </w:rPr>
              <w:t>酌</w:t>
            </w:r>
            <w:r>
              <w:rPr>
                <w:color w:val="auto"/>
                <w:spacing w:val="-58"/>
                <w:highlight w:val="none"/>
              </w:rPr>
              <w:t xml:space="preserve"> </w:t>
            </w:r>
            <w:r>
              <w:rPr>
                <w:color w:val="auto"/>
                <w:spacing w:val="1"/>
                <w:highlight w:val="none"/>
              </w:rPr>
              <w:t xml:space="preserve">情加 </w:t>
            </w:r>
            <w:r>
              <w:rPr>
                <w:color w:val="auto"/>
                <w:spacing w:val="1"/>
                <w:highlight w:val="none"/>
                <w:u w:val="single" w:color="auto"/>
              </w:rPr>
              <w:t>0-</w:t>
            </w:r>
            <w:r>
              <w:rPr>
                <w:color w:val="auto"/>
                <w:highlight w:val="none"/>
                <w:u w:val="single" w:color="auto"/>
              </w:rPr>
              <w:t xml:space="preserve"> </w:t>
            </w:r>
            <w:r>
              <w:rPr>
                <w:color w:val="auto"/>
                <w:spacing w:val="1"/>
                <w:highlight w:val="none"/>
                <w:u w:val="single" w:color="auto"/>
              </w:rPr>
              <w:t>2.0</w:t>
            </w:r>
            <w:r>
              <w:rPr>
                <w:color w:val="auto"/>
                <w:spacing w:val="-38"/>
                <w:highlight w:val="none"/>
                <w:u w:val="single" w:color="auto"/>
              </w:rPr>
              <w:t xml:space="preserve"> </w:t>
            </w:r>
            <w:r>
              <w:rPr>
                <w:color w:val="auto"/>
                <w:spacing w:val="1"/>
                <w:highlight w:val="none"/>
              </w:rPr>
              <w:t>分。</w:t>
            </w:r>
          </w:p>
        </w:tc>
      </w:tr>
      <w:tr w14:paraId="38218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927" w:type="dxa"/>
            <w:tcBorders>
              <w:bottom w:val="single" w:color="auto" w:sz="4" w:space="0"/>
            </w:tcBorders>
            <w:vAlign w:val="top"/>
          </w:tcPr>
          <w:p w14:paraId="312F36D1">
            <w:pPr>
              <w:spacing w:line="255" w:lineRule="auto"/>
              <w:rPr>
                <w:rFonts w:ascii="Arial"/>
                <w:color w:val="auto"/>
                <w:sz w:val="21"/>
                <w:highlight w:val="none"/>
              </w:rPr>
            </w:pPr>
          </w:p>
          <w:p w14:paraId="0C605CFE">
            <w:pPr>
              <w:spacing w:line="255" w:lineRule="auto"/>
              <w:rPr>
                <w:rFonts w:ascii="Arial"/>
                <w:color w:val="auto"/>
                <w:sz w:val="21"/>
                <w:highlight w:val="none"/>
              </w:rPr>
            </w:pPr>
          </w:p>
          <w:p w14:paraId="30AEDF74">
            <w:pPr>
              <w:spacing w:line="255" w:lineRule="auto"/>
              <w:rPr>
                <w:rFonts w:ascii="Arial"/>
                <w:color w:val="auto"/>
                <w:sz w:val="21"/>
                <w:highlight w:val="none"/>
              </w:rPr>
            </w:pPr>
          </w:p>
          <w:p w14:paraId="4F164586">
            <w:pPr>
              <w:spacing w:line="255" w:lineRule="auto"/>
              <w:rPr>
                <w:rFonts w:ascii="Arial"/>
                <w:color w:val="auto"/>
                <w:sz w:val="21"/>
                <w:highlight w:val="none"/>
              </w:rPr>
            </w:pPr>
          </w:p>
          <w:p w14:paraId="0BD3CF50">
            <w:pPr>
              <w:pStyle w:val="17"/>
              <w:spacing w:before="65" w:line="268" w:lineRule="exact"/>
              <w:ind w:left="206"/>
              <w:rPr>
                <w:color w:val="auto"/>
                <w:highlight w:val="none"/>
              </w:rPr>
            </w:pPr>
            <w:r>
              <w:rPr>
                <w:color w:val="auto"/>
                <w:spacing w:val="2"/>
                <w:position w:val="1"/>
                <w:highlight w:val="none"/>
              </w:rPr>
              <w:t>2.2.4</w:t>
            </w:r>
          </w:p>
          <w:p w14:paraId="1D262F8C">
            <w:pPr>
              <w:pStyle w:val="17"/>
              <w:spacing w:before="91" w:line="231" w:lineRule="auto"/>
              <w:ind w:left="346"/>
              <w:rPr>
                <w:color w:val="auto"/>
                <w:highlight w:val="none"/>
              </w:rPr>
            </w:pPr>
            <w:r>
              <w:rPr>
                <w:color w:val="auto"/>
                <w:spacing w:val="-10"/>
                <w:highlight w:val="none"/>
              </w:rPr>
              <w:t>(2)</w:t>
            </w:r>
          </w:p>
        </w:tc>
        <w:tc>
          <w:tcPr>
            <w:tcW w:w="1172" w:type="dxa"/>
            <w:tcBorders>
              <w:bottom w:val="single" w:color="auto" w:sz="4" w:space="0"/>
            </w:tcBorders>
            <w:vAlign w:val="top"/>
          </w:tcPr>
          <w:p w14:paraId="489B9BAF">
            <w:pPr>
              <w:spacing w:line="299" w:lineRule="auto"/>
              <w:rPr>
                <w:rFonts w:ascii="Arial"/>
                <w:color w:val="auto"/>
                <w:sz w:val="21"/>
                <w:highlight w:val="none"/>
              </w:rPr>
            </w:pPr>
          </w:p>
          <w:p w14:paraId="3812F2CE">
            <w:pPr>
              <w:spacing w:line="300" w:lineRule="auto"/>
              <w:rPr>
                <w:rFonts w:ascii="Arial"/>
                <w:color w:val="auto"/>
                <w:sz w:val="21"/>
                <w:highlight w:val="none"/>
              </w:rPr>
            </w:pPr>
          </w:p>
          <w:p w14:paraId="079B1835">
            <w:pPr>
              <w:spacing w:line="300" w:lineRule="auto"/>
              <w:rPr>
                <w:rFonts w:ascii="Arial"/>
                <w:color w:val="auto"/>
                <w:sz w:val="21"/>
                <w:highlight w:val="none"/>
              </w:rPr>
            </w:pPr>
          </w:p>
          <w:p w14:paraId="67989C4B">
            <w:pPr>
              <w:spacing w:line="300" w:lineRule="auto"/>
              <w:rPr>
                <w:rFonts w:ascii="Arial"/>
                <w:color w:val="auto"/>
                <w:sz w:val="21"/>
                <w:highlight w:val="none"/>
              </w:rPr>
            </w:pPr>
          </w:p>
          <w:p w14:paraId="60989BE4">
            <w:pPr>
              <w:pStyle w:val="17"/>
              <w:spacing w:before="65" w:line="229" w:lineRule="auto"/>
              <w:ind w:left="171"/>
              <w:rPr>
                <w:color w:val="auto"/>
                <w:highlight w:val="none"/>
              </w:rPr>
            </w:pPr>
            <w:r>
              <w:rPr>
                <w:color w:val="auto"/>
                <w:spacing w:val="6"/>
                <w:highlight w:val="none"/>
              </w:rPr>
              <w:t>主要人员</w:t>
            </w:r>
          </w:p>
        </w:tc>
        <w:tc>
          <w:tcPr>
            <w:tcW w:w="919" w:type="dxa"/>
            <w:tcBorders>
              <w:bottom w:val="single" w:color="auto" w:sz="4" w:space="0"/>
            </w:tcBorders>
            <w:vAlign w:val="top"/>
          </w:tcPr>
          <w:p w14:paraId="0ADF3B5A">
            <w:pPr>
              <w:spacing w:line="298" w:lineRule="auto"/>
              <w:rPr>
                <w:rFonts w:ascii="Arial"/>
                <w:color w:val="auto"/>
                <w:sz w:val="21"/>
                <w:highlight w:val="none"/>
              </w:rPr>
            </w:pPr>
          </w:p>
          <w:p w14:paraId="2F0B8021">
            <w:pPr>
              <w:spacing w:line="298" w:lineRule="auto"/>
              <w:rPr>
                <w:rFonts w:ascii="Arial"/>
                <w:color w:val="auto"/>
                <w:sz w:val="21"/>
                <w:highlight w:val="none"/>
              </w:rPr>
            </w:pPr>
          </w:p>
          <w:p w14:paraId="4147B879">
            <w:pPr>
              <w:spacing w:line="298" w:lineRule="auto"/>
              <w:rPr>
                <w:rFonts w:ascii="Arial"/>
                <w:color w:val="auto"/>
                <w:sz w:val="21"/>
                <w:highlight w:val="none"/>
              </w:rPr>
            </w:pPr>
          </w:p>
          <w:p w14:paraId="008A2634">
            <w:pPr>
              <w:spacing w:line="298" w:lineRule="auto"/>
              <w:rPr>
                <w:rFonts w:ascii="Arial"/>
                <w:color w:val="auto"/>
                <w:sz w:val="21"/>
                <w:highlight w:val="none"/>
              </w:rPr>
            </w:pPr>
          </w:p>
          <w:p w14:paraId="2B470332">
            <w:pPr>
              <w:pStyle w:val="17"/>
              <w:tabs>
                <w:tab w:val="left" w:pos="455"/>
              </w:tabs>
              <w:spacing w:before="65" w:line="244" w:lineRule="auto"/>
              <w:ind w:left="140"/>
              <w:rPr>
                <w:color w:val="auto"/>
                <w:sz w:val="10"/>
                <w:szCs w:val="10"/>
                <w:highlight w:val="none"/>
              </w:rPr>
            </w:pPr>
            <w:r>
              <w:rPr>
                <w:rFonts w:hint="eastAsia"/>
                <w:color w:val="auto"/>
                <w:position w:val="-2"/>
                <w:highlight w:val="none"/>
                <w:u w:val="single" w:color="auto"/>
                <w:lang w:val="en-US" w:eastAsia="zh-CN"/>
              </w:rPr>
              <w:t>20</w:t>
            </w:r>
            <w:r>
              <w:rPr>
                <w:color w:val="auto"/>
                <w:spacing w:val="-89"/>
                <w:position w:val="-2"/>
                <w:highlight w:val="none"/>
              </w:rPr>
              <w:t xml:space="preserve"> </w:t>
            </w:r>
            <w:r>
              <w:rPr>
                <w:color w:val="auto"/>
                <w:spacing w:val="2"/>
                <w:position w:val="-2"/>
                <w:highlight w:val="none"/>
              </w:rPr>
              <w:t>分</w:t>
            </w:r>
          </w:p>
        </w:tc>
        <w:tc>
          <w:tcPr>
            <w:tcW w:w="946" w:type="dxa"/>
            <w:tcBorders>
              <w:bottom w:val="single" w:color="auto" w:sz="4" w:space="0"/>
            </w:tcBorders>
            <w:vAlign w:val="top"/>
          </w:tcPr>
          <w:p w14:paraId="3BDD08F0">
            <w:pPr>
              <w:pStyle w:val="17"/>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总监理</w:t>
            </w:r>
          </w:p>
          <w:p w14:paraId="1EE4BB6C">
            <w:pPr>
              <w:pStyle w:val="17"/>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工程师</w:t>
            </w:r>
          </w:p>
          <w:p w14:paraId="16083382">
            <w:pPr>
              <w:pStyle w:val="17"/>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或驻地</w:t>
            </w:r>
          </w:p>
          <w:p w14:paraId="7350DE85">
            <w:pPr>
              <w:pStyle w:val="17"/>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监理工</w:t>
            </w:r>
          </w:p>
          <w:p w14:paraId="41577B4C">
            <w:pPr>
              <w:pStyle w:val="17"/>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程师任</w:t>
            </w:r>
          </w:p>
          <w:p w14:paraId="58327971">
            <w:pPr>
              <w:pStyle w:val="17"/>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职资格</w:t>
            </w:r>
          </w:p>
          <w:p w14:paraId="6762D2BB">
            <w:pPr>
              <w:pStyle w:val="17"/>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与业绩</w:t>
            </w:r>
          </w:p>
        </w:tc>
        <w:tc>
          <w:tcPr>
            <w:tcW w:w="600" w:type="dxa"/>
            <w:tcBorders>
              <w:bottom w:val="single" w:color="auto" w:sz="4" w:space="0"/>
            </w:tcBorders>
            <w:vAlign w:val="top"/>
          </w:tcPr>
          <w:p w14:paraId="72512D98">
            <w:pPr>
              <w:pStyle w:val="17"/>
              <w:spacing w:before="125" w:line="228" w:lineRule="auto"/>
              <w:ind w:left="164"/>
              <w:rPr>
                <w:rFonts w:hint="eastAsia" w:ascii="宋体" w:hAnsi="宋体" w:eastAsia="宋体" w:cs="宋体"/>
                <w:color w:val="auto"/>
                <w:spacing w:val="6"/>
                <w:highlight w:val="none"/>
                <w:lang w:val="en-US" w:eastAsia="zh-CN"/>
              </w:rPr>
            </w:pPr>
          </w:p>
          <w:p w14:paraId="36A039A1">
            <w:pPr>
              <w:pStyle w:val="17"/>
              <w:spacing w:before="125" w:line="228" w:lineRule="auto"/>
              <w:ind w:left="164"/>
              <w:rPr>
                <w:rFonts w:hint="eastAsia" w:ascii="宋体" w:hAnsi="宋体" w:eastAsia="宋体" w:cs="宋体"/>
                <w:color w:val="auto"/>
                <w:spacing w:val="6"/>
                <w:highlight w:val="none"/>
                <w:lang w:val="en-US" w:eastAsia="zh-CN"/>
              </w:rPr>
            </w:pPr>
          </w:p>
          <w:p w14:paraId="253158B4">
            <w:pPr>
              <w:pStyle w:val="17"/>
              <w:spacing w:before="125" w:line="228" w:lineRule="auto"/>
              <w:ind w:left="164"/>
              <w:rPr>
                <w:rFonts w:hint="default" w:ascii="宋体" w:hAnsi="宋体" w:eastAsia="宋体" w:cs="宋体"/>
                <w:color w:val="auto"/>
                <w:spacing w:val="6"/>
                <w:highlight w:val="none"/>
                <w:lang w:val="en-US" w:eastAsia="zh-CN"/>
              </w:rPr>
            </w:pPr>
            <w:r>
              <w:rPr>
                <w:rFonts w:hint="eastAsia" w:ascii="宋体" w:hAnsi="宋体" w:eastAsia="宋体" w:cs="宋体"/>
                <w:color w:val="auto"/>
                <w:spacing w:val="6"/>
                <w:highlight w:val="none"/>
                <w:lang w:val="en-US" w:eastAsia="zh-CN"/>
              </w:rPr>
              <w:t>20分</w:t>
            </w:r>
          </w:p>
        </w:tc>
        <w:tc>
          <w:tcPr>
            <w:tcW w:w="4331" w:type="dxa"/>
            <w:gridSpan w:val="2"/>
            <w:tcBorders>
              <w:bottom w:val="single" w:color="auto" w:sz="4" w:space="0"/>
            </w:tcBorders>
            <w:vAlign w:val="top"/>
          </w:tcPr>
          <w:p w14:paraId="695C27FA">
            <w:pPr>
              <w:pStyle w:val="17"/>
              <w:spacing w:before="125" w:line="228" w:lineRule="auto"/>
              <w:ind w:left="164"/>
              <w:rPr>
                <w:rFonts w:ascii="宋体" w:hAnsi="宋体" w:eastAsia="宋体" w:cs="宋体"/>
                <w:color w:val="auto"/>
                <w:spacing w:val="6"/>
                <w:highlight w:val="none"/>
              </w:rPr>
            </w:pPr>
          </w:p>
          <w:p w14:paraId="44439501">
            <w:pPr>
              <w:pStyle w:val="17"/>
              <w:spacing w:before="125" w:line="228" w:lineRule="auto"/>
              <w:ind w:left="164"/>
              <w:rPr>
                <w:rFonts w:ascii="宋体" w:hAnsi="宋体" w:eastAsia="宋体" w:cs="宋体"/>
                <w:color w:val="auto"/>
                <w:spacing w:val="6"/>
                <w:highlight w:val="none"/>
              </w:rPr>
            </w:pPr>
          </w:p>
          <w:p w14:paraId="0319815D">
            <w:pPr>
              <w:pStyle w:val="17"/>
              <w:spacing w:before="125" w:line="228" w:lineRule="auto"/>
              <w:ind w:left="164"/>
              <w:rPr>
                <w:rFonts w:ascii="宋体" w:hAnsi="宋体" w:eastAsia="宋体" w:cs="宋体"/>
                <w:color w:val="auto"/>
                <w:spacing w:val="6"/>
                <w:highlight w:val="none"/>
              </w:rPr>
            </w:pPr>
          </w:p>
          <w:p w14:paraId="0E9FFB94">
            <w:pPr>
              <w:pStyle w:val="17"/>
              <w:spacing w:before="125" w:line="228" w:lineRule="auto"/>
              <w:ind w:left="164"/>
              <w:rPr>
                <w:rFonts w:ascii="宋体" w:hAnsi="宋体" w:eastAsia="宋体" w:cs="宋体"/>
                <w:color w:val="auto"/>
                <w:spacing w:val="6"/>
                <w:highlight w:val="none"/>
              </w:rPr>
            </w:pPr>
            <w:r>
              <w:rPr>
                <w:rFonts w:ascii="宋体" w:hAnsi="宋体" w:eastAsia="宋体" w:cs="宋体"/>
                <w:color w:val="auto"/>
                <w:spacing w:val="6"/>
                <w:highlight w:val="none"/>
              </w:rPr>
              <w:t>监理人员符合资格审查要求的，得满分。</w:t>
            </w:r>
          </w:p>
        </w:tc>
      </w:tr>
      <w:tr w14:paraId="64D0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927" w:type="dxa"/>
            <w:tcBorders>
              <w:top w:val="single" w:color="auto" w:sz="4" w:space="0"/>
              <w:left w:val="single" w:color="auto" w:sz="4" w:space="0"/>
              <w:bottom w:val="single" w:color="auto" w:sz="4" w:space="0"/>
            </w:tcBorders>
            <w:vAlign w:val="top"/>
          </w:tcPr>
          <w:p w14:paraId="780429E7">
            <w:pPr>
              <w:spacing w:line="242" w:lineRule="auto"/>
              <w:rPr>
                <w:rFonts w:ascii="Arial"/>
                <w:color w:val="auto"/>
                <w:sz w:val="21"/>
                <w:highlight w:val="none"/>
              </w:rPr>
            </w:pPr>
          </w:p>
          <w:p w14:paraId="2CA722BE">
            <w:pPr>
              <w:spacing w:line="242" w:lineRule="auto"/>
              <w:rPr>
                <w:rFonts w:ascii="Arial"/>
                <w:color w:val="auto"/>
                <w:sz w:val="21"/>
                <w:highlight w:val="none"/>
              </w:rPr>
            </w:pPr>
          </w:p>
          <w:p w14:paraId="5887A3A4">
            <w:pPr>
              <w:spacing w:line="242" w:lineRule="auto"/>
              <w:rPr>
                <w:rFonts w:ascii="Arial"/>
                <w:color w:val="auto"/>
                <w:sz w:val="21"/>
                <w:highlight w:val="none"/>
              </w:rPr>
            </w:pPr>
          </w:p>
          <w:p w14:paraId="1CC70D09">
            <w:pPr>
              <w:spacing w:line="242" w:lineRule="auto"/>
              <w:rPr>
                <w:rFonts w:ascii="Arial"/>
                <w:color w:val="auto"/>
                <w:sz w:val="21"/>
                <w:highlight w:val="none"/>
              </w:rPr>
            </w:pPr>
          </w:p>
          <w:p w14:paraId="2A65E40E">
            <w:pPr>
              <w:spacing w:line="242" w:lineRule="auto"/>
              <w:rPr>
                <w:rFonts w:ascii="Arial"/>
                <w:color w:val="auto"/>
                <w:sz w:val="21"/>
                <w:highlight w:val="none"/>
              </w:rPr>
            </w:pPr>
          </w:p>
          <w:p w14:paraId="34C99B2B">
            <w:pPr>
              <w:pStyle w:val="17"/>
              <w:spacing w:before="65" w:line="268" w:lineRule="exact"/>
              <w:ind w:left="208"/>
              <w:rPr>
                <w:color w:val="auto"/>
                <w:highlight w:val="none"/>
              </w:rPr>
            </w:pPr>
            <w:r>
              <w:rPr>
                <w:color w:val="auto"/>
                <w:spacing w:val="2"/>
                <w:position w:val="1"/>
                <w:highlight w:val="none"/>
              </w:rPr>
              <w:t>2.2.4</w:t>
            </w:r>
          </w:p>
          <w:p w14:paraId="771AD8EC">
            <w:pPr>
              <w:pStyle w:val="17"/>
              <w:spacing w:before="113" w:line="231" w:lineRule="auto"/>
              <w:ind w:left="348"/>
              <w:rPr>
                <w:color w:val="auto"/>
                <w:highlight w:val="none"/>
              </w:rPr>
            </w:pPr>
            <w:r>
              <w:rPr>
                <w:color w:val="auto"/>
                <w:spacing w:val="-10"/>
                <w:highlight w:val="none"/>
              </w:rPr>
              <w:t>(3)</w:t>
            </w:r>
          </w:p>
        </w:tc>
        <w:tc>
          <w:tcPr>
            <w:tcW w:w="1172" w:type="dxa"/>
            <w:tcBorders>
              <w:top w:val="single" w:color="auto" w:sz="4" w:space="0"/>
              <w:bottom w:val="single" w:color="auto" w:sz="4" w:space="0"/>
            </w:tcBorders>
            <w:vAlign w:val="top"/>
          </w:tcPr>
          <w:p w14:paraId="04DB5E75">
            <w:pPr>
              <w:spacing w:line="265" w:lineRule="auto"/>
              <w:rPr>
                <w:rFonts w:ascii="Arial"/>
                <w:color w:val="auto"/>
                <w:sz w:val="21"/>
                <w:highlight w:val="none"/>
              </w:rPr>
            </w:pPr>
          </w:p>
          <w:p w14:paraId="3530F609">
            <w:pPr>
              <w:spacing w:line="265" w:lineRule="auto"/>
              <w:rPr>
                <w:rFonts w:ascii="Arial"/>
                <w:color w:val="auto"/>
                <w:sz w:val="21"/>
                <w:highlight w:val="none"/>
              </w:rPr>
            </w:pPr>
          </w:p>
          <w:p w14:paraId="5F6600A9">
            <w:pPr>
              <w:spacing w:line="266" w:lineRule="auto"/>
              <w:rPr>
                <w:rFonts w:ascii="Arial"/>
                <w:color w:val="auto"/>
                <w:sz w:val="21"/>
                <w:highlight w:val="none"/>
              </w:rPr>
            </w:pPr>
          </w:p>
          <w:p w14:paraId="25FD790D">
            <w:pPr>
              <w:spacing w:line="266" w:lineRule="auto"/>
              <w:rPr>
                <w:rFonts w:ascii="Arial"/>
                <w:color w:val="auto"/>
                <w:sz w:val="21"/>
                <w:highlight w:val="none"/>
              </w:rPr>
            </w:pPr>
          </w:p>
          <w:p w14:paraId="72052708">
            <w:pPr>
              <w:spacing w:line="266" w:lineRule="auto"/>
              <w:rPr>
                <w:rFonts w:ascii="Arial"/>
                <w:color w:val="auto"/>
                <w:sz w:val="21"/>
                <w:highlight w:val="none"/>
              </w:rPr>
            </w:pPr>
          </w:p>
          <w:p w14:paraId="073C508A">
            <w:pPr>
              <w:pStyle w:val="17"/>
              <w:spacing w:before="65" w:line="226" w:lineRule="auto"/>
              <w:ind w:left="274"/>
              <w:rPr>
                <w:color w:val="auto"/>
                <w:highlight w:val="none"/>
              </w:rPr>
            </w:pPr>
            <w:r>
              <w:rPr>
                <w:color w:val="auto"/>
                <w:spacing w:val="7"/>
                <w:highlight w:val="none"/>
              </w:rPr>
              <w:t>评标价</w:t>
            </w:r>
          </w:p>
        </w:tc>
        <w:tc>
          <w:tcPr>
            <w:tcW w:w="919" w:type="dxa"/>
            <w:tcBorders>
              <w:top w:val="single" w:color="auto" w:sz="4" w:space="0"/>
              <w:bottom w:val="single" w:color="auto" w:sz="4" w:space="0"/>
            </w:tcBorders>
            <w:vAlign w:val="top"/>
          </w:tcPr>
          <w:p w14:paraId="3D9C6A57">
            <w:pPr>
              <w:spacing w:line="261" w:lineRule="auto"/>
              <w:rPr>
                <w:rFonts w:ascii="Arial"/>
                <w:color w:val="auto"/>
                <w:sz w:val="21"/>
                <w:highlight w:val="none"/>
              </w:rPr>
            </w:pPr>
          </w:p>
          <w:p w14:paraId="0E014529">
            <w:pPr>
              <w:spacing w:line="262" w:lineRule="auto"/>
              <w:rPr>
                <w:rFonts w:ascii="Arial"/>
                <w:color w:val="auto"/>
                <w:sz w:val="21"/>
                <w:highlight w:val="none"/>
              </w:rPr>
            </w:pPr>
          </w:p>
          <w:p w14:paraId="079F5A90">
            <w:pPr>
              <w:spacing w:line="262" w:lineRule="auto"/>
              <w:rPr>
                <w:rFonts w:ascii="Arial"/>
                <w:color w:val="auto"/>
                <w:sz w:val="21"/>
                <w:highlight w:val="none"/>
              </w:rPr>
            </w:pPr>
          </w:p>
          <w:p w14:paraId="103CFE08">
            <w:pPr>
              <w:spacing w:line="262" w:lineRule="auto"/>
              <w:rPr>
                <w:rFonts w:ascii="Arial"/>
                <w:color w:val="auto"/>
                <w:sz w:val="21"/>
                <w:highlight w:val="none"/>
              </w:rPr>
            </w:pPr>
          </w:p>
          <w:p w14:paraId="087CB566">
            <w:pPr>
              <w:spacing w:line="262" w:lineRule="auto"/>
              <w:rPr>
                <w:rFonts w:ascii="Arial"/>
                <w:color w:val="auto"/>
                <w:sz w:val="21"/>
                <w:highlight w:val="none"/>
              </w:rPr>
            </w:pPr>
          </w:p>
          <w:p w14:paraId="70639E2D">
            <w:pPr>
              <w:pStyle w:val="17"/>
              <w:spacing w:before="65" w:line="228" w:lineRule="auto"/>
              <w:ind w:left="244"/>
              <w:rPr>
                <w:color w:val="auto"/>
                <w:highlight w:val="none"/>
              </w:rPr>
            </w:pPr>
            <w:r>
              <w:rPr>
                <w:color w:val="auto"/>
                <w:spacing w:val="-5"/>
                <w:highlight w:val="none"/>
              </w:rPr>
              <w:t>10</w:t>
            </w:r>
            <w:r>
              <w:rPr>
                <w:color w:val="auto"/>
                <w:spacing w:val="-38"/>
                <w:highlight w:val="none"/>
              </w:rPr>
              <w:t xml:space="preserve"> </w:t>
            </w:r>
            <w:r>
              <w:rPr>
                <w:color w:val="auto"/>
                <w:spacing w:val="-5"/>
                <w:highlight w:val="none"/>
              </w:rPr>
              <w:t>分</w:t>
            </w:r>
          </w:p>
        </w:tc>
        <w:tc>
          <w:tcPr>
            <w:tcW w:w="5877" w:type="dxa"/>
            <w:gridSpan w:val="4"/>
            <w:tcBorders>
              <w:top w:val="single" w:color="auto" w:sz="4" w:space="0"/>
              <w:bottom w:val="single" w:color="auto" w:sz="4" w:space="0"/>
              <w:right w:val="single" w:color="auto" w:sz="4" w:space="0"/>
            </w:tcBorders>
            <w:vAlign w:val="top"/>
          </w:tcPr>
          <w:p w14:paraId="0E210C3F">
            <w:pPr>
              <w:pStyle w:val="17"/>
              <w:spacing w:before="36" w:line="226" w:lineRule="auto"/>
              <w:ind w:left="112"/>
              <w:rPr>
                <w:color w:val="auto"/>
                <w:highlight w:val="none"/>
              </w:rPr>
            </w:pPr>
            <w:r>
              <w:rPr>
                <w:color w:val="auto"/>
                <w:spacing w:val="8"/>
                <w:highlight w:val="none"/>
              </w:rPr>
              <w:t>评标价得分计算公式示例：</w:t>
            </w:r>
          </w:p>
          <w:p w14:paraId="1C1BBABD">
            <w:pPr>
              <w:pStyle w:val="17"/>
              <w:spacing w:before="163" w:line="306" w:lineRule="auto"/>
              <w:ind w:left="113" w:right="136" w:firstLine="36"/>
              <w:rPr>
                <w:color w:val="auto"/>
                <w:highlight w:val="none"/>
              </w:rPr>
            </w:pPr>
            <w:r>
              <w:rPr>
                <w:color w:val="auto"/>
                <w:spacing w:val="17"/>
                <w:highlight w:val="none"/>
              </w:rPr>
              <w:t>(1)如果投标人的评标价&gt;评标基准价，则</w:t>
            </w:r>
            <w:r>
              <w:rPr>
                <w:color w:val="auto"/>
                <w:spacing w:val="16"/>
                <w:highlight w:val="none"/>
              </w:rPr>
              <w:t>评标价得分＝10-</w:t>
            </w:r>
            <w:r>
              <w:rPr>
                <w:color w:val="auto"/>
                <w:spacing w:val="5"/>
                <w:highlight w:val="none"/>
              </w:rPr>
              <w:t>偏差率×100× E</w:t>
            </w:r>
            <w:r>
              <w:rPr>
                <w:color w:val="auto"/>
                <w:spacing w:val="5"/>
                <w:position w:val="-3"/>
                <w:sz w:val="10"/>
                <w:szCs w:val="10"/>
                <w:highlight w:val="none"/>
              </w:rPr>
              <w:t>1</w:t>
            </w:r>
            <w:r>
              <w:rPr>
                <w:color w:val="auto"/>
                <w:spacing w:val="5"/>
                <w:highlight w:val="none"/>
              </w:rPr>
              <w:t>；</w:t>
            </w:r>
          </w:p>
          <w:p w14:paraId="2F0B3883">
            <w:pPr>
              <w:pStyle w:val="17"/>
              <w:spacing w:before="151" w:line="310" w:lineRule="auto"/>
              <w:ind w:left="113" w:right="136" w:firstLine="36"/>
              <w:rPr>
                <w:color w:val="auto"/>
                <w:highlight w:val="none"/>
              </w:rPr>
            </w:pPr>
            <w:r>
              <w:rPr>
                <w:color w:val="auto"/>
                <w:spacing w:val="13"/>
                <w:highlight w:val="none"/>
              </w:rPr>
              <w:t>(2)如果投标人的评标价≤评标基准价，则评标价得分＝10+</w:t>
            </w:r>
            <w:r>
              <w:rPr>
                <w:color w:val="auto"/>
                <w:spacing w:val="3"/>
                <w:highlight w:val="none"/>
              </w:rPr>
              <w:t>偏差率×</w:t>
            </w:r>
            <w:r>
              <w:rPr>
                <w:color w:val="auto"/>
                <w:spacing w:val="37"/>
                <w:highlight w:val="none"/>
              </w:rPr>
              <w:t xml:space="preserve"> </w:t>
            </w:r>
            <w:r>
              <w:rPr>
                <w:color w:val="auto"/>
                <w:spacing w:val="3"/>
                <w:highlight w:val="none"/>
              </w:rPr>
              <w:t>100× E</w:t>
            </w:r>
            <w:r>
              <w:rPr>
                <w:color w:val="auto"/>
                <w:spacing w:val="3"/>
                <w:position w:val="-2"/>
                <w:sz w:val="10"/>
                <w:szCs w:val="10"/>
                <w:highlight w:val="none"/>
              </w:rPr>
              <w:t>2</w:t>
            </w:r>
            <w:r>
              <w:rPr>
                <w:color w:val="auto"/>
                <w:spacing w:val="3"/>
                <w:highlight w:val="none"/>
              </w:rPr>
              <w:t>。</w:t>
            </w:r>
          </w:p>
          <w:p w14:paraId="36059CAB">
            <w:pPr>
              <w:pStyle w:val="17"/>
              <w:spacing w:before="146" w:line="358" w:lineRule="auto"/>
              <w:ind w:left="103" w:right="107" w:firstLine="10"/>
              <w:rPr>
                <w:color w:val="auto"/>
                <w:highlight w:val="none"/>
              </w:rPr>
            </w:pPr>
            <w:r>
              <w:rPr>
                <w:color w:val="auto"/>
                <w:spacing w:val="22"/>
                <w:highlight w:val="none"/>
              </w:rPr>
              <w:t>注</w:t>
            </w:r>
            <w:r>
              <w:rPr>
                <w:color w:val="auto"/>
                <w:spacing w:val="-45"/>
                <w:highlight w:val="none"/>
              </w:rPr>
              <w:t xml:space="preserve"> </w:t>
            </w:r>
            <w:r>
              <w:rPr>
                <w:color w:val="auto"/>
                <w:spacing w:val="22"/>
                <w:highlight w:val="none"/>
              </w:rPr>
              <w:t>：评标价得分计算保留小数点后四位</w:t>
            </w:r>
            <w:r>
              <w:rPr>
                <w:color w:val="auto"/>
                <w:spacing w:val="-55"/>
                <w:highlight w:val="none"/>
              </w:rPr>
              <w:t xml:space="preserve"> </w:t>
            </w:r>
            <w:r>
              <w:rPr>
                <w:color w:val="auto"/>
                <w:spacing w:val="22"/>
                <w:highlight w:val="none"/>
              </w:rPr>
              <w:t>，小数点后第五位</w:t>
            </w:r>
            <w:r>
              <w:rPr>
                <w:color w:val="auto"/>
                <w:spacing w:val="4"/>
                <w:highlight w:val="none"/>
              </w:rPr>
              <w:t>“</w:t>
            </w:r>
            <w:r>
              <w:rPr>
                <w:color w:val="auto"/>
                <w:spacing w:val="-69"/>
                <w:highlight w:val="none"/>
              </w:rPr>
              <w:t xml:space="preserve"> </w:t>
            </w:r>
            <w:r>
              <w:rPr>
                <w:color w:val="auto"/>
                <w:spacing w:val="4"/>
                <w:highlight w:val="none"/>
              </w:rPr>
              <w:t>四舍五入</w:t>
            </w:r>
            <w:r>
              <w:rPr>
                <w:color w:val="auto"/>
                <w:spacing w:val="-70"/>
                <w:highlight w:val="none"/>
              </w:rPr>
              <w:t xml:space="preserve"> </w:t>
            </w:r>
            <w:r>
              <w:rPr>
                <w:color w:val="auto"/>
                <w:spacing w:val="4"/>
                <w:highlight w:val="none"/>
              </w:rPr>
              <w:t>”。</w:t>
            </w:r>
          </w:p>
        </w:tc>
      </w:tr>
    </w:tbl>
    <w:p w14:paraId="5B7550FE">
      <w:pPr>
        <w:spacing w:line="258" w:lineRule="auto"/>
        <w:rPr>
          <w:rFonts w:ascii="Arial"/>
          <w:color w:val="auto"/>
          <w:sz w:val="21"/>
          <w:highlight w:val="none"/>
        </w:rPr>
      </w:pPr>
    </w:p>
    <w:p w14:paraId="6B24E8A4">
      <w:pPr>
        <w:spacing w:before="21" w:line="232" w:lineRule="auto"/>
        <w:ind w:left="121" w:hanging="3"/>
        <w:rPr>
          <w:rFonts w:ascii="宋体" w:hAnsi="宋体" w:eastAsia="宋体" w:cs="宋体"/>
          <w:color w:val="auto"/>
          <w:sz w:val="18"/>
          <w:szCs w:val="18"/>
          <w:highlight w:val="none"/>
        </w:rPr>
      </w:pPr>
      <w:bookmarkStart w:id="179" w:name="bookmark126"/>
      <w:bookmarkEnd w:id="179"/>
      <w:bookmarkStart w:id="180" w:name="bookmark127"/>
      <w:bookmarkEnd w:id="180"/>
    </w:p>
    <w:p w14:paraId="1B9FC450">
      <w:pPr>
        <w:spacing w:line="232" w:lineRule="auto"/>
        <w:rPr>
          <w:rFonts w:ascii="宋体" w:hAnsi="宋体" w:eastAsia="宋体" w:cs="宋体"/>
          <w:color w:val="auto"/>
          <w:sz w:val="18"/>
          <w:szCs w:val="18"/>
          <w:highlight w:val="none"/>
        </w:rPr>
        <w:sectPr>
          <w:footerReference r:id="rId50" w:type="default"/>
          <w:pgSz w:w="11906" w:h="16839"/>
          <w:pgMar w:top="1416" w:right="1490" w:bottom="1297" w:left="1304" w:header="0" w:footer="1067" w:gutter="0"/>
          <w:pgNumType w:fmt="decimal"/>
          <w:cols w:space="720" w:num="1"/>
        </w:sectPr>
      </w:pPr>
    </w:p>
    <w:tbl>
      <w:tblPr>
        <w:tblStyle w:val="16"/>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655"/>
        <w:gridCol w:w="518"/>
        <w:gridCol w:w="918"/>
        <w:gridCol w:w="946"/>
        <w:gridCol w:w="581"/>
        <w:gridCol w:w="4350"/>
      </w:tblGrid>
      <w:tr w14:paraId="25E85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4545" w:type="dxa"/>
            <w:gridSpan w:val="6"/>
            <w:tcBorders>
              <w:bottom w:val="single" w:color="auto" w:sz="4" w:space="0"/>
            </w:tcBorders>
            <w:vAlign w:val="top"/>
          </w:tcPr>
          <w:p w14:paraId="6189074A">
            <w:pPr>
              <w:pStyle w:val="17"/>
              <w:spacing w:before="127" w:line="232" w:lineRule="auto"/>
              <w:ind w:left="1287"/>
              <w:rPr>
                <w:color w:val="auto"/>
                <w:sz w:val="10"/>
                <w:szCs w:val="10"/>
                <w:highlight w:val="none"/>
              </w:rPr>
            </w:pPr>
            <w:r>
              <w:rPr>
                <w:b/>
                <w:bCs/>
                <w:color w:val="auto"/>
                <w:spacing w:val="7"/>
                <w:highlight w:val="none"/>
              </w:rPr>
              <w:t>评分因素与权重分值</w:t>
            </w:r>
          </w:p>
        </w:tc>
        <w:tc>
          <w:tcPr>
            <w:tcW w:w="4350" w:type="dxa"/>
            <w:vMerge w:val="restart"/>
            <w:tcBorders>
              <w:bottom w:val="single" w:color="auto" w:sz="4" w:space="0"/>
              <w:right w:val="single" w:color="auto" w:sz="4" w:space="0"/>
            </w:tcBorders>
            <w:vAlign w:val="top"/>
          </w:tcPr>
          <w:p w14:paraId="5C24E0F0">
            <w:pPr>
              <w:spacing w:line="315" w:lineRule="auto"/>
              <w:rPr>
                <w:rFonts w:ascii="Arial"/>
                <w:color w:val="auto"/>
                <w:sz w:val="21"/>
                <w:highlight w:val="none"/>
              </w:rPr>
            </w:pPr>
          </w:p>
          <w:p w14:paraId="46D5873D">
            <w:pPr>
              <w:spacing w:line="316" w:lineRule="auto"/>
              <w:rPr>
                <w:rFonts w:ascii="Arial"/>
                <w:color w:val="auto"/>
                <w:sz w:val="21"/>
                <w:highlight w:val="none"/>
              </w:rPr>
            </w:pPr>
          </w:p>
          <w:p w14:paraId="1D4FE6BE">
            <w:pPr>
              <w:pStyle w:val="17"/>
              <w:spacing w:before="65" w:line="267" w:lineRule="exact"/>
              <w:ind w:left="1713"/>
              <w:rPr>
                <w:color w:val="auto"/>
                <w:sz w:val="10"/>
                <w:szCs w:val="10"/>
                <w:highlight w:val="none"/>
              </w:rPr>
            </w:pPr>
            <w:r>
              <w:rPr>
                <w:b/>
                <w:bCs/>
                <w:color w:val="auto"/>
                <w:spacing w:val="6"/>
                <w:highlight w:val="none"/>
              </w:rPr>
              <w:t>评分标准</w:t>
            </w:r>
          </w:p>
        </w:tc>
      </w:tr>
      <w:tr w14:paraId="40588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27" w:type="dxa"/>
            <w:tcBorders>
              <w:top w:val="single" w:color="auto" w:sz="4" w:space="0"/>
              <w:left w:val="single" w:color="auto" w:sz="4" w:space="0"/>
              <w:bottom w:val="single" w:color="auto" w:sz="4" w:space="0"/>
              <w:right w:val="single" w:color="auto" w:sz="4" w:space="0"/>
            </w:tcBorders>
            <w:vAlign w:val="top"/>
          </w:tcPr>
          <w:p w14:paraId="1EC38AAC">
            <w:pPr>
              <w:spacing w:line="452" w:lineRule="auto"/>
              <w:rPr>
                <w:rFonts w:ascii="Arial"/>
                <w:color w:val="auto"/>
                <w:sz w:val="21"/>
                <w:highlight w:val="none"/>
              </w:rPr>
            </w:pPr>
          </w:p>
          <w:p w14:paraId="7426FDE6">
            <w:pPr>
              <w:pStyle w:val="17"/>
              <w:spacing w:before="65" w:line="228" w:lineRule="auto"/>
              <w:ind w:left="155"/>
              <w:rPr>
                <w:color w:val="auto"/>
                <w:highlight w:val="none"/>
              </w:rPr>
            </w:pPr>
            <w:r>
              <w:rPr>
                <w:b/>
                <w:bCs/>
                <w:color w:val="auto"/>
                <w:spacing w:val="5"/>
                <w:highlight w:val="none"/>
              </w:rPr>
              <w:t>条款号</w:t>
            </w:r>
          </w:p>
        </w:tc>
        <w:tc>
          <w:tcPr>
            <w:tcW w:w="1173" w:type="dxa"/>
            <w:gridSpan w:val="2"/>
            <w:tcBorders>
              <w:top w:val="single" w:color="auto" w:sz="4" w:space="0"/>
              <w:left w:val="single" w:color="auto" w:sz="4" w:space="0"/>
              <w:bottom w:val="single" w:color="auto" w:sz="4" w:space="0"/>
              <w:right w:val="single" w:color="auto" w:sz="4" w:space="0"/>
            </w:tcBorders>
            <w:vAlign w:val="top"/>
          </w:tcPr>
          <w:p w14:paraId="35DDB37C">
            <w:pPr>
              <w:spacing w:line="452" w:lineRule="auto"/>
              <w:rPr>
                <w:rFonts w:ascii="Arial"/>
                <w:color w:val="auto"/>
                <w:sz w:val="21"/>
                <w:highlight w:val="none"/>
              </w:rPr>
            </w:pPr>
          </w:p>
          <w:p w14:paraId="7D729470">
            <w:pPr>
              <w:pStyle w:val="17"/>
              <w:spacing w:before="65" w:line="228" w:lineRule="auto"/>
              <w:ind w:left="168"/>
              <w:rPr>
                <w:color w:val="auto"/>
                <w:highlight w:val="none"/>
              </w:rPr>
            </w:pPr>
            <w:r>
              <w:rPr>
                <w:b/>
                <w:bCs/>
                <w:color w:val="auto"/>
                <w:spacing w:val="6"/>
                <w:highlight w:val="none"/>
              </w:rPr>
              <w:t>评分因素</w:t>
            </w:r>
          </w:p>
        </w:tc>
        <w:tc>
          <w:tcPr>
            <w:tcW w:w="918" w:type="dxa"/>
            <w:tcBorders>
              <w:top w:val="single" w:color="auto" w:sz="4" w:space="0"/>
              <w:left w:val="single" w:color="auto" w:sz="4" w:space="0"/>
              <w:bottom w:val="single" w:color="auto" w:sz="4" w:space="0"/>
              <w:right w:val="single" w:color="auto" w:sz="4" w:space="0"/>
            </w:tcBorders>
            <w:vAlign w:val="top"/>
          </w:tcPr>
          <w:p w14:paraId="2D347B68">
            <w:pPr>
              <w:spacing w:line="265" w:lineRule="auto"/>
              <w:rPr>
                <w:rFonts w:ascii="Arial"/>
                <w:color w:val="auto"/>
                <w:sz w:val="21"/>
                <w:highlight w:val="none"/>
              </w:rPr>
            </w:pPr>
          </w:p>
          <w:p w14:paraId="1C36916D">
            <w:pPr>
              <w:pStyle w:val="17"/>
              <w:spacing w:before="65" w:line="351" w:lineRule="auto"/>
              <w:ind w:left="42" w:right="35"/>
              <w:rPr>
                <w:color w:val="auto"/>
                <w:highlight w:val="none"/>
              </w:rPr>
            </w:pPr>
            <w:r>
              <w:rPr>
                <w:b/>
                <w:bCs/>
                <w:color w:val="auto"/>
                <w:spacing w:val="6"/>
                <w:highlight w:val="none"/>
              </w:rPr>
              <w:t>评分因素权重分值</w:t>
            </w:r>
          </w:p>
        </w:tc>
        <w:tc>
          <w:tcPr>
            <w:tcW w:w="946" w:type="dxa"/>
            <w:tcBorders>
              <w:top w:val="single" w:color="auto" w:sz="4" w:space="0"/>
              <w:left w:val="single" w:color="auto" w:sz="4" w:space="0"/>
              <w:bottom w:val="single" w:color="auto" w:sz="4" w:space="0"/>
              <w:right w:val="single" w:color="auto" w:sz="4" w:space="0"/>
            </w:tcBorders>
            <w:vAlign w:val="top"/>
          </w:tcPr>
          <w:p w14:paraId="7C16A829">
            <w:pPr>
              <w:pStyle w:val="17"/>
              <w:spacing w:before="141" w:line="228" w:lineRule="auto"/>
              <w:ind w:left="164"/>
              <w:rPr>
                <w:color w:val="auto"/>
                <w:highlight w:val="none"/>
              </w:rPr>
            </w:pPr>
            <w:r>
              <w:rPr>
                <w:b/>
                <w:bCs/>
                <w:color w:val="auto"/>
                <w:spacing w:val="4"/>
                <w:highlight w:val="none"/>
              </w:rPr>
              <w:t>各评分</w:t>
            </w:r>
          </w:p>
          <w:p w14:paraId="4A0A536F">
            <w:pPr>
              <w:pStyle w:val="17"/>
              <w:spacing w:before="131" w:line="283" w:lineRule="auto"/>
              <w:ind w:left="269" w:right="156" w:hanging="91"/>
              <w:rPr>
                <w:color w:val="auto"/>
                <w:highlight w:val="none"/>
              </w:rPr>
            </w:pPr>
            <w:r>
              <w:rPr>
                <w:b/>
                <w:bCs/>
                <w:color w:val="auto"/>
                <w:highlight w:val="none"/>
              </w:rPr>
              <w:t>因素细</w:t>
            </w:r>
            <w:r>
              <w:rPr>
                <w:b/>
                <w:bCs/>
                <w:color w:val="auto"/>
                <w:spacing w:val="2"/>
                <w:highlight w:val="none"/>
              </w:rPr>
              <w:t>分项</w:t>
            </w:r>
          </w:p>
        </w:tc>
        <w:tc>
          <w:tcPr>
            <w:tcW w:w="581" w:type="dxa"/>
            <w:tcBorders>
              <w:top w:val="single" w:color="auto" w:sz="4" w:space="0"/>
              <w:left w:val="single" w:color="auto" w:sz="4" w:space="0"/>
              <w:bottom w:val="single" w:color="auto" w:sz="4" w:space="0"/>
              <w:right w:val="single" w:color="auto" w:sz="4" w:space="0"/>
            </w:tcBorders>
            <w:textDirection w:val="tbRlV"/>
            <w:vAlign w:val="top"/>
          </w:tcPr>
          <w:p w14:paraId="365B2421">
            <w:pPr>
              <w:pStyle w:val="17"/>
              <w:spacing w:before="174" w:line="216" w:lineRule="auto"/>
              <w:ind w:left="331"/>
              <w:rPr>
                <w:color w:val="auto"/>
                <w:highlight w:val="none"/>
              </w:rPr>
            </w:pPr>
            <w:r>
              <w:rPr>
                <w:b/>
                <w:bCs/>
                <w:color w:val="auto"/>
                <w:spacing w:val="6"/>
                <w:highlight w:val="none"/>
              </w:rPr>
              <w:t>分</w:t>
            </w:r>
            <w:r>
              <w:rPr>
                <w:color w:val="auto"/>
                <w:spacing w:val="70"/>
                <w:highlight w:val="none"/>
              </w:rPr>
              <w:t xml:space="preserve"> </w:t>
            </w:r>
            <w:r>
              <w:rPr>
                <w:b/>
                <w:bCs/>
                <w:color w:val="auto"/>
                <w:spacing w:val="6"/>
                <w:highlight w:val="none"/>
              </w:rPr>
              <w:t>值</w:t>
            </w:r>
          </w:p>
        </w:tc>
        <w:tc>
          <w:tcPr>
            <w:tcW w:w="4350" w:type="dxa"/>
            <w:vMerge w:val="continue"/>
            <w:tcBorders>
              <w:top w:val="single" w:color="auto" w:sz="4" w:space="0"/>
              <w:left w:val="single" w:color="auto" w:sz="4" w:space="0"/>
              <w:bottom w:val="single" w:color="auto" w:sz="4" w:space="0"/>
              <w:right w:val="single" w:color="auto" w:sz="4" w:space="0"/>
            </w:tcBorders>
            <w:vAlign w:val="top"/>
          </w:tcPr>
          <w:p w14:paraId="6C53A436">
            <w:pPr>
              <w:rPr>
                <w:rFonts w:ascii="Arial"/>
                <w:color w:val="auto"/>
                <w:sz w:val="21"/>
                <w:highlight w:val="none"/>
              </w:rPr>
            </w:pPr>
          </w:p>
        </w:tc>
      </w:tr>
      <w:tr w14:paraId="37338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27" w:type="dxa"/>
            <w:tcBorders>
              <w:top w:val="single" w:color="auto" w:sz="4" w:space="0"/>
              <w:left w:val="single" w:color="auto" w:sz="4" w:space="0"/>
              <w:bottom w:val="single" w:color="auto" w:sz="4" w:space="0"/>
              <w:right w:val="single" w:color="auto" w:sz="4" w:space="0"/>
            </w:tcBorders>
            <w:vAlign w:val="top"/>
          </w:tcPr>
          <w:p w14:paraId="08DC7AE2">
            <w:pPr>
              <w:rPr>
                <w:rFonts w:ascii="Arial"/>
                <w:color w:val="auto"/>
                <w:sz w:val="21"/>
                <w:highlight w:val="none"/>
              </w:rPr>
            </w:pPr>
          </w:p>
        </w:tc>
        <w:tc>
          <w:tcPr>
            <w:tcW w:w="1173" w:type="dxa"/>
            <w:gridSpan w:val="2"/>
            <w:tcBorders>
              <w:top w:val="single" w:color="auto" w:sz="4" w:space="0"/>
              <w:left w:val="single" w:color="auto" w:sz="4" w:space="0"/>
              <w:bottom w:val="single" w:color="auto" w:sz="4" w:space="0"/>
              <w:right w:val="single" w:color="auto" w:sz="4" w:space="0"/>
            </w:tcBorders>
            <w:vAlign w:val="top"/>
          </w:tcPr>
          <w:p w14:paraId="382F4BE0">
            <w:pPr>
              <w:rPr>
                <w:rFonts w:ascii="Arial"/>
                <w:color w:val="auto"/>
                <w:sz w:val="21"/>
                <w:highlight w:val="none"/>
              </w:rPr>
            </w:pPr>
          </w:p>
        </w:tc>
        <w:tc>
          <w:tcPr>
            <w:tcW w:w="918" w:type="dxa"/>
            <w:tcBorders>
              <w:top w:val="single" w:color="auto" w:sz="4" w:space="0"/>
              <w:left w:val="single" w:color="auto" w:sz="4" w:space="0"/>
              <w:bottom w:val="single" w:color="auto" w:sz="4" w:space="0"/>
              <w:right w:val="single" w:color="auto" w:sz="4" w:space="0"/>
            </w:tcBorders>
            <w:vAlign w:val="top"/>
          </w:tcPr>
          <w:p w14:paraId="292857EE">
            <w:pPr>
              <w:spacing w:line="305" w:lineRule="auto"/>
              <w:rPr>
                <w:rFonts w:ascii="Arial"/>
                <w:color w:val="auto"/>
                <w:sz w:val="21"/>
                <w:highlight w:val="none"/>
              </w:rPr>
            </w:pPr>
          </w:p>
          <w:p w14:paraId="07326678">
            <w:pPr>
              <w:pStyle w:val="17"/>
              <w:spacing w:before="65" w:line="354" w:lineRule="auto"/>
              <w:ind w:left="153" w:right="143" w:firstLine="18"/>
              <w:rPr>
                <w:color w:val="auto"/>
                <w:highlight w:val="none"/>
              </w:rPr>
            </w:pPr>
            <w:r>
              <w:rPr>
                <w:color w:val="auto"/>
                <w:spacing w:val="2"/>
                <w:highlight w:val="none"/>
              </w:rPr>
              <w:t>E</w:t>
            </w:r>
            <w:r>
              <w:rPr>
                <w:color w:val="auto"/>
                <w:spacing w:val="-39"/>
                <w:highlight w:val="none"/>
              </w:rPr>
              <w:t xml:space="preserve"> </w:t>
            </w:r>
            <w:r>
              <w:rPr>
                <w:color w:val="auto"/>
                <w:spacing w:val="2"/>
                <w:highlight w:val="none"/>
              </w:rPr>
              <w:t>值确</w:t>
            </w:r>
            <w:r>
              <w:rPr>
                <w:color w:val="auto"/>
                <w:spacing w:val="5"/>
                <w:highlight w:val="none"/>
              </w:rPr>
              <w:t>定方式</w:t>
            </w:r>
          </w:p>
        </w:tc>
        <w:tc>
          <w:tcPr>
            <w:tcW w:w="5877" w:type="dxa"/>
            <w:gridSpan w:val="3"/>
            <w:tcBorders>
              <w:top w:val="single" w:color="auto" w:sz="4" w:space="0"/>
              <w:left w:val="single" w:color="auto" w:sz="4" w:space="0"/>
              <w:bottom w:val="single" w:color="auto" w:sz="4" w:space="0"/>
              <w:right w:val="single" w:color="auto" w:sz="4" w:space="0"/>
            </w:tcBorders>
            <w:vAlign w:val="top"/>
          </w:tcPr>
          <w:p w14:paraId="1DE14275">
            <w:pPr>
              <w:pStyle w:val="17"/>
              <w:spacing w:before="16" w:line="237" w:lineRule="auto"/>
              <w:ind w:left="111"/>
              <w:rPr>
                <w:b/>
                <w:bCs/>
                <w:color w:val="auto"/>
                <w:spacing w:val="8"/>
                <w:highlight w:val="none"/>
              </w:rPr>
            </w:pPr>
          </w:p>
          <w:p w14:paraId="4F82354C">
            <w:pPr>
              <w:pStyle w:val="17"/>
              <w:spacing w:before="16" w:line="237" w:lineRule="auto"/>
              <w:ind w:left="111"/>
              <w:rPr>
                <w:color w:val="auto"/>
                <w:highlight w:val="none"/>
              </w:rPr>
            </w:pPr>
            <w:r>
              <w:rPr>
                <w:b/>
                <w:bCs/>
                <w:color w:val="auto"/>
                <w:spacing w:val="8"/>
                <w:highlight w:val="none"/>
              </w:rPr>
              <w:t>E</w:t>
            </w:r>
            <w:r>
              <w:rPr>
                <w:color w:val="auto"/>
                <w:spacing w:val="-39"/>
                <w:highlight w:val="none"/>
              </w:rPr>
              <w:t xml:space="preserve"> </w:t>
            </w:r>
            <w:r>
              <w:rPr>
                <w:b/>
                <w:bCs/>
                <w:color w:val="auto"/>
                <w:spacing w:val="8"/>
                <w:highlight w:val="none"/>
              </w:rPr>
              <w:t>值确定方式</w:t>
            </w:r>
            <w:r>
              <w:rPr>
                <w:b/>
                <w:bCs/>
                <w:color w:val="auto"/>
                <w:spacing w:val="-5"/>
                <w:highlight w:val="none"/>
              </w:rPr>
              <w:t>：（</w:t>
            </w:r>
            <w:r>
              <w:rPr>
                <w:b/>
                <w:bCs/>
                <w:color w:val="auto"/>
                <w:spacing w:val="8"/>
                <w:highlight w:val="none"/>
              </w:rPr>
              <w:t>两种方法选择一个）</w:t>
            </w:r>
          </w:p>
          <w:p w14:paraId="5AF20551">
            <w:pPr>
              <w:pStyle w:val="17"/>
              <w:spacing w:line="242" w:lineRule="auto"/>
              <w:ind w:left="114"/>
              <w:rPr>
                <w:b/>
                <w:bCs/>
                <w:color w:val="auto"/>
                <w:spacing w:val="4"/>
                <w:highlight w:val="none"/>
              </w:rPr>
            </w:pPr>
          </w:p>
          <w:p w14:paraId="681F826E">
            <w:pPr>
              <w:pStyle w:val="17"/>
              <w:spacing w:line="242" w:lineRule="auto"/>
              <w:ind w:left="114"/>
              <w:rPr>
                <w:color w:val="auto"/>
                <w:highlight w:val="none"/>
              </w:rPr>
            </w:pPr>
            <w:r>
              <w:rPr>
                <w:b/>
                <w:bCs/>
                <w:color w:val="auto"/>
                <w:spacing w:val="4"/>
                <w:highlight w:val="none"/>
              </w:rPr>
              <w:t>方法二：</w:t>
            </w:r>
            <w:r>
              <w:rPr>
                <w:color w:val="auto"/>
                <w:spacing w:val="4"/>
                <w:highlight w:val="none"/>
              </w:rPr>
              <w:t>E</w:t>
            </w:r>
            <w:r>
              <w:rPr>
                <w:color w:val="auto"/>
                <w:spacing w:val="4"/>
                <w:position w:val="-2"/>
                <w:sz w:val="10"/>
                <w:szCs w:val="10"/>
                <w:highlight w:val="none"/>
              </w:rPr>
              <w:t>1</w:t>
            </w:r>
            <w:r>
              <w:rPr>
                <w:color w:val="auto"/>
                <w:spacing w:val="4"/>
                <w:highlight w:val="none"/>
              </w:rPr>
              <w:t>=1.5，E</w:t>
            </w:r>
            <w:r>
              <w:rPr>
                <w:color w:val="auto"/>
                <w:spacing w:val="4"/>
                <w:position w:val="-2"/>
                <w:sz w:val="10"/>
                <w:szCs w:val="10"/>
                <w:highlight w:val="none"/>
              </w:rPr>
              <w:t>2</w:t>
            </w:r>
            <w:r>
              <w:rPr>
                <w:color w:val="auto"/>
                <w:spacing w:val="4"/>
                <w:highlight w:val="none"/>
              </w:rPr>
              <w:t>=0.5，</w:t>
            </w:r>
          </w:p>
        </w:tc>
      </w:tr>
      <w:tr w14:paraId="374FA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27" w:type="dxa"/>
            <w:vMerge w:val="restart"/>
            <w:tcBorders>
              <w:top w:val="single" w:color="auto" w:sz="4" w:space="0"/>
              <w:bottom w:val="single" w:color="auto" w:sz="4" w:space="0"/>
            </w:tcBorders>
            <w:vAlign w:val="top"/>
          </w:tcPr>
          <w:p w14:paraId="207BFFBE">
            <w:pPr>
              <w:spacing w:line="251" w:lineRule="auto"/>
              <w:rPr>
                <w:rFonts w:ascii="Arial"/>
                <w:color w:val="auto"/>
                <w:sz w:val="21"/>
                <w:highlight w:val="none"/>
              </w:rPr>
            </w:pPr>
          </w:p>
          <w:p w14:paraId="254E2D41">
            <w:pPr>
              <w:spacing w:line="252" w:lineRule="auto"/>
              <w:rPr>
                <w:rFonts w:ascii="Arial"/>
                <w:color w:val="auto"/>
                <w:sz w:val="21"/>
                <w:highlight w:val="none"/>
              </w:rPr>
            </w:pPr>
          </w:p>
          <w:p w14:paraId="5DA101E3">
            <w:pPr>
              <w:spacing w:line="252" w:lineRule="auto"/>
              <w:rPr>
                <w:rFonts w:ascii="Arial"/>
                <w:color w:val="auto"/>
                <w:sz w:val="21"/>
                <w:highlight w:val="none"/>
              </w:rPr>
            </w:pPr>
          </w:p>
          <w:p w14:paraId="050FA5F4">
            <w:pPr>
              <w:spacing w:line="252" w:lineRule="auto"/>
              <w:rPr>
                <w:rFonts w:ascii="Arial"/>
                <w:color w:val="auto"/>
                <w:sz w:val="21"/>
                <w:highlight w:val="none"/>
              </w:rPr>
            </w:pPr>
          </w:p>
          <w:p w14:paraId="0F23E6D5">
            <w:pPr>
              <w:spacing w:line="252" w:lineRule="auto"/>
              <w:rPr>
                <w:rFonts w:ascii="Arial"/>
                <w:color w:val="auto"/>
                <w:sz w:val="21"/>
                <w:highlight w:val="none"/>
              </w:rPr>
            </w:pPr>
          </w:p>
          <w:p w14:paraId="79A60FF7">
            <w:pPr>
              <w:spacing w:line="252" w:lineRule="auto"/>
              <w:rPr>
                <w:rFonts w:ascii="Arial"/>
                <w:color w:val="auto"/>
                <w:sz w:val="21"/>
                <w:highlight w:val="none"/>
              </w:rPr>
            </w:pPr>
          </w:p>
          <w:p w14:paraId="562BF206">
            <w:pPr>
              <w:spacing w:line="252" w:lineRule="auto"/>
              <w:rPr>
                <w:rFonts w:ascii="Arial"/>
                <w:color w:val="auto"/>
                <w:sz w:val="21"/>
                <w:highlight w:val="none"/>
              </w:rPr>
            </w:pPr>
          </w:p>
          <w:p w14:paraId="5B126E2B">
            <w:pPr>
              <w:spacing w:line="252" w:lineRule="auto"/>
              <w:rPr>
                <w:rFonts w:ascii="Arial"/>
                <w:color w:val="auto"/>
                <w:sz w:val="21"/>
                <w:highlight w:val="none"/>
              </w:rPr>
            </w:pPr>
          </w:p>
          <w:p w14:paraId="105EA5F6">
            <w:pPr>
              <w:spacing w:line="252" w:lineRule="auto"/>
              <w:rPr>
                <w:rFonts w:ascii="Arial"/>
                <w:color w:val="auto"/>
                <w:sz w:val="21"/>
                <w:highlight w:val="none"/>
              </w:rPr>
            </w:pPr>
          </w:p>
          <w:p w14:paraId="5A1C51D0">
            <w:pPr>
              <w:pStyle w:val="17"/>
              <w:spacing w:before="65" w:line="268" w:lineRule="exact"/>
              <w:ind w:left="208"/>
              <w:rPr>
                <w:color w:val="auto"/>
                <w:highlight w:val="none"/>
              </w:rPr>
            </w:pPr>
            <w:r>
              <w:rPr>
                <w:color w:val="auto"/>
                <w:spacing w:val="2"/>
                <w:position w:val="1"/>
                <w:highlight w:val="none"/>
              </w:rPr>
              <w:t>2.2.4</w:t>
            </w:r>
          </w:p>
          <w:p w14:paraId="6130F1E3">
            <w:pPr>
              <w:pStyle w:val="17"/>
              <w:spacing w:before="110" w:line="231" w:lineRule="auto"/>
              <w:ind w:left="348"/>
              <w:rPr>
                <w:color w:val="auto"/>
                <w:highlight w:val="none"/>
              </w:rPr>
            </w:pPr>
            <w:r>
              <w:rPr>
                <w:color w:val="auto"/>
                <w:spacing w:val="-10"/>
                <w:highlight w:val="none"/>
              </w:rPr>
              <w:t>(4)</w:t>
            </w:r>
          </w:p>
        </w:tc>
        <w:tc>
          <w:tcPr>
            <w:tcW w:w="655" w:type="dxa"/>
            <w:vMerge w:val="restart"/>
            <w:tcBorders>
              <w:top w:val="single" w:color="auto" w:sz="4" w:space="0"/>
              <w:bottom w:val="single" w:color="auto" w:sz="4" w:space="0"/>
            </w:tcBorders>
            <w:vAlign w:val="top"/>
          </w:tcPr>
          <w:p w14:paraId="1BE67522">
            <w:pPr>
              <w:spacing w:line="252" w:lineRule="auto"/>
              <w:rPr>
                <w:rFonts w:ascii="Arial"/>
                <w:color w:val="auto"/>
                <w:sz w:val="21"/>
                <w:highlight w:val="none"/>
              </w:rPr>
            </w:pPr>
          </w:p>
          <w:p w14:paraId="4C7287D8">
            <w:pPr>
              <w:spacing w:line="252" w:lineRule="auto"/>
              <w:rPr>
                <w:rFonts w:ascii="Arial"/>
                <w:color w:val="auto"/>
                <w:sz w:val="21"/>
                <w:highlight w:val="none"/>
              </w:rPr>
            </w:pPr>
          </w:p>
          <w:p w14:paraId="03AF8DFF">
            <w:pPr>
              <w:spacing w:line="252" w:lineRule="auto"/>
              <w:rPr>
                <w:rFonts w:ascii="Arial"/>
                <w:color w:val="auto"/>
                <w:sz w:val="21"/>
                <w:highlight w:val="none"/>
              </w:rPr>
            </w:pPr>
          </w:p>
          <w:p w14:paraId="0D31E34B">
            <w:pPr>
              <w:spacing w:line="252" w:lineRule="auto"/>
              <w:rPr>
                <w:rFonts w:ascii="Arial"/>
                <w:color w:val="auto"/>
                <w:sz w:val="21"/>
                <w:highlight w:val="none"/>
              </w:rPr>
            </w:pPr>
          </w:p>
          <w:p w14:paraId="234A286F">
            <w:pPr>
              <w:spacing w:line="252" w:lineRule="auto"/>
              <w:rPr>
                <w:rFonts w:ascii="Arial"/>
                <w:color w:val="auto"/>
                <w:sz w:val="21"/>
                <w:highlight w:val="none"/>
              </w:rPr>
            </w:pPr>
          </w:p>
          <w:p w14:paraId="66628752">
            <w:pPr>
              <w:spacing w:line="252" w:lineRule="auto"/>
              <w:rPr>
                <w:rFonts w:ascii="Arial"/>
                <w:color w:val="auto"/>
                <w:sz w:val="21"/>
                <w:highlight w:val="none"/>
              </w:rPr>
            </w:pPr>
          </w:p>
          <w:p w14:paraId="5C393B27">
            <w:pPr>
              <w:spacing w:line="252" w:lineRule="auto"/>
              <w:rPr>
                <w:rFonts w:ascii="Arial"/>
                <w:color w:val="auto"/>
                <w:sz w:val="21"/>
                <w:highlight w:val="none"/>
              </w:rPr>
            </w:pPr>
          </w:p>
          <w:p w14:paraId="25420CBD">
            <w:pPr>
              <w:spacing w:line="252" w:lineRule="auto"/>
              <w:rPr>
                <w:rFonts w:ascii="Arial"/>
                <w:color w:val="auto"/>
                <w:sz w:val="21"/>
                <w:highlight w:val="none"/>
              </w:rPr>
            </w:pPr>
          </w:p>
          <w:p w14:paraId="0ABC492B">
            <w:pPr>
              <w:spacing w:line="252" w:lineRule="auto"/>
              <w:rPr>
                <w:rFonts w:ascii="Arial"/>
                <w:color w:val="auto"/>
                <w:sz w:val="21"/>
                <w:highlight w:val="none"/>
              </w:rPr>
            </w:pPr>
          </w:p>
          <w:p w14:paraId="6795FD1A">
            <w:pPr>
              <w:pStyle w:val="17"/>
              <w:spacing w:before="65" w:line="351" w:lineRule="auto"/>
              <w:ind w:left="137" w:right="118" w:hanging="15"/>
              <w:rPr>
                <w:color w:val="auto"/>
                <w:highlight w:val="none"/>
              </w:rPr>
            </w:pPr>
            <w:r>
              <w:rPr>
                <w:color w:val="auto"/>
                <w:spacing w:val="4"/>
                <w:highlight w:val="none"/>
              </w:rPr>
              <w:t>其他</w:t>
            </w:r>
            <w:r>
              <w:rPr>
                <w:color w:val="auto"/>
                <w:spacing w:val="-4"/>
                <w:highlight w:val="none"/>
              </w:rPr>
              <w:t>因素</w:t>
            </w:r>
          </w:p>
        </w:tc>
        <w:tc>
          <w:tcPr>
            <w:tcW w:w="518" w:type="dxa"/>
            <w:vMerge w:val="restart"/>
            <w:tcBorders>
              <w:top w:val="single" w:color="auto" w:sz="4" w:space="0"/>
              <w:bottom w:val="single" w:color="auto" w:sz="4" w:space="0"/>
            </w:tcBorders>
            <w:textDirection w:val="tbRlV"/>
            <w:vAlign w:val="top"/>
          </w:tcPr>
          <w:p w14:paraId="0EC2C3CE">
            <w:pPr>
              <w:pStyle w:val="17"/>
              <w:spacing w:before="154" w:line="217" w:lineRule="auto"/>
              <w:ind w:left="2157"/>
              <w:rPr>
                <w:color w:val="auto"/>
                <w:sz w:val="10"/>
                <w:szCs w:val="10"/>
                <w:highlight w:val="none"/>
              </w:rPr>
            </w:pPr>
            <w:r>
              <w:rPr>
                <w:color w:val="auto"/>
                <w:spacing w:val="13"/>
                <w:w w:val="121"/>
                <w:highlight w:val="none"/>
              </w:rPr>
              <w:t>业</w:t>
            </w:r>
            <w:r>
              <w:rPr>
                <w:color w:val="auto"/>
                <w:spacing w:val="70"/>
                <w:highlight w:val="none"/>
              </w:rPr>
              <w:t xml:space="preserve"> </w:t>
            </w:r>
            <w:r>
              <w:rPr>
                <w:color w:val="auto"/>
                <w:spacing w:val="13"/>
                <w:w w:val="121"/>
                <w:highlight w:val="none"/>
              </w:rPr>
              <w:t>绩</w:t>
            </w:r>
            <w:r>
              <w:rPr>
                <w:color w:val="auto"/>
                <w:spacing w:val="-68"/>
                <w:highlight w:val="none"/>
              </w:rPr>
              <w:t xml:space="preserve"> </w:t>
            </w:r>
          </w:p>
        </w:tc>
        <w:tc>
          <w:tcPr>
            <w:tcW w:w="918" w:type="dxa"/>
            <w:vMerge w:val="restart"/>
            <w:tcBorders>
              <w:top w:val="single" w:color="auto" w:sz="4" w:space="0"/>
              <w:bottom w:val="single" w:color="auto" w:sz="4" w:space="0"/>
            </w:tcBorders>
            <w:vAlign w:val="top"/>
          </w:tcPr>
          <w:p w14:paraId="1D233D2D">
            <w:pPr>
              <w:spacing w:line="245" w:lineRule="auto"/>
              <w:rPr>
                <w:rFonts w:ascii="Arial"/>
                <w:color w:val="auto"/>
                <w:sz w:val="21"/>
                <w:highlight w:val="none"/>
              </w:rPr>
            </w:pPr>
          </w:p>
          <w:p w14:paraId="05E565DD">
            <w:pPr>
              <w:spacing w:line="245" w:lineRule="auto"/>
              <w:rPr>
                <w:rFonts w:ascii="Arial"/>
                <w:color w:val="auto"/>
                <w:sz w:val="21"/>
                <w:highlight w:val="none"/>
              </w:rPr>
            </w:pPr>
          </w:p>
          <w:p w14:paraId="5B0904D0">
            <w:pPr>
              <w:spacing w:line="245" w:lineRule="auto"/>
              <w:rPr>
                <w:rFonts w:ascii="Arial"/>
                <w:color w:val="auto"/>
                <w:sz w:val="21"/>
                <w:highlight w:val="none"/>
              </w:rPr>
            </w:pPr>
          </w:p>
          <w:p w14:paraId="1D7B13C7">
            <w:pPr>
              <w:spacing w:line="245" w:lineRule="auto"/>
              <w:rPr>
                <w:rFonts w:ascii="Arial"/>
                <w:color w:val="auto"/>
                <w:sz w:val="21"/>
                <w:highlight w:val="none"/>
              </w:rPr>
            </w:pPr>
          </w:p>
          <w:p w14:paraId="007694E9">
            <w:pPr>
              <w:spacing w:line="246" w:lineRule="auto"/>
              <w:rPr>
                <w:rFonts w:ascii="Arial"/>
                <w:color w:val="auto"/>
                <w:sz w:val="21"/>
                <w:highlight w:val="none"/>
              </w:rPr>
            </w:pPr>
          </w:p>
          <w:p w14:paraId="02E7C21E">
            <w:pPr>
              <w:spacing w:line="246" w:lineRule="auto"/>
              <w:rPr>
                <w:rFonts w:ascii="Arial"/>
                <w:color w:val="auto"/>
                <w:sz w:val="21"/>
                <w:highlight w:val="none"/>
              </w:rPr>
            </w:pPr>
          </w:p>
          <w:p w14:paraId="5B3EC501">
            <w:pPr>
              <w:spacing w:line="246" w:lineRule="auto"/>
              <w:rPr>
                <w:rFonts w:ascii="Arial"/>
                <w:color w:val="auto"/>
                <w:sz w:val="21"/>
                <w:highlight w:val="none"/>
              </w:rPr>
            </w:pPr>
          </w:p>
          <w:p w14:paraId="34030232">
            <w:pPr>
              <w:spacing w:line="246" w:lineRule="auto"/>
              <w:rPr>
                <w:rFonts w:ascii="Arial"/>
                <w:color w:val="auto"/>
                <w:sz w:val="21"/>
                <w:highlight w:val="none"/>
              </w:rPr>
            </w:pPr>
          </w:p>
          <w:p w14:paraId="711E33D3">
            <w:pPr>
              <w:spacing w:line="246" w:lineRule="auto"/>
              <w:rPr>
                <w:rFonts w:ascii="Arial"/>
                <w:color w:val="auto"/>
                <w:sz w:val="21"/>
                <w:highlight w:val="none"/>
              </w:rPr>
            </w:pPr>
          </w:p>
          <w:p w14:paraId="2D095B6E">
            <w:pPr>
              <w:spacing w:line="246" w:lineRule="auto"/>
              <w:rPr>
                <w:rFonts w:ascii="Arial"/>
                <w:color w:val="auto"/>
                <w:sz w:val="21"/>
                <w:highlight w:val="none"/>
              </w:rPr>
            </w:pPr>
          </w:p>
          <w:p w14:paraId="242130E6">
            <w:pPr>
              <w:pStyle w:val="17"/>
              <w:spacing w:before="65" w:line="228" w:lineRule="auto"/>
              <w:ind w:left="230"/>
              <w:rPr>
                <w:color w:val="auto"/>
                <w:highlight w:val="none"/>
              </w:rPr>
            </w:pPr>
            <w:r>
              <w:rPr>
                <w:color w:val="auto"/>
                <w:spacing w:val="-1"/>
                <w:highlight w:val="none"/>
              </w:rPr>
              <w:t>25</w:t>
            </w:r>
            <w:r>
              <w:rPr>
                <w:color w:val="auto"/>
                <w:spacing w:val="-37"/>
                <w:highlight w:val="none"/>
              </w:rPr>
              <w:t xml:space="preserve"> </w:t>
            </w:r>
            <w:r>
              <w:rPr>
                <w:color w:val="auto"/>
                <w:spacing w:val="-1"/>
                <w:highlight w:val="none"/>
              </w:rPr>
              <w:t>分</w:t>
            </w:r>
          </w:p>
        </w:tc>
        <w:tc>
          <w:tcPr>
            <w:tcW w:w="946" w:type="dxa"/>
            <w:tcBorders>
              <w:top w:val="single" w:color="auto" w:sz="4" w:space="0"/>
              <w:bottom w:val="single" w:color="auto" w:sz="4" w:space="0"/>
            </w:tcBorders>
            <w:vAlign w:val="top"/>
          </w:tcPr>
          <w:p w14:paraId="04C3CE68">
            <w:pPr>
              <w:pStyle w:val="17"/>
              <w:spacing w:before="144" w:line="282" w:lineRule="auto"/>
              <w:ind w:left="373" w:right="158" w:hanging="212"/>
              <w:rPr>
                <w:color w:val="auto"/>
                <w:highlight w:val="none"/>
              </w:rPr>
            </w:pPr>
            <w:r>
              <w:rPr>
                <w:color w:val="auto"/>
                <w:spacing w:val="6"/>
                <w:highlight w:val="none"/>
              </w:rPr>
              <w:t>基本要</w:t>
            </w:r>
            <w:r>
              <w:rPr>
                <w:color w:val="auto"/>
                <w:highlight w:val="none"/>
              </w:rPr>
              <w:t>求</w:t>
            </w:r>
          </w:p>
        </w:tc>
        <w:tc>
          <w:tcPr>
            <w:tcW w:w="581" w:type="dxa"/>
            <w:tcBorders>
              <w:top w:val="single" w:color="auto" w:sz="4" w:space="0"/>
              <w:bottom w:val="single" w:color="auto" w:sz="4" w:space="0"/>
            </w:tcBorders>
            <w:vAlign w:val="top"/>
          </w:tcPr>
          <w:p w14:paraId="733E4246">
            <w:pPr>
              <w:pStyle w:val="17"/>
              <w:spacing w:before="144" w:line="282" w:lineRule="auto"/>
              <w:ind w:left="190" w:right="187" w:firstLine="12"/>
              <w:rPr>
                <w:color w:val="auto"/>
                <w:highlight w:val="none"/>
              </w:rPr>
            </w:pPr>
            <w:r>
              <w:rPr>
                <w:color w:val="auto"/>
                <w:spacing w:val="-8"/>
                <w:highlight w:val="none"/>
                <w:u w:val="single" w:color="auto"/>
              </w:rPr>
              <w:t>15</w:t>
            </w:r>
            <w:r>
              <w:rPr>
                <w:color w:val="auto"/>
                <w:spacing w:val="-2"/>
                <w:highlight w:val="none"/>
              </w:rPr>
              <w:t>分</w:t>
            </w:r>
          </w:p>
        </w:tc>
        <w:tc>
          <w:tcPr>
            <w:tcW w:w="4350" w:type="dxa"/>
            <w:tcBorders>
              <w:top w:val="single" w:color="auto" w:sz="4" w:space="0"/>
              <w:bottom w:val="single" w:color="auto" w:sz="4" w:space="0"/>
            </w:tcBorders>
            <w:vAlign w:val="top"/>
          </w:tcPr>
          <w:p w14:paraId="254EAFE5">
            <w:pPr>
              <w:pStyle w:val="17"/>
              <w:spacing w:before="144" w:line="282" w:lineRule="auto"/>
              <w:ind w:left="107" w:right="206" w:hanging="2"/>
              <w:rPr>
                <w:color w:val="auto"/>
                <w:highlight w:val="none"/>
              </w:rPr>
            </w:pPr>
            <w:r>
              <w:rPr>
                <w:color w:val="auto"/>
                <w:spacing w:val="6"/>
                <w:highlight w:val="none"/>
              </w:rPr>
              <w:t>满足招标文件附录</w:t>
            </w:r>
            <w:r>
              <w:rPr>
                <w:color w:val="auto"/>
                <w:spacing w:val="-27"/>
                <w:highlight w:val="none"/>
              </w:rPr>
              <w:t xml:space="preserve"> </w:t>
            </w:r>
            <w:r>
              <w:rPr>
                <w:color w:val="auto"/>
                <w:spacing w:val="6"/>
                <w:highlight w:val="none"/>
              </w:rPr>
              <w:t>2</w:t>
            </w:r>
            <w:r>
              <w:rPr>
                <w:color w:val="auto"/>
                <w:spacing w:val="-38"/>
                <w:highlight w:val="none"/>
              </w:rPr>
              <w:t xml:space="preserve"> </w:t>
            </w:r>
            <w:r>
              <w:rPr>
                <w:color w:val="auto"/>
                <w:spacing w:val="6"/>
                <w:highlight w:val="none"/>
              </w:rPr>
              <w:t>业绩最低要求的，得</w:t>
            </w:r>
            <w:r>
              <w:rPr>
                <w:color w:val="auto"/>
                <w:spacing w:val="-48"/>
                <w:highlight w:val="none"/>
              </w:rPr>
              <w:t xml:space="preserve"> </w:t>
            </w:r>
            <w:r>
              <w:rPr>
                <w:color w:val="auto"/>
                <w:spacing w:val="-76"/>
                <w:highlight w:val="none"/>
                <w:u w:val="single" w:color="auto"/>
              </w:rPr>
              <w:t xml:space="preserve"> </w:t>
            </w:r>
            <w:r>
              <w:rPr>
                <w:color w:val="auto"/>
                <w:spacing w:val="6"/>
                <w:highlight w:val="none"/>
                <w:u w:val="single" w:color="auto"/>
              </w:rPr>
              <w:t>15</w:t>
            </w:r>
            <w:r>
              <w:rPr>
                <w:color w:val="auto"/>
                <w:spacing w:val="-1"/>
                <w:highlight w:val="none"/>
              </w:rPr>
              <w:t>分。</w:t>
            </w:r>
          </w:p>
        </w:tc>
      </w:tr>
      <w:tr w14:paraId="5B9C5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27" w:type="dxa"/>
            <w:vMerge w:val="continue"/>
            <w:tcBorders>
              <w:top w:val="single" w:color="auto" w:sz="4" w:space="0"/>
              <w:bottom w:val="nil"/>
            </w:tcBorders>
            <w:vAlign w:val="top"/>
          </w:tcPr>
          <w:p w14:paraId="103790AD">
            <w:pPr>
              <w:rPr>
                <w:rFonts w:ascii="Arial"/>
                <w:color w:val="auto"/>
                <w:sz w:val="21"/>
                <w:highlight w:val="none"/>
              </w:rPr>
            </w:pPr>
          </w:p>
        </w:tc>
        <w:tc>
          <w:tcPr>
            <w:tcW w:w="655" w:type="dxa"/>
            <w:vMerge w:val="continue"/>
            <w:tcBorders>
              <w:top w:val="single" w:color="auto" w:sz="4" w:space="0"/>
              <w:bottom w:val="nil"/>
            </w:tcBorders>
            <w:vAlign w:val="top"/>
          </w:tcPr>
          <w:p w14:paraId="742E6D64">
            <w:pPr>
              <w:rPr>
                <w:rFonts w:ascii="Arial"/>
                <w:color w:val="auto"/>
                <w:sz w:val="21"/>
                <w:highlight w:val="none"/>
              </w:rPr>
            </w:pPr>
          </w:p>
        </w:tc>
        <w:tc>
          <w:tcPr>
            <w:tcW w:w="518" w:type="dxa"/>
            <w:vMerge w:val="continue"/>
            <w:tcBorders>
              <w:top w:val="single" w:color="auto" w:sz="4" w:space="0"/>
              <w:bottom w:val="nil"/>
            </w:tcBorders>
            <w:textDirection w:val="tbRlV"/>
            <w:vAlign w:val="top"/>
          </w:tcPr>
          <w:p w14:paraId="32A438CE">
            <w:pPr>
              <w:rPr>
                <w:rFonts w:ascii="Arial"/>
                <w:color w:val="auto"/>
                <w:sz w:val="21"/>
                <w:highlight w:val="none"/>
              </w:rPr>
            </w:pPr>
          </w:p>
        </w:tc>
        <w:tc>
          <w:tcPr>
            <w:tcW w:w="918" w:type="dxa"/>
            <w:vMerge w:val="continue"/>
            <w:tcBorders>
              <w:top w:val="single" w:color="auto" w:sz="4" w:space="0"/>
              <w:bottom w:val="nil"/>
            </w:tcBorders>
            <w:vAlign w:val="top"/>
          </w:tcPr>
          <w:p w14:paraId="2B9BE7F6">
            <w:pPr>
              <w:rPr>
                <w:rFonts w:ascii="Arial"/>
                <w:color w:val="auto"/>
                <w:sz w:val="21"/>
                <w:highlight w:val="none"/>
              </w:rPr>
            </w:pPr>
          </w:p>
        </w:tc>
        <w:tc>
          <w:tcPr>
            <w:tcW w:w="946" w:type="dxa"/>
            <w:tcBorders>
              <w:top w:val="single" w:color="auto" w:sz="4" w:space="0"/>
            </w:tcBorders>
            <w:vAlign w:val="top"/>
          </w:tcPr>
          <w:p w14:paraId="0A8056EE">
            <w:pPr>
              <w:pStyle w:val="17"/>
              <w:spacing w:before="141" w:line="228" w:lineRule="auto"/>
              <w:ind w:left="269"/>
              <w:rPr>
                <w:color w:val="auto"/>
                <w:highlight w:val="none"/>
              </w:rPr>
            </w:pPr>
            <w:r>
              <w:rPr>
                <w:color w:val="auto"/>
                <w:spacing w:val="3"/>
                <w:highlight w:val="none"/>
              </w:rPr>
              <w:t>路基</w:t>
            </w:r>
          </w:p>
          <w:p w14:paraId="78CE210A">
            <w:pPr>
              <w:pStyle w:val="17"/>
              <w:spacing w:before="135" w:line="214" w:lineRule="auto"/>
              <w:ind w:left="269"/>
              <w:rPr>
                <w:color w:val="auto"/>
                <w:highlight w:val="none"/>
              </w:rPr>
            </w:pPr>
            <w:r>
              <w:rPr>
                <w:color w:val="auto"/>
                <w:spacing w:val="3"/>
                <w:highlight w:val="none"/>
              </w:rPr>
              <w:t>工程</w:t>
            </w:r>
          </w:p>
        </w:tc>
        <w:tc>
          <w:tcPr>
            <w:tcW w:w="581" w:type="dxa"/>
            <w:tcBorders>
              <w:top w:val="single" w:color="auto" w:sz="4" w:space="0"/>
            </w:tcBorders>
            <w:vAlign w:val="top"/>
          </w:tcPr>
          <w:p w14:paraId="36B888FE">
            <w:pPr>
              <w:spacing w:line="267" w:lineRule="auto"/>
              <w:rPr>
                <w:rFonts w:ascii="Arial"/>
                <w:color w:val="auto"/>
                <w:sz w:val="21"/>
                <w:highlight w:val="none"/>
              </w:rPr>
            </w:pPr>
          </w:p>
          <w:p w14:paraId="129CAB54">
            <w:pPr>
              <w:pStyle w:val="17"/>
              <w:tabs>
                <w:tab w:val="left" w:pos="221"/>
              </w:tabs>
              <w:spacing w:before="65" w:line="228" w:lineRule="auto"/>
              <w:ind w:left="104"/>
              <w:rPr>
                <w:color w:val="auto"/>
                <w:highlight w:val="none"/>
              </w:rPr>
            </w:pPr>
            <w:r>
              <w:rPr>
                <w:rFonts w:hint="eastAsia"/>
                <w:color w:val="auto"/>
                <w:highlight w:val="none"/>
                <w:u w:val="single" w:color="auto"/>
                <w:lang w:val="en-US" w:eastAsia="zh-CN"/>
              </w:rPr>
              <w:t>5</w:t>
            </w:r>
            <w:r>
              <w:rPr>
                <w:color w:val="auto"/>
                <w:highlight w:val="none"/>
              </w:rPr>
              <w:t>分</w:t>
            </w:r>
          </w:p>
        </w:tc>
        <w:tc>
          <w:tcPr>
            <w:tcW w:w="4350" w:type="dxa"/>
            <w:tcBorders>
              <w:top w:val="single" w:color="auto" w:sz="4" w:space="0"/>
            </w:tcBorders>
            <w:vAlign w:val="top"/>
          </w:tcPr>
          <w:p w14:paraId="10698F99">
            <w:pPr>
              <w:pStyle w:val="17"/>
              <w:spacing w:before="141" w:line="283" w:lineRule="auto"/>
              <w:ind w:left="115" w:right="153" w:hanging="10"/>
              <w:rPr>
                <w:color w:val="auto"/>
                <w:highlight w:val="none"/>
              </w:rPr>
            </w:pPr>
            <w:r>
              <w:rPr>
                <w:color w:val="auto"/>
                <w:spacing w:val="8"/>
                <w:highlight w:val="none"/>
              </w:rPr>
              <w:t>在满足业绩最低要求的基础上，每增加</w:t>
            </w:r>
            <w:r>
              <w:rPr>
                <w:color w:val="auto"/>
                <w:spacing w:val="8"/>
                <w:highlight w:val="none"/>
                <w:u w:val="single" w:color="auto"/>
              </w:rPr>
              <w:t xml:space="preserve"> </w:t>
            </w:r>
            <w:r>
              <w:rPr>
                <w:rFonts w:hint="eastAsia"/>
                <w:color w:val="auto"/>
                <w:spacing w:val="8"/>
                <w:highlight w:val="none"/>
                <w:u w:val="single" w:color="auto"/>
                <w:lang w:val="en-US" w:eastAsia="zh-CN"/>
              </w:rPr>
              <w:t>1</w:t>
            </w:r>
            <w:r>
              <w:rPr>
                <w:color w:val="auto"/>
                <w:spacing w:val="8"/>
                <w:highlight w:val="none"/>
                <w:u w:val="single" w:color="auto"/>
              </w:rPr>
              <w:t xml:space="preserve"> </w:t>
            </w:r>
            <w:r>
              <w:rPr>
                <w:color w:val="auto"/>
                <w:spacing w:val="-76"/>
                <w:highlight w:val="none"/>
              </w:rPr>
              <w:t xml:space="preserve"> </w:t>
            </w:r>
            <w:r>
              <w:rPr>
                <w:color w:val="auto"/>
                <w:highlight w:val="none"/>
              </w:rPr>
              <w:t xml:space="preserve">km </w:t>
            </w:r>
            <w:r>
              <w:rPr>
                <w:color w:val="auto"/>
                <w:spacing w:val="6"/>
                <w:highlight w:val="none"/>
              </w:rPr>
              <w:t>（尾数不计）加</w:t>
            </w:r>
            <w:r>
              <w:rPr>
                <w:color w:val="auto"/>
                <w:spacing w:val="6"/>
                <w:highlight w:val="none"/>
                <w:u w:val="single" w:color="auto"/>
              </w:rPr>
              <w:t xml:space="preserve"> </w:t>
            </w:r>
            <w:r>
              <w:rPr>
                <w:rFonts w:hint="eastAsia"/>
                <w:color w:val="auto"/>
                <w:spacing w:val="6"/>
                <w:highlight w:val="none"/>
                <w:u w:val="single" w:color="auto"/>
                <w:lang w:val="en-US" w:eastAsia="zh-CN"/>
              </w:rPr>
              <w:t>1</w:t>
            </w:r>
            <w:r>
              <w:rPr>
                <w:color w:val="auto"/>
                <w:spacing w:val="-85"/>
                <w:highlight w:val="none"/>
              </w:rPr>
              <w:t xml:space="preserve"> </w:t>
            </w:r>
            <w:r>
              <w:rPr>
                <w:color w:val="auto"/>
                <w:spacing w:val="6"/>
                <w:highlight w:val="none"/>
              </w:rPr>
              <w:t>分，最多加</w:t>
            </w:r>
            <w:r>
              <w:rPr>
                <w:color w:val="auto"/>
                <w:spacing w:val="6"/>
                <w:highlight w:val="none"/>
                <w:u w:val="single" w:color="auto"/>
              </w:rPr>
              <w:t xml:space="preserve"> </w:t>
            </w:r>
            <w:r>
              <w:rPr>
                <w:rFonts w:hint="eastAsia"/>
                <w:color w:val="auto"/>
                <w:spacing w:val="6"/>
                <w:highlight w:val="none"/>
                <w:u w:val="single" w:color="auto"/>
                <w:lang w:val="en-US" w:eastAsia="zh-CN"/>
              </w:rPr>
              <w:t>5</w:t>
            </w:r>
            <w:r>
              <w:rPr>
                <w:color w:val="auto"/>
                <w:spacing w:val="6"/>
                <w:highlight w:val="none"/>
                <w:u w:val="single" w:color="auto"/>
              </w:rPr>
              <w:t xml:space="preserve"> </w:t>
            </w:r>
            <w:r>
              <w:rPr>
                <w:color w:val="auto"/>
                <w:spacing w:val="-89"/>
                <w:highlight w:val="none"/>
              </w:rPr>
              <w:t xml:space="preserve"> </w:t>
            </w:r>
            <w:r>
              <w:rPr>
                <w:color w:val="auto"/>
                <w:spacing w:val="6"/>
                <w:highlight w:val="none"/>
              </w:rPr>
              <w:t>分</w:t>
            </w:r>
          </w:p>
        </w:tc>
      </w:tr>
      <w:tr w14:paraId="4A784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27" w:type="dxa"/>
            <w:vMerge w:val="continue"/>
            <w:tcBorders>
              <w:top w:val="nil"/>
              <w:bottom w:val="nil"/>
            </w:tcBorders>
            <w:vAlign w:val="top"/>
          </w:tcPr>
          <w:p w14:paraId="44A796F4">
            <w:pPr>
              <w:rPr>
                <w:rFonts w:ascii="Arial"/>
                <w:color w:val="auto"/>
                <w:sz w:val="21"/>
                <w:highlight w:val="none"/>
              </w:rPr>
            </w:pPr>
          </w:p>
        </w:tc>
        <w:tc>
          <w:tcPr>
            <w:tcW w:w="655" w:type="dxa"/>
            <w:vMerge w:val="continue"/>
            <w:tcBorders>
              <w:top w:val="nil"/>
              <w:bottom w:val="nil"/>
            </w:tcBorders>
            <w:vAlign w:val="top"/>
          </w:tcPr>
          <w:p w14:paraId="61FDDE82">
            <w:pPr>
              <w:rPr>
                <w:rFonts w:ascii="Arial"/>
                <w:color w:val="auto"/>
                <w:sz w:val="21"/>
                <w:highlight w:val="none"/>
              </w:rPr>
            </w:pPr>
          </w:p>
        </w:tc>
        <w:tc>
          <w:tcPr>
            <w:tcW w:w="518" w:type="dxa"/>
            <w:vMerge w:val="continue"/>
            <w:tcBorders>
              <w:top w:val="nil"/>
              <w:bottom w:val="nil"/>
            </w:tcBorders>
            <w:textDirection w:val="tbRlV"/>
            <w:vAlign w:val="top"/>
          </w:tcPr>
          <w:p w14:paraId="2B531BB6">
            <w:pPr>
              <w:rPr>
                <w:rFonts w:ascii="Arial"/>
                <w:color w:val="auto"/>
                <w:sz w:val="21"/>
                <w:highlight w:val="none"/>
              </w:rPr>
            </w:pPr>
          </w:p>
        </w:tc>
        <w:tc>
          <w:tcPr>
            <w:tcW w:w="918" w:type="dxa"/>
            <w:vMerge w:val="continue"/>
            <w:tcBorders>
              <w:top w:val="nil"/>
              <w:bottom w:val="nil"/>
            </w:tcBorders>
            <w:vAlign w:val="top"/>
          </w:tcPr>
          <w:p w14:paraId="2A99C16B">
            <w:pPr>
              <w:rPr>
                <w:rFonts w:ascii="Arial"/>
                <w:color w:val="auto"/>
                <w:sz w:val="21"/>
                <w:highlight w:val="none"/>
              </w:rPr>
            </w:pPr>
          </w:p>
        </w:tc>
        <w:tc>
          <w:tcPr>
            <w:tcW w:w="946" w:type="dxa"/>
            <w:vAlign w:val="top"/>
          </w:tcPr>
          <w:p w14:paraId="060404B5">
            <w:pPr>
              <w:pStyle w:val="17"/>
              <w:spacing w:before="141" w:line="228" w:lineRule="auto"/>
              <w:ind w:left="269"/>
              <w:rPr>
                <w:color w:val="auto"/>
                <w:highlight w:val="none"/>
              </w:rPr>
            </w:pPr>
            <w:r>
              <w:rPr>
                <w:color w:val="auto"/>
                <w:spacing w:val="3"/>
                <w:highlight w:val="none"/>
              </w:rPr>
              <w:t>路面</w:t>
            </w:r>
          </w:p>
          <w:p w14:paraId="34025D81">
            <w:pPr>
              <w:pStyle w:val="17"/>
              <w:spacing w:before="134" w:line="214" w:lineRule="auto"/>
              <w:ind w:left="269"/>
              <w:rPr>
                <w:color w:val="auto"/>
                <w:highlight w:val="none"/>
              </w:rPr>
            </w:pPr>
            <w:r>
              <w:rPr>
                <w:color w:val="auto"/>
                <w:spacing w:val="3"/>
                <w:highlight w:val="none"/>
              </w:rPr>
              <w:t>工程</w:t>
            </w:r>
          </w:p>
        </w:tc>
        <w:tc>
          <w:tcPr>
            <w:tcW w:w="581" w:type="dxa"/>
            <w:vAlign w:val="top"/>
          </w:tcPr>
          <w:p w14:paraId="52DC8F04">
            <w:pPr>
              <w:spacing w:line="265" w:lineRule="auto"/>
              <w:rPr>
                <w:rFonts w:ascii="Arial"/>
                <w:color w:val="auto"/>
                <w:sz w:val="21"/>
                <w:highlight w:val="none"/>
              </w:rPr>
            </w:pPr>
          </w:p>
          <w:p w14:paraId="63B97377">
            <w:pPr>
              <w:pStyle w:val="17"/>
              <w:tabs>
                <w:tab w:val="left" w:pos="240"/>
              </w:tabs>
              <w:spacing w:before="65" w:line="228" w:lineRule="auto"/>
              <w:ind w:left="126"/>
              <w:rPr>
                <w:color w:val="auto"/>
                <w:highlight w:val="none"/>
              </w:rPr>
            </w:pPr>
            <w:r>
              <w:rPr>
                <w:rFonts w:hint="eastAsia"/>
                <w:color w:val="auto"/>
                <w:highlight w:val="none"/>
                <w:u w:val="single" w:color="auto"/>
                <w:lang w:val="en-US" w:eastAsia="zh-CN"/>
              </w:rPr>
              <w:t>5</w:t>
            </w:r>
            <w:r>
              <w:rPr>
                <w:color w:val="auto"/>
                <w:highlight w:val="none"/>
              </w:rPr>
              <w:t>分</w:t>
            </w:r>
          </w:p>
        </w:tc>
        <w:tc>
          <w:tcPr>
            <w:tcW w:w="4350" w:type="dxa"/>
            <w:vAlign w:val="top"/>
          </w:tcPr>
          <w:p w14:paraId="39AFE68F">
            <w:pPr>
              <w:pStyle w:val="17"/>
              <w:spacing w:before="141" w:line="283" w:lineRule="auto"/>
              <w:ind w:left="115" w:right="153" w:hanging="10"/>
              <w:rPr>
                <w:color w:val="auto"/>
                <w:highlight w:val="none"/>
              </w:rPr>
            </w:pPr>
            <w:r>
              <w:rPr>
                <w:color w:val="auto"/>
                <w:spacing w:val="8"/>
                <w:highlight w:val="none"/>
              </w:rPr>
              <w:t>在满足业绩最低要求的基础上，每增加</w:t>
            </w:r>
            <w:r>
              <w:rPr>
                <w:color w:val="auto"/>
                <w:spacing w:val="8"/>
                <w:highlight w:val="none"/>
                <w:u w:val="single" w:color="auto"/>
              </w:rPr>
              <w:t xml:space="preserve"> </w:t>
            </w:r>
            <w:r>
              <w:rPr>
                <w:rFonts w:hint="eastAsia"/>
                <w:color w:val="auto"/>
                <w:spacing w:val="8"/>
                <w:highlight w:val="none"/>
                <w:u w:val="single" w:color="auto"/>
                <w:lang w:val="en-US" w:eastAsia="zh-CN"/>
              </w:rPr>
              <w:t>1</w:t>
            </w:r>
            <w:r>
              <w:rPr>
                <w:color w:val="auto"/>
                <w:spacing w:val="8"/>
                <w:highlight w:val="none"/>
                <w:u w:val="single" w:color="auto"/>
              </w:rPr>
              <w:t xml:space="preserve"> </w:t>
            </w:r>
            <w:r>
              <w:rPr>
                <w:color w:val="auto"/>
                <w:highlight w:val="none"/>
              </w:rPr>
              <w:t xml:space="preserve">km </w:t>
            </w:r>
            <w:r>
              <w:rPr>
                <w:color w:val="auto"/>
                <w:spacing w:val="6"/>
                <w:highlight w:val="none"/>
              </w:rPr>
              <w:t>（尾数不计）加</w:t>
            </w:r>
            <w:r>
              <w:rPr>
                <w:color w:val="auto"/>
                <w:spacing w:val="6"/>
                <w:highlight w:val="none"/>
                <w:u w:val="single" w:color="auto"/>
              </w:rPr>
              <w:t xml:space="preserve"> </w:t>
            </w:r>
            <w:r>
              <w:rPr>
                <w:rFonts w:hint="eastAsia"/>
                <w:color w:val="auto"/>
                <w:spacing w:val="6"/>
                <w:highlight w:val="none"/>
                <w:u w:val="single" w:color="auto"/>
                <w:lang w:val="en-US" w:eastAsia="zh-CN"/>
              </w:rPr>
              <w:t>1</w:t>
            </w:r>
            <w:r>
              <w:rPr>
                <w:color w:val="auto"/>
                <w:spacing w:val="6"/>
                <w:highlight w:val="none"/>
                <w:u w:val="single" w:color="auto"/>
              </w:rPr>
              <w:t xml:space="preserve"> </w:t>
            </w:r>
            <w:r>
              <w:rPr>
                <w:color w:val="auto"/>
                <w:spacing w:val="-85"/>
                <w:highlight w:val="none"/>
              </w:rPr>
              <w:t xml:space="preserve"> </w:t>
            </w:r>
            <w:r>
              <w:rPr>
                <w:color w:val="auto"/>
                <w:spacing w:val="6"/>
                <w:highlight w:val="none"/>
              </w:rPr>
              <w:t>分，最多加</w:t>
            </w:r>
            <w:r>
              <w:rPr>
                <w:color w:val="auto"/>
                <w:spacing w:val="6"/>
                <w:highlight w:val="none"/>
                <w:u w:val="single" w:color="auto"/>
              </w:rPr>
              <w:t xml:space="preserve"> </w:t>
            </w:r>
            <w:r>
              <w:rPr>
                <w:rFonts w:hint="eastAsia"/>
                <w:color w:val="auto"/>
                <w:spacing w:val="6"/>
                <w:highlight w:val="none"/>
                <w:u w:val="single" w:color="auto"/>
                <w:lang w:val="en-US" w:eastAsia="zh-CN"/>
              </w:rPr>
              <w:t>5</w:t>
            </w:r>
            <w:r>
              <w:rPr>
                <w:color w:val="auto"/>
                <w:spacing w:val="6"/>
                <w:highlight w:val="none"/>
                <w:u w:val="single" w:color="auto"/>
              </w:rPr>
              <w:t xml:space="preserve"> </w:t>
            </w:r>
            <w:r>
              <w:rPr>
                <w:color w:val="auto"/>
                <w:spacing w:val="-89"/>
                <w:highlight w:val="none"/>
              </w:rPr>
              <w:t xml:space="preserve"> </w:t>
            </w:r>
            <w:r>
              <w:rPr>
                <w:color w:val="auto"/>
                <w:spacing w:val="6"/>
                <w:highlight w:val="none"/>
              </w:rPr>
              <w:t>分</w:t>
            </w:r>
          </w:p>
        </w:tc>
      </w:tr>
      <w:tr w14:paraId="73AF6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5" w:hRule="atLeast"/>
        </w:trPr>
        <w:tc>
          <w:tcPr>
            <w:tcW w:w="927" w:type="dxa"/>
            <w:vMerge w:val="continue"/>
            <w:tcBorders>
              <w:top w:val="nil"/>
            </w:tcBorders>
            <w:vAlign w:val="top"/>
          </w:tcPr>
          <w:p w14:paraId="603E5B05">
            <w:pPr>
              <w:rPr>
                <w:rFonts w:ascii="Arial"/>
                <w:color w:val="auto"/>
                <w:sz w:val="21"/>
                <w:highlight w:val="none"/>
              </w:rPr>
            </w:pPr>
          </w:p>
        </w:tc>
        <w:tc>
          <w:tcPr>
            <w:tcW w:w="655" w:type="dxa"/>
            <w:vMerge w:val="continue"/>
            <w:tcBorders>
              <w:top w:val="nil"/>
            </w:tcBorders>
            <w:vAlign w:val="top"/>
          </w:tcPr>
          <w:p w14:paraId="38A9687E">
            <w:pPr>
              <w:rPr>
                <w:rFonts w:ascii="Arial"/>
                <w:color w:val="auto"/>
                <w:sz w:val="21"/>
                <w:highlight w:val="none"/>
              </w:rPr>
            </w:pPr>
          </w:p>
        </w:tc>
        <w:tc>
          <w:tcPr>
            <w:tcW w:w="518" w:type="dxa"/>
            <w:vMerge w:val="continue"/>
            <w:tcBorders>
              <w:top w:val="nil"/>
            </w:tcBorders>
            <w:textDirection w:val="tbRlV"/>
            <w:vAlign w:val="top"/>
          </w:tcPr>
          <w:p w14:paraId="2E440650">
            <w:pPr>
              <w:rPr>
                <w:rFonts w:ascii="Arial"/>
                <w:color w:val="auto"/>
                <w:sz w:val="21"/>
                <w:highlight w:val="none"/>
              </w:rPr>
            </w:pPr>
          </w:p>
        </w:tc>
        <w:tc>
          <w:tcPr>
            <w:tcW w:w="918" w:type="dxa"/>
            <w:vMerge w:val="continue"/>
            <w:tcBorders>
              <w:top w:val="nil"/>
            </w:tcBorders>
            <w:vAlign w:val="top"/>
          </w:tcPr>
          <w:p w14:paraId="3A99F61E">
            <w:pPr>
              <w:rPr>
                <w:rFonts w:ascii="Arial"/>
                <w:color w:val="auto"/>
                <w:sz w:val="21"/>
                <w:highlight w:val="none"/>
              </w:rPr>
            </w:pPr>
          </w:p>
        </w:tc>
        <w:tc>
          <w:tcPr>
            <w:tcW w:w="946" w:type="dxa"/>
            <w:vAlign w:val="top"/>
          </w:tcPr>
          <w:p w14:paraId="28E1A824">
            <w:pPr>
              <w:spacing w:line="279" w:lineRule="auto"/>
              <w:rPr>
                <w:rFonts w:ascii="Arial"/>
                <w:color w:val="auto"/>
                <w:sz w:val="21"/>
                <w:highlight w:val="none"/>
              </w:rPr>
            </w:pPr>
          </w:p>
          <w:p w14:paraId="1B357847">
            <w:pPr>
              <w:spacing w:line="279" w:lineRule="auto"/>
              <w:rPr>
                <w:rFonts w:ascii="Arial"/>
                <w:color w:val="auto"/>
                <w:sz w:val="21"/>
                <w:highlight w:val="none"/>
              </w:rPr>
            </w:pPr>
          </w:p>
          <w:p w14:paraId="10D73FFA">
            <w:pPr>
              <w:spacing w:line="280" w:lineRule="auto"/>
              <w:rPr>
                <w:rFonts w:ascii="Arial"/>
                <w:color w:val="auto"/>
                <w:sz w:val="21"/>
                <w:highlight w:val="none"/>
              </w:rPr>
            </w:pPr>
          </w:p>
          <w:p w14:paraId="6D9E4E55">
            <w:pPr>
              <w:spacing w:line="280" w:lineRule="auto"/>
              <w:rPr>
                <w:rFonts w:ascii="Arial"/>
                <w:color w:val="auto"/>
                <w:sz w:val="21"/>
                <w:highlight w:val="none"/>
              </w:rPr>
            </w:pPr>
          </w:p>
          <w:p w14:paraId="37A54AD0">
            <w:pPr>
              <w:pStyle w:val="17"/>
              <w:spacing w:before="65" w:line="352" w:lineRule="auto"/>
              <w:ind w:left="269" w:right="264" w:hanging="2"/>
              <w:rPr>
                <w:color w:val="auto"/>
                <w:highlight w:val="none"/>
              </w:rPr>
            </w:pPr>
            <w:r>
              <w:rPr>
                <w:color w:val="auto"/>
                <w:spacing w:val="4"/>
                <w:highlight w:val="none"/>
              </w:rPr>
              <w:t>桥梁</w:t>
            </w:r>
            <w:r>
              <w:rPr>
                <w:color w:val="auto"/>
                <w:spacing w:val="3"/>
                <w:highlight w:val="none"/>
              </w:rPr>
              <w:t>工程</w:t>
            </w:r>
          </w:p>
        </w:tc>
        <w:tc>
          <w:tcPr>
            <w:tcW w:w="581" w:type="dxa"/>
            <w:vAlign w:val="top"/>
          </w:tcPr>
          <w:p w14:paraId="026FC6FA">
            <w:pPr>
              <w:spacing w:line="261" w:lineRule="auto"/>
              <w:rPr>
                <w:rFonts w:ascii="Arial"/>
                <w:color w:val="auto"/>
                <w:sz w:val="21"/>
                <w:highlight w:val="none"/>
              </w:rPr>
            </w:pPr>
          </w:p>
          <w:p w14:paraId="71A50347">
            <w:pPr>
              <w:spacing w:line="261" w:lineRule="auto"/>
              <w:rPr>
                <w:rFonts w:ascii="Arial"/>
                <w:color w:val="auto"/>
                <w:sz w:val="21"/>
                <w:highlight w:val="none"/>
              </w:rPr>
            </w:pPr>
          </w:p>
          <w:p w14:paraId="6FC11E34">
            <w:pPr>
              <w:spacing w:line="261" w:lineRule="auto"/>
              <w:rPr>
                <w:rFonts w:ascii="Arial"/>
                <w:color w:val="auto"/>
                <w:sz w:val="21"/>
                <w:highlight w:val="none"/>
              </w:rPr>
            </w:pPr>
          </w:p>
          <w:p w14:paraId="298D0AD3">
            <w:pPr>
              <w:spacing w:line="262" w:lineRule="auto"/>
              <w:rPr>
                <w:rFonts w:ascii="Arial"/>
                <w:color w:val="auto"/>
                <w:sz w:val="21"/>
                <w:highlight w:val="none"/>
              </w:rPr>
            </w:pPr>
          </w:p>
          <w:p w14:paraId="7CBC6DF4">
            <w:pPr>
              <w:spacing w:line="262" w:lineRule="auto"/>
              <w:rPr>
                <w:rFonts w:ascii="Arial"/>
                <w:color w:val="auto"/>
                <w:sz w:val="21"/>
                <w:highlight w:val="none"/>
              </w:rPr>
            </w:pPr>
          </w:p>
          <w:p w14:paraId="2E919C01">
            <w:pPr>
              <w:pStyle w:val="17"/>
              <w:tabs>
                <w:tab w:val="left" w:pos="240"/>
              </w:tabs>
              <w:spacing w:before="65" w:line="228" w:lineRule="auto"/>
              <w:ind w:left="126"/>
              <w:rPr>
                <w:color w:val="auto"/>
                <w:highlight w:val="none"/>
              </w:rPr>
            </w:pPr>
            <w:r>
              <w:rPr>
                <w:rFonts w:hint="eastAsia"/>
                <w:color w:val="auto"/>
                <w:highlight w:val="none"/>
                <w:u w:val="single" w:color="auto"/>
                <w:lang w:val="en-US" w:eastAsia="zh-CN"/>
              </w:rPr>
              <w:t>/</w:t>
            </w:r>
            <w:r>
              <w:rPr>
                <w:color w:val="auto"/>
                <w:highlight w:val="none"/>
                <w:u w:val="single" w:color="auto"/>
              </w:rPr>
              <w:tab/>
            </w:r>
            <w:r>
              <w:rPr>
                <w:color w:val="auto"/>
                <w:highlight w:val="none"/>
              </w:rPr>
              <w:t>分</w:t>
            </w:r>
          </w:p>
        </w:tc>
        <w:tc>
          <w:tcPr>
            <w:tcW w:w="4350" w:type="dxa"/>
            <w:vAlign w:val="top"/>
          </w:tcPr>
          <w:p w14:paraId="61682289">
            <w:pPr>
              <w:pStyle w:val="17"/>
              <w:spacing w:before="34" w:line="372" w:lineRule="auto"/>
              <w:ind w:left="105" w:right="107"/>
              <w:jc w:val="both"/>
              <w:rPr>
                <w:color w:val="auto"/>
                <w:highlight w:val="none"/>
              </w:rPr>
            </w:pPr>
            <w:r>
              <w:rPr>
                <w:color w:val="auto"/>
                <w:spacing w:val="14"/>
                <w:highlight w:val="none"/>
              </w:rPr>
              <w:t>在满足业绩最低要求的基础上，每增加</w:t>
            </w:r>
            <w:r>
              <w:rPr>
                <w:color w:val="auto"/>
                <w:spacing w:val="-8"/>
                <w:highlight w:val="none"/>
              </w:rPr>
              <w:t xml:space="preserve"> </w:t>
            </w:r>
            <w:r>
              <w:rPr>
                <w:color w:val="auto"/>
                <w:spacing w:val="14"/>
                <w:highlight w:val="none"/>
              </w:rPr>
              <w:t>1</w:t>
            </w:r>
            <w:r>
              <w:rPr>
                <w:color w:val="auto"/>
                <w:spacing w:val="-29"/>
                <w:highlight w:val="none"/>
              </w:rPr>
              <w:t xml:space="preserve"> </w:t>
            </w:r>
            <w:r>
              <w:rPr>
                <w:color w:val="auto"/>
                <w:spacing w:val="14"/>
                <w:highlight w:val="none"/>
              </w:rPr>
              <w:t>座</w:t>
            </w:r>
            <w:r>
              <w:rPr>
                <w:color w:val="auto"/>
                <w:spacing w:val="19"/>
                <w:highlight w:val="none"/>
              </w:rPr>
              <w:t>类似工程</w:t>
            </w:r>
            <w:r>
              <w:rPr>
                <w:rFonts w:hint="eastAsia"/>
                <w:color w:val="auto"/>
                <w:spacing w:val="19"/>
                <w:highlight w:val="none"/>
                <w:u w:val="single"/>
                <w:lang w:val="en-US" w:eastAsia="zh-CN"/>
              </w:rPr>
              <w:t>/</w:t>
            </w:r>
            <w:r>
              <w:rPr>
                <w:color w:val="auto"/>
                <w:spacing w:val="19"/>
                <w:highlight w:val="none"/>
                <w:u w:val="single" w:color="auto"/>
              </w:rPr>
              <w:t>（桥梁规模</w:t>
            </w:r>
            <w:r>
              <w:rPr>
                <w:color w:val="auto"/>
                <w:spacing w:val="-14"/>
                <w:highlight w:val="none"/>
                <w:u w:val="single" w:color="auto"/>
              </w:rPr>
              <w:t>）</w:t>
            </w:r>
            <w:r>
              <w:rPr>
                <w:color w:val="auto"/>
                <w:spacing w:val="-67"/>
                <w:highlight w:val="none"/>
                <w:u w:val="single" w:color="auto"/>
              </w:rPr>
              <w:t xml:space="preserve"> </w:t>
            </w:r>
            <w:r>
              <w:rPr>
                <w:color w:val="auto"/>
                <w:spacing w:val="-14"/>
                <w:highlight w:val="none"/>
                <w:u w:val="single" w:color="auto"/>
              </w:rPr>
              <w:t>（</w:t>
            </w:r>
            <w:r>
              <w:rPr>
                <w:color w:val="auto"/>
                <w:spacing w:val="19"/>
                <w:highlight w:val="none"/>
                <w:u w:val="single" w:color="auto"/>
              </w:rPr>
              <w:t>桥梁类型）</w:t>
            </w:r>
            <w:r>
              <w:rPr>
                <w:color w:val="auto"/>
                <w:spacing w:val="19"/>
                <w:highlight w:val="none"/>
              </w:rPr>
              <w:t>施工监</w:t>
            </w:r>
            <w:r>
              <w:rPr>
                <w:color w:val="auto"/>
                <w:spacing w:val="8"/>
                <w:highlight w:val="none"/>
              </w:rPr>
              <w:t>理任务的加</w:t>
            </w:r>
            <w:r>
              <w:rPr>
                <w:color w:val="auto"/>
                <w:spacing w:val="-91"/>
                <w:highlight w:val="none"/>
              </w:rPr>
              <w:t xml:space="preserve"> </w:t>
            </w:r>
            <w:r>
              <w:rPr>
                <w:color w:val="auto"/>
                <w:spacing w:val="7"/>
                <w:highlight w:val="none"/>
                <w:u w:val="single" w:color="auto"/>
              </w:rPr>
              <w:t xml:space="preserve">  </w:t>
            </w:r>
            <w:r>
              <w:rPr>
                <w:rFonts w:hint="eastAsia"/>
                <w:color w:val="auto"/>
                <w:spacing w:val="7"/>
                <w:highlight w:val="none"/>
                <w:u w:val="single" w:color="auto"/>
                <w:lang w:val="en-US" w:eastAsia="zh-CN"/>
              </w:rPr>
              <w:t>/</w:t>
            </w:r>
            <w:r>
              <w:rPr>
                <w:color w:val="auto"/>
                <w:spacing w:val="7"/>
                <w:highlight w:val="none"/>
                <w:u w:val="single" w:color="auto"/>
              </w:rPr>
              <w:t xml:space="preserve"> </w:t>
            </w:r>
            <w:r>
              <w:rPr>
                <w:color w:val="auto"/>
                <w:spacing w:val="-88"/>
                <w:highlight w:val="none"/>
              </w:rPr>
              <w:t xml:space="preserve"> </w:t>
            </w:r>
            <w:r>
              <w:rPr>
                <w:color w:val="auto"/>
                <w:spacing w:val="8"/>
                <w:highlight w:val="none"/>
              </w:rPr>
              <w:t>分，每增加</w:t>
            </w:r>
            <w:r>
              <w:rPr>
                <w:color w:val="auto"/>
                <w:spacing w:val="-45"/>
                <w:highlight w:val="none"/>
              </w:rPr>
              <w:t xml:space="preserve"> </w:t>
            </w:r>
            <w:r>
              <w:rPr>
                <w:color w:val="auto"/>
                <w:spacing w:val="-77"/>
                <w:highlight w:val="none"/>
                <w:u w:val="single" w:color="auto"/>
              </w:rPr>
              <w:t xml:space="preserve"> </w:t>
            </w:r>
            <w:r>
              <w:rPr>
                <w:color w:val="auto"/>
                <w:spacing w:val="8"/>
                <w:highlight w:val="none"/>
                <w:u w:val="single" w:color="auto"/>
              </w:rPr>
              <w:t>1</w:t>
            </w:r>
            <w:r>
              <w:rPr>
                <w:color w:val="auto"/>
                <w:spacing w:val="-34"/>
                <w:highlight w:val="none"/>
                <w:u w:val="single" w:color="auto"/>
              </w:rPr>
              <w:t xml:space="preserve"> </w:t>
            </w:r>
            <w:r>
              <w:rPr>
                <w:color w:val="auto"/>
                <w:spacing w:val="8"/>
                <w:highlight w:val="none"/>
              </w:rPr>
              <w:t>座桥梁主孔跨径</w:t>
            </w:r>
            <w:r>
              <w:rPr>
                <w:color w:val="auto"/>
                <w:spacing w:val="13"/>
                <w:highlight w:val="none"/>
              </w:rPr>
              <w:t>不小于</w:t>
            </w:r>
            <w:r>
              <w:rPr>
                <w:color w:val="auto"/>
                <w:spacing w:val="-95"/>
                <w:highlight w:val="none"/>
              </w:rPr>
              <w:t xml:space="preserve"> </w:t>
            </w:r>
            <w:r>
              <w:rPr>
                <w:color w:val="auto"/>
                <w:spacing w:val="9"/>
                <w:highlight w:val="none"/>
                <w:u w:val="single" w:color="auto"/>
              </w:rPr>
              <w:t xml:space="preserve">  </w:t>
            </w:r>
            <w:r>
              <w:rPr>
                <w:rFonts w:hint="eastAsia"/>
                <w:color w:val="auto"/>
                <w:spacing w:val="9"/>
                <w:highlight w:val="none"/>
                <w:u w:val="single" w:color="auto"/>
                <w:lang w:val="en-US" w:eastAsia="zh-CN"/>
              </w:rPr>
              <w:t>/</w:t>
            </w:r>
            <w:r>
              <w:rPr>
                <w:color w:val="auto"/>
                <w:spacing w:val="9"/>
                <w:highlight w:val="none"/>
                <w:u w:val="single" w:color="auto"/>
              </w:rPr>
              <w:t xml:space="preserve"> </w:t>
            </w:r>
            <w:r>
              <w:rPr>
                <w:color w:val="auto"/>
                <w:spacing w:val="-95"/>
                <w:highlight w:val="none"/>
              </w:rPr>
              <w:t xml:space="preserve"> </w:t>
            </w:r>
            <w:r>
              <w:rPr>
                <w:color w:val="auto"/>
                <w:spacing w:val="13"/>
                <w:highlight w:val="none"/>
              </w:rPr>
              <w:t>m</w:t>
            </w:r>
            <w:r>
              <w:rPr>
                <w:color w:val="auto"/>
                <w:spacing w:val="-16"/>
                <w:highlight w:val="none"/>
              </w:rPr>
              <w:t xml:space="preserve"> </w:t>
            </w:r>
            <w:r>
              <w:rPr>
                <w:color w:val="auto"/>
                <w:spacing w:val="13"/>
                <w:highlight w:val="none"/>
              </w:rPr>
              <w:t>的类似工程</w:t>
            </w:r>
            <w:r>
              <w:rPr>
                <w:color w:val="auto"/>
                <w:spacing w:val="13"/>
                <w:highlight w:val="none"/>
                <w:u w:val="single" w:color="auto"/>
              </w:rPr>
              <w:t>（桥梁规模</w:t>
            </w:r>
            <w:r>
              <w:rPr>
                <w:color w:val="auto"/>
                <w:spacing w:val="-13"/>
                <w:highlight w:val="none"/>
                <w:u w:val="single" w:color="auto"/>
              </w:rPr>
              <w:t>）</w:t>
            </w:r>
            <w:r>
              <w:rPr>
                <w:color w:val="auto"/>
                <w:spacing w:val="-75"/>
                <w:highlight w:val="none"/>
                <w:u w:val="single" w:color="auto"/>
              </w:rPr>
              <w:t xml:space="preserve"> </w:t>
            </w:r>
            <w:r>
              <w:rPr>
                <w:color w:val="auto"/>
                <w:spacing w:val="-13"/>
                <w:highlight w:val="none"/>
                <w:u w:val="single" w:color="auto"/>
              </w:rPr>
              <w:t>（</w:t>
            </w:r>
            <w:r>
              <w:rPr>
                <w:color w:val="auto"/>
                <w:spacing w:val="13"/>
                <w:highlight w:val="none"/>
                <w:u w:val="single" w:color="auto"/>
              </w:rPr>
              <w:t>桥梁</w:t>
            </w:r>
            <w:r>
              <w:rPr>
                <w:color w:val="auto"/>
                <w:spacing w:val="10"/>
                <w:highlight w:val="none"/>
                <w:u w:val="single" w:color="auto"/>
              </w:rPr>
              <w:t>类型）</w:t>
            </w:r>
            <w:r>
              <w:rPr>
                <w:color w:val="auto"/>
                <w:spacing w:val="10"/>
                <w:highlight w:val="none"/>
              </w:rPr>
              <w:t>施工监理任务加</w:t>
            </w:r>
            <w:r>
              <w:rPr>
                <w:color w:val="auto"/>
                <w:spacing w:val="-85"/>
                <w:highlight w:val="none"/>
              </w:rPr>
              <w:t xml:space="preserve"> </w:t>
            </w:r>
            <w:r>
              <w:rPr>
                <w:color w:val="auto"/>
                <w:spacing w:val="7"/>
                <w:highlight w:val="none"/>
                <w:u w:val="single" w:color="auto"/>
              </w:rPr>
              <w:t xml:space="preserve"> </w:t>
            </w:r>
            <w:r>
              <w:rPr>
                <w:rFonts w:hint="eastAsia"/>
                <w:color w:val="auto"/>
                <w:spacing w:val="7"/>
                <w:highlight w:val="none"/>
                <w:u w:val="single" w:color="auto"/>
                <w:lang w:val="en-US" w:eastAsia="zh-CN"/>
              </w:rPr>
              <w:t>/</w:t>
            </w:r>
            <w:r>
              <w:rPr>
                <w:color w:val="auto"/>
                <w:spacing w:val="7"/>
                <w:highlight w:val="none"/>
                <w:u w:val="single" w:color="auto"/>
              </w:rPr>
              <w:t xml:space="preserve"> </w:t>
            </w:r>
            <w:r>
              <w:rPr>
                <w:color w:val="auto"/>
                <w:spacing w:val="-88"/>
                <w:highlight w:val="none"/>
              </w:rPr>
              <w:t xml:space="preserve"> </w:t>
            </w:r>
            <w:r>
              <w:rPr>
                <w:color w:val="auto"/>
                <w:spacing w:val="10"/>
                <w:highlight w:val="none"/>
              </w:rPr>
              <w:t>分，最高加分不超</w:t>
            </w:r>
            <w:r>
              <w:rPr>
                <w:color w:val="auto"/>
                <w:spacing w:val="13"/>
                <w:highlight w:val="none"/>
              </w:rPr>
              <w:t>过</w:t>
            </w:r>
            <w:r>
              <w:rPr>
                <w:color w:val="auto"/>
                <w:spacing w:val="-86"/>
                <w:highlight w:val="none"/>
              </w:rPr>
              <w:t xml:space="preserve"> </w:t>
            </w:r>
            <w:r>
              <w:rPr>
                <w:color w:val="auto"/>
                <w:spacing w:val="12"/>
                <w:highlight w:val="none"/>
                <w:u w:val="single" w:color="auto"/>
              </w:rPr>
              <w:t xml:space="preserve"> </w:t>
            </w:r>
            <w:r>
              <w:rPr>
                <w:rFonts w:hint="eastAsia"/>
                <w:color w:val="auto"/>
                <w:spacing w:val="12"/>
                <w:highlight w:val="none"/>
                <w:u w:val="single" w:color="auto"/>
                <w:lang w:val="en-US" w:eastAsia="zh-CN"/>
              </w:rPr>
              <w:t>/</w:t>
            </w:r>
            <w:r>
              <w:rPr>
                <w:color w:val="auto"/>
                <w:spacing w:val="12"/>
                <w:highlight w:val="none"/>
                <w:u w:val="single" w:color="auto"/>
              </w:rPr>
              <w:t xml:space="preserve"> </w:t>
            </w:r>
            <w:r>
              <w:rPr>
                <w:color w:val="auto"/>
                <w:spacing w:val="-88"/>
                <w:highlight w:val="none"/>
              </w:rPr>
              <w:t xml:space="preserve"> </w:t>
            </w:r>
            <w:r>
              <w:rPr>
                <w:color w:val="auto"/>
                <w:spacing w:val="13"/>
                <w:highlight w:val="none"/>
              </w:rPr>
              <w:t>分。</w:t>
            </w:r>
            <w:r>
              <w:rPr>
                <w:color w:val="auto"/>
                <w:spacing w:val="-56"/>
                <w:highlight w:val="none"/>
              </w:rPr>
              <w:t xml:space="preserve"> </w:t>
            </w:r>
            <w:r>
              <w:rPr>
                <w:color w:val="auto"/>
                <w:spacing w:val="13"/>
                <w:highlight w:val="none"/>
              </w:rPr>
              <w:t>同一座桥梁按较高分只计取一次分</w:t>
            </w:r>
            <w:r>
              <w:rPr>
                <w:color w:val="auto"/>
                <w:spacing w:val="6"/>
                <w:highlight w:val="none"/>
              </w:rPr>
              <w:t>值，不累计。</w:t>
            </w:r>
          </w:p>
        </w:tc>
      </w:tr>
    </w:tbl>
    <w:p w14:paraId="4FD943EA">
      <w:pPr>
        <w:spacing w:line="241" w:lineRule="auto"/>
        <w:rPr>
          <w:rFonts w:ascii="Arial"/>
          <w:color w:val="auto"/>
          <w:sz w:val="21"/>
          <w:highlight w:val="none"/>
        </w:rPr>
      </w:pPr>
    </w:p>
    <w:p w14:paraId="3FCF5228">
      <w:pPr>
        <w:spacing w:line="241" w:lineRule="auto"/>
        <w:rPr>
          <w:rFonts w:ascii="Arial"/>
          <w:color w:val="auto"/>
          <w:sz w:val="21"/>
          <w:highlight w:val="none"/>
        </w:rPr>
      </w:pPr>
    </w:p>
    <w:p w14:paraId="5A34B7D1">
      <w:pPr>
        <w:spacing w:line="241" w:lineRule="auto"/>
        <w:rPr>
          <w:rFonts w:ascii="Arial"/>
          <w:color w:val="auto"/>
          <w:sz w:val="21"/>
          <w:highlight w:val="none"/>
        </w:rPr>
      </w:pPr>
    </w:p>
    <w:p w14:paraId="7DE50794">
      <w:pPr>
        <w:spacing w:line="242" w:lineRule="auto"/>
        <w:rPr>
          <w:rFonts w:ascii="Arial"/>
          <w:color w:val="auto"/>
          <w:sz w:val="21"/>
          <w:highlight w:val="none"/>
        </w:rPr>
      </w:pPr>
    </w:p>
    <w:p w14:paraId="395A7053">
      <w:pPr>
        <w:spacing w:line="242" w:lineRule="auto"/>
        <w:rPr>
          <w:rFonts w:ascii="Arial"/>
          <w:color w:val="auto"/>
          <w:sz w:val="21"/>
          <w:highlight w:val="none"/>
        </w:rPr>
      </w:pPr>
    </w:p>
    <w:p w14:paraId="63541B67">
      <w:pPr>
        <w:spacing w:line="229" w:lineRule="auto"/>
        <w:rPr>
          <w:rFonts w:ascii="宋体" w:hAnsi="宋体" w:eastAsia="宋体" w:cs="宋体"/>
          <w:color w:val="auto"/>
          <w:sz w:val="18"/>
          <w:szCs w:val="18"/>
          <w:highlight w:val="none"/>
        </w:rPr>
        <w:sectPr>
          <w:footerReference r:id="rId51" w:type="default"/>
          <w:pgSz w:w="11906" w:h="16839"/>
          <w:pgMar w:top="1416" w:right="1578" w:bottom="1297" w:left="1304" w:header="0" w:footer="1067" w:gutter="0"/>
          <w:pgNumType w:fmt="decimal"/>
          <w:cols w:space="720" w:num="1"/>
        </w:sectPr>
      </w:pPr>
      <w:bookmarkStart w:id="181" w:name="bookmark130"/>
      <w:bookmarkEnd w:id="181"/>
      <w:bookmarkStart w:id="182" w:name="bookmark129"/>
      <w:bookmarkEnd w:id="182"/>
    </w:p>
    <w:tbl>
      <w:tblPr>
        <w:tblStyle w:val="16"/>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
        <w:gridCol w:w="655"/>
        <w:gridCol w:w="518"/>
        <w:gridCol w:w="919"/>
        <w:gridCol w:w="948"/>
        <w:gridCol w:w="576"/>
        <w:gridCol w:w="4351"/>
      </w:tblGrid>
      <w:tr w14:paraId="01472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4544" w:type="dxa"/>
            <w:gridSpan w:val="6"/>
            <w:vAlign w:val="top"/>
          </w:tcPr>
          <w:p w14:paraId="4AD05D36">
            <w:pPr>
              <w:pStyle w:val="17"/>
              <w:spacing w:before="127" w:line="232" w:lineRule="auto"/>
              <w:ind w:left="1287"/>
              <w:rPr>
                <w:color w:val="auto"/>
                <w:sz w:val="10"/>
                <w:szCs w:val="10"/>
                <w:highlight w:val="none"/>
              </w:rPr>
            </w:pPr>
            <w:r>
              <w:rPr>
                <w:b/>
                <w:bCs/>
                <w:color w:val="auto"/>
                <w:spacing w:val="7"/>
                <w:highlight w:val="none"/>
              </w:rPr>
              <w:t>评分因素与权重分值</w:t>
            </w:r>
          </w:p>
        </w:tc>
        <w:tc>
          <w:tcPr>
            <w:tcW w:w="4351" w:type="dxa"/>
            <w:vMerge w:val="restart"/>
            <w:tcBorders>
              <w:bottom w:val="nil"/>
            </w:tcBorders>
            <w:vAlign w:val="top"/>
          </w:tcPr>
          <w:p w14:paraId="3704EC74">
            <w:pPr>
              <w:spacing w:line="315" w:lineRule="auto"/>
              <w:rPr>
                <w:rFonts w:ascii="Arial"/>
                <w:color w:val="auto"/>
                <w:sz w:val="21"/>
                <w:highlight w:val="none"/>
              </w:rPr>
            </w:pPr>
          </w:p>
          <w:p w14:paraId="6D43E0D1">
            <w:pPr>
              <w:spacing w:line="316" w:lineRule="auto"/>
              <w:rPr>
                <w:rFonts w:ascii="Arial"/>
                <w:color w:val="auto"/>
                <w:sz w:val="21"/>
                <w:highlight w:val="none"/>
              </w:rPr>
            </w:pPr>
          </w:p>
          <w:p w14:paraId="0385CD02">
            <w:pPr>
              <w:pStyle w:val="17"/>
              <w:spacing w:before="65" w:line="267" w:lineRule="exact"/>
              <w:ind w:left="1714"/>
              <w:rPr>
                <w:color w:val="auto"/>
                <w:sz w:val="10"/>
                <w:szCs w:val="10"/>
                <w:highlight w:val="none"/>
              </w:rPr>
            </w:pPr>
            <w:r>
              <w:rPr>
                <w:b/>
                <w:bCs/>
                <w:color w:val="auto"/>
                <w:spacing w:val="6"/>
                <w:highlight w:val="none"/>
              </w:rPr>
              <w:t>评分标准</w:t>
            </w:r>
          </w:p>
        </w:tc>
      </w:tr>
      <w:tr w14:paraId="02CC0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28" w:type="dxa"/>
            <w:vAlign w:val="top"/>
          </w:tcPr>
          <w:p w14:paraId="553BEBBF">
            <w:pPr>
              <w:spacing w:line="452" w:lineRule="auto"/>
              <w:rPr>
                <w:rFonts w:ascii="Arial"/>
                <w:color w:val="auto"/>
                <w:sz w:val="21"/>
                <w:highlight w:val="none"/>
              </w:rPr>
            </w:pPr>
          </w:p>
          <w:p w14:paraId="030A4C05">
            <w:pPr>
              <w:pStyle w:val="17"/>
              <w:spacing w:before="65" w:line="228" w:lineRule="auto"/>
              <w:ind w:left="155"/>
              <w:rPr>
                <w:color w:val="auto"/>
                <w:highlight w:val="none"/>
              </w:rPr>
            </w:pPr>
            <w:r>
              <w:rPr>
                <w:b/>
                <w:bCs/>
                <w:color w:val="auto"/>
                <w:spacing w:val="5"/>
                <w:highlight w:val="none"/>
              </w:rPr>
              <w:t>条款号</w:t>
            </w:r>
          </w:p>
        </w:tc>
        <w:tc>
          <w:tcPr>
            <w:tcW w:w="1173" w:type="dxa"/>
            <w:gridSpan w:val="2"/>
            <w:vAlign w:val="top"/>
          </w:tcPr>
          <w:p w14:paraId="16C70E4B">
            <w:pPr>
              <w:spacing w:line="452" w:lineRule="auto"/>
              <w:rPr>
                <w:rFonts w:ascii="Arial"/>
                <w:color w:val="auto"/>
                <w:sz w:val="21"/>
                <w:highlight w:val="none"/>
              </w:rPr>
            </w:pPr>
          </w:p>
          <w:p w14:paraId="128BF79F">
            <w:pPr>
              <w:pStyle w:val="17"/>
              <w:spacing w:before="65" w:line="228" w:lineRule="auto"/>
              <w:ind w:left="167"/>
              <w:rPr>
                <w:color w:val="auto"/>
                <w:highlight w:val="none"/>
              </w:rPr>
            </w:pPr>
            <w:r>
              <w:rPr>
                <w:b/>
                <w:bCs/>
                <w:color w:val="auto"/>
                <w:spacing w:val="6"/>
                <w:highlight w:val="none"/>
              </w:rPr>
              <w:t>评分因素</w:t>
            </w:r>
          </w:p>
        </w:tc>
        <w:tc>
          <w:tcPr>
            <w:tcW w:w="919" w:type="dxa"/>
            <w:vAlign w:val="top"/>
          </w:tcPr>
          <w:p w14:paraId="05D4F71D">
            <w:pPr>
              <w:spacing w:line="265" w:lineRule="auto"/>
              <w:rPr>
                <w:rFonts w:ascii="Arial"/>
                <w:color w:val="auto"/>
                <w:sz w:val="21"/>
                <w:highlight w:val="none"/>
              </w:rPr>
            </w:pPr>
          </w:p>
          <w:p w14:paraId="4155330B">
            <w:pPr>
              <w:pStyle w:val="17"/>
              <w:spacing w:before="65" w:line="351" w:lineRule="auto"/>
              <w:ind w:left="41" w:right="37"/>
              <w:rPr>
                <w:color w:val="auto"/>
                <w:highlight w:val="none"/>
              </w:rPr>
            </w:pPr>
            <w:r>
              <w:rPr>
                <w:b/>
                <w:bCs/>
                <w:color w:val="auto"/>
                <w:spacing w:val="6"/>
                <w:highlight w:val="none"/>
              </w:rPr>
              <w:t>评分因素权重分值</w:t>
            </w:r>
          </w:p>
        </w:tc>
        <w:tc>
          <w:tcPr>
            <w:tcW w:w="948" w:type="dxa"/>
            <w:vAlign w:val="top"/>
          </w:tcPr>
          <w:p w14:paraId="5A6EFE59">
            <w:pPr>
              <w:pStyle w:val="17"/>
              <w:spacing w:before="141" w:line="228" w:lineRule="auto"/>
              <w:ind w:left="162"/>
              <w:rPr>
                <w:color w:val="auto"/>
                <w:highlight w:val="none"/>
              </w:rPr>
            </w:pPr>
            <w:r>
              <w:rPr>
                <w:b/>
                <w:bCs/>
                <w:color w:val="auto"/>
                <w:spacing w:val="4"/>
                <w:highlight w:val="none"/>
              </w:rPr>
              <w:t>各评分</w:t>
            </w:r>
          </w:p>
          <w:p w14:paraId="5A58BF2C">
            <w:pPr>
              <w:pStyle w:val="17"/>
              <w:spacing w:before="131" w:line="283" w:lineRule="auto"/>
              <w:ind w:left="267" w:right="160" w:hanging="91"/>
              <w:rPr>
                <w:color w:val="auto"/>
                <w:highlight w:val="none"/>
              </w:rPr>
            </w:pPr>
            <w:r>
              <w:rPr>
                <w:b/>
                <w:bCs/>
                <w:color w:val="auto"/>
                <w:highlight w:val="none"/>
              </w:rPr>
              <w:t>因素细</w:t>
            </w:r>
            <w:r>
              <w:rPr>
                <w:b/>
                <w:bCs/>
                <w:color w:val="auto"/>
                <w:spacing w:val="2"/>
                <w:highlight w:val="none"/>
              </w:rPr>
              <w:t>分项</w:t>
            </w:r>
          </w:p>
        </w:tc>
        <w:tc>
          <w:tcPr>
            <w:tcW w:w="576" w:type="dxa"/>
            <w:textDirection w:val="tbRlV"/>
            <w:vAlign w:val="top"/>
          </w:tcPr>
          <w:p w14:paraId="6C75B7D8">
            <w:pPr>
              <w:pStyle w:val="17"/>
              <w:spacing w:before="173" w:line="216" w:lineRule="auto"/>
              <w:ind w:left="331"/>
              <w:rPr>
                <w:color w:val="auto"/>
                <w:highlight w:val="none"/>
              </w:rPr>
            </w:pPr>
            <w:r>
              <w:rPr>
                <w:b/>
                <w:bCs/>
                <w:color w:val="auto"/>
                <w:spacing w:val="6"/>
                <w:highlight w:val="none"/>
              </w:rPr>
              <w:t>分</w:t>
            </w:r>
            <w:r>
              <w:rPr>
                <w:color w:val="auto"/>
                <w:spacing w:val="70"/>
                <w:highlight w:val="none"/>
              </w:rPr>
              <w:t xml:space="preserve"> </w:t>
            </w:r>
            <w:r>
              <w:rPr>
                <w:b/>
                <w:bCs/>
                <w:color w:val="auto"/>
                <w:spacing w:val="6"/>
                <w:highlight w:val="none"/>
              </w:rPr>
              <w:t>值</w:t>
            </w:r>
          </w:p>
        </w:tc>
        <w:tc>
          <w:tcPr>
            <w:tcW w:w="4351" w:type="dxa"/>
            <w:vMerge w:val="continue"/>
            <w:tcBorders>
              <w:top w:val="nil"/>
            </w:tcBorders>
            <w:vAlign w:val="top"/>
          </w:tcPr>
          <w:p w14:paraId="57B0ACA4">
            <w:pPr>
              <w:rPr>
                <w:rFonts w:ascii="Arial"/>
                <w:color w:val="auto"/>
                <w:sz w:val="21"/>
                <w:highlight w:val="none"/>
              </w:rPr>
            </w:pPr>
          </w:p>
        </w:tc>
      </w:tr>
      <w:tr w14:paraId="19250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928" w:type="dxa"/>
            <w:vMerge w:val="restart"/>
            <w:tcBorders>
              <w:bottom w:val="nil"/>
            </w:tcBorders>
            <w:vAlign w:val="top"/>
          </w:tcPr>
          <w:p w14:paraId="38CD0D27">
            <w:pPr>
              <w:rPr>
                <w:rFonts w:ascii="Arial"/>
                <w:color w:val="auto"/>
                <w:sz w:val="21"/>
                <w:highlight w:val="none"/>
              </w:rPr>
            </w:pPr>
          </w:p>
        </w:tc>
        <w:tc>
          <w:tcPr>
            <w:tcW w:w="655" w:type="dxa"/>
            <w:vMerge w:val="restart"/>
            <w:tcBorders>
              <w:bottom w:val="nil"/>
            </w:tcBorders>
            <w:vAlign w:val="top"/>
          </w:tcPr>
          <w:p w14:paraId="730DA5BA">
            <w:pPr>
              <w:rPr>
                <w:rFonts w:ascii="Arial"/>
                <w:color w:val="auto"/>
                <w:sz w:val="21"/>
                <w:highlight w:val="none"/>
              </w:rPr>
            </w:pPr>
          </w:p>
        </w:tc>
        <w:tc>
          <w:tcPr>
            <w:tcW w:w="518" w:type="dxa"/>
            <w:vMerge w:val="restart"/>
            <w:tcBorders>
              <w:bottom w:val="nil"/>
            </w:tcBorders>
            <w:vAlign w:val="top"/>
          </w:tcPr>
          <w:p w14:paraId="5CCC4EF8">
            <w:pPr>
              <w:rPr>
                <w:rFonts w:ascii="Arial"/>
                <w:color w:val="auto"/>
                <w:sz w:val="21"/>
                <w:highlight w:val="none"/>
              </w:rPr>
            </w:pPr>
          </w:p>
        </w:tc>
        <w:tc>
          <w:tcPr>
            <w:tcW w:w="919" w:type="dxa"/>
            <w:vMerge w:val="restart"/>
            <w:tcBorders>
              <w:bottom w:val="nil"/>
            </w:tcBorders>
            <w:vAlign w:val="top"/>
          </w:tcPr>
          <w:p w14:paraId="63B6377E">
            <w:pPr>
              <w:rPr>
                <w:rFonts w:ascii="Arial"/>
                <w:color w:val="auto"/>
                <w:sz w:val="21"/>
                <w:highlight w:val="none"/>
              </w:rPr>
            </w:pPr>
          </w:p>
        </w:tc>
        <w:tc>
          <w:tcPr>
            <w:tcW w:w="948" w:type="dxa"/>
            <w:vAlign w:val="top"/>
          </w:tcPr>
          <w:p w14:paraId="350A0E6C">
            <w:pPr>
              <w:pStyle w:val="17"/>
              <w:spacing w:before="168" w:line="230" w:lineRule="auto"/>
              <w:ind w:left="276"/>
              <w:rPr>
                <w:color w:val="auto"/>
                <w:highlight w:val="none"/>
              </w:rPr>
            </w:pPr>
            <w:r>
              <w:rPr>
                <w:color w:val="auto"/>
                <w:spacing w:val="-1"/>
                <w:highlight w:val="none"/>
              </w:rPr>
              <w:t>隧道</w:t>
            </w:r>
          </w:p>
          <w:p w14:paraId="37233E5F">
            <w:pPr>
              <w:pStyle w:val="17"/>
              <w:spacing w:before="132" w:line="228" w:lineRule="auto"/>
              <w:ind w:left="267"/>
              <w:rPr>
                <w:color w:val="auto"/>
                <w:highlight w:val="none"/>
              </w:rPr>
            </w:pPr>
            <w:r>
              <w:rPr>
                <w:color w:val="auto"/>
                <w:spacing w:val="3"/>
                <w:highlight w:val="none"/>
              </w:rPr>
              <w:t>工程</w:t>
            </w:r>
          </w:p>
        </w:tc>
        <w:tc>
          <w:tcPr>
            <w:tcW w:w="576" w:type="dxa"/>
            <w:vAlign w:val="top"/>
          </w:tcPr>
          <w:p w14:paraId="49C80A1A">
            <w:pPr>
              <w:spacing w:line="294" w:lineRule="auto"/>
              <w:rPr>
                <w:rFonts w:ascii="Arial"/>
                <w:color w:val="auto"/>
                <w:sz w:val="21"/>
                <w:highlight w:val="none"/>
              </w:rPr>
            </w:pPr>
          </w:p>
          <w:p w14:paraId="25F5959F">
            <w:pPr>
              <w:pStyle w:val="17"/>
              <w:tabs>
                <w:tab w:val="left" w:pos="217"/>
              </w:tabs>
              <w:spacing w:before="65" w:line="228" w:lineRule="auto"/>
              <w:ind w:left="100"/>
              <w:rPr>
                <w:color w:val="auto"/>
                <w:highlight w:val="none"/>
              </w:rPr>
            </w:pPr>
            <w:r>
              <w:rPr>
                <w:color w:val="auto"/>
                <w:highlight w:val="none"/>
                <w:u w:val="single" w:color="auto"/>
              </w:rPr>
              <w:tab/>
            </w:r>
            <w:r>
              <w:rPr>
                <w:rFonts w:hint="eastAsia"/>
                <w:color w:val="auto"/>
                <w:highlight w:val="none"/>
                <w:u w:val="single" w:color="auto"/>
                <w:lang w:val="en-US" w:eastAsia="zh-CN"/>
              </w:rPr>
              <w:t>/</w:t>
            </w:r>
            <w:r>
              <w:rPr>
                <w:color w:val="auto"/>
                <w:highlight w:val="none"/>
              </w:rPr>
              <w:t>分</w:t>
            </w:r>
          </w:p>
        </w:tc>
        <w:tc>
          <w:tcPr>
            <w:tcW w:w="4351" w:type="dxa"/>
            <w:vAlign w:val="top"/>
          </w:tcPr>
          <w:p w14:paraId="47BDE036">
            <w:pPr>
              <w:pStyle w:val="17"/>
              <w:spacing w:before="33" w:line="235" w:lineRule="auto"/>
              <w:ind w:left="106" w:right="109"/>
              <w:jc w:val="both"/>
              <w:rPr>
                <w:color w:val="auto"/>
                <w:highlight w:val="none"/>
              </w:rPr>
            </w:pPr>
            <w:r>
              <w:rPr>
                <w:color w:val="auto"/>
                <w:spacing w:val="25"/>
                <w:highlight w:val="none"/>
              </w:rPr>
              <w:t>每增加</w:t>
            </w:r>
            <w:r>
              <w:rPr>
                <w:color w:val="auto"/>
                <w:spacing w:val="-77"/>
                <w:highlight w:val="none"/>
              </w:rPr>
              <w:t xml:space="preserve"> </w:t>
            </w:r>
            <w:r>
              <w:rPr>
                <w:color w:val="auto"/>
                <w:spacing w:val="23"/>
                <w:highlight w:val="none"/>
                <w:u w:val="single" w:color="auto"/>
              </w:rPr>
              <w:t xml:space="preserve">  </w:t>
            </w:r>
            <w:r>
              <w:rPr>
                <w:rFonts w:hint="eastAsia"/>
                <w:color w:val="auto"/>
                <w:spacing w:val="23"/>
                <w:highlight w:val="none"/>
                <w:u w:val="single" w:color="auto"/>
                <w:lang w:val="en-US" w:eastAsia="zh-CN"/>
              </w:rPr>
              <w:t>/</w:t>
            </w:r>
            <w:r>
              <w:rPr>
                <w:color w:val="auto"/>
                <w:spacing w:val="23"/>
                <w:highlight w:val="none"/>
                <w:u w:val="single" w:color="auto"/>
              </w:rPr>
              <w:t xml:space="preserve">  </w:t>
            </w:r>
            <w:r>
              <w:rPr>
                <w:color w:val="auto"/>
                <w:spacing w:val="-87"/>
                <w:highlight w:val="none"/>
              </w:rPr>
              <w:t xml:space="preserve"> </w:t>
            </w:r>
            <w:r>
              <w:rPr>
                <w:color w:val="auto"/>
                <w:spacing w:val="25"/>
                <w:highlight w:val="none"/>
              </w:rPr>
              <w:t>座隧道单洞累计（即左洞加右</w:t>
            </w:r>
            <w:r>
              <w:rPr>
                <w:color w:val="auto"/>
                <w:spacing w:val="10"/>
                <w:highlight w:val="none"/>
              </w:rPr>
              <w:t>洞）</w:t>
            </w:r>
            <w:r>
              <w:rPr>
                <w:color w:val="auto"/>
                <w:spacing w:val="10"/>
                <w:highlight w:val="none"/>
                <w:u w:val="single" w:color="auto"/>
              </w:rPr>
              <w:t xml:space="preserve"> </w:t>
            </w:r>
            <w:r>
              <w:rPr>
                <w:rFonts w:hint="eastAsia"/>
                <w:color w:val="auto"/>
                <w:spacing w:val="10"/>
                <w:highlight w:val="none"/>
                <w:u w:val="single" w:color="auto"/>
                <w:lang w:val="en-US" w:eastAsia="zh-CN"/>
              </w:rPr>
              <w:t>/</w:t>
            </w:r>
            <w:r>
              <w:rPr>
                <w:color w:val="auto"/>
                <w:spacing w:val="10"/>
                <w:highlight w:val="none"/>
                <w:u w:val="single" w:color="auto"/>
              </w:rPr>
              <w:t xml:space="preserve"> </w:t>
            </w:r>
            <w:r>
              <w:rPr>
                <w:color w:val="auto"/>
                <w:spacing w:val="-83"/>
                <w:highlight w:val="none"/>
              </w:rPr>
              <w:t xml:space="preserve"> </w:t>
            </w:r>
            <w:r>
              <w:rPr>
                <w:color w:val="auto"/>
                <w:spacing w:val="10"/>
                <w:highlight w:val="none"/>
              </w:rPr>
              <w:t>m</w:t>
            </w:r>
            <w:r>
              <w:rPr>
                <w:color w:val="auto"/>
                <w:spacing w:val="-37"/>
                <w:highlight w:val="none"/>
              </w:rPr>
              <w:t xml:space="preserve"> </w:t>
            </w:r>
            <w:r>
              <w:rPr>
                <w:color w:val="auto"/>
                <w:spacing w:val="10"/>
                <w:highlight w:val="none"/>
              </w:rPr>
              <w:t>及以上，加</w:t>
            </w:r>
            <w:r>
              <w:rPr>
                <w:color w:val="auto"/>
                <w:spacing w:val="-93"/>
                <w:highlight w:val="none"/>
              </w:rPr>
              <w:t xml:space="preserve"> </w:t>
            </w:r>
            <w:r>
              <w:rPr>
                <w:color w:val="auto"/>
                <w:spacing w:val="9"/>
                <w:highlight w:val="none"/>
                <w:u w:val="single" w:color="auto"/>
              </w:rPr>
              <w:t xml:space="preserve">  </w:t>
            </w:r>
            <w:r>
              <w:rPr>
                <w:rFonts w:hint="eastAsia"/>
                <w:color w:val="auto"/>
                <w:spacing w:val="9"/>
                <w:highlight w:val="none"/>
                <w:u w:val="single" w:color="auto"/>
                <w:lang w:val="en-US" w:eastAsia="zh-CN"/>
              </w:rPr>
              <w:t>/</w:t>
            </w:r>
            <w:r>
              <w:rPr>
                <w:color w:val="auto"/>
                <w:spacing w:val="9"/>
                <w:highlight w:val="none"/>
                <w:u w:val="single" w:color="auto"/>
              </w:rPr>
              <w:t xml:space="preserve">  </w:t>
            </w:r>
            <w:r>
              <w:rPr>
                <w:color w:val="auto"/>
                <w:spacing w:val="-86"/>
                <w:highlight w:val="none"/>
              </w:rPr>
              <w:t xml:space="preserve"> </w:t>
            </w:r>
            <w:r>
              <w:rPr>
                <w:color w:val="auto"/>
                <w:spacing w:val="10"/>
                <w:highlight w:val="none"/>
              </w:rPr>
              <w:t>分，最高加分不超</w:t>
            </w:r>
            <w:r>
              <w:rPr>
                <w:color w:val="auto"/>
                <w:spacing w:val="-1"/>
                <w:highlight w:val="none"/>
              </w:rPr>
              <w:t>过</w:t>
            </w:r>
            <w:r>
              <w:rPr>
                <w:color w:val="auto"/>
                <w:spacing w:val="7"/>
                <w:highlight w:val="none"/>
              </w:rPr>
              <w:t xml:space="preserve">    </w:t>
            </w:r>
            <w:r>
              <w:rPr>
                <w:color w:val="auto"/>
                <w:spacing w:val="-1"/>
                <w:highlight w:val="none"/>
              </w:rPr>
              <w:t>分。</w:t>
            </w:r>
          </w:p>
        </w:tc>
      </w:tr>
      <w:tr w14:paraId="6AC72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928" w:type="dxa"/>
            <w:vMerge w:val="continue"/>
            <w:tcBorders>
              <w:top w:val="nil"/>
              <w:bottom w:val="nil"/>
            </w:tcBorders>
            <w:vAlign w:val="top"/>
          </w:tcPr>
          <w:p w14:paraId="37F26E52">
            <w:pPr>
              <w:rPr>
                <w:rFonts w:ascii="Arial"/>
                <w:color w:val="auto"/>
                <w:sz w:val="21"/>
                <w:highlight w:val="none"/>
              </w:rPr>
            </w:pPr>
          </w:p>
        </w:tc>
        <w:tc>
          <w:tcPr>
            <w:tcW w:w="655" w:type="dxa"/>
            <w:vMerge w:val="continue"/>
            <w:tcBorders>
              <w:top w:val="nil"/>
              <w:bottom w:val="nil"/>
            </w:tcBorders>
            <w:vAlign w:val="top"/>
          </w:tcPr>
          <w:p w14:paraId="6F7A55C1">
            <w:pPr>
              <w:rPr>
                <w:rFonts w:ascii="Arial"/>
                <w:color w:val="auto"/>
                <w:sz w:val="21"/>
                <w:highlight w:val="none"/>
              </w:rPr>
            </w:pPr>
          </w:p>
        </w:tc>
        <w:tc>
          <w:tcPr>
            <w:tcW w:w="518" w:type="dxa"/>
            <w:vMerge w:val="continue"/>
            <w:tcBorders>
              <w:top w:val="nil"/>
              <w:bottom w:val="nil"/>
            </w:tcBorders>
            <w:vAlign w:val="top"/>
          </w:tcPr>
          <w:p w14:paraId="61E8C7F7">
            <w:pPr>
              <w:rPr>
                <w:rFonts w:ascii="Arial"/>
                <w:color w:val="auto"/>
                <w:sz w:val="21"/>
                <w:highlight w:val="none"/>
              </w:rPr>
            </w:pPr>
          </w:p>
        </w:tc>
        <w:tc>
          <w:tcPr>
            <w:tcW w:w="919" w:type="dxa"/>
            <w:vMerge w:val="continue"/>
            <w:tcBorders>
              <w:top w:val="nil"/>
              <w:bottom w:val="nil"/>
            </w:tcBorders>
            <w:vAlign w:val="top"/>
          </w:tcPr>
          <w:p w14:paraId="2D3C7469">
            <w:pPr>
              <w:rPr>
                <w:rFonts w:ascii="Arial"/>
                <w:color w:val="auto"/>
                <w:sz w:val="21"/>
                <w:highlight w:val="none"/>
              </w:rPr>
            </w:pPr>
          </w:p>
        </w:tc>
        <w:tc>
          <w:tcPr>
            <w:tcW w:w="948" w:type="dxa"/>
            <w:vAlign w:val="top"/>
          </w:tcPr>
          <w:p w14:paraId="520106BF">
            <w:pPr>
              <w:pStyle w:val="17"/>
              <w:spacing w:before="155" w:line="229" w:lineRule="auto"/>
              <w:ind w:left="163"/>
              <w:rPr>
                <w:color w:val="auto"/>
                <w:highlight w:val="none"/>
              </w:rPr>
            </w:pPr>
            <w:r>
              <w:rPr>
                <w:color w:val="auto"/>
                <w:spacing w:val="5"/>
                <w:highlight w:val="none"/>
              </w:rPr>
              <w:t>交通安</w:t>
            </w:r>
          </w:p>
          <w:p w14:paraId="34B5E66E">
            <w:pPr>
              <w:pStyle w:val="17"/>
              <w:spacing w:before="134" w:line="282" w:lineRule="auto"/>
              <w:ind w:left="267" w:right="162" w:hanging="108"/>
              <w:rPr>
                <w:color w:val="auto"/>
                <w:highlight w:val="none"/>
              </w:rPr>
            </w:pPr>
            <w:r>
              <w:rPr>
                <w:color w:val="auto"/>
                <w:spacing w:val="6"/>
                <w:highlight w:val="none"/>
              </w:rPr>
              <w:t>全设施</w:t>
            </w:r>
            <w:r>
              <w:rPr>
                <w:color w:val="auto"/>
                <w:spacing w:val="3"/>
                <w:highlight w:val="none"/>
              </w:rPr>
              <w:t>工程</w:t>
            </w:r>
          </w:p>
        </w:tc>
        <w:tc>
          <w:tcPr>
            <w:tcW w:w="576" w:type="dxa"/>
            <w:vAlign w:val="top"/>
          </w:tcPr>
          <w:p w14:paraId="47FE03FC">
            <w:pPr>
              <w:spacing w:line="469" w:lineRule="auto"/>
              <w:rPr>
                <w:rFonts w:ascii="Arial"/>
                <w:color w:val="auto"/>
                <w:sz w:val="21"/>
                <w:highlight w:val="none"/>
              </w:rPr>
            </w:pPr>
          </w:p>
          <w:p w14:paraId="04EAEE30">
            <w:pPr>
              <w:pStyle w:val="17"/>
              <w:tabs>
                <w:tab w:val="left" w:pos="217"/>
              </w:tabs>
              <w:spacing w:before="65" w:line="228" w:lineRule="auto"/>
              <w:ind w:left="100"/>
              <w:rPr>
                <w:color w:val="auto"/>
                <w:highlight w:val="none"/>
              </w:rPr>
            </w:pPr>
            <w:r>
              <w:rPr>
                <w:color w:val="auto"/>
                <w:highlight w:val="none"/>
                <w:u w:val="single" w:color="auto"/>
              </w:rPr>
              <w:tab/>
            </w:r>
            <w:r>
              <w:rPr>
                <w:rFonts w:hint="eastAsia"/>
                <w:color w:val="auto"/>
                <w:highlight w:val="none"/>
                <w:u w:val="single" w:color="auto"/>
                <w:lang w:val="en-US" w:eastAsia="zh-CN"/>
              </w:rPr>
              <w:t>/</w:t>
            </w:r>
            <w:r>
              <w:rPr>
                <w:color w:val="auto"/>
                <w:highlight w:val="none"/>
              </w:rPr>
              <w:t>分</w:t>
            </w:r>
          </w:p>
        </w:tc>
        <w:tc>
          <w:tcPr>
            <w:tcW w:w="4351" w:type="dxa"/>
            <w:vAlign w:val="top"/>
          </w:tcPr>
          <w:p w14:paraId="0CE4119C">
            <w:pPr>
              <w:spacing w:line="277" w:lineRule="auto"/>
              <w:rPr>
                <w:rFonts w:ascii="Arial"/>
                <w:color w:val="auto"/>
                <w:sz w:val="21"/>
                <w:highlight w:val="none"/>
              </w:rPr>
            </w:pPr>
          </w:p>
          <w:p w14:paraId="29D7E362">
            <w:pPr>
              <w:pStyle w:val="17"/>
              <w:spacing w:before="65" w:line="252" w:lineRule="auto"/>
              <w:ind w:left="116" w:right="108" w:hanging="10"/>
              <w:rPr>
                <w:color w:val="auto"/>
                <w:highlight w:val="none"/>
              </w:rPr>
            </w:pPr>
            <w:r>
              <w:rPr>
                <w:color w:val="auto"/>
                <w:spacing w:val="11"/>
                <w:highlight w:val="none"/>
              </w:rPr>
              <w:t>在满足业绩最低要求的基础上，每增加</w:t>
            </w:r>
            <w:r>
              <w:rPr>
                <w:color w:val="auto"/>
                <w:spacing w:val="-85"/>
                <w:highlight w:val="none"/>
              </w:rPr>
              <w:t xml:space="preserve"> </w:t>
            </w:r>
            <w:r>
              <w:rPr>
                <w:color w:val="auto"/>
                <w:spacing w:val="7"/>
                <w:highlight w:val="none"/>
                <w:u w:val="single" w:color="auto"/>
              </w:rPr>
              <w:t xml:space="preserve"> </w:t>
            </w:r>
            <w:r>
              <w:rPr>
                <w:rFonts w:hint="eastAsia"/>
                <w:color w:val="auto"/>
                <w:spacing w:val="7"/>
                <w:highlight w:val="none"/>
                <w:u w:val="single" w:color="auto"/>
                <w:lang w:val="en-US" w:eastAsia="zh-CN"/>
              </w:rPr>
              <w:t>/</w:t>
            </w:r>
            <w:r>
              <w:rPr>
                <w:color w:val="auto"/>
                <w:spacing w:val="7"/>
                <w:highlight w:val="none"/>
                <w:u w:val="single" w:color="auto"/>
              </w:rPr>
              <w:t xml:space="preserve">  </w:t>
            </w:r>
            <w:r>
              <w:rPr>
                <w:color w:val="auto"/>
                <w:spacing w:val="-93"/>
                <w:highlight w:val="none"/>
              </w:rPr>
              <w:t xml:space="preserve"> </w:t>
            </w:r>
            <w:r>
              <w:rPr>
                <w:color w:val="auto"/>
                <w:highlight w:val="none"/>
              </w:rPr>
              <w:t xml:space="preserve">km </w:t>
            </w:r>
            <w:r>
              <w:rPr>
                <w:color w:val="auto"/>
                <w:spacing w:val="5"/>
                <w:highlight w:val="none"/>
              </w:rPr>
              <w:t>（尾数不计）加</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73"/>
                <w:highlight w:val="none"/>
              </w:rPr>
              <w:t xml:space="preserve"> </w:t>
            </w:r>
            <w:r>
              <w:rPr>
                <w:color w:val="auto"/>
                <w:spacing w:val="5"/>
                <w:highlight w:val="none"/>
              </w:rPr>
              <w:t>分，最多加</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90"/>
                <w:highlight w:val="none"/>
              </w:rPr>
              <w:t xml:space="preserve"> </w:t>
            </w:r>
            <w:r>
              <w:rPr>
                <w:color w:val="auto"/>
                <w:spacing w:val="5"/>
                <w:highlight w:val="none"/>
              </w:rPr>
              <w:t>分。</w:t>
            </w:r>
          </w:p>
        </w:tc>
      </w:tr>
      <w:tr w14:paraId="342C9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28" w:type="dxa"/>
            <w:vMerge w:val="continue"/>
            <w:tcBorders>
              <w:top w:val="nil"/>
              <w:bottom w:val="nil"/>
            </w:tcBorders>
            <w:vAlign w:val="top"/>
          </w:tcPr>
          <w:p w14:paraId="655D7D0B">
            <w:pPr>
              <w:rPr>
                <w:rFonts w:ascii="Arial"/>
                <w:color w:val="auto"/>
                <w:sz w:val="21"/>
                <w:highlight w:val="none"/>
              </w:rPr>
            </w:pPr>
          </w:p>
        </w:tc>
        <w:tc>
          <w:tcPr>
            <w:tcW w:w="655" w:type="dxa"/>
            <w:vMerge w:val="continue"/>
            <w:tcBorders>
              <w:top w:val="nil"/>
              <w:bottom w:val="nil"/>
            </w:tcBorders>
            <w:vAlign w:val="top"/>
          </w:tcPr>
          <w:p w14:paraId="49C6EA69">
            <w:pPr>
              <w:rPr>
                <w:rFonts w:ascii="Arial"/>
                <w:color w:val="auto"/>
                <w:sz w:val="21"/>
                <w:highlight w:val="none"/>
              </w:rPr>
            </w:pPr>
          </w:p>
        </w:tc>
        <w:tc>
          <w:tcPr>
            <w:tcW w:w="518" w:type="dxa"/>
            <w:vMerge w:val="continue"/>
            <w:tcBorders>
              <w:top w:val="nil"/>
              <w:bottom w:val="nil"/>
            </w:tcBorders>
            <w:vAlign w:val="top"/>
          </w:tcPr>
          <w:p w14:paraId="17D6220B">
            <w:pPr>
              <w:rPr>
                <w:rFonts w:ascii="Arial"/>
                <w:color w:val="auto"/>
                <w:sz w:val="21"/>
                <w:highlight w:val="none"/>
              </w:rPr>
            </w:pPr>
          </w:p>
        </w:tc>
        <w:tc>
          <w:tcPr>
            <w:tcW w:w="919" w:type="dxa"/>
            <w:vMerge w:val="continue"/>
            <w:tcBorders>
              <w:top w:val="nil"/>
              <w:bottom w:val="nil"/>
            </w:tcBorders>
            <w:vAlign w:val="top"/>
          </w:tcPr>
          <w:p w14:paraId="6F8375A1">
            <w:pPr>
              <w:rPr>
                <w:rFonts w:ascii="Arial"/>
                <w:color w:val="auto"/>
                <w:sz w:val="21"/>
                <w:highlight w:val="none"/>
              </w:rPr>
            </w:pPr>
          </w:p>
        </w:tc>
        <w:tc>
          <w:tcPr>
            <w:tcW w:w="948" w:type="dxa"/>
            <w:vAlign w:val="top"/>
          </w:tcPr>
          <w:p w14:paraId="0474FDA7">
            <w:pPr>
              <w:pStyle w:val="17"/>
              <w:spacing w:before="141" w:line="227" w:lineRule="auto"/>
              <w:ind w:left="264"/>
              <w:rPr>
                <w:color w:val="auto"/>
                <w:highlight w:val="none"/>
              </w:rPr>
            </w:pPr>
            <w:r>
              <w:rPr>
                <w:color w:val="auto"/>
                <w:spacing w:val="5"/>
                <w:highlight w:val="none"/>
              </w:rPr>
              <w:t>机电</w:t>
            </w:r>
          </w:p>
          <w:p w14:paraId="6D412D02">
            <w:pPr>
              <w:pStyle w:val="17"/>
              <w:spacing w:before="136" w:line="214" w:lineRule="auto"/>
              <w:ind w:left="267"/>
              <w:rPr>
                <w:color w:val="auto"/>
                <w:highlight w:val="none"/>
              </w:rPr>
            </w:pPr>
            <w:r>
              <w:rPr>
                <w:color w:val="auto"/>
                <w:spacing w:val="3"/>
                <w:highlight w:val="none"/>
              </w:rPr>
              <w:t>工程</w:t>
            </w:r>
          </w:p>
        </w:tc>
        <w:tc>
          <w:tcPr>
            <w:tcW w:w="576" w:type="dxa"/>
            <w:vAlign w:val="top"/>
          </w:tcPr>
          <w:p w14:paraId="46FB4027">
            <w:pPr>
              <w:spacing w:line="267" w:lineRule="auto"/>
              <w:rPr>
                <w:rFonts w:ascii="Arial"/>
                <w:color w:val="auto"/>
                <w:sz w:val="21"/>
                <w:highlight w:val="none"/>
              </w:rPr>
            </w:pPr>
          </w:p>
          <w:p w14:paraId="3B937120">
            <w:pPr>
              <w:pStyle w:val="17"/>
              <w:tabs>
                <w:tab w:val="left" w:pos="217"/>
              </w:tabs>
              <w:spacing w:before="65" w:line="228" w:lineRule="auto"/>
              <w:ind w:left="100"/>
              <w:rPr>
                <w:color w:val="auto"/>
                <w:highlight w:val="none"/>
              </w:rPr>
            </w:pPr>
            <w:r>
              <w:rPr>
                <w:color w:val="auto"/>
                <w:highlight w:val="none"/>
                <w:u w:val="single" w:color="auto"/>
              </w:rPr>
              <w:tab/>
            </w:r>
            <w:r>
              <w:rPr>
                <w:rFonts w:hint="eastAsia"/>
                <w:color w:val="auto"/>
                <w:highlight w:val="none"/>
                <w:u w:val="single" w:color="auto"/>
                <w:lang w:val="en-US" w:eastAsia="zh-CN"/>
              </w:rPr>
              <w:t>/</w:t>
            </w:r>
            <w:r>
              <w:rPr>
                <w:color w:val="auto"/>
                <w:highlight w:val="none"/>
              </w:rPr>
              <w:t>分</w:t>
            </w:r>
          </w:p>
        </w:tc>
        <w:tc>
          <w:tcPr>
            <w:tcW w:w="4351" w:type="dxa"/>
            <w:vAlign w:val="top"/>
          </w:tcPr>
          <w:p w14:paraId="2056E120">
            <w:pPr>
              <w:pStyle w:val="17"/>
              <w:spacing w:before="33" w:line="254" w:lineRule="auto"/>
              <w:ind w:left="116" w:right="108" w:hanging="10"/>
              <w:rPr>
                <w:color w:val="auto"/>
                <w:highlight w:val="none"/>
              </w:rPr>
            </w:pPr>
            <w:r>
              <w:rPr>
                <w:color w:val="auto"/>
                <w:spacing w:val="11"/>
                <w:highlight w:val="none"/>
              </w:rPr>
              <w:t>在满足业绩最低要求的基础上，每增加</w:t>
            </w:r>
            <w:r>
              <w:rPr>
                <w:color w:val="auto"/>
                <w:spacing w:val="-85"/>
                <w:highlight w:val="none"/>
              </w:rPr>
              <w:t xml:space="preserve"> </w:t>
            </w:r>
            <w:r>
              <w:rPr>
                <w:color w:val="auto"/>
                <w:spacing w:val="7"/>
                <w:highlight w:val="none"/>
                <w:u w:val="single" w:color="auto"/>
              </w:rPr>
              <w:t xml:space="preserve"> </w:t>
            </w:r>
            <w:r>
              <w:rPr>
                <w:rFonts w:hint="eastAsia"/>
                <w:color w:val="auto"/>
                <w:spacing w:val="7"/>
                <w:highlight w:val="none"/>
                <w:u w:val="single" w:color="auto"/>
                <w:lang w:val="en-US" w:eastAsia="zh-CN"/>
              </w:rPr>
              <w:t>/</w:t>
            </w:r>
            <w:r>
              <w:rPr>
                <w:color w:val="auto"/>
                <w:spacing w:val="7"/>
                <w:highlight w:val="none"/>
                <w:u w:val="single" w:color="auto"/>
              </w:rPr>
              <w:t xml:space="preserve">  </w:t>
            </w:r>
            <w:r>
              <w:rPr>
                <w:color w:val="auto"/>
                <w:spacing w:val="-93"/>
                <w:highlight w:val="none"/>
              </w:rPr>
              <w:t xml:space="preserve"> </w:t>
            </w:r>
            <w:r>
              <w:rPr>
                <w:color w:val="auto"/>
                <w:highlight w:val="none"/>
              </w:rPr>
              <w:t xml:space="preserve">km </w:t>
            </w:r>
            <w:r>
              <w:rPr>
                <w:color w:val="auto"/>
                <w:spacing w:val="5"/>
                <w:highlight w:val="none"/>
              </w:rPr>
              <w:t>（尾数不计）加</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73"/>
                <w:highlight w:val="none"/>
              </w:rPr>
              <w:t xml:space="preserve"> </w:t>
            </w:r>
            <w:r>
              <w:rPr>
                <w:color w:val="auto"/>
                <w:spacing w:val="5"/>
                <w:highlight w:val="none"/>
              </w:rPr>
              <w:t>分，最多加</w:t>
            </w:r>
            <w:r>
              <w:rPr>
                <w:color w:val="auto"/>
                <w:spacing w:val="5"/>
                <w:highlight w:val="none"/>
                <w:u w:val="single" w:color="auto"/>
              </w:rPr>
              <w:t xml:space="preserve"> </w:t>
            </w:r>
            <w:r>
              <w:rPr>
                <w:rFonts w:hint="eastAsia"/>
                <w:color w:val="auto"/>
                <w:spacing w:val="5"/>
                <w:highlight w:val="none"/>
                <w:u w:val="single" w:color="auto"/>
                <w:lang w:val="en-US" w:eastAsia="zh-CN"/>
              </w:rPr>
              <w:t>/</w:t>
            </w:r>
            <w:r>
              <w:rPr>
                <w:color w:val="auto"/>
                <w:spacing w:val="5"/>
                <w:highlight w:val="none"/>
                <w:u w:val="single" w:color="auto"/>
              </w:rPr>
              <w:t xml:space="preserve"> </w:t>
            </w:r>
            <w:r>
              <w:rPr>
                <w:color w:val="auto"/>
                <w:spacing w:val="-90"/>
                <w:highlight w:val="none"/>
              </w:rPr>
              <w:t xml:space="preserve"> </w:t>
            </w:r>
            <w:r>
              <w:rPr>
                <w:color w:val="auto"/>
                <w:spacing w:val="5"/>
                <w:highlight w:val="none"/>
              </w:rPr>
              <w:t>分。</w:t>
            </w:r>
          </w:p>
        </w:tc>
      </w:tr>
      <w:tr w14:paraId="0CEA7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28" w:type="dxa"/>
            <w:vMerge w:val="continue"/>
            <w:tcBorders>
              <w:top w:val="nil"/>
              <w:bottom w:val="nil"/>
            </w:tcBorders>
            <w:vAlign w:val="top"/>
          </w:tcPr>
          <w:p w14:paraId="745789B8">
            <w:pPr>
              <w:rPr>
                <w:rFonts w:ascii="Arial"/>
                <w:color w:val="auto"/>
                <w:sz w:val="21"/>
                <w:highlight w:val="none"/>
              </w:rPr>
            </w:pPr>
          </w:p>
        </w:tc>
        <w:tc>
          <w:tcPr>
            <w:tcW w:w="655" w:type="dxa"/>
            <w:vMerge w:val="continue"/>
            <w:tcBorders>
              <w:top w:val="nil"/>
              <w:bottom w:val="nil"/>
            </w:tcBorders>
            <w:vAlign w:val="top"/>
          </w:tcPr>
          <w:p w14:paraId="16FCA4B5">
            <w:pPr>
              <w:rPr>
                <w:rFonts w:ascii="Arial"/>
                <w:color w:val="auto"/>
                <w:sz w:val="21"/>
                <w:highlight w:val="none"/>
              </w:rPr>
            </w:pPr>
          </w:p>
        </w:tc>
        <w:tc>
          <w:tcPr>
            <w:tcW w:w="518" w:type="dxa"/>
            <w:vMerge w:val="continue"/>
            <w:tcBorders>
              <w:top w:val="nil"/>
            </w:tcBorders>
            <w:vAlign w:val="top"/>
          </w:tcPr>
          <w:p w14:paraId="28C7A246">
            <w:pPr>
              <w:rPr>
                <w:rFonts w:ascii="Arial"/>
                <w:color w:val="auto"/>
                <w:sz w:val="21"/>
                <w:highlight w:val="none"/>
              </w:rPr>
            </w:pPr>
          </w:p>
        </w:tc>
        <w:tc>
          <w:tcPr>
            <w:tcW w:w="919" w:type="dxa"/>
            <w:vMerge w:val="continue"/>
            <w:tcBorders>
              <w:top w:val="nil"/>
            </w:tcBorders>
            <w:vAlign w:val="top"/>
          </w:tcPr>
          <w:p w14:paraId="15807F21">
            <w:pPr>
              <w:rPr>
                <w:rFonts w:ascii="Arial"/>
                <w:color w:val="auto"/>
                <w:sz w:val="21"/>
                <w:highlight w:val="none"/>
              </w:rPr>
            </w:pPr>
          </w:p>
        </w:tc>
        <w:tc>
          <w:tcPr>
            <w:tcW w:w="948" w:type="dxa"/>
            <w:vAlign w:val="top"/>
          </w:tcPr>
          <w:p w14:paraId="485827E3">
            <w:pPr>
              <w:pStyle w:val="17"/>
              <w:spacing w:before="170" w:line="228" w:lineRule="auto"/>
              <w:ind w:left="266"/>
              <w:rPr>
                <w:color w:val="auto"/>
                <w:highlight w:val="none"/>
              </w:rPr>
            </w:pPr>
            <w:r>
              <w:rPr>
                <w:color w:val="auto"/>
                <w:spacing w:val="4"/>
                <w:highlight w:val="none"/>
              </w:rPr>
              <w:t>房建</w:t>
            </w:r>
          </w:p>
          <w:p w14:paraId="1A9509C6">
            <w:pPr>
              <w:pStyle w:val="17"/>
              <w:spacing w:before="132" w:line="228" w:lineRule="auto"/>
              <w:ind w:left="267"/>
              <w:rPr>
                <w:color w:val="auto"/>
                <w:highlight w:val="none"/>
              </w:rPr>
            </w:pPr>
            <w:r>
              <w:rPr>
                <w:color w:val="auto"/>
                <w:spacing w:val="3"/>
                <w:highlight w:val="none"/>
              </w:rPr>
              <w:t>工程</w:t>
            </w:r>
          </w:p>
        </w:tc>
        <w:tc>
          <w:tcPr>
            <w:tcW w:w="576" w:type="dxa"/>
            <w:vAlign w:val="top"/>
          </w:tcPr>
          <w:p w14:paraId="580176AA">
            <w:pPr>
              <w:spacing w:line="293" w:lineRule="auto"/>
              <w:rPr>
                <w:rFonts w:ascii="Arial"/>
                <w:color w:val="auto"/>
                <w:sz w:val="21"/>
                <w:highlight w:val="none"/>
              </w:rPr>
            </w:pPr>
          </w:p>
          <w:p w14:paraId="1A437CDF">
            <w:pPr>
              <w:pStyle w:val="17"/>
              <w:spacing w:before="65" w:line="228" w:lineRule="auto"/>
              <w:jc w:val="center"/>
              <w:rPr>
                <w:color w:val="auto"/>
                <w:highlight w:val="none"/>
              </w:rPr>
            </w:pPr>
            <w:r>
              <w:rPr>
                <w:rFonts w:hint="eastAsia"/>
                <w:color w:val="auto"/>
                <w:highlight w:val="none"/>
                <w:u w:val="single"/>
                <w:lang w:val="en-US" w:eastAsia="zh-CN"/>
              </w:rPr>
              <w:t>/</w:t>
            </w:r>
            <w:r>
              <w:rPr>
                <w:color w:val="auto"/>
                <w:highlight w:val="none"/>
              </w:rPr>
              <w:t>分</w:t>
            </w:r>
          </w:p>
        </w:tc>
        <w:tc>
          <w:tcPr>
            <w:tcW w:w="4351" w:type="dxa"/>
            <w:vAlign w:val="top"/>
          </w:tcPr>
          <w:p w14:paraId="6EC144B1">
            <w:pPr>
              <w:pStyle w:val="17"/>
              <w:spacing w:before="35" w:line="239" w:lineRule="auto"/>
              <w:ind w:left="106" w:right="109"/>
              <w:jc w:val="both"/>
              <w:rPr>
                <w:color w:val="auto"/>
                <w:highlight w:val="none"/>
              </w:rPr>
            </w:pPr>
            <w:r>
              <w:rPr>
                <w:color w:val="auto"/>
                <w:spacing w:val="9"/>
                <w:highlight w:val="none"/>
              </w:rPr>
              <w:t>在满足业绩最低要求的基础上，每增加</w:t>
            </w:r>
            <w:r>
              <w:rPr>
                <w:color w:val="auto"/>
                <w:spacing w:val="-89"/>
                <w:highlight w:val="none"/>
              </w:rPr>
              <w:t xml:space="preserve"> </w:t>
            </w:r>
            <w:r>
              <w:rPr>
                <w:color w:val="auto"/>
                <w:spacing w:val="7"/>
                <w:highlight w:val="none"/>
                <w:u w:val="single" w:color="auto"/>
              </w:rPr>
              <w:t xml:space="preserve"> </w:t>
            </w:r>
            <w:r>
              <w:rPr>
                <w:rFonts w:hint="eastAsia"/>
                <w:color w:val="auto"/>
                <w:spacing w:val="7"/>
                <w:highlight w:val="none"/>
                <w:u w:val="single" w:color="auto"/>
                <w:lang w:val="en-US" w:eastAsia="zh-CN"/>
              </w:rPr>
              <w:t>/</w:t>
            </w:r>
            <w:r>
              <w:rPr>
                <w:color w:val="auto"/>
                <w:spacing w:val="7"/>
                <w:highlight w:val="none"/>
                <w:u w:val="single" w:color="auto"/>
              </w:rPr>
              <w:t xml:space="preserve">  </w:t>
            </w:r>
            <w:r>
              <w:rPr>
                <w:color w:val="auto"/>
                <w:spacing w:val="-82"/>
                <w:highlight w:val="none"/>
              </w:rPr>
              <w:t xml:space="preserve"> </w:t>
            </w:r>
            <w:r>
              <w:rPr>
                <w:color w:val="auto"/>
                <w:spacing w:val="9"/>
                <w:highlight w:val="none"/>
              </w:rPr>
              <w:t>㎡</w:t>
            </w:r>
            <w:r>
              <w:rPr>
                <w:color w:val="auto"/>
                <w:highlight w:val="none"/>
              </w:rPr>
              <w:t xml:space="preserve"> </w:t>
            </w:r>
            <w:r>
              <w:rPr>
                <w:color w:val="auto"/>
                <w:spacing w:val="14"/>
                <w:highlight w:val="none"/>
              </w:rPr>
              <w:t>（尾数不计）</w:t>
            </w:r>
            <w:r>
              <w:rPr>
                <w:color w:val="auto"/>
                <w:spacing w:val="-38"/>
                <w:highlight w:val="none"/>
              </w:rPr>
              <w:t xml:space="preserve"> </w:t>
            </w:r>
            <w:r>
              <w:rPr>
                <w:color w:val="auto"/>
                <w:spacing w:val="14"/>
                <w:highlight w:val="none"/>
              </w:rPr>
              <w:t>的房建工程（同时含土建和安</w:t>
            </w:r>
            <w:r>
              <w:rPr>
                <w:color w:val="auto"/>
                <w:spacing w:val="6"/>
                <w:highlight w:val="none"/>
              </w:rPr>
              <w:t>装）施工监理加</w:t>
            </w:r>
            <w:r>
              <w:rPr>
                <w:color w:val="auto"/>
                <w:spacing w:val="6"/>
                <w:highlight w:val="none"/>
                <w:u w:val="single" w:color="auto"/>
              </w:rPr>
              <w:t xml:space="preserve"> </w:t>
            </w:r>
            <w:r>
              <w:rPr>
                <w:rFonts w:hint="eastAsia"/>
                <w:color w:val="auto"/>
                <w:spacing w:val="6"/>
                <w:highlight w:val="none"/>
                <w:u w:val="single" w:color="auto"/>
                <w:lang w:val="en-US" w:eastAsia="zh-CN"/>
              </w:rPr>
              <w:t>/</w:t>
            </w:r>
            <w:r>
              <w:rPr>
                <w:color w:val="auto"/>
                <w:spacing w:val="6"/>
                <w:highlight w:val="none"/>
                <w:u w:val="single" w:color="auto"/>
              </w:rPr>
              <w:t xml:space="preserve"> </w:t>
            </w:r>
            <w:r>
              <w:rPr>
                <w:color w:val="auto"/>
                <w:spacing w:val="-82"/>
                <w:highlight w:val="none"/>
              </w:rPr>
              <w:t xml:space="preserve"> </w:t>
            </w:r>
            <w:r>
              <w:rPr>
                <w:color w:val="auto"/>
                <w:spacing w:val="6"/>
                <w:highlight w:val="none"/>
              </w:rPr>
              <w:t>分，最多加</w:t>
            </w:r>
            <w:r>
              <w:rPr>
                <w:color w:val="auto"/>
                <w:spacing w:val="6"/>
                <w:highlight w:val="none"/>
                <w:u w:val="single" w:color="auto"/>
              </w:rPr>
              <w:t xml:space="preserve">  </w:t>
            </w:r>
            <w:r>
              <w:rPr>
                <w:rFonts w:hint="eastAsia"/>
                <w:color w:val="auto"/>
                <w:spacing w:val="6"/>
                <w:highlight w:val="none"/>
                <w:u w:val="single" w:color="auto"/>
                <w:lang w:val="en-US" w:eastAsia="zh-CN"/>
              </w:rPr>
              <w:t>/</w:t>
            </w:r>
            <w:r>
              <w:rPr>
                <w:color w:val="auto"/>
                <w:spacing w:val="6"/>
                <w:highlight w:val="none"/>
                <w:u w:val="single" w:color="auto"/>
              </w:rPr>
              <w:t xml:space="preserve"> </w:t>
            </w:r>
            <w:r>
              <w:rPr>
                <w:color w:val="auto"/>
                <w:spacing w:val="-89"/>
                <w:highlight w:val="none"/>
              </w:rPr>
              <w:t xml:space="preserve"> </w:t>
            </w:r>
            <w:r>
              <w:rPr>
                <w:color w:val="auto"/>
                <w:spacing w:val="6"/>
                <w:highlight w:val="none"/>
              </w:rPr>
              <w:t>分。</w:t>
            </w:r>
          </w:p>
        </w:tc>
      </w:tr>
      <w:tr w14:paraId="4C912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5" w:hRule="atLeast"/>
        </w:trPr>
        <w:tc>
          <w:tcPr>
            <w:tcW w:w="928" w:type="dxa"/>
            <w:vMerge w:val="continue"/>
            <w:tcBorders>
              <w:top w:val="nil"/>
            </w:tcBorders>
            <w:vAlign w:val="top"/>
          </w:tcPr>
          <w:p w14:paraId="755DA8D8">
            <w:pPr>
              <w:rPr>
                <w:rFonts w:ascii="Arial"/>
                <w:color w:val="auto"/>
                <w:sz w:val="21"/>
                <w:highlight w:val="none"/>
              </w:rPr>
            </w:pPr>
          </w:p>
        </w:tc>
        <w:tc>
          <w:tcPr>
            <w:tcW w:w="655" w:type="dxa"/>
            <w:vMerge w:val="continue"/>
            <w:tcBorders>
              <w:top w:val="nil"/>
            </w:tcBorders>
            <w:vAlign w:val="top"/>
          </w:tcPr>
          <w:p w14:paraId="783AC8FC">
            <w:pPr>
              <w:rPr>
                <w:rFonts w:ascii="Arial"/>
                <w:color w:val="auto"/>
                <w:sz w:val="21"/>
                <w:highlight w:val="none"/>
              </w:rPr>
            </w:pPr>
          </w:p>
        </w:tc>
        <w:tc>
          <w:tcPr>
            <w:tcW w:w="518" w:type="dxa"/>
            <w:textDirection w:val="tbRlV"/>
            <w:vAlign w:val="top"/>
          </w:tcPr>
          <w:p w14:paraId="6C84C0B7">
            <w:pPr>
              <w:pStyle w:val="17"/>
              <w:spacing w:before="154" w:line="216" w:lineRule="auto"/>
              <w:ind w:left="3341"/>
              <w:rPr>
                <w:color w:val="auto"/>
                <w:highlight w:val="none"/>
              </w:rPr>
            </w:pPr>
            <w:r>
              <w:rPr>
                <w:color w:val="auto"/>
                <w:spacing w:val="8"/>
                <w:highlight w:val="none"/>
              </w:rPr>
              <w:t>履</w:t>
            </w:r>
            <w:r>
              <w:rPr>
                <w:color w:val="auto"/>
                <w:spacing w:val="74"/>
                <w:highlight w:val="none"/>
              </w:rPr>
              <w:t xml:space="preserve"> </w:t>
            </w:r>
            <w:r>
              <w:rPr>
                <w:color w:val="auto"/>
                <w:spacing w:val="8"/>
                <w:highlight w:val="none"/>
              </w:rPr>
              <w:t>约</w:t>
            </w:r>
            <w:r>
              <w:rPr>
                <w:color w:val="auto"/>
                <w:spacing w:val="71"/>
                <w:highlight w:val="none"/>
              </w:rPr>
              <w:t xml:space="preserve"> </w:t>
            </w:r>
            <w:r>
              <w:rPr>
                <w:color w:val="auto"/>
                <w:spacing w:val="8"/>
                <w:highlight w:val="none"/>
              </w:rPr>
              <w:t>信</w:t>
            </w:r>
            <w:r>
              <w:rPr>
                <w:color w:val="auto"/>
                <w:spacing w:val="70"/>
                <w:highlight w:val="none"/>
              </w:rPr>
              <w:t xml:space="preserve"> </w:t>
            </w:r>
            <w:r>
              <w:rPr>
                <w:color w:val="auto"/>
                <w:spacing w:val="8"/>
                <w:highlight w:val="none"/>
              </w:rPr>
              <w:t>誉</w:t>
            </w:r>
          </w:p>
        </w:tc>
        <w:tc>
          <w:tcPr>
            <w:tcW w:w="919" w:type="dxa"/>
            <w:vAlign w:val="top"/>
          </w:tcPr>
          <w:p w14:paraId="2AD19071">
            <w:pPr>
              <w:spacing w:line="253" w:lineRule="auto"/>
              <w:rPr>
                <w:rFonts w:ascii="Arial"/>
                <w:color w:val="auto"/>
                <w:sz w:val="21"/>
                <w:highlight w:val="none"/>
              </w:rPr>
            </w:pPr>
          </w:p>
          <w:p w14:paraId="5D97BE8A">
            <w:pPr>
              <w:spacing w:line="253" w:lineRule="auto"/>
              <w:rPr>
                <w:rFonts w:ascii="Arial"/>
                <w:color w:val="auto"/>
                <w:sz w:val="21"/>
                <w:highlight w:val="none"/>
              </w:rPr>
            </w:pPr>
          </w:p>
          <w:p w14:paraId="288FEC56">
            <w:pPr>
              <w:spacing w:line="253" w:lineRule="auto"/>
              <w:rPr>
                <w:rFonts w:ascii="Arial"/>
                <w:color w:val="auto"/>
                <w:sz w:val="21"/>
                <w:highlight w:val="none"/>
              </w:rPr>
            </w:pPr>
          </w:p>
          <w:p w14:paraId="181E1DF9">
            <w:pPr>
              <w:spacing w:line="254" w:lineRule="auto"/>
              <w:rPr>
                <w:rFonts w:ascii="Arial"/>
                <w:color w:val="auto"/>
                <w:sz w:val="21"/>
                <w:highlight w:val="none"/>
              </w:rPr>
            </w:pPr>
          </w:p>
          <w:p w14:paraId="52B103AB">
            <w:pPr>
              <w:spacing w:line="254" w:lineRule="auto"/>
              <w:rPr>
                <w:rFonts w:ascii="Arial"/>
                <w:color w:val="auto"/>
                <w:sz w:val="21"/>
                <w:highlight w:val="none"/>
              </w:rPr>
            </w:pPr>
          </w:p>
          <w:p w14:paraId="18F4C5C1">
            <w:pPr>
              <w:spacing w:line="254" w:lineRule="auto"/>
              <w:rPr>
                <w:rFonts w:ascii="Arial"/>
                <w:color w:val="auto"/>
                <w:sz w:val="21"/>
                <w:highlight w:val="none"/>
              </w:rPr>
            </w:pPr>
          </w:p>
          <w:p w14:paraId="4D1D7911">
            <w:pPr>
              <w:spacing w:line="254" w:lineRule="auto"/>
              <w:rPr>
                <w:rFonts w:ascii="Arial"/>
                <w:color w:val="auto"/>
                <w:sz w:val="21"/>
                <w:highlight w:val="none"/>
              </w:rPr>
            </w:pPr>
          </w:p>
          <w:p w14:paraId="40F85453">
            <w:pPr>
              <w:spacing w:line="254" w:lineRule="auto"/>
              <w:rPr>
                <w:rFonts w:ascii="Arial"/>
                <w:color w:val="auto"/>
                <w:sz w:val="21"/>
                <w:highlight w:val="none"/>
              </w:rPr>
            </w:pPr>
          </w:p>
          <w:p w14:paraId="0AF706D4">
            <w:pPr>
              <w:spacing w:line="254" w:lineRule="auto"/>
              <w:rPr>
                <w:rFonts w:ascii="Arial"/>
                <w:color w:val="auto"/>
                <w:sz w:val="21"/>
                <w:highlight w:val="none"/>
              </w:rPr>
            </w:pPr>
          </w:p>
          <w:p w14:paraId="0D4767B8">
            <w:pPr>
              <w:spacing w:line="254" w:lineRule="auto"/>
              <w:rPr>
                <w:rFonts w:ascii="Arial"/>
                <w:color w:val="auto"/>
                <w:sz w:val="21"/>
                <w:highlight w:val="none"/>
              </w:rPr>
            </w:pPr>
          </w:p>
          <w:p w14:paraId="5439FA1D">
            <w:pPr>
              <w:spacing w:line="254" w:lineRule="auto"/>
              <w:rPr>
                <w:rFonts w:ascii="Arial"/>
                <w:color w:val="auto"/>
                <w:sz w:val="21"/>
                <w:highlight w:val="none"/>
              </w:rPr>
            </w:pPr>
          </w:p>
          <w:p w14:paraId="32DF4AF6">
            <w:pPr>
              <w:spacing w:line="254" w:lineRule="auto"/>
              <w:rPr>
                <w:rFonts w:ascii="Arial"/>
                <w:color w:val="auto"/>
                <w:sz w:val="21"/>
                <w:highlight w:val="none"/>
              </w:rPr>
            </w:pPr>
          </w:p>
          <w:p w14:paraId="2A39E119">
            <w:pPr>
              <w:spacing w:line="254" w:lineRule="auto"/>
              <w:rPr>
                <w:rFonts w:ascii="Arial"/>
                <w:color w:val="auto"/>
                <w:sz w:val="21"/>
                <w:highlight w:val="none"/>
              </w:rPr>
            </w:pPr>
          </w:p>
          <w:p w14:paraId="768F2571">
            <w:pPr>
              <w:spacing w:line="254" w:lineRule="auto"/>
              <w:rPr>
                <w:rFonts w:ascii="Arial"/>
                <w:color w:val="auto"/>
                <w:sz w:val="21"/>
                <w:highlight w:val="none"/>
              </w:rPr>
            </w:pPr>
          </w:p>
          <w:p w14:paraId="11F5FEE0">
            <w:pPr>
              <w:spacing w:line="254" w:lineRule="auto"/>
              <w:rPr>
                <w:rFonts w:ascii="Arial"/>
                <w:color w:val="auto"/>
                <w:sz w:val="21"/>
                <w:highlight w:val="none"/>
              </w:rPr>
            </w:pPr>
          </w:p>
          <w:p w14:paraId="5D50E9F7">
            <w:pPr>
              <w:pStyle w:val="17"/>
              <w:tabs>
                <w:tab w:val="left" w:pos="452"/>
              </w:tabs>
              <w:spacing w:before="65" w:line="244" w:lineRule="auto"/>
              <w:ind w:left="138"/>
              <w:rPr>
                <w:color w:val="auto"/>
                <w:sz w:val="10"/>
                <w:szCs w:val="10"/>
                <w:highlight w:val="none"/>
              </w:rPr>
            </w:pPr>
            <w:r>
              <w:rPr>
                <w:rFonts w:hint="eastAsia"/>
                <w:color w:val="auto"/>
                <w:position w:val="-2"/>
                <w:highlight w:val="none"/>
                <w:u w:val="single" w:color="auto"/>
                <w:lang w:val="en-US" w:eastAsia="zh-CN"/>
              </w:rPr>
              <w:t>15</w:t>
            </w:r>
            <w:r>
              <w:rPr>
                <w:color w:val="auto"/>
                <w:spacing w:val="-89"/>
                <w:position w:val="-2"/>
                <w:highlight w:val="none"/>
              </w:rPr>
              <w:t xml:space="preserve"> </w:t>
            </w:r>
            <w:r>
              <w:rPr>
                <w:color w:val="auto"/>
                <w:spacing w:val="2"/>
                <w:position w:val="-2"/>
                <w:highlight w:val="none"/>
              </w:rPr>
              <w:t>分</w:t>
            </w:r>
          </w:p>
        </w:tc>
        <w:tc>
          <w:tcPr>
            <w:tcW w:w="948" w:type="dxa"/>
            <w:vAlign w:val="top"/>
          </w:tcPr>
          <w:p w14:paraId="3276568E">
            <w:pPr>
              <w:spacing w:line="242" w:lineRule="auto"/>
              <w:rPr>
                <w:rFonts w:ascii="Arial"/>
                <w:color w:val="auto"/>
                <w:sz w:val="21"/>
                <w:highlight w:val="none"/>
              </w:rPr>
            </w:pPr>
          </w:p>
          <w:p w14:paraId="381D30AC">
            <w:pPr>
              <w:spacing w:line="242" w:lineRule="auto"/>
              <w:rPr>
                <w:rFonts w:ascii="Arial"/>
                <w:color w:val="auto"/>
                <w:sz w:val="21"/>
                <w:highlight w:val="none"/>
              </w:rPr>
            </w:pPr>
          </w:p>
          <w:p w14:paraId="573F0FF2">
            <w:pPr>
              <w:spacing w:line="242" w:lineRule="auto"/>
              <w:rPr>
                <w:rFonts w:ascii="Arial"/>
                <w:color w:val="auto"/>
                <w:sz w:val="21"/>
                <w:highlight w:val="none"/>
              </w:rPr>
            </w:pPr>
          </w:p>
          <w:p w14:paraId="43F1FDBF">
            <w:pPr>
              <w:spacing w:line="242" w:lineRule="auto"/>
              <w:rPr>
                <w:rFonts w:ascii="Arial"/>
                <w:color w:val="auto"/>
                <w:sz w:val="21"/>
                <w:highlight w:val="none"/>
              </w:rPr>
            </w:pPr>
          </w:p>
          <w:p w14:paraId="51FB67FA">
            <w:pPr>
              <w:spacing w:line="242" w:lineRule="auto"/>
              <w:rPr>
                <w:rFonts w:ascii="Arial"/>
                <w:color w:val="auto"/>
                <w:sz w:val="21"/>
                <w:highlight w:val="none"/>
              </w:rPr>
            </w:pPr>
          </w:p>
          <w:p w14:paraId="25F3745D">
            <w:pPr>
              <w:spacing w:line="242" w:lineRule="auto"/>
              <w:rPr>
                <w:rFonts w:ascii="Arial"/>
                <w:color w:val="auto"/>
                <w:sz w:val="21"/>
                <w:highlight w:val="none"/>
              </w:rPr>
            </w:pPr>
          </w:p>
          <w:p w14:paraId="67B930B3">
            <w:pPr>
              <w:spacing w:line="242" w:lineRule="auto"/>
              <w:rPr>
                <w:rFonts w:ascii="Arial"/>
                <w:color w:val="auto"/>
                <w:sz w:val="21"/>
                <w:highlight w:val="none"/>
              </w:rPr>
            </w:pPr>
          </w:p>
          <w:p w14:paraId="6A0D59BD">
            <w:pPr>
              <w:spacing w:line="242" w:lineRule="auto"/>
              <w:rPr>
                <w:rFonts w:ascii="Arial"/>
                <w:color w:val="auto"/>
                <w:sz w:val="21"/>
                <w:highlight w:val="none"/>
              </w:rPr>
            </w:pPr>
          </w:p>
          <w:p w14:paraId="7A1AE9E3">
            <w:pPr>
              <w:spacing w:line="242" w:lineRule="auto"/>
              <w:rPr>
                <w:rFonts w:ascii="Arial"/>
                <w:color w:val="auto"/>
                <w:sz w:val="21"/>
                <w:highlight w:val="none"/>
              </w:rPr>
            </w:pPr>
          </w:p>
          <w:p w14:paraId="1366F7D4">
            <w:pPr>
              <w:spacing w:line="243" w:lineRule="auto"/>
              <w:rPr>
                <w:rFonts w:ascii="Arial"/>
                <w:color w:val="auto"/>
                <w:sz w:val="21"/>
                <w:highlight w:val="none"/>
              </w:rPr>
            </w:pPr>
          </w:p>
          <w:p w14:paraId="278A83BC">
            <w:pPr>
              <w:spacing w:line="243" w:lineRule="auto"/>
              <w:rPr>
                <w:rFonts w:ascii="Arial"/>
                <w:color w:val="auto"/>
                <w:sz w:val="21"/>
                <w:highlight w:val="none"/>
              </w:rPr>
            </w:pPr>
          </w:p>
          <w:p w14:paraId="1ED465D8">
            <w:pPr>
              <w:spacing w:line="243" w:lineRule="auto"/>
              <w:rPr>
                <w:rFonts w:ascii="Arial"/>
                <w:color w:val="auto"/>
                <w:sz w:val="21"/>
                <w:highlight w:val="none"/>
              </w:rPr>
            </w:pPr>
          </w:p>
          <w:p w14:paraId="7892A440">
            <w:pPr>
              <w:spacing w:line="243" w:lineRule="auto"/>
              <w:rPr>
                <w:rFonts w:ascii="Arial"/>
                <w:color w:val="auto"/>
                <w:sz w:val="21"/>
                <w:highlight w:val="none"/>
              </w:rPr>
            </w:pPr>
          </w:p>
          <w:p w14:paraId="2B45C763">
            <w:pPr>
              <w:spacing w:line="243" w:lineRule="auto"/>
              <w:rPr>
                <w:rFonts w:ascii="Arial"/>
                <w:color w:val="auto"/>
                <w:sz w:val="21"/>
                <w:highlight w:val="none"/>
              </w:rPr>
            </w:pPr>
          </w:p>
          <w:p w14:paraId="488EB9F1">
            <w:pPr>
              <w:spacing w:line="243" w:lineRule="auto"/>
              <w:rPr>
                <w:rFonts w:ascii="Arial"/>
                <w:color w:val="auto"/>
                <w:sz w:val="21"/>
                <w:highlight w:val="none"/>
              </w:rPr>
            </w:pPr>
          </w:p>
          <w:p w14:paraId="364791DE">
            <w:pPr>
              <w:pStyle w:val="17"/>
              <w:spacing w:before="65" w:line="351" w:lineRule="auto"/>
              <w:ind w:left="265" w:right="268" w:firstLine="3"/>
              <w:rPr>
                <w:color w:val="auto"/>
                <w:highlight w:val="none"/>
              </w:rPr>
            </w:pPr>
            <w:r>
              <w:rPr>
                <w:color w:val="auto"/>
                <w:spacing w:val="3"/>
                <w:highlight w:val="none"/>
              </w:rPr>
              <w:t>履约</w:t>
            </w:r>
            <w:r>
              <w:rPr>
                <w:color w:val="auto"/>
                <w:spacing w:val="4"/>
                <w:highlight w:val="none"/>
              </w:rPr>
              <w:t>信誉</w:t>
            </w:r>
          </w:p>
        </w:tc>
        <w:tc>
          <w:tcPr>
            <w:tcW w:w="576" w:type="dxa"/>
            <w:vAlign w:val="top"/>
          </w:tcPr>
          <w:p w14:paraId="79959AD8">
            <w:pPr>
              <w:spacing w:line="249" w:lineRule="auto"/>
              <w:rPr>
                <w:rFonts w:ascii="Arial"/>
                <w:color w:val="auto"/>
                <w:sz w:val="21"/>
                <w:highlight w:val="none"/>
              </w:rPr>
            </w:pPr>
          </w:p>
          <w:p w14:paraId="66CD3DCA">
            <w:pPr>
              <w:spacing w:line="249" w:lineRule="auto"/>
              <w:rPr>
                <w:rFonts w:ascii="Arial"/>
                <w:color w:val="auto"/>
                <w:sz w:val="21"/>
                <w:highlight w:val="none"/>
              </w:rPr>
            </w:pPr>
          </w:p>
          <w:p w14:paraId="1FA13A2F">
            <w:pPr>
              <w:spacing w:line="249" w:lineRule="auto"/>
              <w:rPr>
                <w:rFonts w:ascii="Arial"/>
                <w:color w:val="auto"/>
                <w:sz w:val="21"/>
                <w:highlight w:val="none"/>
              </w:rPr>
            </w:pPr>
          </w:p>
          <w:p w14:paraId="0654B969">
            <w:pPr>
              <w:spacing w:line="249" w:lineRule="auto"/>
              <w:rPr>
                <w:rFonts w:ascii="Arial"/>
                <w:color w:val="auto"/>
                <w:sz w:val="21"/>
                <w:highlight w:val="none"/>
              </w:rPr>
            </w:pPr>
          </w:p>
          <w:p w14:paraId="35C1967B">
            <w:pPr>
              <w:spacing w:line="249" w:lineRule="auto"/>
              <w:rPr>
                <w:rFonts w:ascii="Arial"/>
                <w:color w:val="auto"/>
                <w:sz w:val="21"/>
                <w:highlight w:val="none"/>
              </w:rPr>
            </w:pPr>
          </w:p>
          <w:p w14:paraId="3F9EEAA0">
            <w:pPr>
              <w:spacing w:line="250" w:lineRule="auto"/>
              <w:rPr>
                <w:rFonts w:ascii="Arial"/>
                <w:color w:val="auto"/>
                <w:sz w:val="21"/>
                <w:highlight w:val="none"/>
              </w:rPr>
            </w:pPr>
          </w:p>
          <w:p w14:paraId="736E77D5">
            <w:pPr>
              <w:spacing w:line="250" w:lineRule="auto"/>
              <w:rPr>
                <w:rFonts w:ascii="Arial"/>
                <w:color w:val="auto"/>
                <w:sz w:val="21"/>
                <w:highlight w:val="none"/>
              </w:rPr>
            </w:pPr>
          </w:p>
          <w:p w14:paraId="2D80BD63">
            <w:pPr>
              <w:spacing w:line="250" w:lineRule="auto"/>
              <w:rPr>
                <w:rFonts w:ascii="Arial"/>
                <w:color w:val="auto"/>
                <w:sz w:val="21"/>
                <w:highlight w:val="none"/>
              </w:rPr>
            </w:pPr>
          </w:p>
          <w:p w14:paraId="359DF33B">
            <w:pPr>
              <w:spacing w:line="250" w:lineRule="auto"/>
              <w:rPr>
                <w:rFonts w:ascii="Arial"/>
                <w:color w:val="auto"/>
                <w:sz w:val="21"/>
                <w:highlight w:val="none"/>
              </w:rPr>
            </w:pPr>
          </w:p>
          <w:p w14:paraId="1E003F23">
            <w:pPr>
              <w:spacing w:line="250" w:lineRule="auto"/>
              <w:rPr>
                <w:rFonts w:ascii="Arial"/>
                <w:color w:val="auto"/>
                <w:sz w:val="21"/>
                <w:highlight w:val="none"/>
              </w:rPr>
            </w:pPr>
          </w:p>
          <w:p w14:paraId="7F619B62">
            <w:pPr>
              <w:spacing w:line="250" w:lineRule="auto"/>
              <w:rPr>
                <w:rFonts w:ascii="Arial"/>
                <w:color w:val="auto"/>
                <w:sz w:val="21"/>
                <w:highlight w:val="none"/>
              </w:rPr>
            </w:pPr>
          </w:p>
          <w:p w14:paraId="6B757E81">
            <w:pPr>
              <w:spacing w:line="250" w:lineRule="auto"/>
              <w:rPr>
                <w:rFonts w:ascii="Arial"/>
                <w:color w:val="auto"/>
                <w:sz w:val="21"/>
                <w:highlight w:val="none"/>
              </w:rPr>
            </w:pPr>
          </w:p>
          <w:p w14:paraId="27905185">
            <w:pPr>
              <w:spacing w:line="250" w:lineRule="auto"/>
              <w:rPr>
                <w:rFonts w:ascii="Arial"/>
                <w:color w:val="auto"/>
                <w:sz w:val="21"/>
                <w:highlight w:val="none"/>
              </w:rPr>
            </w:pPr>
          </w:p>
          <w:p w14:paraId="4B3460BD">
            <w:pPr>
              <w:spacing w:line="250" w:lineRule="auto"/>
              <w:rPr>
                <w:rFonts w:ascii="Arial"/>
                <w:color w:val="auto"/>
                <w:sz w:val="21"/>
                <w:highlight w:val="none"/>
              </w:rPr>
            </w:pPr>
          </w:p>
          <w:p w14:paraId="53A2D0F0">
            <w:pPr>
              <w:spacing w:line="250" w:lineRule="auto"/>
              <w:rPr>
                <w:rFonts w:ascii="Arial"/>
                <w:color w:val="auto"/>
                <w:sz w:val="21"/>
                <w:highlight w:val="none"/>
              </w:rPr>
            </w:pPr>
          </w:p>
          <w:p w14:paraId="443985F8">
            <w:pPr>
              <w:spacing w:line="250" w:lineRule="auto"/>
              <w:rPr>
                <w:color w:val="auto"/>
                <w:sz w:val="10"/>
                <w:szCs w:val="10"/>
                <w:highlight w:val="none"/>
              </w:rPr>
            </w:pPr>
            <w:r>
              <w:rPr>
                <w:rFonts w:hint="eastAsia" w:ascii="宋体" w:hAnsi="宋体" w:eastAsia="宋体" w:cs="宋体"/>
                <w:snapToGrid w:val="0"/>
                <w:color w:val="auto"/>
                <w:kern w:val="0"/>
                <w:position w:val="-2"/>
                <w:sz w:val="20"/>
                <w:szCs w:val="20"/>
                <w:highlight w:val="none"/>
                <w:u w:val="single" w:color="auto"/>
                <w:lang w:val="en-US" w:eastAsia="zh-CN" w:bidi="ar-SA"/>
              </w:rPr>
              <w:t>15分</w:t>
            </w:r>
          </w:p>
        </w:tc>
        <w:tc>
          <w:tcPr>
            <w:tcW w:w="4351" w:type="dxa"/>
            <w:vAlign w:val="top"/>
          </w:tcPr>
          <w:p w14:paraId="76DE3C55">
            <w:pPr>
              <w:pStyle w:val="17"/>
              <w:spacing w:before="112" w:line="332" w:lineRule="auto"/>
              <w:ind w:left="212" w:right="215" w:firstLine="437"/>
              <w:rPr>
                <w:color w:val="auto"/>
                <w:highlight w:val="none"/>
              </w:rPr>
            </w:pPr>
            <w:r>
              <w:rPr>
                <w:color w:val="auto"/>
                <w:spacing w:val="8"/>
                <w:highlight w:val="none"/>
              </w:rPr>
              <w:t>1.信用等级分值（</w:t>
            </w:r>
            <w:r>
              <w:rPr>
                <w:color w:val="auto"/>
                <w:spacing w:val="-39"/>
                <w:highlight w:val="none"/>
              </w:rPr>
              <w:t xml:space="preserve"> </w:t>
            </w:r>
            <w:r>
              <w:rPr>
                <w:color w:val="auto"/>
                <w:spacing w:val="8"/>
                <w:highlight w:val="none"/>
              </w:rPr>
              <w:t>10</w:t>
            </w:r>
            <w:r>
              <w:rPr>
                <w:color w:val="auto"/>
                <w:spacing w:val="-30"/>
                <w:highlight w:val="none"/>
              </w:rPr>
              <w:t xml:space="preserve"> </w:t>
            </w:r>
            <w:r>
              <w:rPr>
                <w:color w:val="auto"/>
                <w:spacing w:val="8"/>
                <w:highlight w:val="none"/>
              </w:rPr>
              <w:t>分</w:t>
            </w:r>
            <w:r>
              <w:rPr>
                <w:color w:val="auto"/>
                <w:spacing w:val="-9"/>
                <w:highlight w:val="none"/>
              </w:rPr>
              <w:t>）</w:t>
            </w:r>
            <w:r>
              <w:rPr>
                <w:color w:val="auto"/>
                <w:spacing w:val="-72"/>
                <w:highlight w:val="none"/>
              </w:rPr>
              <w:t xml:space="preserve"> </w:t>
            </w:r>
          </w:p>
          <w:p w14:paraId="534DAD42">
            <w:pPr>
              <w:pStyle w:val="17"/>
              <w:spacing w:line="332" w:lineRule="auto"/>
              <w:ind w:left="212" w:right="215" w:firstLine="415"/>
              <w:rPr>
                <w:color w:val="auto"/>
                <w:highlight w:val="none"/>
              </w:rPr>
            </w:pPr>
            <w:r>
              <w:rPr>
                <w:color w:val="auto"/>
                <w:highlight w:val="none"/>
              </w:rPr>
              <w:t>AA</w:t>
            </w:r>
            <w:r>
              <w:rPr>
                <w:color w:val="auto"/>
                <w:spacing w:val="20"/>
                <w:highlight w:val="none"/>
              </w:rPr>
              <w:t>、A、B、C</w:t>
            </w:r>
            <w:r>
              <w:rPr>
                <w:color w:val="auto"/>
                <w:spacing w:val="-19"/>
                <w:highlight w:val="none"/>
              </w:rPr>
              <w:t xml:space="preserve"> </w:t>
            </w:r>
            <w:r>
              <w:rPr>
                <w:color w:val="auto"/>
                <w:spacing w:val="20"/>
                <w:highlight w:val="none"/>
              </w:rPr>
              <w:t>级单位的信用等级分得</w:t>
            </w:r>
            <w:r>
              <w:rPr>
                <w:color w:val="auto"/>
                <w:spacing w:val="4"/>
                <w:highlight w:val="none"/>
              </w:rPr>
              <w:t>分分别为</w:t>
            </w:r>
            <w:r>
              <w:rPr>
                <w:color w:val="auto"/>
                <w:spacing w:val="-17"/>
                <w:highlight w:val="none"/>
              </w:rPr>
              <w:t xml:space="preserve"> </w:t>
            </w:r>
            <w:r>
              <w:rPr>
                <w:color w:val="auto"/>
                <w:spacing w:val="4"/>
                <w:highlight w:val="none"/>
              </w:rPr>
              <w:t>10、9.5、8.9、7.3</w:t>
            </w:r>
            <w:r>
              <w:rPr>
                <w:color w:val="auto"/>
                <w:spacing w:val="-35"/>
                <w:highlight w:val="none"/>
              </w:rPr>
              <w:t xml:space="preserve"> </w:t>
            </w:r>
            <w:r>
              <w:rPr>
                <w:color w:val="auto"/>
                <w:spacing w:val="4"/>
                <w:highlight w:val="none"/>
              </w:rPr>
              <w:t>分。</w:t>
            </w:r>
          </w:p>
          <w:p w14:paraId="5271ADDB">
            <w:pPr>
              <w:pStyle w:val="17"/>
              <w:spacing w:before="1" w:line="332" w:lineRule="auto"/>
              <w:ind w:left="211" w:right="212" w:firstLine="423"/>
              <w:jc w:val="both"/>
              <w:rPr>
                <w:color w:val="auto"/>
                <w:highlight w:val="none"/>
              </w:rPr>
            </w:pPr>
            <w:r>
              <w:rPr>
                <w:color w:val="auto"/>
                <w:spacing w:val="18"/>
                <w:highlight w:val="none"/>
              </w:rPr>
              <w:t>注：信用等级的确定原则遵循投标人</w:t>
            </w:r>
            <w:r>
              <w:rPr>
                <w:color w:val="auto"/>
                <w:spacing w:val="8"/>
                <w:highlight w:val="none"/>
              </w:rPr>
              <w:t>须知前附表</w:t>
            </w:r>
            <w:r>
              <w:rPr>
                <w:color w:val="auto"/>
                <w:spacing w:val="-5"/>
                <w:highlight w:val="none"/>
              </w:rPr>
              <w:t xml:space="preserve"> </w:t>
            </w:r>
            <w:r>
              <w:rPr>
                <w:color w:val="auto"/>
                <w:spacing w:val="8"/>
                <w:highlight w:val="none"/>
              </w:rPr>
              <w:t>10.2</w:t>
            </w:r>
            <w:r>
              <w:rPr>
                <w:color w:val="auto"/>
                <w:spacing w:val="-35"/>
                <w:highlight w:val="none"/>
              </w:rPr>
              <w:t xml:space="preserve"> </w:t>
            </w:r>
            <w:r>
              <w:rPr>
                <w:color w:val="auto"/>
                <w:spacing w:val="8"/>
                <w:highlight w:val="none"/>
              </w:rPr>
              <w:t>款的规定。以联合体形式</w:t>
            </w:r>
            <w:r>
              <w:rPr>
                <w:color w:val="auto"/>
                <w:spacing w:val="25"/>
                <w:highlight w:val="none"/>
              </w:rPr>
              <w:t>投标的</w:t>
            </w:r>
            <w:r>
              <w:rPr>
                <w:color w:val="auto"/>
                <w:spacing w:val="-48"/>
                <w:highlight w:val="none"/>
              </w:rPr>
              <w:t xml:space="preserve"> </w:t>
            </w:r>
            <w:r>
              <w:rPr>
                <w:color w:val="auto"/>
                <w:spacing w:val="25"/>
                <w:highlight w:val="none"/>
              </w:rPr>
              <w:t>，</w:t>
            </w:r>
            <w:r>
              <w:rPr>
                <w:color w:val="auto"/>
                <w:spacing w:val="-59"/>
                <w:highlight w:val="none"/>
              </w:rPr>
              <w:t xml:space="preserve"> </w:t>
            </w:r>
            <w:r>
              <w:rPr>
                <w:color w:val="auto"/>
                <w:spacing w:val="25"/>
                <w:highlight w:val="none"/>
              </w:rPr>
              <w:t>按联合体成员中等级较低的计</w:t>
            </w:r>
            <w:r>
              <w:rPr>
                <w:color w:val="auto"/>
                <w:spacing w:val="-1"/>
                <w:highlight w:val="none"/>
              </w:rPr>
              <w:t>算。</w:t>
            </w:r>
          </w:p>
          <w:p w14:paraId="5CF24973">
            <w:pPr>
              <w:pStyle w:val="17"/>
              <w:spacing w:line="228" w:lineRule="auto"/>
              <w:ind w:left="637"/>
              <w:rPr>
                <w:color w:val="auto"/>
                <w:highlight w:val="none"/>
              </w:rPr>
            </w:pPr>
            <w:r>
              <w:rPr>
                <w:color w:val="auto"/>
                <w:spacing w:val="5"/>
                <w:highlight w:val="none"/>
              </w:rPr>
              <w:t>2. 履约情况（5</w:t>
            </w:r>
            <w:r>
              <w:rPr>
                <w:color w:val="auto"/>
                <w:spacing w:val="-37"/>
                <w:highlight w:val="none"/>
              </w:rPr>
              <w:t xml:space="preserve"> </w:t>
            </w:r>
            <w:r>
              <w:rPr>
                <w:color w:val="auto"/>
                <w:spacing w:val="5"/>
                <w:highlight w:val="none"/>
              </w:rPr>
              <w:t>分）</w:t>
            </w:r>
          </w:p>
          <w:p w14:paraId="0C3C68A9">
            <w:pPr>
              <w:pStyle w:val="17"/>
              <w:spacing w:before="103" w:line="220" w:lineRule="auto"/>
              <w:ind w:left="655"/>
              <w:rPr>
                <w:color w:val="auto"/>
                <w:sz w:val="22"/>
                <w:szCs w:val="22"/>
                <w:highlight w:val="none"/>
              </w:rPr>
            </w:pPr>
            <w:r>
              <w:rPr>
                <w:color w:val="auto"/>
                <w:spacing w:val="-1"/>
                <w:sz w:val="22"/>
                <w:szCs w:val="22"/>
                <w:highlight w:val="none"/>
              </w:rPr>
              <w:t>若没出现下述情形得满分；</w:t>
            </w:r>
          </w:p>
          <w:p w14:paraId="3AAA684F">
            <w:pPr>
              <w:pStyle w:val="17"/>
              <w:spacing w:before="98" w:line="302" w:lineRule="auto"/>
              <w:ind w:left="211" w:right="227" w:firstLine="445"/>
              <w:rPr>
                <w:color w:val="auto"/>
                <w:sz w:val="22"/>
                <w:szCs w:val="22"/>
                <w:highlight w:val="none"/>
              </w:rPr>
            </w:pPr>
            <w:r>
              <w:rPr>
                <w:color w:val="auto"/>
                <w:spacing w:val="10"/>
                <w:sz w:val="22"/>
                <w:szCs w:val="22"/>
                <w:highlight w:val="none"/>
              </w:rPr>
              <w:t>投标人因公路工程（含附属设施）</w:t>
            </w:r>
            <w:r>
              <w:rPr>
                <w:color w:val="auto"/>
                <w:spacing w:val="-1"/>
                <w:sz w:val="22"/>
                <w:szCs w:val="22"/>
                <w:highlight w:val="none"/>
              </w:rPr>
              <w:t>质量、安全事故被：</w:t>
            </w:r>
          </w:p>
          <w:p w14:paraId="39E09613">
            <w:pPr>
              <w:pStyle w:val="17"/>
              <w:spacing w:line="261" w:lineRule="auto"/>
              <w:ind w:left="220" w:right="212" w:firstLine="440"/>
              <w:rPr>
                <w:color w:val="auto"/>
                <w:sz w:val="22"/>
                <w:szCs w:val="22"/>
                <w:highlight w:val="none"/>
              </w:rPr>
            </w:pPr>
            <w:r>
              <w:rPr>
                <w:color w:val="auto"/>
                <w:spacing w:val="3"/>
                <w:sz w:val="22"/>
                <w:szCs w:val="22"/>
                <w:highlight w:val="none"/>
              </w:rPr>
              <w:t>（1）交通运输部行政处罚、且在处</w:t>
            </w:r>
            <w:r>
              <w:rPr>
                <w:color w:val="auto"/>
                <w:spacing w:val="-3"/>
                <w:sz w:val="22"/>
                <w:szCs w:val="22"/>
                <w:highlight w:val="none"/>
              </w:rPr>
              <w:t>罚信息公示期内的，扣</w:t>
            </w:r>
            <w:r>
              <w:rPr>
                <w:color w:val="auto"/>
                <w:spacing w:val="-40"/>
                <w:sz w:val="22"/>
                <w:szCs w:val="22"/>
                <w:highlight w:val="none"/>
              </w:rPr>
              <w:t xml:space="preserve"> </w:t>
            </w:r>
            <w:r>
              <w:rPr>
                <w:color w:val="auto"/>
                <w:spacing w:val="-3"/>
                <w:sz w:val="22"/>
                <w:szCs w:val="22"/>
                <w:highlight w:val="none"/>
              </w:rPr>
              <w:t>2</w:t>
            </w:r>
            <w:r>
              <w:rPr>
                <w:color w:val="auto"/>
                <w:spacing w:val="-43"/>
                <w:sz w:val="22"/>
                <w:szCs w:val="22"/>
                <w:highlight w:val="none"/>
              </w:rPr>
              <w:t xml:space="preserve"> </w:t>
            </w:r>
            <w:r>
              <w:rPr>
                <w:color w:val="auto"/>
                <w:spacing w:val="-3"/>
                <w:sz w:val="22"/>
                <w:szCs w:val="22"/>
                <w:highlight w:val="none"/>
              </w:rPr>
              <w:t>分/次。</w:t>
            </w:r>
          </w:p>
          <w:p w14:paraId="6D1865A4">
            <w:pPr>
              <w:pStyle w:val="17"/>
              <w:spacing w:before="98" w:line="261" w:lineRule="auto"/>
              <w:ind w:left="210" w:right="245" w:firstLine="450"/>
              <w:rPr>
                <w:color w:val="auto"/>
                <w:sz w:val="22"/>
                <w:szCs w:val="22"/>
                <w:highlight w:val="none"/>
              </w:rPr>
            </w:pPr>
            <w:r>
              <w:rPr>
                <w:color w:val="auto"/>
                <w:spacing w:val="1"/>
                <w:sz w:val="22"/>
                <w:szCs w:val="22"/>
                <w:highlight w:val="none"/>
              </w:rPr>
              <w:t>（2）广东省交通运输厅行政处罚、</w:t>
            </w:r>
            <w:r>
              <w:rPr>
                <w:color w:val="auto"/>
                <w:spacing w:val="-3"/>
                <w:sz w:val="22"/>
                <w:szCs w:val="22"/>
                <w:highlight w:val="none"/>
              </w:rPr>
              <w:t>且在处罚信息公示期内的，扣</w:t>
            </w:r>
            <w:r>
              <w:rPr>
                <w:color w:val="auto"/>
                <w:spacing w:val="-21"/>
                <w:sz w:val="22"/>
                <w:szCs w:val="22"/>
                <w:highlight w:val="none"/>
              </w:rPr>
              <w:t xml:space="preserve"> </w:t>
            </w:r>
            <w:r>
              <w:rPr>
                <w:color w:val="auto"/>
                <w:spacing w:val="-3"/>
                <w:sz w:val="22"/>
                <w:szCs w:val="22"/>
                <w:highlight w:val="none"/>
              </w:rPr>
              <w:t>1</w:t>
            </w:r>
            <w:r>
              <w:rPr>
                <w:color w:val="auto"/>
                <w:spacing w:val="-44"/>
                <w:sz w:val="22"/>
                <w:szCs w:val="22"/>
                <w:highlight w:val="none"/>
              </w:rPr>
              <w:t xml:space="preserve"> </w:t>
            </w:r>
            <w:r>
              <w:rPr>
                <w:color w:val="auto"/>
                <w:spacing w:val="-3"/>
                <w:sz w:val="22"/>
                <w:szCs w:val="22"/>
                <w:highlight w:val="none"/>
              </w:rPr>
              <w:t>分/次。</w:t>
            </w:r>
          </w:p>
          <w:p w14:paraId="61B266BF">
            <w:pPr>
              <w:pStyle w:val="17"/>
              <w:tabs>
                <w:tab w:val="left" w:pos="770"/>
              </w:tabs>
              <w:spacing w:before="98" w:line="261" w:lineRule="auto"/>
              <w:ind w:left="215" w:right="212" w:firstLine="430"/>
              <w:rPr>
                <w:color w:val="auto"/>
                <w:sz w:val="22"/>
                <w:szCs w:val="22"/>
                <w:highlight w:val="none"/>
              </w:rPr>
            </w:pPr>
            <w:r>
              <w:rPr>
                <w:color w:val="auto"/>
                <w:sz w:val="22"/>
                <w:szCs w:val="22"/>
                <w:highlight w:val="none"/>
                <w:u w:val="single" w:color="auto"/>
              </w:rPr>
              <w:tab/>
            </w:r>
            <w:r>
              <w:rPr>
                <w:color w:val="auto"/>
                <w:spacing w:val="-2"/>
                <w:sz w:val="22"/>
                <w:szCs w:val="22"/>
                <w:highlight w:val="none"/>
                <w:u w:val="single" w:color="auto"/>
              </w:rPr>
              <w:t>（3</w:t>
            </w:r>
            <w:r>
              <w:rPr>
                <w:color w:val="auto"/>
                <w:spacing w:val="-11"/>
                <w:sz w:val="22"/>
                <w:szCs w:val="22"/>
                <w:highlight w:val="none"/>
                <w:u w:val="single" w:color="auto"/>
              </w:rPr>
              <w:t>）（</w:t>
            </w:r>
            <w:r>
              <w:rPr>
                <w:color w:val="auto"/>
                <w:spacing w:val="-2"/>
                <w:sz w:val="22"/>
                <w:szCs w:val="22"/>
                <w:highlight w:val="none"/>
                <w:u w:val="single" w:color="auto"/>
              </w:rPr>
              <w:t>项目涉及各地级以上市）市</w:t>
            </w:r>
            <w:r>
              <w:rPr>
                <w:color w:val="auto"/>
                <w:spacing w:val="10"/>
                <w:sz w:val="22"/>
                <w:szCs w:val="22"/>
                <w:highlight w:val="none"/>
                <w:u w:val="single" w:color="auto"/>
              </w:rPr>
              <w:t>交通运输局行政处罚、且在处罚信息公</w:t>
            </w:r>
          </w:p>
        </w:tc>
      </w:tr>
    </w:tbl>
    <w:p w14:paraId="57F6A521">
      <w:pPr>
        <w:spacing w:line="440" w:lineRule="auto"/>
        <w:rPr>
          <w:rFonts w:ascii="Arial"/>
          <w:color w:val="auto"/>
          <w:sz w:val="21"/>
          <w:highlight w:val="none"/>
        </w:rPr>
      </w:pPr>
    </w:p>
    <w:p w14:paraId="1E396169">
      <w:pPr>
        <w:spacing w:line="220" w:lineRule="auto"/>
        <w:rPr>
          <w:rFonts w:ascii="宋体" w:hAnsi="宋体" w:eastAsia="宋体" w:cs="宋体"/>
          <w:color w:val="auto"/>
          <w:sz w:val="18"/>
          <w:szCs w:val="18"/>
          <w:highlight w:val="none"/>
        </w:rPr>
        <w:sectPr>
          <w:footerReference r:id="rId52" w:type="default"/>
          <w:pgSz w:w="11906" w:h="16839"/>
          <w:pgMar w:top="1416" w:right="1701" w:bottom="1297" w:left="1304" w:header="0" w:footer="1067" w:gutter="0"/>
          <w:pgNumType w:fmt="decimal"/>
          <w:cols w:space="720" w:num="1"/>
        </w:sectPr>
      </w:pPr>
      <w:bookmarkStart w:id="183" w:name="bookmark132"/>
      <w:bookmarkEnd w:id="183"/>
      <w:bookmarkStart w:id="184" w:name="bookmark131"/>
      <w:bookmarkEnd w:id="184"/>
    </w:p>
    <w:tbl>
      <w:tblPr>
        <w:tblStyle w:val="16"/>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
        <w:gridCol w:w="310"/>
        <w:gridCol w:w="345"/>
        <w:gridCol w:w="518"/>
        <w:gridCol w:w="919"/>
        <w:gridCol w:w="948"/>
        <w:gridCol w:w="582"/>
        <w:gridCol w:w="4345"/>
      </w:tblGrid>
      <w:tr w14:paraId="4590E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550" w:type="dxa"/>
            <w:gridSpan w:val="7"/>
            <w:vAlign w:val="top"/>
          </w:tcPr>
          <w:p w14:paraId="4378AC96">
            <w:pPr>
              <w:pStyle w:val="17"/>
              <w:spacing w:before="127" w:line="233" w:lineRule="auto"/>
              <w:ind w:left="1287"/>
              <w:rPr>
                <w:color w:val="auto"/>
                <w:sz w:val="10"/>
                <w:szCs w:val="10"/>
                <w:highlight w:val="none"/>
              </w:rPr>
            </w:pPr>
            <w:r>
              <w:rPr>
                <w:b/>
                <w:bCs/>
                <w:color w:val="auto"/>
                <w:spacing w:val="7"/>
                <w:highlight w:val="none"/>
              </w:rPr>
              <w:t>评分因素与权重分值</w:t>
            </w:r>
          </w:p>
        </w:tc>
        <w:tc>
          <w:tcPr>
            <w:tcW w:w="4345" w:type="dxa"/>
            <w:vMerge w:val="restart"/>
            <w:tcBorders>
              <w:bottom w:val="nil"/>
            </w:tcBorders>
            <w:vAlign w:val="top"/>
          </w:tcPr>
          <w:p w14:paraId="1FDA20CD">
            <w:pPr>
              <w:spacing w:line="315" w:lineRule="auto"/>
              <w:rPr>
                <w:rFonts w:ascii="Arial"/>
                <w:color w:val="auto"/>
                <w:sz w:val="21"/>
                <w:highlight w:val="none"/>
              </w:rPr>
            </w:pPr>
          </w:p>
          <w:p w14:paraId="28A280A7">
            <w:pPr>
              <w:spacing w:line="316" w:lineRule="auto"/>
              <w:rPr>
                <w:rFonts w:ascii="Arial"/>
                <w:color w:val="auto"/>
                <w:sz w:val="21"/>
                <w:highlight w:val="none"/>
              </w:rPr>
            </w:pPr>
          </w:p>
          <w:p w14:paraId="3F8C5A14">
            <w:pPr>
              <w:pStyle w:val="17"/>
              <w:spacing w:before="65" w:line="267" w:lineRule="exact"/>
              <w:ind w:left="1708"/>
              <w:rPr>
                <w:color w:val="auto"/>
                <w:sz w:val="10"/>
                <w:szCs w:val="10"/>
                <w:highlight w:val="none"/>
              </w:rPr>
            </w:pPr>
            <w:r>
              <w:rPr>
                <w:b/>
                <w:bCs/>
                <w:color w:val="auto"/>
                <w:spacing w:val="6"/>
                <w:highlight w:val="none"/>
              </w:rPr>
              <w:t>评分标准</w:t>
            </w:r>
          </w:p>
        </w:tc>
      </w:tr>
      <w:tr w14:paraId="7D228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28" w:type="dxa"/>
            <w:vAlign w:val="top"/>
          </w:tcPr>
          <w:p w14:paraId="03AD0E91">
            <w:pPr>
              <w:spacing w:line="451" w:lineRule="auto"/>
              <w:rPr>
                <w:rFonts w:ascii="Arial"/>
                <w:color w:val="auto"/>
                <w:sz w:val="21"/>
                <w:highlight w:val="none"/>
              </w:rPr>
            </w:pPr>
          </w:p>
          <w:p w14:paraId="5B8DD119">
            <w:pPr>
              <w:pStyle w:val="17"/>
              <w:spacing w:before="65" w:line="228" w:lineRule="auto"/>
              <w:ind w:left="155"/>
              <w:rPr>
                <w:color w:val="auto"/>
                <w:highlight w:val="none"/>
              </w:rPr>
            </w:pPr>
            <w:r>
              <w:rPr>
                <w:b/>
                <w:bCs/>
                <w:color w:val="auto"/>
                <w:spacing w:val="5"/>
                <w:highlight w:val="none"/>
              </w:rPr>
              <w:t>条款号</w:t>
            </w:r>
          </w:p>
        </w:tc>
        <w:tc>
          <w:tcPr>
            <w:tcW w:w="1173" w:type="dxa"/>
            <w:gridSpan w:val="3"/>
            <w:vAlign w:val="top"/>
          </w:tcPr>
          <w:p w14:paraId="4034DFD5">
            <w:pPr>
              <w:spacing w:line="451" w:lineRule="auto"/>
              <w:rPr>
                <w:rFonts w:ascii="Arial"/>
                <w:color w:val="auto"/>
                <w:sz w:val="21"/>
                <w:highlight w:val="none"/>
              </w:rPr>
            </w:pPr>
          </w:p>
          <w:p w14:paraId="4AA48523">
            <w:pPr>
              <w:pStyle w:val="17"/>
              <w:spacing w:before="65" w:line="228" w:lineRule="auto"/>
              <w:ind w:left="167"/>
              <w:rPr>
                <w:color w:val="auto"/>
                <w:highlight w:val="none"/>
              </w:rPr>
            </w:pPr>
            <w:r>
              <w:rPr>
                <w:b/>
                <w:bCs/>
                <w:color w:val="auto"/>
                <w:spacing w:val="6"/>
                <w:highlight w:val="none"/>
              </w:rPr>
              <w:t>评分因素</w:t>
            </w:r>
          </w:p>
        </w:tc>
        <w:tc>
          <w:tcPr>
            <w:tcW w:w="919" w:type="dxa"/>
            <w:vAlign w:val="top"/>
          </w:tcPr>
          <w:p w14:paraId="73976710">
            <w:pPr>
              <w:spacing w:line="264" w:lineRule="auto"/>
              <w:rPr>
                <w:rFonts w:ascii="Arial"/>
                <w:color w:val="auto"/>
                <w:sz w:val="21"/>
                <w:highlight w:val="none"/>
              </w:rPr>
            </w:pPr>
          </w:p>
          <w:p w14:paraId="32FABA48">
            <w:pPr>
              <w:pStyle w:val="17"/>
              <w:spacing w:before="65" w:line="351" w:lineRule="auto"/>
              <w:ind w:left="41" w:right="37"/>
              <w:rPr>
                <w:color w:val="auto"/>
                <w:highlight w:val="none"/>
              </w:rPr>
            </w:pPr>
            <w:r>
              <w:rPr>
                <w:b/>
                <w:bCs/>
                <w:color w:val="auto"/>
                <w:spacing w:val="6"/>
                <w:highlight w:val="none"/>
              </w:rPr>
              <w:t>评分因素权重分值</w:t>
            </w:r>
          </w:p>
        </w:tc>
        <w:tc>
          <w:tcPr>
            <w:tcW w:w="948" w:type="dxa"/>
            <w:vAlign w:val="top"/>
          </w:tcPr>
          <w:p w14:paraId="56EE9F40">
            <w:pPr>
              <w:pStyle w:val="17"/>
              <w:spacing w:before="140" w:line="228" w:lineRule="auto"/>
              <w:ind w:left="162"/>
              <w:rPr>
                <w:color w:val="auto"/>
                <w:highlight w:val="none"/>
              </w:rPr>
            </w:pPr>
            <w:r>
              <w:rPr>
                <w:b/>
                <w:bCs/>
                <w:color w:val="auto"/>
                <w:spacing w:val="4"/>
                <w:highlight w:val="none"/>
              </w:rPr>
              <w:t>各评分</w:t>
            </w:r>
          </w:p>
          <w:p w14:paraId="5F80DD70">
            <w:pPr>
              <w:pStyle w:val="17"/>
              <w:spacing w:before="130" w:line="284" w:lineRule="auto"/>
              <w:ind w:left="267" w:right="160" w:hanging="91"/>
              <w:rPr>
                <w:color w:val="auto"/>
                <w:highlight w:val="none"/>
              </w:rPr>
            </w:pPr>
            <w:r>
              <w:rPr>
                <w:b/>
                <w:bCs/>
                <w:color w:val="auto"/>
                <w:highlight w:val="none"/>
              </w:rPr>
              <w:t>因素细</w:t>
            </w:r>
            <w:r>
              <w:rPr>
                <w:b/>
                <w:bCs/>
                <w:color w:val="auto"/>
                <w:spacing w:val="2"/>
                <w:highlight w:val="none"/>
              </w:rPr>
              <w:t>分项</w:t>
            </w:r>
          </w:p>
        </w:tc>
        <w:tc>
          <w:tcPr>
            <w:tcW w:w="582" w:type="dxa"/>
            <w:textDirection w:val="tbRlV"/>
            <w:vAlign w:val="top"/>
          </w:tcPr>
          <w:p w14:paraId="3F57EC01">
            <w:pPr>
              <w:pStyle w:val="17"/>
              <w:spacing w:before="179" w:line="216" w:lineRule="auto"/>
              <w:ind w:left="330"/>
              <w:rPr>
                <w:color w:val="auto"/>
                <w:highlight w:val="none"/>
              </w:rPr>
            </w:pPr>
            <w:r>
              <w:rPr>
                <w:b/>
                <w:bCs/>
                <w:color w:val="auto"/>
                <w:spacing w:val="6"/>
                <w:highlight w:val="none"/>
              </w:rPr>
              <w:t>分</w:t>
            </w:r>
            <w:r>
              <w:rPr>
                <w:color w:val="auto"/>
                <w:spacing w:val="70"/>
                <w:highlight w:val="none"/>
              </w:rPr>
              <w:t xml:space="preserve"> </w:t>
            </w:r>
            <w:r>
              <w:rPr>
                <w:b/>
                <w:bCs/>
                <w:color w:val="auto"/>
                <w:spacing w:val="6"/>
                <w:highlight w:val="none"/>
              </w:rPr>
              <w:t>值</w:t>
            </w:r>
          </w:p>
        </w:tc>
        <w:tc>
          <w:tcPr>
            <w:tcW w:w="4345" w:type="dxa"/>
            <w:vMerge w:val="continue"/>
            <w:tcBorders>
              <w:top w:val="nil"/>
            </w:tcBorders>
            <w:vAlign w:val="top"/>
          </w:tcPr>
          <w:p w14:paraId="46D3351A">
            <w:pPr>
              <w:rPr>
                <w:rFonts w:ascii="Arial"/>
                <w:color w:val="auto"/>
                <w:sz w:val="21"/>
                <w:highlight w:val="none"/>
              </w:rPr>
            </w:pPr>
          </w:p>
        </w:tc>
      </w:tr>
      <w:tr w14:paraId="3D760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1" w:hRule="atLeast"/>
        </w:trPr>
        <w:tc>
          <w:tcPr>
            <w:tcW w:w="928" w:type="dxa"/>
            <w:vAlign w:val="top"/>
          </w:tcPr>
          <w:p w14:paraId="2AFD86E7">
            <w:pPr>
              <w:rPr>
                <w:rFonts w:ascii="Arial"/>
                <w:color w:val="auto"/>
                <w:sz w:val="21"/>
                <w:highlight w:val="none"/>
              </w:rPr>
            </w:pPr>
          </w:p>
        </w:tc>
        <w:tc>
          <w:tcPr>
            <w:tcW w:w="655" w:type="dxa"/>
            <w:gridSpan w:val="2"/>
            <w:vAlign w:val="top"/>
          </w:tcPr>
          <w:p w14:paraId="1D963B5F">
            <w:pPr>
              <w:rPr>
                <w:rFonts w:ascii="Arial"/>
                <w:color w:val="auto"/>
                <w:sz w:val="21"/>
                <w:highlight w:val="none"/>
              </w:rPr>
            </w:pPr>
          </w:p>
        </w:tc>
        <w:tc>
          <w:tcPr>
            <w:tcW w:w="518" w:type="dxa"/>
            <w:vAlign w:val="top"/>
          </w:tcPr>
          <w:p w14:paraId="30D5F26B">
            <w:pPr>
              <w:rPr>
                <w:rFonts w:ascii="Arial"/>
                <w:color w:val="auto"/>
                <w:sz w:val="21"/>
                <w:highlight w:val="none"/>
              </w:rPr>
            </w:pPr>
          </w:p>
        </w:tc>
        <w:tc>
          <w:tcPr>
            <w:tcW w:w="919" w:type="dxa"/>
            <w:vAlign w:val="top"/>
          </w:tcPr>
          <w:p w14:paraId="6DAB8C4E">
            <w:pPr>
              <w:rPr>
                <w:rFonts w:ascii="Arial"/>
                <w:color w:val="auto"/>
                <w:sz w:val="21"/>
                <w:highlight w:val="none"/>
              </w:rPr>
            </w:pPr>
          </w:p>
        </w:tc>
        <w:tc>
          <w:tcPr>
            <w:tcW w:w="948" w:type="dxa"/>
            <w:vAlign w:val="top"/>
          </w:tcPr>
          <w:p w14:paraId="57C83CAD">
            <w:pPr>
              <w:rPr>
                <w:rFonts w:ascii="Arial"/>
                <w:color w:val="auto"/>
                <w:sz w:val="21"/>
                <w:highlight w:val="none"/>
              </w:rPr>
            </w:pPr>
          </w:p>
        </w:tc>
        <w:tc>
          <w:tcPr>
            <w:tcW w:w="582" w:type="dxa"/>
            <w:vAlign w:val="top"/>
          </w:tcPr>
          <w:p w14:paraId="7CE1832A">
            <w:pPr>
              <w:rPr>
                <w:rFonts w:ascii="Arial"/>
                <w:color w:val="auto"/>
                <w:sz w:val="21"/>
                <w:highlight w:val="none"/>
              </w:rPr>
            </w:pPr>
          </w:p>
        </w:tc>
        <w:tc>
          <w:tcPr>
            <w:tcW w:w="4345" w:type="dxa"/>
            <w:vAlign w:val="top"/>
          </w:tcPr>
          <w:p w14:paraId="487A7376">
            <w:pPr>
              <w:pStyle w:val="17"/>
              <w:spacing w:before="100" w:line="278" w:lineRule="auto"/>
              <w:ind w:left="214" w:right="212" w:hanging="9"/>
              <w:rPr>
                <w:color w:val="auto"/>
                <w:sz w:val="22"/>
                <w:szCs w:val="22"/>
                <w:highlight w:val="none"/>
              </w:rPr>
            </w:pPr>
            <w:r>
              <w:rPr>
                <w:color w:val="auto"/>
                <w:spacing w:val="2"/>
                <w:sz w:val="22"/>
                <w:szCs w:val="22"/>
                <w:highlight w:val="none"/>
                <w:u w:val="single" w:color="auto"/>
              </w:rPr>
              <w:t>示期内的，扣</w:t>
            </w:r>
            <w:r>
              <w:rPr>
                <w:color w:val="auto"/>
                <w:spacing w:val="-36"/>
                <w:sz w:val="22"/>
                <w:szCs w:val="22"/>
                <w:highlight w:val="none"/>
                <w:u w:val="single" w:color="auto"/>
              </w:rPr>
              <w:t xml:space="preserve"> </w:t>
            </w:r>
            <w:r>
              <w:rPr>
                <w:color w:val="auto"/>
                <w:spacing w:val="2"/>
                <w:sz w:val="22"/>
                <w:szCs w:val="22"/>
                <w:highlight w:val="none"/>
                <w:u w:val="single" w:color="auto"/>
              </w:rPr>
              <w:t>0.5</w:t>
            </w:r>
            <w:r>
              <w:rPr>
                <w:color w:val="auto"/>
                <w:spacing w:val="-42"/>
                <w:sz w:val="22"/>
                <w:szCs w:val="22"/>
                <w:highlight w:val="none"/>
                <w:u w:val="single" w:color="auto"/>
              </w:rPr>
              <w:t xml:space="preserve"> </w:t>
            </w:r>
            <w:r>
              <w:rPr>
                <w:color w:val="auto"/>
                <w:spacing w:val="2"/>
                <w:sz w:val="22"/>
                <w:szCs w:val="22"/>
                <w:highlight w:val="none"/>
                <w:u w:val="single" w:color="auto"/>
              </w:rPr>
              <w:t>分/次。如该项目涉及</w:t>
            </w:r>
            <w:r>
              <w:rPr>
                <w:color w:val="auto"/>
                <w:spacing w:val="-1"/>
                <w:sz w:val="22"/>
                <w:szCs w:val="22"/>
                <w:highlight w:val="none"/>
                <w:u w:val="single" w:color="auto"/>
              </w:rPr>
              <w:t>多个地级以上市的均应扣分</w:t>
            </w:r>
            <w:r>
              <w:rPr>
                <w:color w:val="auto"/>
                <w:spacing w:val="-16"/>
                <w:position w:val="11"/>
                <w:sz w:val="10"/>
                <w:szCs w:val="10"/>
                <w:highlight w:val="none"/>
                <w:u w:val="single" w:color="auto"/>
              </w:rPr>
              <w:t xml:space="preserve"> </w:t>
            </w:r>
            <w:r>
              <w:rPr>
                <w:color w:val="auto"/>
                <w:spacing w:val="-1"/>
                <w:sz w:val="22"/>
                <w:szCs w:val="22"/>
                <w:highlight w:val="none"/>
                <w:u w:val="single" w:color="auto"/>
              </w:rPr>
              <w:t>。</w:t>
            </w:r>
          </w:p>
          <w:p w14:paraId="1DE3E899">
            <w:pPr>
              <w:pStyle w:val="17"/>
              <w:spacing w:before="57" w:line="302" w:lineRule="auto"/>
              <w:ind w:left="203" w:right="210" w:firstLine="444"/>
              <w:jc w:val="both"/>
              <w:rPr>
                <w:color w:val="auto"/>
                <w:sz w:val="22"/>
                <w:szCs w:val="22"/>
                <w:highlight w:val="none"/>
              </w:rPr>
            </w:pPr>
            <w:r>
              <w:rPr>
                <w:color w:val="auto"/>
                <w:spacing w:val="11"/>
                <w:sz w:val="22"/>
                <w:szCs w:val="22"/>
                <w:highlight w:val="none"/>
              </w:rPr>
              <w:t>注：1.处罚信息公示期，是指行政</w:t>
            </w:r>
            <w:r>
              <w:rPr>
                <w:color w:val="auto"/>
                <w:spacing w:val="10"/>
                <w:sz w:val="22"/>
                <w:szCs w:val="22"/>
                <w:highlight w:val="none"/>
              </w:rPr>
              <w:t>机关将行政处罚决定信息通过信用中国</w:t>
            </w:r>
            <w:r>
              <w:rPr>
                <w:color w:val="auto"/>
                <w:spacing w:val="7"/>
                <w:sz w:val="22"/>
                <w:szCs w:val="22"/>
                <w:highlight w:val="none"/>
              </w:rPr>
              <w:t>向社会公开的期限；</w:t>
            </w:r>
            <w:r>
              <w:rPr>
                <w:color w:val="auto"/>
                <w:spacing w:val="-47"/>
                <w:sz w:val="22"/>
                <w:szCs w:val="22"/>
                <w:highlight w:val="none"/>
              </w:rPr>
              <w:t xml:space="preserve"> </w:t>
            </w:r>
            <w:r>
              <w:rPr>
                <w:color w:val="auto"/>
                <w:spacing w:val="7"/>
                <w:sz w:val="22"/>
                <w:szCs w:val="22"/>
                <w:highlight w:val="none"/>
              </w:rPr>
              <w:t>以投标文件递交截止日</w:t>
            </w:r>
            <w:r>
              <w:rPr>
                <w:color w:val="auto"/>
                <w:spacing w:val="-23"/>
                <w:sz w:val="22"/>
                <w:szCs w:val="22"/>
                <w:highlight w:val="none"/>
              </w:rPr>
              <w:t xml:space="preserve"> </w:t>
            </w:r>
            <w:r>
              <w:rPr>
                <w:color w:val="auto"/>
                <w:spacing w:val="7"/>
                <w:sz w:val="22"/>
                <w:szCs w:val="22"/>
                <w:highlight w:val="none"/>
              </w:rPr>
              <w:t>0</w:t>
            </w:r>
            <w:r>
              <w:rPr>
                <w:color w:val="auto"/>
                <w:spacing w:val="-24"/>
                <w:sz w:val="22"/>
                <w:szCs w:val="22"/>
                <w:highlight w:val="none"/>
              </w:rPr>
              <w:t xml:space="preserve"> </w:t>
            </w:r>
            <w:r>
              <w:rPr>
                <w:color w:val="auto"/>
                <w:spacing w:val="7"/>
                <w:sz w:val="22"/>
                <w:szCs w:val="22"/>
                <w:highlight w:val="none"/>
              </w:rPr>
              <w:t>时是否位于处罚信息公示期，来</w:t>
            </w:r>
            <w:r>
              <w:rPr>
                <w:color w:val="auto"/>
                <w:spacing w:val="10"/>
                <w:sz w:val="22"/>
                <w:szCs w:val="22"/>
                <w:highlight w:val="none"/>
              </w:rPr>
              <w:t>判定是否影响相关投标人的履约情况得</w:t>
            </w:r>
            <w:r>
              <w:rPr>
                <w:color w:val="auto"/>
                <w:spacing w:val="7"/>
                <w:sz w:val="22"/>
                <w:szCs w:val="22"/>
                <w:highlight w:val="none"/>
              </w:rPr>
              <w:t>分，投标文件递交截止日</w:t>
            </w:r>
            <w:r>
              <w:rPr>
                <w:color w:val="auto"/>
                <w:spacing w:val="-21"/>
                <w:sz w:val="22"/>
                <w:szCs w:val="22"/>
                <w:highlight w:val="none"/>
              </w:rPr>
              <w:t xml:space="preserve"> </w:t>
            </w:r>
            <w:r>
              <w:rPr>
                <w:color w:val="auto"/>
                <w:spacing w:val="7"/>
                <w:sz w:val="22"/>
                <w:szCs w:val="22"/>
                <w:highlight w:val="none"/>
              </w:rPr>
              <w:t>0</w:t>
            </w:r>
            <w:r>
              <w:rPr>
                <w:color w:val="auto"/>
                <w:spacing w:val="-23"/>
                <w:sz w:val="22"/>
                <w:szCs w:val="22"/>
                <w:highlight w:val="none"/>
              </w:rPr>
              <w:t xml:space="preserve"> </w:t>
            </w:r>
            <w:r>
              <w:rPr>
                <w:color w:val="auto"/>
                <w:spacing w:val="7"/>
                <w:sz w:val="22"/>
                <w:szCs w:val="22"/>
                <w:highlight w:val="none"/>
              </w:rPr>
              <w:t>时在处罚信</w:t>
            </w:r>
            <w:r>
              <w:rPr>
                <w:color w:val="auto"/>
                <w:spacing w:val="18"/>
                <w:sz w:val="22"/>
                <w:szCs w:val="22"/>
                <w:highlight w:val="none"/>
              </w:rPr>
              <w:t>息公示期内应予</w:t>
            </w:r>
            <w:r>
              <w:rPr>
                <w:color w:val="auto"/>
                <w:spacing w:val="-46"/>
                <w:sz w:val="22"/>
                <w:szCs w:val="22"/>
                <w:highlight w:val="none"/>
              </w:rPr>
              <w:t xml:space="preserve"> </w:t>
            </w:r>
            <w:r>
              <w:rPr>
                <w:color w:val="auto"/>
                <w:spacing w:val="18"/>
                <w:sz w:val="22"/>
                <w:szCs w:val="22"/>
                <w:highlight w:val="none"/>
              </w:rPr>
              <w:t>以扣分</w:t>
            </w:r>
            <w:r>
              <w:rPr>
                <w:color w:val="auto"/>
                <w:spacing w:val="-60"/>
                <w:sz w:val="22"/>
                <w:szCs w:val="22"/>
                <w:highlight w:val="none"/>
              </w:rPr>
              <w:t xml:space="preserve"> </w:t>
            </w:r>
            <w:r>
              <w:rPr>
                <w:color w:val="auto"/>
                <w:spacing w:val="18"/>
                <w:sz w:val="22"/>
                <w:szCs w:val="22"/>
                <w:highlight w:val="none"/>
              </w:rPr>
              <w:t>、否则不予扣</w:t>
            </w:r>
            <w:r>
              <w:rPr>
                <w:color w:val="auto"/>
                <w:spacing w:val="-4"/>
                <w:sz w:val="22"/>
                <w:szCs w:val="22"/>
                <w:highlight w:val="none"/>
              </w:rPr>
              <w:t>分。</w:t>
            </w:r>
          </w:p>
          <w:p w14:paraId="04A782DF">
            <w:pPr>
              <w:pStyle w:val="17"/>
              <w:spacing w:line="261" w:lineRule="auto"/>
              <w:ind w:left="214" w:right="212" w:firstLine="437"/>
              <w:rPr>
                <w:color w:val="auto"/>
                <w:sz w:val="22"/>
                <w:szCs w:val="22"/>
                <w:highlight w:val="none"/>
              </w:rPr>
            </w:pPr>
            <w:r>
              <w:rPr>
                <w:color w:val="auto"/>
                <w:spacing w:val="11"/>
                <w:sz w:val="22"/>
                <w:szCs w:val="22"/>
                <w:highlight w:val="none"/>
              </w:rPr>
              <w:t>2.同一事项同时被多个部门行政处</w:t>
            </w:r>
            <w:r>
              <w:rPr>
                <w:color w:val="auto"/>
                <w:spacing w:val="-5"/>
                <w:sz w:val="22"/>
                <w:szCs w:val="22"/>
                <w:highlight w:val="none"/>
              </w:rPr>
              <w:t>罚只按最高的扣分计算</w:t>
            </w:r>
            <w:r>
              <w:rPr>
                <w:color w:val="auto"/>
                <w:spacing w:val="-22"/>
                <w:sz w:val="22"/>
                <w:szCs w:val="22"/>
                <w:highlight w:val="none"/>
              </w:rPr>
              <w:t xml:space="preserve"> </w:t>
            </w:r>
            <w:r>
              <w:rPr>
                <w:color w:val="auto"/>
                <w:spacing w:val="-5"/>
                <w:sz w:val="22"/>
                <w:szCs w:val="22"/>
                <w:highlight w:val="none"/>
              </w:rPr>
              <w:t>1</w:t>
            </w:r>
            <w:r>
              <w:rPr>
                <w:color w:val="auto"/>
                <w:spacing w:val="-40"/>
                <w:sz w:val="22"/>
                <w:szCs w:val="22"/>
                <w:highlight w:val="none"/>
              </w:rPr>
              <w:t xml:space="preserve"> </w:t>
            </w:r>
            <w:r>
              <w:rPr>
                <w:color w:val="auto"/>
                <w:spacing w:val="-5"/>
                <w:sz w:val="22"/>
                <w:szCs w:val="22"/>
                <w:highlight w:val="none"/>
              </w:rPr>
              <w:t>次。</w:t>
            </w:r>
          </w:p>
          <w:p w14:paraId="25ADF7A9">
            <w:pPr>
              <w:pStyle w:val="17"/>
              <w:tabs>
                <w:tab w:val="left" w:pos="320"/>
              </w:tabs>
              <w:spacing w:before="94" w:line="296" w:lineRule="auto"/>
              <w:ind w:left="195" w:right="210" w:firstLine="457"/>
              <w:rPr>
                <w:color w:val="auto"/>
                <w:sz w:val="22"/>
                <w:szCs w:val="22"/>
                <w:highlight w:val="none"/>
              </w:rPr>
            </w:pPr>
            <w:r>
              <w:rPr>
                <w:color w:val="auto"/>
                <w:spacing w:val="5"/>
                <w:sz w:val="22"/>
                <w:szCs w:val="22"/>
                <w:highlight w:val="none"/>
                <w:u w:val="single" w:color="auto"/>
              </w:rPr>
              <w:t>3.第</w:t>
            </w:r>
            <w:r>
              <w:rPr>
                <w:color w:val="auto"/>
                <w:spacing w:val="-22"/>
                <w:sz w:val="22"/>
                <w:szCs w:val="22"/>
                <w:highlight w:val="none"/>
                <w:u w:val="single" w:color="auto"/>
              </w:rPr>
              <w:t xml:space="preserve"> </w:t>
            </w:r>
            <w:r>
              <w:rPr>
                <w:color w:val="auto"/>
                <w:spacing w:val="5"/>
                <w:sz w:val="22"/>
                <w:szCs w:val="22"/>
                <w:highlight w:val="none"/>
                <w:u w:val="single" w:color="auto"/>
              </w:rPr>
              <w:t>2（3）条款“项目涉及各地级</w:t>
            </w:r>
            <w:r>
              <w:rPr>
                <w:color w:val="auto"/>
                <w:spacing w:val="8"/>
                <w:sz w:val="22"/>
                <w:szCs w:val="22"/>
                <w:highlight w:val="none"/>
                <w:u w:val="single" w:color="auto"/>
              </w:rPr>
              <w:t>以上市</w:t>
            </w:r>
            <w:r>
              <w:rPr>
                <w:color w:val="auto"/>
                <w:spacing w:val="-57"/>
                <w:sz w:val="22"/>
                <w:szCs w:val="22"/>
                <w:highlight w:val="none"/>
                <w:u w:val="single" w:color="auto"/>
              </w:rPr>
              <w:t xml:space="preserve"> </w:t>
            </w:r>
            <w:r>
              <w:rPr>
                <w:color w:val="auto"/>
                <w:spacing w:val="8"/>
                <w:sz w:val="22"/>
                <w:szCs w:val="22"/>
                <w:highlight w:val="none"/>
                <w:u w:val="single" w:color="auto"/>
              </w:rPr>
              <w:t>”指：本项目（以立项为单位）</w:t>
            </w:r>
            <w:r>
              <w:rPr>
                <w:color w:val="auto"/>
                <w:spacing w:val="11"/>
                <w:sz w:val="22"/>
                <w:szCs w:val="22"/>
                <w:highlight w:val="none"/>
                <w:u w:val="single" w:color="auto"/>
              </w:rPr>
              <w:t>涉及多个地市，如投标人所投某个标段</w:t>
            </w:r>
            <w:r>
              <w:rPr>
                <w:color w:val="auto"/>
                <w:sz w:val="22"/>
                <w:szCs w:val="22"/>
                <w:highlight w:val="none"/>
                <w:u w:val="single" w:color="auto"/>
              </w:rPr>
              <w:tab/>
            </w:r>
            <w:r>
              <w:rPr>
                <w:color w:val="auto"/>
                <w:spacing w:val="1"/>
                <w:sz w:val="22"/>
                <w:szCs w:val="22"/>
                <w:highlight w:val="none"/>
                <w:u w:val="single" w:color="auto"/>
              </w:rPr>
              <w:t>（仅涉及部分地市</w:t>
            </w:r>
            <w:r>
              <w:rPr>
                <w:color w:val="auto"/>
                <w:spacing w:val="-1"/>
                <w:sz w:val="22"/>
                <w:szCs w:val="22"/>
                <w:highlight w:val="none"/>
                <w:u w:val="single" w:color="auto"/>
              </w:rPr>
              <w:t>）</w:t>
            </w:r>
            <w:r>
              <w:rPr>
                <w:color w:val="auto"/>
                <w:spacing w:val="-58"/>
                <w:sz w:val="22"/>
                <w:szCs w:val="22"/>
                <w:highlight w:val="none"/>
                <w:u w:val="single" w:color="auto"/>
              </w:rPr>
              <w:t xml:space="preserve"> </w:t>
            </w:r>
            <w:r>
              <w:rPr>
                <w:color w:val="auto"/>
                <w:spacing w:val="-1"/>
                <w:sz w:val="22"/>
                <w:szCs w:val="22"/>
                <w:highlight w:val="none"/>
                <w:u w:val="single" w:color="auto"/>
              </w:rPr>
              <w:t>，</w:t>
            </w:r>
            <w:r>
              <w:rPr>
                <w:color w:val="auto"/>
                <w:spacing w:val="1"/>
                <w:sz w:val="22"/>
                <w:szCs w:val="22"/>
                <w:highlight w:val="none"/>
                <w:u w:val="single" w:color="auto"/>
              </w:rPr>
              <w:t>该标段履约情况</w:t>
            </w:r>
            <w:r>
              <w:rPr>
                <w:color w:val="auto"/>
                <w:spacing w:val="11"/>
                <w:sz w:val="22"/>
                <w:szCs w:val="22"/>
                <w:highlight w:val="none"/>
                <w:u w:val="single" w:color="auto"/>
              </w:rPr>
              <w:t>按项目（以立项为单位）涉及各地市交通运输局相关行政处罚均应包含。如某</w:t>
            </w:r>
            <w:r>
              <w:rPr>
                <w:color w:val="auto"/>
                <w:spacing w:val="8"/>
                <w:sz w:val="22"/>
                <w:szCs w:val="22"/>
                <w:highlight w:val="none"/>
                <w:u w:val="single" w:color="auto"/>
              </w:rPr>
              <w:t>项目涉及</w:t>
            </w:r>
            <w:r>
              <w:rPr>
                <w:color w:val="auto"/>
                <w:spacing w:val="-27"/>
                <w:sz w:val="22"/>
                <w:szCs w:val="22"/>
                <w:highlight w:val="none"/>
                <w:u w:val="single" w:color="auto"/>
              </w:rPr>
              <w:t xml:space="preserve"> </w:t>
            </w:r>
            <w:r>
              <w:rPr>
                <w:color w:val="auto"/>
                <w:spacing w:val="8"/>
                <w:sz w:val="22"/>
                <w:szCs w:val="22"/>
                <w:highlight w:val="none"/>
                <w:u w:val="single" w:color="auto"/>
              </w:rPr>
              <w:t>A、B、C</w:t>
            </w:r>
            <w:r>
              <w:rPr>
                <w:color w:val="auto"/>
                <w:spacing w:val="-35"/>
                <w:sz w:val="22"/>
                <w:szCs w:val="22"/>
                <w:highlight w:val="none"/>
                <w:u w:val="single" w:color="auto"/>
              </w:rPr>
              <w:t xml:space="preserve"> </w:t>
            </w:r>
            <w:r>
              <w:rPr>
                <w:color w:val="auto"/>
                <w:spacing w:val="8"/>
                <w:sz w:val="22"/>
                <w:szCs w:val="22"/>
                <w:highlight w:val="none"/>
                <w:u w:val="single" w:color="auto"/>
              </w:rPr>
              <w:t>三个地级以上市，但</w:t>
            </w:r>
            <w:r>
              <w:rPr>
                <w:color w:val="auto"/>
                <w:spacing w:val="6"/>
                <w:sz w:val="22"/>
                <w:szCs w:val="22"/>
                <w:highlight w:val="none"/>
                <w:u w:val="single" w:color="auto"/>
              </w:rPr>
              <w:t>标段</w:t>
            </w:r>
            <w:r>
              <w:rPr>
                <w:color w:val="auto"/>
                <w:spacing w:val="-24"/>
                <w:sz w:val="22"/>
                <w:szCs w:val="22"/>
                <w:highlight w:val="none"/>
                <w:u w:val="single" w:color="auto"/>
              </w:rPr>
              <w:t xml:space="preserve"> </w:t>
            </w:r>
            <w:r>
              <w:rPr>
                <w:color w:val="auto"/>
                <w:spacing w:val="6"/>
                <w:sz w:val="22"/>
                <w:szCs w:val="22"/>
                <w:highlight w:val="none"/>
                <w:u w:val="single" w:color="auto"/>
              </w:rPr>
              <w:t>3</w:t>
            </w:r>
            <w:r>
              <w:rPr>
                <w:color w:val="auto"/>
                <w:spacing w:val="-36"/>
                <w:sz w:val="22"/>
                <w:szCs w:val="22"/>
                <w:highlight w:val="none"/>
                <w:u w:val="single" w:color="auto"/>
              </w:rPr>
              <w:t xml:space="preserve"> </w:t>
            </w:r>
            <w:r>
              <w:rPr>
                <w:color w:val="auto"/>
                <w:spacing w:val="6"/>
                <w:sz w:val="22"/>
                <w:szCs w:val="22"/>
                <w:highlight w:val="none"/>
                <w:u w:val="single" w:color="auto"/>
              </w:rPr>
              <w:t>仅涉及</w:t>
            </w:r>
            <w:r>
              <w:rPr>
                <w:color w:val="auto"/>
                <w:spacing w:val="-41"/>
                <w:sz w:val="22"/>
                <w:szCs w:val="22"/>
                <w:highlight w:val="none"/>
                <w:u w:val="single" w:color="auto"/>
              </w:rPr>
              <w:t xml:space="preserve"> </w:t>
            </w:r>
            <w:r>
              <w:rPr>
                <w:color w:val="auto"/>
                <w:spacing w:val="6"/>
                <w:sz w:val="22"/>
                <w:szCs w:val="22"/>
                <w:highlight w:val="none"/>
                <w:u w:val="single" w:color="auto"/>
              </w:rPr>
              <w:t>A</w:t>
            </w:r>
            <w:r>
              <w:rPr>
                <w:color w:val="auto"/>
                <w:spacing w:val="-29"/>
                <w:sz w:val="22"/>
                <w:szCs w:val="22"/>
                <w:highlight w:val="none"/>
                <w:u w:val="single" w:color="auto"/>
              </w:rPr>
              <w:t xml:space="preserve"> </w:t>
            </w:r>
            <w:r>
              <w:rPr>
                <w:color w:val="auto"/>
                <w:spacing w:val="6"/>
                <w:sz w:val="22"/>
                <w:szCs w:val="22"/>
                <w:highlight w:val="none"/>
                <w:u w:val="single" w:color="auto"/>
              </w:rPr>
              <w:t>市，该条款履约情况应</w:t>
            </w:r>
            <w:r>
              <w:rPr>
                <w:color w:val="auto"/>
                <w:spacing w:val="8"/>
                <w:sz w:val="22"/>
                <w:szCs w:val="22"/>
                <w:highlight w:val="none"/>
                <w:u w:val="single" w:color="auto"/>
              </w:rPr>
              <w:t>为</w:t>
            </w:r>
            <w:r>
              <w:rPr>
                <w:color w:val="auto"/>
                <w:spacing w:val="-27"/>
                <w:sz w:val="22"/>
                <w:szCs w:val="22"/>
                <w:highlight w:val="none"/>
                <w:u w:val="single" w:color="auto"/>
              </w:rPr>
              <w:t xml:space="preserve"> </w:t>
            </w:r>
            <w:r>
              <w:rPr>
                <w:color w:val="auto"/>
                <w:spacing w:val="8"/>
                <w:sz w:val="22"/>
                <w:szCs w:val="22"/>
                <w:highlight w:val="none"/>
                <w:u w:val="single" w:color="auto"/>
              </w:rPr>
              <w:t>A、B、C</w:t>
            </w:r>
            <w:r>
              <w:rPr>
                <w:color w:val="auto"/>
                <w:spacing w:val="-35"/>
                <w:sz w:val="22"/>
                <w:szCs w:val="22"/>
                <w:highlight w:val="none"/>
                <w:u w:val="single" w:color="auto"/>
              </w:rPr>
              <w:t xml:space="preserve"> </w:t>
            </w:r>
            <w:r>
              <w:rPr>
                <w:color w:val="auto"/>
                <w:spacing w:val="8"/>
                <w:sz w:val="22"/>
                <w:szCs w:val="22"/>
                <w:highlight w:val="none"/>
                <w:u w:val="single" w:color="auto"/>
              </w:rPr>
              <w:t>三个地级以上市交通运输局</w:t>
            </w:r>
            <w:r>
              <w:rPr>
                <w:color w:val="auto"/>
                <w:spacing w:val="9"/>
                <w:sz w:val="22"/>
                <w:szCs w:val="22"/>
                <w:highlight w:val="none"/>
                <w:u w:val="single" w:color="auto"/>
              </w:rPr>
              <w:t>相关行政处罚（而非仅</w:t>
            </w:r>
            <w:r>
              <w:rPr>
                <w:color w:val="auto"/>
                <w:spacing w:val="-44"/>
                <w:sz w:val="22"/>
                <w:szCs w:val="22"/>
                <w:highlight w:val="none"/>
                <w:u w:val="single" w:color="auto"/>
              </w:rPr>
              <w:t xml:space="preserve"> </w:t>
            </w:r>
            <w:r>
              <w:rPr>
                <w:color w:val="auto"/>
                <w:spacing w:val="9"/>
                <w:sz w:val="22"/>
                <w:szCs w:val="22"/>
                <w:highlight w:val="none"/>
                <w:u w:val="single" w:color="auto"/>
              </w:rPr>
              <w:t>A</w:t>
            </w:r>
            <w:r>
              <w:rPr>
                <w:color w:val="auto"/>
                <w:spacing w:val="-29"/>
                <w:sz w:val="22"/>
                <w:szCs w:val="22"/>
                <w:highlight w:val="none"/>
                <w:u w:val="single" w:color="auto"/>
              </w:rPr>
              <w:t xml:space="preserve"> </w:t>
            </w:r>
            <w:r>
              <w:rPr>
                <w:color w:val="auto"/>
                <w:spacing w:val="9"/>
                <w:sz w:val="22"/>
                <w:szCs w:val="22"/>
                <w:highlight w:val="none"/>
                <w:u w:val="single" w:color="auto"/>
              </w:rPr>
              <w:t>市交通运输局相关行政处罚</w:t>
            </w:r>
            <w:r>
              <w:rPr>
                <w:color w:val="auto"/>
                <w:spacing w:val="3"/>
                <w:sz w:val="22"/>
                <w:szCs w:val="22"/>
                <w:highlight w:val="none"/>
                <w:u w:val="single" w:color="auto"/>
              </w:rPr>
              <w:t>）</w:t>
            </w:r>
            <w:r>
              <w:rPr>
                <w:color w:val="auto"/>
                <w:spacing w:val="-61"/>
                <w:sz w:val="22"/>
                <w:szCs w:val="22"/>
                <w:highlight w:val="none"/>
                <w:u w:val="single" w:color="auto"/>
              </w:rPr>
              <w:t xml:space="preserve"> </w:t>
            </w:r>
            <w:r>
              <w:rPr>
                <w:color w:val="auto"/>
                <w:spacing w:val="3"/>
                <w:sz w:val="22"/>
                <w:szCs w:val="22"/>
                <w:highlight w:val="none"/>
                <w:u w:val="single" w:color="auto"/>
              </w:rPr>
              <w:t>，</w:t>
            </w:r>
            <w:r>
              <w:rPr>
                <w:color w:val="auto"/>
                <w:spacing w:val="9"/>
                <w:sz w:val="22"/>
                <w:szCs w:val="22"/>
                <w:highlight w:val="none"/>
                <w:u w:val="single" w:color="auto"/>
              </w:rPr>
              <w:t>且在招标文件编制时</w:t>
            </w:r>
            <w:r>
              <w:rPr>
                <w:color w:val="auto"/>
                <w:spacing w:val="12"/>
                <w:sz w:val="22"/>
                <w:szCs w:val="22"/>
                <w:highlight w:val="none"/>
                <w:u w:val="single" w:color="auto"/>
              </w:rPr>
              <w:t>明确为“A、B、C</w:t>
            </w:r>
            <w:r>
              <w:rPr>
                <w:color w:val="auto"/>
                <w:spacing w:val="-24"/>
                <w:sz w:val="22"/>
                <w:szCs w:val="22"/>
                <w:highlight w:val="none"/>
                <w:u w:val="single" w:color="auto"/>
              </w:rPr>
              <w:t xml:space="preserve"> </w:t>
            </w:r>
            <w:r>
              <w:rPr>
                <w:color w:val="auto"/>
                <w:spacing w:val="12"/>
                <w:sz w:val="22"/>
                <w:szCs w:val="22"/>
                <w:highlight w:val="none"/>
                <w:u w:val="single" w:color="auto"/>
              </w:rPr>
              <w:t>市交通运输局行政处</w:t>
            </w:r>
            <w:r>
              <w:rPr>
                <w:color w:val="auto"/>
                <w:sz w:val="22"/>
                <w:szCs w:val="22"/>
                <w:highlight w:val="none"/>
                <w:u w:val="single" w:color="auto"/>
              </w:rPr>
              <w:t>罚、且在处罚信息公示期内的</w:t>
            </w:r>
            <w:r>
              <w:rPr>
                <w:color w:val="auto"/>
                <w:spacing w:val="-79"/>
                <w:sz w:val="22"/>
                <w:szCs w:val="22"/>
                <w:highlight w:val="none"/>
                <w:u w:val="single" w:color="auto"/>
              </w:rPr>
              <w:t xml:space="preserve"> </w:t>
            </w:r>
            <w:r>
              <w:rPr>
                <w:color w:val="auto"/>
                <w:sz w:val="22"/>
                <w:szCs w:val="22"/>
                <w:highlight w:val="none"/>
                <w:u w:val="single" w:color="auto"/>
              </w:rPr>
              <w:t>”</w:t>
            </w:r>
            <w:r>
              <w:rPr>
                <w:color w:val="auto"/>
                <w:sz w:val="22"/>
                <w:szCs w:val="22"/>
                <w:highlight w:val="none"/>
              </w:rPr>
              <w:t>。</w:t>
            </w:r>
          </w:p>
          <w:p w14:paraId="64CBE0F3">
            <w:pPr>
              <w:pStyle w:val="17"/>
              <w:spacing w:before="99" w:line="279" w:lineRule="auto"/>
              <w:ind w:left="203" w:right="212" w:firstLine="443"/>
              <w:rPr>
                <w:color w:val="auto"/>
                <w:sz w:val="22"/>
                <w:szCs w:val="22"/>
                <w:highlight w:val="none"/>
              </w:rPr>
            </w:pPr>
            <w:r>
              <w:rPr>
                <w:color w:val="auto"/>
                <w:spacing w:val="11"/>
                <w:sz w:val="22"/>
                <w:szCs w:val="22"/>
                <w:highlight w:val="none"/>
              </w:rPr>
              <w:t>4.如果扣完本项分值，可以从总分</w:t>
            </w:r>
            <w:r>
              <w:rPr>
                <w:color w:val="auto"/>
                <w:spacing w:val="8"/>
                <w:sz w:val="22"/>
                <w:szCs w:val="22"/>
                <w:highlight w:val="none"/>
              </w:rPr>
              <w:t>中扣。</w:t>
            </w:r>
            <w:r>
              <w:rPr>
                <w:color w:val="auto"/>
                <w:spacing w:val="-64"/>
                <w:sz w:val="22"/>
                <w:szCs w:val="22"/>
                <w:highlight w:val="none"/>
              </w:rPr>
              <w:t xml:space="preserve"> </w:t>
            </w:r>
            <w:r>
              <w:rPr>
                <w:color w:val="auto"/>
                <w:spacing w:val="8"/>
                <w:sz w:val="22"/>
                <w:szCs w:val="22"/>
                <w:highlight w:val="none"/>
              </w:rPr>
              <w:t>以联合体形式投标的，若各联合</w:t>
            </w:r>
            <w:r>
              <w:rPr>
                <w:color w:val="auto"/>
                <w:spacing w:val="10"/>
                <w:sz w:val="22"/>
                <w:szCs w:val="22"/>
                <w:highlight w:val="none"/>
              </w:rPr>
              <w:t>体成员任何一方或均存在上述情形的，</w:t>
            </w:r>
            <w:r>
              <w:rPr>
                <w:color w:val="auto"/>
                <w:spacing w:val="-1"/>
                <w:sz w:val="22"/>
                <w:szCs w:val="22"/>
                <w:highlight w:val="none"/>
              </w:rPr>
              <w:t>对联合体各成员进行累计扣分。</w:t>
            </w:r>
          </w:p>
        </w:tc>
      </w:tr>
      <w:tr w14:paraId="56CA6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895" w:type="dxa"/>
            <w:gridSpan w:val="8"/>
            <w:vAlign w:val="top"/>
          </w:tcPr>
          <w:p w14:paraId="6091EE4F">
            <w:pPr>
              <w:pStyle w:val="17"/>
              <w:spacing w:before="45" w:line="228" w:lineRule="auto"/>
              <w:ind w:left="126"/>
              <w:rPr>
                <w:color w:val="auto"/>
                <w:highlight w:val="none"/>
              </w:rPr>
            </w:pPr>
            <w:r>
              <w:rPr>
                <w:b/>
                <w:bCs/>
                <w:color w:val="auto"/>
                <w:spacing w:val="6"/>
                <w:highlight w:val="none"/>
              </w:rPr>
              <w:t>需要补充的其他内容</w:t>
            </w:r>
          </w:p>
        </w:tc>
      </w:tr>
      <w:tr w14:paraId="59D91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238" w:type="dxa"/>
            <w:gridSpan w:val="2"/>
            <w:vAlign w:val="top"/>
          </w:tcPr>
          <w:p w14:paraId="546B68D2">
            <w:pPr>
              <w:pStyle w:val="17"/>
              <w:spacing w:before="72" w:line="228" w:lineRule="auto"/>
              <w:ind w:left="311"/>
              <w:rPr>
                <w:color w:val="auto"/>
                <w:highlight w:val="none"/>
              </w:rPr>
            </w:pPr>
            <w:r>
              <w:rPr>
                <w:color w:val="auto"/>
                <w:spacing w:val="6"/>
                <w:highlight w:val="none"/>
              </w:rPr>
              <w:t>条款号</w:t>
            </w:r>
          </w:p>
        </w:tc>
        <w:tc>
          <w:tcPr>
            <w:tcW w:w="7657" w:type="dxa"/>
            <w:gridSpan w:val="6"/>
            <w:vAlign w:val="top"/>
          </w:tcPr>
          <w:p w14:paraId="08610B5A">
            <w:pPr>
              <w:pStyle w:val="17"/>
              <w:spacing w:before="72" w:line="228" w:lineRule="auto"/>
              <w:ind w:left="2992"/>
              <w:rPr>
                <w:color w:val="auto"/>
                <w:highlight w:val="none"/>
              </w:rPr>
            </w:pPr>
            <w:r>
              <w:rPr>
                <w:color w:val="auto"/>
                <w:spacing w:val="8"/>
                <w:highlight w:val="none"/>
              </w:rPr>
              <w:t>补充或修改的内容</w:t>
            </w:r>
          </w:p>
        </w:tc>
      </w:tr>
      <w:tr w14:paraId="6B6A6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238" w:type="dxa"/>
            <w:gridSpan w:val="2"/>
            <w:vAlign w:val="top"/>
          </w:tcPr>
          <w:p w14:paraId="1774FB77">
            <w:pPr>
              <w:pStyle w:val="17"/>
              <w:spacing w:before="34" w:line="268" w:lineRule="exact"/>
              <w:ind w:left="366"/>
              <w:rPr>
                <w:color w:val="auto"/>
                <w:highlight w:val="none"/>
              </w:rPr>
            </w:pPr>
            <w:r>
              <w:rPr>
                <w:color w:val="auto"/>
                <w:spacing w:val="2"/>
                <w:position w:val="1"/>
                <w:highlight w:val="none"/>
              </w:rPr>
              <w:t>3.2.3</w:t>
            </w:r>
          </w:p>
        </w:tc>
        <w:tc>
          <w:tcPr>
            <w:tcW w:w="7657" w:type="dxa"/>
            <w:gridSpan w:val="6"/>
            <w:vAlign w:val="top"/>
          </w:tcPr>
          <w:p w14:paraId="21FD98A2">
            <w:pPr>
              <w:pStyle w:val="17"/>
              <w:spacing w:before="34" w:line="228" w:lineRule="auto"/>
              <w:ind w:left="534"/>
              <w:rPr>
                <w:color w:val="auto"/>
                <w:highlight w:val="none"/>
              </w:rPr>
            </w:pPr>
            <w:r>
              <w:rPr>
                <w:color w:val="auto"/>
                <w:spacing w:val="6"/>
                <w:highlight w:val="none"/>
              </w:rPr>
              <w:t>3.2.3</w:t>
            </w:r>
            <w:r>
              <w:rPr>
                <w:color w:val="auto"/>
                <w:spacing w:val="-28"/>
                <w:highlight w:val="none"/>
              </w:rPr>
              <w:t xml:space="preserve"> </w:t>
            </w:r>
            <w:r>
              <w:rPr>
                <w:color w:val="auto"/>
                <w:spacing w:val="6"/>
                <w:highlight w:val="none"/>
              </w:rPr>
              <w:t>款明确取消其中</w:t>
            </w:r>
            <w:r>
              <w:rPr>
                <w:color w:val="auto"/>
                <w:spacing w:val="-21"/>
                <w:highlight w:val="none"/>
              </w:rPr>
              <w:t xml:space="preserve"> </w:t>
            </w:r>
            <w:r>
              <w:rPr>
                <w:color w:val="auto"/>
                <w:spacing w:val="6"/>
                <w:highlight w:val="none"/>
              </w:rPr>
              <w:t>1</w:t>
            </w:r>
            <w:r>
              <w:rPr>
                <w:color w:val="auto"/>
                <w:spacing w:val="-36"/>
                <w:highlight w:val="none"/>
              </w:rPr>
              <w:t xml:space="preserve"> </w:t>
            </w:r>
            <w:r>
              <w:rPr>
                <w:color w:val="auto"/>
                <w:spacing w:val="6"/>
                <w:highlight w:val="none"/>
              </w:rPr>
              <w:t>名评委所有评分的办法明确为：办法</w:t>
            </w:r>
            <w:r>
              <w:rPr>
                <w:color w:val="auto"/>
                <w:spacing w:val="-97"/>
                <w:highlight w:val="none"/>
              </w:rPr>
              <w:t xml:space="preserve"> </w:t>
            </w:r>
            <w:r>
              <w:rPr>
                <w:color w:val="auto"/>
                <w:spacing w:val="6"/>
                <w:highlight w:val="none"/>
                <w:u w:val="single" w:color="auto"/>
              </w:rPr>
              <w:t xml:space="preserve">  </w:t>
            </w:r>
            <w:r>
              <w:rPr>
                <w:rFonts w:hint="eastAsia"/>
                <w:color w:val="auto"/>
                <w:spacing w:val="6"/>
                <w:highlight w:val="none"/>
                <w:u w:val="single" w:color="auto"/>
                <w:lang w:val="en-US" w:eastAsia="zh-CN"/>
              </w:rPr>
              <w:t xml:space="preserve">一 </w:t>
            </w:r>
            <w:r>
              <w:rPr>
                <w:color w:val="auto"/>
                <w:spacing w:val="6"/>
                <w:highlight w:val="none"/>
                <w:u w:val="single" w:color="auto"/>
              </w:rPr>
              <w:t xml:space="preserve">  </w:t>
            </w:r>
            <w:r>
              <w:rPr>
                <w:color w:val="auto"/>
                <w:spacing w:val="6"/>
                <w:highlight w:val="none"/>
              </w:rPr>
              <w:t>。</w:t>
            </w:r>
          </w:p>
        </w:tc>
      </w:tr>
    </w:tbl>
    <w:p w14:paraId="15480DB0">
      <w:pPr>
        <w:spacing w:line="393" w:lineRule="auto"/>
        <w:rPr>
          <w:rFonts w:ascii="Arial"/>
          <w:color w:val="auto"/>
          <w:sz w:val="21"/>
          <w:highlight w:val="none"/>
        </w:rPr>
      </w:pPr>
    </w:p>
    <w:p w14:paraId="4FBD2E2E">
      <w:pPr>
        <w:spacing w:line="244" w:lineRule="auto"/>
        <w:rPr>
          <w:rFonts w:ascii="Arial"/>
          <w:color w:val="auto"/>
          <w:sz w:val="21"/>
          <w:highlight w:val="none"/>
        </w:rPr>
      </w:pPr>
      <w:bookmarkStart w:id="185" w:name="bookmark133"/>
      <w:bookmarkEnd w:id="185"/>
    </w:p>
    <w:p w14:paraId="78333D84">
      <w:pPr>
        <w:spacing w:line="220" w:lineRule="auto"/>
        <w:rPr>
          <w:rFonts w:ascii="宋体" w:hAnsi="宋体" w:eastAsia="宋体" w:cs="宋体"/>
          <w:color w:val="auto"/>
          <w:sz w:val="18"/>
          <w:szCs w:val="18"/>
          <w:highlight w:val="none"/>
        </w:rPr>
        <w:sectPr>
          <w:footerReference r:id="rId53" w:type="default"/>
          <w:pgSz w:w="11906" w:h="16839"/>
          <w:pgMar w:top="1416" w:right="1701" w:bottom="1297" w:left="1304" w:header="0" w:footer="1067" w:gutter="0"/>
          <w:pgNumType w:fmt="decimal"/>
          <w:cols w:space="720" w:num="1"/>
        </w:sectPr>
      </w:pPr>
    </w:p>
    <w:p w14:paraId="5C96B92A">
      <w:pPr>
        <w:spacing w:before="63" w:line="224" w:lineRule="auto"/>
        <w:ind w:left="3023"/>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第三章</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评标办法正文</w:t>
      </w:r>
    </w:p>
    <w:p w14:paraId="18EC284D">
      <w:pPr>
        <w:spacing w:before="270" w:line="221" w:lineRule="auto"/>
        <w:ind w:left="30"/>
        <w:outlineLvl w:val="0"/>
        <w:rPr>
          <w:rFonts w:ascii="宋体" w:hAnsi="宋体" w:eastAsia="宋体" w:cs="宋体"/>
          <w:color w:val="auto"/>
          <w:sz w:val="28"/>
          <w:szCs w:val="28"/>
          <w:highlight w:val="none"/>
        </w:rPr>
      </w:pPr>
      <w:bookmarkStart w:id="186" w:name="_Toc12230"/>
      <w:r>
        <w:rPr>
          <w:rFonts w:ascii="宋体" w:hAnsi="宋体" w:eastAsia="宋体" w:cs="宋体"/>
          <w:b/>
          <w:bCs/>
          <w:color w:val="auto"/>
          <w:spacing w:val="-7"/>
          <w:sz w:val="28"/>
          <w:szCs w:val="28"/>
          <w:highlight w:val="none"/>
        </w:rPr>
        <w:t>1.</w:t>
      </w:r>
      <w:r>
        <w:rPr>
          <w:rFonts w:ascii="宋体" w:hAnsi="宋体" w:eastAsia="宋体" w:cs="宋体"/>
          <w:color w:val="auto"/>
          <w:spacing w:val="-7"/>
          <w:sz w:val="28"/>
          <w:szCs w:val="28"/>
          <w:highlight w:val="none"/>
        </w:rPr>
        <w:t xml:space="preserve"> </w:t>
      </w:r>
      <w:r>
        <w:rPr>
          <w:rFonts w:ascii="宋体" w:hAnsi="宋体" w:eastAsia="宋体" w:cs="宋体"/>
          <w:b/>
          <w:bCs/>
          <w:color w:val="auto"/>
          <w:spacing w:val="-7"/>
          <w:sz w:val="28"/>
          <w:szCs w:val="28"/>
          <w:highlight w:val="none"/>
        </w:rPr>
        <w:t>评标方法</w:t>
      </w:r>
      <w:bookmarkEnd w:id="186"/>
    </w:p>
    <w:p w14:paraId="104E9A2E">
      <w:pPr>
        <w:spacing w:line="266" w:lineRule="auto"/>
        <w:rPr>
          <w:rFonts w:ascii="Arial"/>
          <w:color w:val="auto"/>
          <w:sz w:val="21"/>
          <w:highlight w:val="none"/>
        </w:rPr>
      </w:pPr>
    </w:p>
    <w:p w14:paraId="144A89CE">
      <w:pPr>
        <w:spacing w:before="78" w:line="220" w:lineRule="auto"/>
        <w:ind w:left="26"/>
        <w:outlineLvl w:val="1"/>
        <w:rPr>
          <w:rFonts w:ascii="宋体" w:hAnsi="宋体" w:eastAsia="宋体" w:cs="宋体"/>
          <w:color w:val="auto"/>
          <w:sz w:val="24"/>
          <w:szCs w:val="24"/>
          <w:highlight w:val="none"/>
        </w:rPr>
      </w:pPr>
      <w:bookmarkStart w:id="187" w:name="_Toc15937"/>
      <w:bookmarkStart w:id="188" w:name="_Toc22095"/>
      <w:r>
        <w:rPr>
          <w:rFonts w:ascii="宋体" w:hAnsi="宋体" w:eastAsia="宋体" w:cs="宋体"/>
          <w:b/>
          <w:bCs/>
          <w:color w:val="auto"/>
          <w:spacing w:val="-7"/>
          <w:sz w:val="24"/>
          <w:szCs w:val="24"/>
          <w:highlight w:val="none"/>
        </w:rPr>
        <w:t>1.1</w:t>
      </w:r>
      <w:r>
        <w:rPr>
          <w:rFonts w:ascii="宋体" w:hAnsi="宋体" w:eastAsia="宋体" w:cs="宋体"/>
          <w:color w:val="auto"/>
          <w:spacing w:val="-52"/>
          <w:sz w:val="24"/>
          <w:szCs w:val="24"/>
          <w:highlight w:val="none"/>
        </w:rPr>
        <w:t xml:space="preserve"> </w:t>
      </w:r>
      <w:r>
        <w:rPr>
          <w:rFonts w:ascii="宋体" w:hAnsi="宋体" w:eastAsia="宋体" w:cs="宋体"/>
          <w:b/>
          <w:bCs/>
          <w:color w:val="auto"/>
          <w:spacing w:val="-7"/>
          <w:sz w:val="24"/>
          <w:szCs w:val="24"/>
          <w:highlight w:val="none"/>
        </w:rPr>
        <w:t>评标方法</w:t>
      </w:r>
      <w:bookmarkEnd w:id="187"/>
      <w:bookmarkEnd w:id="188"/>
    </w:p>
    <w:p w14:paraId="26AF6739">
      <w:pPr>
        <w:spacing w:before="51" w:line="360" w:lineRule="auto"/>
        <w:ind w:left="9" w:firstLine="48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本次评标采用双信封的综合评估法。评标委员会对满足招标文件实质性要求的投</w:t>
      </w:r>
      <w:r>
        <w:rPr>
          <w:rFonts w:ascii="宋体" w:hAnsi="宋体" w:eastAsia="宋体" w:cs="宋体"/>
          <w:color w:val="auto"/>
          <w:spacing w:val="4"/>
          <w:sz w:val="24"/>
          <w:szCs w:val="24"/>
          <w:highlight w:val="none"/>
        </w:rPr>
        <w:t>标文件，按照本章第</w:t>
      </w:r>
      <w:r>
        <w:rPr>
          <w:rFonts w:ascii="宋体" w:hAnsi="宋体" w:eastAsia="宋体" w:cs="宋体"/>
          <w:color w:val="auto"/>
          <w:spacing w:val="-40"/>
          <w:sz w:val="24"/>
          <w:szCs w:val="24"/>
          <w:highlight w:val="none"/>
        </w:rPr>
        <w:t xml:space="preserve"> </w:t>
      </w:r>
      <w:r>
        <w:rPr>
          <w:rFonts w:ascii="宋体" w:hAnsi="宋体" w:eastAsia="宋体" w:cs="宋体"/>
          <w:color w:val="auto"/>
          <w:spacing w:val="4"/>
          <w:sz w:val="24"/>
          <w:szCs w:val="24"/>
          <w:highlight w:val="none"/>
        </w:rPr>
        <w:t>2.2</w:t>
      </w:r>
      <w:r>
        <w:rPr>
          <w:rFonts w:ascii="宋体" w:hAnsi="宋体" w:eastAsia="宋体" w:cs="宋体"/>
          <w:color w:val="auto"/>
          <w:spacing w:val="-45"/>
          <w:sz w:val="24"/>
          <w:szCs w:val="24"/>
          <w:highlight w:val="none"/>
        </w:rPr>
        <w:t xml:space="preserve"> </w:t>
      </w:r>
      <w:r>
        <w:rPr>
          <w:rFonts w:ascii="宋体" w:hAnsi="宋体" w:eastAsia="宋体" w:cs="宋体"/>
          <w:color w:val="auto"/>
          <w:spacing w:val="4"/>
          <w:sz w:val="24"/>
          <w:szCs w:val="24"/>
          <w:highlight w:val="none"/>
        </w:rPr>
        <w:t>款规定的评分标准进行打分，并按得分由高</w:t>
      </w:r>
      <w:r>
        <w:rPr>
          <w:rFonts w:ascii="宋体" w:hAnsi="宋体" w:eastAsia="宋体" w:cs="宋体"/>
          <w:color w:val="auto"/>
          <w:spacing w:val="3"/>
          <w:sz w:val="24"/>
          <w:szCs w:val="24"/>
          <w:highlight w:val="none"/>
        </w:rPr>
        <w:t>到低顺序推荐中</w:t>
      </w:r>
      <w:r>
        <w:rPr>
          <w:rFonts w:ascii="宋体" w:hAnsi="宋体" w:eastAsia="宋体" w:cs="宋体"/>
          <w:color w:val="auto"/>
          <w:spacing w:val="5"/>
          <w:sz w:val="24"/>
          <w:szCs w:val="24"/>
          <w:highlight w:val="none"/>
        </w:rPr>
        <w:t>标候选人，但投标报价低于其成本的除外。综合评分相等时，评标委员会</w:t>
      </w:r>
      <w:r>
        <w:rPr>
          <w:rFonts w:ascii="宋体" w:hAnsi="宋体" w:eastAsia="宋体" w:cs="宋体"/>
          <w:color w:val="auto"/>
          <w:spacing w:val="4"/>
          <w:sz w:val="24"/>
          <w:szCs w:val="24"/>
          <w:highlight w:val="none"/>
        </w:rPr>
        <w:t>应按照评标</w:t>
      </w:r>
      <w:r>
        <w:rPr>
          <w:rFonts w:ascii="宋体" w:hAnsi="宋体" w:eastAsia="宋体" w:cs="宋体"/>
          <w:color w:val="auto"/>
          <w:spacing w:val="-1"/>
          <w:sz w:val="24"/>
          <w:szCs w:val="24"/>
          <w:highlight w:val="none"/>
        </w:rPr>
        <w:t>办法前附表规定的优先次序推荐中标候选人或确定中标人。</w:t>
      </w:r>
    </w:p>
    <w:p w14:paraId="06F2A8D0">
      <w:pPr>
        <w:spacing w:before="137" w:line="220" w:lineRule="auto"/>
        <w:ind w:left="26"/>
        <w:outlineLvl w:val="1"/>
        <w:rPr>
          <w:rFonts w:ascii="宋体" w:hAnsi="宋体" w:eastAsia="宋体" w:cs="宋体"/>
          <w:color w:val="auto"/>
          <w:sz w:val="24"/>
          <w:szCs w:val="24"/>
          <w:highlight w:val="none"/>
        </w:rPr>
      </w:pPr>
      <w:bookmarkStart w:id="189" w:name="_Toc27353"/>
      <w:bookmarkStart w:id="190" w:name="_Toc27624"/>
      <w:r>
        <w:rPr>
          <w:rFonts w:ascii="宋体" w:hAnsi="宋体" w:eastAsia="宋体" w:cs="宋体"/>
          <w:b/>
          <w:bCs/>
          <w:color w:val="auto"/>
          <w:spacing w:val="-7"/>
          <w:sz w:val="24"/>
          <w:szCs w:val="24"/>
          <w:highlight w:val="none"/>
        </w:rPr>
        <w:t>1.2</w:t>
      </w:r>
      <w:r>
        <w:rPr>
          <w:rFonts w:ascii="宋体" w:hAnsi="宋体" w:eastAsia="宋体" w:cs="宋体"/>
          <w:color w:val="auto"/>
          <w:spacing w:val="-52"/>
          <w:sz w:val="24"/>
          <w:szCs w:val="24"/>
          <w:highlight w:val="none"/>
        </w:rPr>
        <w:t xml:space="preserve"> </w:t>
      </w:r>
      <w:r>
        <w:rPr>
          <w:rFonts w:ascii="宋体" w:hAnsi="宋体" w:eastAsia="宋体" w:cs="宋体"/>
          <w:b/>
          <w:bCs/>
          <w:color w:val="auto"/>
          <w:spacing w:val="-7"/>
          <w:sz w:val="24"/>
          <w:szCs w:val="24"/>
          <w:highlight w:val="none"/>
        </w:rPr>
        <w:t>评标组织</w:t>
      </w:r>
      <w:bookmarkEnd w:id="189"/>
      <w:bookmarkEnd w:id="190"/>
    </w:p>
    <w:p w14:paraId="3773492C">
      <w:pPr>
        <w:spacing w:before="53" w:line="220" w:lineRule="auto"/>
        <w:ind w:left="50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1.2.1</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协助工作组</w:t>
      </w:r>
    </w:p>
    <w:p w14:paraId="67A04341">
      <w:pPr>
        <w:spacing w:before="181" w:line="359" w:lineRule="auto"/>
        <w:ind w:left="8"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招标人可在评标工作开始前成立协助工作组，选派熟悉招标工作、政治素质高的人员组成，协助评标委员会工作。协助工作组人员的具体数量由招标人视评</w:t>
      </w:r>
      <w:r>
        <w:rPr>
          <w:rFonts w:ascii="宋体" w:hAnsi="宋体" w:eastAsia="宋体" w:cs="宋体"/>
          <w:color w:val="auto"/>
          <w:spacing w:val="4"/>
          <w:sz w:val="24"/>
          <w:szCs w:val="24"/>
          <w:highlight w:val="none"/>
        </w:rPr>
        <w:t>标工作量</w:t>
      </w:r>
      <w:r>
        <w:rPr>
          <w:rFonts w:ascii="宋体" w:hAnsi="宋体" w:eastAsia="宋体" w:cs="宋体"/>
          <w:color w:val="auto"/>
          <w:spacing w:val="-4"/>
          <w:sz w:val="24"/>
          <w:szCs w:val="24"/>
          <w:highlight w:val="none"/>
        </w:rPr>
        <w:t>确定。</w:t>
      </w:r>
    </w:p>
    <w:p w14:paraId="2D903F78">
      <w:pPr>
        <w:spacing w:before="1" w:line="218" w:lineRule="auto"/>
        <w:ind w:left="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招标人可以协助评标委员会开展下列工作并提供相关信息：</w:t>
      </w:r>
    </w:p>
    <w:p w14:paraId="0B34474C">
      <w:pPr>
        <w:spacing w:before="181"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（1）根据招标文件，编制评标使用的相应表格；</w:t>
      </w:r>
    </w:p>
    <w:p w14:paraId="0494DF22">
      <w:pPr>
        <w:spacing w:before="183" w:line="218" w:lineRule="auto"/>
        <w:ind w:left="49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（2）对投标报价进行算术性校核；</w:t>
      </w:r>
    </w:p>
    <w:p w14:paraId="2178ED2B">
      <w:pPr>
        <w:spacing w:before="182" w:line="290" w:lineRule="auto"/>
        <w:ind w:left="12"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（3）以评标标准和方法为依据，列出投标文件相对于招标文件的所有偏差，并进</w:t>
      </w:r>
      <w:r>
        <w:rPr>
          <w:rFonts w:ascii="宋体" w:hAnsi="宋体" w:eastAsia="宋体" w:cs="宋体"/>
          <w:color w:val="auto"/>
          <w:spacing w:val="-3"/>
          <w:sz w:val="24"/>
          <w:szCs w:val="24"/>
          <w:highlight w:val="none"/>
        </w:rPr>
        <w:t>行归类汇总；</w:t>
      </w:r>
    </w:p>
    <w:p w14:paraId="522E3E47">
      <w:pPr>
        <w:spacing w:before="146" w:line="321" w:lineRule="auto"/>
        <w:ind w:left="10" w:firstLine="48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（4）查询全国公路建设市场监督管理系统</w:t>
      </w:r>
      <w:r>
        <w:rPr>
          <w:color w:val="auto"/>
          <w:highlight w:val="none"/>
        </w:rPr>
        <w:fldChar w:fldCharType="begin"/>
      </w:r>
      <w:r>
        <w:rPr>
          <w:color w:val="auto"/>
          <w:highlight w:val="none"/>
        </w:rPr>
        <w:instrText xml:space="preserve"> HYPERLINK \l "bookmark136" </w:instrText>
      </w:r>
      <w:r>
        <w:rPr>
          <w:color w:val="auto"/>
          <w:highlight w:val="none"/>
        </w:rPr>
        <w:fldChar w:fldCharType="separate"/>
      </w:r>
      <w:r>
        <w:rPr>
          <w:rFonts w:ascii="宋体" w:hAnsi="宋体" w:eastAsia="宋体" w:cs="宋体"/>
          <w:color w:val="auto"/>
          <w:spacing w:val="2"/>
          <w:position w:val="12"/>
          <w:sz w:val="12"/>
          <w:szCs w:val="12"/>
          <w:highlight w:val="none"/>
        </w:rPr>
        <w:t>①</w:t>
      </w:r>
      <w:r>
        <w:rPr>
          <w:rFonts w:ascii="宋体" w:hAnsi="宋体" w:eastAsia="宋体" w:cs="宋体"/>
          <w:color w:val="auto"/>
          <w:spacing w:val="2"/>
          <w:position w:val="12"/>
          <w:sz w:val="12"/>
          <w:szCs w:val="12"/>
          <w:highlight w:val="none"/>
        </w:rPr>
        <w:fldChar w:fldCharType="end"/>
      </w:r>
      <w:r>
        <w:rPr>
          <w:rFonts w:ascii="宋体" w:hAnsi="宋体" w:eastAsia="宋体" w:cs="宋体"/>
          <w:color w:val="auto"/>
          <w:spacing w:val="-26"/>
          <w:position w:val="12"/>
          <w:sz w:val="12"/>
          <w:szCs w:val="12"/>
          <w:highlight w:val="none"/>
        </w:rPr>
        <w:t xml:space="preserve"> </w:t>
      </w:r>
      <w:r>
        <w:rPr>
          <w:rFonts w:ascii="宋体" w:hAnsi="宋体" w:eastAsia="宋体" w:cs="宋体"/>
          <w:color w:val="auto"/>
          <w:spacing w:val="2"/>
          <w:sz w:val="24"/>
          <w:szCs w:val="24"/>
          <w:highlight w:val="none"/>
        </w:rPr>
        <w:t>,</w:t>
      </w:r>
      <w:r>
        <w:rPr>
          <w:rFonts w:ascii="宋体" w:hAnsi="宋体" w:eastAsia="宋体" w:cs="宋体"/>
          <w:color w:val="auto"/>
          <w:spacing w:val="67"/>
          <w:sz w:val="24"/>
          <w:szCs w:val="24"/>
          <w:highlight w:val="none"/>
        </w:rPr>
        <w:t xml:space="preserve"> </w:t>
      </w:r>
      <w:r>
        <w:rPr>
          <w:rFonts w:ascii="宋体" w:hAnsi="宋体" w:eastAsia="宋体" w:cs="宋体"/>
          <w:color w:val="auto"/>
          <w:spacing w:val="2"/>
          <w:sz w:val="24"/>
          <w:szCs w:val="24"/>
          <w:highlight w:val="none"/>
        </w:rPr>
        <w:t>对投标人的资质、业绩、主</w:t>
      </w:r>
      <w:r>
        <w:rPr>
          <w:rFonts w:ascii="宋体" w:hAnsi="宋体" w:eastAsia="宋体" w:cs="宋体"/>
          <w:color w:val="auto"/>
          <w:spacing w:val="1"/>
          <w:sz w:val="24"/>
          <w:szCs w:val="24"/>
          <w:highlight w:val="none"/>
        </w:rPr>
        <w:t>要人员</w:t>
      </w:r>
      <w:r>
        <w:rPr>
          <w:rFonts w:ascii="宋体" w:hAnsi="宋体" w:eastAsia="宋体" w:cs="宋体"/>
          <w:color w:val="auto"/>
          <w:spacing w:val="5"/>
          <w:sz w:val="24"/>
          <w:szCs w:val="24"/>
          <w:highlight w:val="none"/>
        </w:rPr>
        <w:t>资历和目前在岗情况、信用等级进行核实（如有）。在投标截止当天查</w:t>
      </w:r>
      <w:r>
        <w:rPr>
          <w:rFonts w:ascii="宋体" w:hAnsi="宋体" w:eastAsia="宋体" w:cs="宋体"/>
          <w:color w:val="auto"/>
          <w:spacing w:val="4"/>
          <w:sz w:val="24"/>
          <w:szCs w:val="24"/>
          <w:highlight w:val="none"/>
        </w:rPr>
        <w:t>询投标人在信</w:t>
      </w:r>
      <w:r>
        <w:rPr>
          <w:rFonts w:ascii="宋体" w:hAnsi="宋体" w:eastAsia="宋体" w:cs="宋体"/>
          <w:color w:val="auto"/>
          <w:spacing w:val="-1"/>
          <w:sz w:val="24"/>
          <w:szCs w:val="24"/>
          <w:highlight w:val="none"/>
        </w:rPr>
        <w:t>用中国中的行政处罚公示信息，并提交评标委员会。</w:t>
      </w:r>
    </w:p>
    <w:p w14:paraId="553962C7">
      <w:pPr>
        <w:spacing w:before="184" w:line="359" w:lineRule="auto"/>
        <w:ind w:left="7" w:firstLine="48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招标人不得对投标文件作出任何评价，不得故意遗漏或者片面摘录，不得在评标</w:t>
      </w:r>
      <w:r>
        <w:rPr>
          <w:rFonts w:ascii="宋体" w:hAnsi="宋体" w:eastAsia="宋体" w:cs="宋体"/>
          <w:color w:val="auto"/>
          <w:spacing w:val="-1"/>
          <w:sz w:val="24"/>
          <w:szCs w:val="24"/>
          <w:highlight w:val="none"/>
        </w:rPr>
        <w:t>委员会对所有偏差定性之前透露存有偏差的投标人名称。</w:t>
      </w:r>
    </w:p>
    <w:p w14:paraId="645F1342">
      <w:pPr>
        <w:spacing w:before="1" w:line="218" w:lineRule="auto"/>
        <w:ind w:left="50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1.2.2</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评标委员会</w:t>
      </w:r>
    </w:p>
    <w:p w14:paraId="4522066B">
      <w:pPr>
        <w:spacing w:before="184" w:line="359" w:lineRule="auto"/>
        <w:ind w:left="9" w:firstLine="47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评标委员会由招标人按国家、广东省等的有关规定依法组建。评标委员人数参见</w:t>
      </w:r>
      <w:r>
        <w:rPr>
          <w:rFonts w:ascii="宋体" w:hAnsi="宋体" w:eastAsia="宋体" w:cs="宋体"/>
          <w:color w:val="auto"/>
          <w:sz w:val="24"/>
          <w:szCs w:val="24"/>
          <w:highlight w:val="none"/>
        </w:rPr>
        <w:t>本招标文件“投标人须知前附表第6.1.1</w:t>
      </w:r>
      <w:r>
        <w:rPr>
          <w:rFonts w:ascii="宋体" w:hAnsi="宋体" w:eastAsia="宋体" w:cs="宋体"/>
          <w:color w:val="auto"/>
          <w:spacing w:val="-44"/>
          <w:sz w:val="24"/>
          <w:szCs w:val="24"/>
          <w:highlight w:val="none"/>
        </w:rPr>
        <w:t xml:space="preserve"> </w:t>
      </w:r>
      <w:r>
        <w:rPr>
          <w:rFonts w:ascii="宋体" w:hAnsi="宋体" w:eastAsia="宋体" w:cs="宋体"/>
          <w:color w:val="auto"/>
          <w:sz w:val="24"/>
          <w:szCs w:val="24"/>
          <w:highlight w:val="none"/>
        </w:rPr>
        <w:t>款</w:t>
      </w:r>
      <w:r>
        <w:rPr>
          <w:rFonts w:ascii="宋体" w:hAnsi="宋体" w:eastAsia="宋体" w:cs="宋体"/>
          <w:color w:val="auto"/>
          <w:spacing w:val="-88"/>
          <w:sz w:val="24"/>
          <w:szCs w:val="24"/>
          <w:highlight w:val="none"/>
        </w:rPr>
        <w:t xml:space="preserve"> </w:t>
      </w:r>
      <w:r>
        <w:rPr>
          <w:rFonts w:ascii="宋体" w:hAnsi="宋体" w:eastAsia="宋体" w:cs="宋体"/>
          <w:color w:val="auto"/>
          <w:sz w:val="24"/>
          <w:szCs w:val="24"/>
          <w:highlight w:val="none"/>
        </w:rPr>
        <w:t>”。评标委员会的主要工作内容包括：</w:t>
      </w:r>
    </w:p>
    <w:p w14:paraId="52D069DC">
      <w:pPr>
        <w:spacing w:before="2" w:line="288" w:lineRule="auto"/>
        <w:ind w:left="9" w:firstLine="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（1）评标委员会开始评标工作之前，首先听取招标人、协助工作组关于工程情况</w:t>
      </w:r>
      <w:r>
        <w:rPr>
          <w:rFonts w:ascii="宋体" w:hAnsi="宋体" w:eastAsia="宋体" w:cs="宋体"/>
          <w:color w:val="auto"/>
          <w:sz w:val="24"/>
          <w:szCs w:val="24"/>
          <w:highlight w:val="none"/>
        </w:rPr>
        <w:t>和辅助工作的说明，并认真研读招标文件，获取评</w:t>
      </w:r>
      <w:r>
        <w:rPr>
          <w:rFonts w:ascii="宋体" w:hAnsi="宋体" w:eastAsia="宋体" w:cs="宋体"/>
          <w:color w:val="auto"/>
          <w:spacing w:val="-1"/>
          <w:sz w:val="24"/>
          <w:szCs w:val="24"/>
          <w:highlight w:val="none"/>
        </w:rPr>
        <w:t>标所需的重要信息和数据；</w:t>
      </w:r>
    </w:p>
    <w:p w14:paraId="58A35D9C">
      <w:pPr>
        <w:spacing w:before="182" w:line="219" w:lineRule="auto"/>
        <w:ind w:left="499"/>
        <w:rPr>
          <w:rFonts w:ascii="宋体" w:hAnsi="宋体" w:eastAsia="宋体" w:cs="宋体"/>
          <w:color w:val="auto"/>
          <w:sz w:val="24"/>
          <w:szCs w:val="24"/>
          <w:highlight w:val="none"/>
        </w:rPr>
      </w:pPr>
      <w:bookmarkStart w:id="191" w:name="bookmark136"/>
      <w:bookmarkEnd w:id="191"/>
      <w:r>
        <w:rPr>
          <w:rFonts w:ascii="宋体" w:hAnsi="宋体" w:eastAsia="宋体" w:cs="宋体"/>
          <w:color w:val="auto"/>
          <w:spacing w:val="-1"/>
          <w:sz w:val="24"/>
          <w:szCs w:val="24"/>
          <w:highlight w:val="none"/>
        </w:rPr>
        <w:t>（2）对协助工作组提供的评标工作用表和评标内容进行核查。</w:t>
      </w:r>
    </w:p>
    <w:p w14:paraId="4A91188A">
      <w:pPr>
        <w:spacing w:line="258" w:lineRule="auto"/>
        <w:rPr>
          <w:rFonts w:ascii="Arial"/>
          <w:color w:val="auto"/>
          <w:sz w:val="21"/>
          <w:highlight w:val="none"/>
        </w:rPr>
      </w:pPr>
    </w:p>
    <w:p w14:paraId="129F9E3F">
      <w:pPr>
        <w:spacing w:line="258" w:lineRule="auto"/>
        <w:rPr>
          <w:rFonts w:ascii="Arial"/>
          <w:color w:val="auto"/>
          <w:sz w:val="21"/>
          <w:highlight w:val="none"/>
        </w:rPr>
      </w:pPr>
      <w:r>
        <w:rPr>
          <w:color w:val="auto"/>
          <w:highlight w:val="none"/>
        </w:rPr>
        <w:pict>
          <v:shape id="_x0000_s1081" o:spid="_x0000_s1081" style="position:absolute;left:0pt;margin-left:0pt;margin-top:8.55pt;height:0pt;width:144pt;z-index:251694080;mso-width-relative:page;mso-height-relative:page;" filled="f" stroked="t" coordsize="2880,0" path="m0,0l2880,0e">
            <v:fill on="f" focussize="0,0"/>
            <v:stroke weight="0pt" color="#000000" miterlimit="0" joinstyle="bevel" endcap="square"/>
            <v:imagedata o:title=""/>
            <o:lock v:ext="edit"/>
          </v:shape>
        </w:pict>
      </w:r>
    </w:p>
    <w:p w14:paraId="18D9BECA">
      <w:pPr>
        <w:spacing w:before="59" w:line="220" w:lineRule="auto"/>
        <w:ind w:left="5"/>
        <w:rPr>
          <w:rFonts w:ascii="宋体" w:hAnsi="宋体" w:eastAsia="宋体" w:cs="宋体"/>
          <w:color w:val="auto"/>
          <w:sz w:val="18"/>
          <w:szCs w:val="18"/>
          <w:highlight w:val="none"/>
        </w:rPr>
      </w:pPr>
      <w:r>
        <w:rPr>
          <w:rFonts w:ascii="宋体" w:hAnsi="宋体" w:eastAsia="宋体" w:cs="宋体"/>
          <w:color w:val="auto"/>
          <w:sz w:val="18"/>
          <w:szCs w:val="18"/>
          <w:highlight w:val="none"/>
        </w:rPr>
        <w:t>① 不适用于全国公路建设市场监督管理系统截</w:t>
      </w:r>
      <w:r>
        <w:rPr>
          <w:rFonts w:ascii="宋体" w:hAnsi="宋体" w:eastAsia="宋体" w:cs="宋体"/>
          <w:color w:val="auto"/>
          <w:spacing w:val="-1"/>
          <w:sz w:val="18"/>
          <w:szCs w:val="18"/>
          <w:highlight w:val="none"/>
        </w:rPr>
        <w:t>图招标的情形。</w:t>
      </w:r>
    </w:p>
    <w:p w14:paraId="676E9AB5">
      <w:pPr>
        <w:spacing w:line="220" w:lineRule="auto"/>
        <w:rPr>
          <w:rFonts w:ascii="宋体" w:hAnsi="宋体" w:eastAsia="宋体" w:cs="宋体"/>
          <w:color w:val="auto"/>
          <w:sz w:val="18"/>
          <w:szCs w:val="18"/>
          <w:highlight w:val="none"/>
        </w:rPr>
        <w:sectPr>
          <w:footerReference r:id="rId54" w:type="default"/>
          <w:pgSz w:w="11906" w:h="16839"/>
          <w:pgMar w:top="1403" w:right="1417" w:bottom="1297" w:left="1417" w:header="0" w:footer="1066" w:gutter="0"/>
          <w:pgNumType w:fmt="decimal"/>
          <w:cols w:space="720" w:num="1"/>
        </w:sectPr>
      </w:pPr>
    </w:p>
    <w:p w14:paraId="073C351D">
      <w:pPr>
        <w:spacing w:before="48"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（3）按照以下</w:t>
      </w:r>
      <w:r>
        <w:rPr>
          <w:rFonts w:ascii="宋体" w:hAnsi="宋体" w:eastAsia="宋体" w:cs="宋体"/>
          <w:color w:val="auto"/>
          <w:spacing w:val="-27"/>
          <w:sz w:val="24"/>
          <w:szCs w:val="24"/>
          <w:highlight w:val="none"/>
        </w:rPr>
        <w:t xml:space="preserve"> </w:t>
      </w:r>
      <w:r>
        <w:rPr>
          <w:rFonts w:ascii="宋体" w:hAnsi="宋体" w:eastAsia="宋体" w:cs="宋体"/>
          <w:color w:val="auto"/>
          <w:spacing w:val="-3"/>
          <w:sz w:val="24"/>
          <w:szCs w:val="24"/>
          <w:highlight w:val="none"/>
        </w:rPr>
        <w:t>1.3</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款程序进行各项评审工作。</w:t>
      </w:r>
    </w:p>
    <w:p w14:paraId="33F4FD6D">
      <w:pPr>
        <w:spacing w:line="245" w:lineRule="auto"/>
        <w:rPr>
          <w:rFonts w:ascii="Arial"/>
          <w:color w:val="auto"/>
          <w:sz w:val="21"/>
          <w:highlight w:val="none"/>
        </w:rPr>
      </w:pPr>
    </w:p>
    <w:p w14:paraId="489EBB92">
      <w:pPr>
        <w:spacing w:before="78" w:line="220" w:lineRule="auto"/>
        <w:ind w:left="18"/>
        <w:outlineLvl w:val="1"/>
        <w:rPr>
          <w:rFonts w:ascii="宋体" w:hAnsi="宋体" w:eastAsia="宋体" w:cs="宋体"/>
          <w:color w:val="auto"/>
          <w:sz w:val="24"/>
          <w:szCs w:val="24"/>
          <w:highlight w:val="none"/>
        </w:rPr>
      </w:pPr>
      <w:bookmarkStart w:id="192" w:name="_Toc20558"/>
      <w:bookmarkStart w:id="193" w:name="_Toc117"/>
      <w:r>
        <w:rPr>
          <w:rFonts w:ascii="宋体" w:hAnsi="宋体" w:eastAsia="宋体" w:cs="宋体"/>
          <w:b/>
          <w:bCs/>
          <w:color w:val="auto"/>
          <w:spacing w:val="-6"/>
          <w:sz w:val="24"/>
          <w:szCs w:val="24"/>
          <w:highlight w:val="none"/>
        </w:rPr>
        <w:t>1.3</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6"/>
          <w:sz w:val="24"/>
          <w:szCs w:val="24"/>
          <w:highlight w:val="none"/>
        </w:rPr>
        <w:t>评审工作程序</w:t>
      </w:r>
      <w:bookmarkEnd w:id="192"/>
      <w:bookmarkEnd w:id="193"/>
    </w:p>
    <w:p w14:paraId="5CB9DD78">
      <w:pPr>
        <w:spacing w:before="50"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（一）第一个信封（商务及技术文件</w:t>
      </w:r>
      <w:r>
        <w:rPr>
          <w:rFonts w:ascii="宋体" w:hAnsi="宋体" w:eastAsia="宋体" w:cs="宋体"/>
          <w:color w:val="auto"/>
          <w:spacing w:val="5"/>
          <w:sz w:val="24"/>
          <w:szCs w:val="24"/>
          <w:highlight w:val="none"/>
        </w:rPr>
        <w:t>）：</w:t>
      </w:r>
    </w:p>
    <w:p w14:paraId="7F1BB360">
      <w:pPr>
        <w:spacing w:before="183" w:line="219" w:lineRule="auto"/>
        <w:ind w:left="4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l、初步评审：包括形式评审与响应性评审、资格评审；</w:t>
      </w:r>
    </w:p>
    <w:p w14:paraId="54E8E518">
      <w:pPr>
        <w:spacing w:before="182" w:line="312" w:lineRule="auto"/>
        <w:ind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2、详细评审（评审打分</w:t>
      </w:r>
      <w:r>
        <w:rPr>
          <w:rFonts w:ascii="宋体" w:hAnsi="宋体" w:eastAsia="宋体" w:cs="宋体"/>
          <w:color w:val="auto"/>
          <w:spacing w:val="12"/>
          <w:sz w:val="24"/>
          <w:szCs w:val="24"/>
          <w:highlight w:val="none"/>
        </w:rPr>
        <w:t>）：</w:t>
      </w:r>
      <w:r>
        <w:rPr>
          <w:rFonts w:ascii="宋体" w:hAnsi="宋体" w:eastAsia="宋体" w:cs="宋体"/>
          <w:color w:val="auto"/>
          <w:spacing w:val="1"/>
          <w:sz w:val="24"/>
          <w:szCs w:val="24"/>
          <w:highlight w:val="none"/>
        </w:rPr>
        <w:t>评标委员会首先对通过初步评审的投标文件第一个信</w:t>
      </w:r>
      <w:r>
        <w:rPr>
          <w:rFonts w:ascii="宋体" w:hAnsi="宋体" w:eastAsia="宋体" w:cs="宋体"/>
          <w:color w:val="auto"/>
          <w:spacing w:val="5"/>
          <w:sz w:val="24"/>
          <w:szCs w:val="24"/>
          <w:highlight w:val="none"/>
        </w:rPr>
        <w:t>封（商务及技术文件）进行详细评审，对投标人的监理实施方案、主要人员、</w:t>
      </w:r>
      <w:r>
        <w:rPr>
          <w:rFonts w:ascii="宋体" w:hAnsi="宋体" w:eastAsia="宋体" w:cs="宋体"/>
          <w:color w:val="auto"/>
          <w:spacing w:val="4"/>
          <w:sz w:val="24"/>
          <w:szCs w:val="24"/>
          <w:highlight w:val="none"/>
        </w:rPr>
        <w:t>其他因</w:t>
      </w:r>
      <w:r>
        <w:rPr>
          <w:rFonts w:ascii="宋体" w:hAnsi="宋体" w:eastAsia="宋体" w:cs="宋体"/>
          <w:color w:val="auto"/>
          <w:spacing w:val="-1"/>
          <w:sz w:val="24"/>
          <w:szCs w:val="24"/>
          <w:highlight w:val="none"/>
        </w:rPr>
        <w:t>素等分别评审打分。</w:t>
      </w:r>
    </w:p>
    <w:p w14:paraId="0BAEE146">
      <w:pPr>
        <w:spacing w:before="182" w:line="218"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（二）第二个信封（报价文件</w:t>
      </w:r>
      <w:r>
        <w:rPr>
          <w:rFonts w:ascii="宋体" w:hAnsi="宋体" w:eastAsia="宋体" w:cs="宋体"/>
          <w:color w:val="auto"/>
          <w:spacing w:val="2"/>
          <w:sz w:val="24"/>
          <w:szCs w:val="24"/>
          <w:highlight w:val="none"/>
        </w:rPr>
        <w:t>）：</w:t>
      </w:r>
    </w:p>
    <w:p w14:paraId="6F4F14E5">
      <w:pPr>
        <w:spacing w:before="182" w:line="219" w:lineRule="auto"/>
        <w:ind w:left="61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1、初步评审：</w:t>
      </w:r>
    </w:p>
    <w:p w14:paraId="0F6E8835">
      <w:pPr>
        <w:spacing w:before="183" w:line="289" w:lineRule="auto"/>
        <w:ind w:left="2" w:firstLine="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（1）只有投标文件第一个信封通过详细评审的投标人才能继续参加第二信封报价</w:t>
      </w:r>
      <w:r>
        <w:rPr>
          <w:rFonts w:ascii="宋体" w:hAnsi="宋体" w:eastAsia="宋体" w:cs="宋体"/>
          <w:color w:val="auto"/>
          <w:spacing w:val="-1"/>
          <w:sz w:val="24"/>
          <w:szCs w:val="24"/>
          <w:highlight w:val="none"/>
        </w:rPr>
        <w:t>文件的形式评审与响应性评审；</w:t>
      </w:r>
    </w:p>
    <w:p w14:paraId="2E540877">
      <w:pPr>
        <w:spacing w:before="182" w:line="218"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（2）报价算术性修正。</w:t>
      </w:r>
    </w:p>
    <w:p w14:paraId="39A99960">
      <w:pPr>
        <w:spacing w:before="183" w:line="218"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2、详细评审：计算评标基准价、评标价得分及综合得分：</w:t>
      </w:r>
    </w:p>
    <w:p w14:paraId="13219F8A">
      <w:pPr>
        <w:spacing w:before="185"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（三）投标文件相关信息的核查。</w:t>
      </w:r>
    </w:p>
    <w:p w14:paraId="117F202A">
      <w:pPr>
        <w:spacing w:before="183" w:line="219" w:lineRule="auto"/>
        <w:ind w:left="52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(四)投标文件的澄清和说明(如有)。</w:t>
      </w:r>
    </w:p>
    <w:p w14:paraId="1AF95095">
      <w:pPr>
        <w:spacing w:before="180" w:line="218"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（五）按评标办法规定推荐中标候选人，编写评标报告。</w:t>
      </w:r>
    </w:p>
    <w:p w14:paraId="52E85907">
      <w:pPr>
        <w:spacing w:before="190" w:line="221" w:lineRule="auto"/>
        <w:ind w:left="5"/>
        <w:outlineLvl w:val="0"/>
        <w:rPr>
          <w:rFonts w:ascii="宋体" w:hAnsi="宋体" w:eastAsia="宋体" w:cs="宋体"/>
          <w:color w:val="auto"/>
          <w:sz w:val="28"/>
          <w:szCs w:val="28"/>
          <w:highlight w:val="none"/>
        </w:rPr>
      </w:pPr>
      <w:bookmarkStart w:id="194" w:name="_Toc17122"/>
      <w:r>
        <w:rPr>
          <w:rFonts w:ascii="宋体" w:hAnsi="宋体" w:eastAsia="宋体" w:cs="宋体"/>
          <w:b/>
          <w:bCs/>
          <w:color w:val="auto"/>
          <w:spacing w:val="-4"/>
          <w:sz w:val="28"/>
          <w:szCs w:val="28"/>
          <w:highlight w:val="none"/>
        </w:rPr>
        <w:t>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评审标准</w:t>
      </w:r>
      <w:bookmarkEnd w:id="194"/>
    </w:p>
    <w:p w14:paraId="0521DBED">
      <w:pPr>
        <w:spacing w:line="266" w:lineRule="auto"/>
        <w:rPr>
          <w:rFonts w:ascii="Arial"/>
          <w:color w:val="auto"/>
          <w:sz w:val="21"/>
          <w:highlight w:val="none"/>
        </w:rPr>
      </w:pPr>
    </w:p>
    <w:p w14:paraId="2079D0B6">
      <w:pPr>
        <w:spacing w:before="79" w:line="219" w:lineRule="auto"/>
        <w:ind w:left="3"/>
        <w:outlineLvl w:val="1"/>
        <w:rPr>
          <w:rFonts w:ascii="宋体" w:hAnsi="宋体" w:eastAsia="宋体" w:cs="宋体"/>
          <w:color w:val="auto"/>
          <w:sz w:val="24"/>
          <w:szCs w:val="24"/>
          <w:highlight w:val="none"/>
        </w:rPr>
      </w:pPr>
      <w:bookmarkStart w:id="195" w:name="_Toc15114"/>
      <w:bookmarkStart w:id="196" w:name="_Toc8597"/>
      <w:r>
        <w:rPr>
          <w:rFonts w:ascii="宋体" w:hAnsi="宋体" w:eastAsia="宋体" w:cs="宋体"/>
          <w:b/>
          <w:bCs/>
          <w:color w:val="auto"/>
          <w:spacing w:val="-3"/>
          <w:sz w:val="24"/>
          <w:szCs w:val="24"/>
          <w:highlight w:val="none"/>
        </w:rPr>
        <w:t>2.1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初步评审标准</w:t>
      </w:r>
      <w:bookmarkEnd w:id="195"/>
      <w:bookmarkEnd w:id="196"/>
    </w:p>
    <w:p w14:paraId="1359F539">
      <w:pPr>
        <w:spacing w:before="51"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2.1.1 形式评审标准：见评标办法前附表。</w:t>
      </w:r>
    </w:p>
    <w:p w14:paraId="0326F6BC">
      <w:pPr>
        <w:spacing w:before="183" w:line="219" w:lineRule="auto"/>
        <w:ind w:left="483"/>
        <w:rPr>
          <w:rFonts w:ascii="宋体" w:hAnsi="宋体" w:eastAsia="宋体" w:cs="宋体"/>
          <w:color w:val="auto"/>
          <w:sz w:val="24"/>
          <w:szCs w:val="24"/>
          <w:highlight w:val="none"/>
        </w:rPr>
      </w:pPr>
      <w:r>
        <w:rPr>
          <w:rFonts w:ascii="宋体" w:hAnsi="宋体" w:eastAsia="宋体" w:cs="宋体"/>
          <w:color w:val="auto"/>
          <w:sz w:val="24"/>
          <w:szCs w:val="24"/>
          <w:highlight w:val="none"/>
        </w:rPr>
        <w:t>2.1.2 资格评审标准：见评标办法前附表</w:t>
      </w:r>
      <w:r>
        <w:rPr>
          <w:rFonts w:ascii="宋体" w:hAnsi="宋体" w:eastAsia="宋体" w:cs="宋体"/>
          <w:color w:val="auto"/>
          <w:spacing w:val="-1"/>
          <w:sz w:val="24"/>
          <w:szCs w:val="24"/>
          <w:highlight w:val="none"/>
        </w:rPr>
        <w:t>（适用于未进行资格预审的）。</w:t>
      </w:r>
    </w:p>
    <w:p w14:paraId="6F44DBBC">
      <w:pPr>
        <w:spacing w:before="183" w:line="289" w:lineRule="auto"/>
        <w:ind w:left="12" w:firstLine="471"/>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2.1.2 资格评审标准：见资格预审文件第三章“</w:t>
      </w:r>
      <w:r>
        <w:rPr>
          <w:rFonts w:ascii="宋体" w:hAnsi="宋体" w:eastAsia="宋体" w:cs="宋体"/>
          <w:color w:val="auto"/>
          <w:spacing w:val="-81"/>
          <w:sz w:val="24"/>
          <w:szCs w:val="24"/>
          <w:highlight w:val="none"/>
        </w:rPr>
        <w:t xml:space="preserve"> </w:t>
      </w:r>
      <w:r>
        <w:rPr>
          <w:rFonts w:ascii="宋体" w:hAnsi="宋体" w:eastAsia="宋体" w:cs="宋体"/>
          <w:color w:val="auto"/>
          <w:spacing w:val="9"/>
          <w:sz w:val="24"/>
          <w:szCs w:val="24"/>
          <w:highlight w:val="none"/>
        </w:rPr>
        <w:t>资格审查办法</w:t>
      </w:r>
      <w:r>
        <w:rPr>
          <w:rFonts w:ascii="宋体" w:hAnsi="宋体" w:eastAsia="宋体" w:cs="宋体"/>
          <w:color w:val="auto"/>
          <w:spacing w:val="-74"/>
          <w:sz w:val="24"/>
          <w:szCs w:val="24"/>
          <w:highlight w:val="none"/>
        </w:rPr>
        <w:t xml:space="preserve"> </w:t>
      </w:r>
      <w:r>
        <w:rPr>
          <w:rFonts w:ascii="宋体" w:hAnsi="宋体" w:eastAsia="宋体" w:cs="宋体"/>
          <w:color w:val="auto"/>
          <w:spacing w:val="9"/>
          <w:sz w:val="24"/>
          <w:szCs w:val="24"/>
          <w:highlight w:val="none"/>
        </w:rPr>
        <w:t>”详细审查标准</w:t>
      </w:r>
      <w:r>
        <w:rPr>
          <w:rFonts w:ascii="宋体" w:hAnsi="宋体" w:eastAsia="宋体" w:cs="宋体"/>
          <w:color w:val="auto"/>
          <w:spacing w:val="-2"/>
          <w:sz w:val="24"/>
          <w:szCs w:val="24"/>
          <w:highlight w:val="none"/>
        </w:rPr>
        <w:t>（适用于已进行资格预审的）。</w:t>
      </w:r>
    </w:p>
    <w:p w14:paraId="2CEB241C">
      <w:pPr>
        <w:spacing w:before="182"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2.1.3 响应性评审标准：见评标办法前附表。</w:t>
      </w:r>
    </w:p>
    <w:p w14:paraId="57D68EE9">
      <w:pPr>
        <w:spacing w:line="246" w:lineRule="auto"/>
        <w:rPr>
          <w:rFonts w:ascii="Arial"/>
          <w:color w:val="auto"/>
          <w:sz w:val="21"/>
          <w:highlight w:val="none"/>
        </w:rPr>
      </w:pPr>
    </w:p>
    <w:p w14:paraId="2BEE42E5">
      <w:pPr>
        <w:spacing w:before="79" w:line="219" w:lineRule="auto"/>
        <w:ind w:left="3"/>
        <w:outlineLvl w:val="1"/>
        <w:rPr>
          <w:rFonts w:ascii="宋体" w:hAnsi="宋体" w:eastAsia="宋体" w:cs="宋体"/>
          <w:color w:val="auto"/>
          <w:sz w:val="24"/>
          <w:szCs w:val="24"/>
          <w:highlight w:val="none"/>
        </w:rPr>
      </w:pPr>
      <w:bookmarkStart w:id="197" w:name="_Toc16096"/>
      <w:bookmarkStart w:id="198" w:name="_Toc30904"/>
      <w:r>
        <w:rPr>
          <w:rFonts w:ascii="宋体" w:hAnsi="宋体" w:eastAsia="宋体" w:cs="宋体"/>
          <w:b/>
          <w:bCs/>
          <w:color w:val="auto"/>
          <w:spacing w:val="-3"/>
          <w:sz w:val="24"/>
          <w:szCs w:val="24"/>
          <w:highlight w:val="none"/>
        </w:rPr>
        <w:t>2.2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分值构成与评分标准</w:t>
      </w:r>
      <w:bookmarkEnd w:id="197"/>
      <w:bookmarkEnd w:id="198"/>
    </w:p>
    <w:p w14:paraId="2FDA174C">
      <w:pPr>
        <w:spacing w:before="51" w:line="219"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2.2.1 分值构成</w:t>
      </w:r>
    </w:p>
    <w:p w14:paraId="594DD847">
      <w:pPr>
        <w:spacing w:before="182"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（1）技术建议书：见评标办法前附表；</w:t>
      </w:r>
    </w:p>
    <w:p w14:paraId="56CA0CE6">
      <w:pPr>
        <w:spacing w:before="181"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（2）主要人员：见评标办法前附表；</w:t>
      </w:r>
    </w:p>
    <w:p w14:paraId="2BCEC6D1">
      <w:pPr>
        <w:spacing w:before="184" w:line="218"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（3）评标价：见评标办法前附表；</w:t>
      </w:r>
    </w:p>
    <w:p w14:paraId="0D275284">
      <w:pPr>
        <w:spacing w:before="182"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（4）其他评分因素：见评标办法前附表。</w:t>
      </w:r>
    </w:p>
    <w:p w14:paraId="5E68CA0B">
      <w:pPr>
        <w:spacing w:before="183" w:line="218"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2.2.2 评标基准价计算</w:t>
      </w:r>
    </w:p>
    <w:p w14:paraId="70BFE928">
      <w:pPr>
        <w:spacing w:line="218" w:lineRule="auto"/>
        <w:rPr>
          <w:rFonts w:ascii="宋体" w:hAnsi="宋体" w:eastAsia="宋体" w:cs="宋体"/>
          <w:color w:val="auto"/>
          <w:sz w:val="24"/>
          <w:szCs w:val="24"/>
          <w:highlight w:val="none"/>
        </w:rPr>
        <w:sectPr>
          <w:footerReference r:id="rId55" w:type="default"/>
          <w:pgSz w:w="11906" w:h="16839"/>
          <w:pgMar w:top="1405" w:right="1418" w:bottom="1297" w:left="1424" w:header="0" w:footer="1066" w:gutter="0"/>
          <w:pgNumType w:fmt="decimal"/>
          <w:cols w:space="720" w:num="1"/>
        </w:sectPr>
      </w:pPr>
    </w:p>
    <w:p w14:paraId="74D169B5">
      <w:pPr>
        <w:spacing w:before="47" w:line="218" w:lineRule="auto"/>
        <w:ind w:left="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评标基准价计算方法：见评标办法前附表。</w:t>
      </w:r>
    </w:p>
    <w:p w14:paraId="625212AE">
      <w:pPr>
        <w:spacing w:before="182" w:line="218" w:lineRule="auto"/>
        <w:ind w:left="49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2.2.3 评标价的偏差率计算</w:t>
      </w:r>
    </w:p>
    <w:p w14:paraId="594BD434">
      <w:pPr>
        <w:spacing w:before="184" w:line="218" w:lineRule="auto"/>
        <w:ind w:left="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评标价的偏差率计算公式：见评标办法前附表。</w:t>
      </w:r>
    </w:p>
    <w:p w14:paraId="7FBAAFEC">
      <w:pPr>
        <w:spacing w:before="182" w:line="220" w:lineRule="auto"/>
        <w:ind w:left="49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2.2.4 评分标准</w:t>
      </w:r>
    </w:p>
    <w:p w14:paraId="5DECFAE4">
      <w:pPr>
        <w:spacing w:before="181" w:line="219" w:lineRule="auto"/>
        <w:ind w:left="50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（1）技术建议书评分标准：见评标办法前附表；</w:t>
      </w:r>
    </w:p>
    <w:p w14:paraId="3B7566D2">
      <w:pPr>
        <w:spacing w:before="181" w:line="219" w:lineRule="auto"/>
        <w:ind w:left="50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（2）主要人员评分标准：见评标办法前附表；</w:t>
      </w:r>
    </w:p>
    <w:p w14:paraId="349F5B18">
      <w:pPr>
        <w:spacing w:before="183" w:line="218"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（3）评标价评分标准：见评标办法前附表；</w:t>
      </w:r>
    </w:p>
    <w:p w14:paraId="4464F16E">
      <w:pPr>
        <w:spacing w:before="182" w:line="219" w:lineRule="auto"/>
        <w:ind w:left="50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（4）其他因素评分标准：见评标办法前附表。</w:t>
      </w:r>
    </w:p>
    <w:p w14:paraId="183EE706">
      <w:pPr>
        <w:spacing w:before="189" w:line="221" w:lineRule="auto"/>
        <w:ind w:left="19"/>
        <w:outlineLvl w:val="0"/>
        <w:rPr>
          <w:rFonts w:ascii="宋体" w:hAnsi="宋体" w:eastAsia="宋体" w:cs="宋体"/>
          <w:color w:val="auto"/>
          <w:sz w:val="28"/>
          <w:szCs w:val="28"/>
          <w:highlight w:val="none"/>
        </w:rPr>
      </w:pPr>
      <w:bookmarkStart w:id="199" w:name="_Toc24558"/>
      <w:r>
        <w:rPr>
          <w:rFonts w:ascii="宋体" w:hAnsi="宋体" w:eastAsia="宋体" w:cs="宋体"/>
          <w:b/>
          <w:bCs/>
          <w:color w:val="auto"/>
          <w:spacing w:val="-5"/>
          <w:sz w:val="28"/>
          <w:szCs w:val="28"/>
          <w:highlight w:val="none"/>
        </w:rPr>
        <w:t>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评标程序</w:t>
      </w:r>
      <w:bookmarkEnd w:id="199"/>
    </w:p>
    <w:p w14:paraId="26B2C838">
      <w:pPr>
        <w:spacing w:line="266" w:lineRule="auto"/>
        <w:rPr>
          <w:rFonts w:ascii="Arial"/>
          <w:color w:val="auto"/>
          <w:sz w:val="21"/>
          <w:highlight w:val="none"/>
        </w:rPr>
      </w:pPr>
    </w:p>
    <w:p w14:paraId="4771860B">
      <w:pPr>
        <w:spacing w:before="79" w:line="219" w:lineRule="auto"/>
        <w:ind w:left="16"/>
        <w:outlineLvl w:val="1"/>
        <w:rPr>
          <w:rFonts w:ascii="宋体" w:hAnsi="宋体" w:eastAsia="宋体" w:cs="宋体"/>
          <w:color w:val="auto"/>
          <w:sz w:val="24"/>
          <w:szCs w:val="24"/>
          <w:highlight w:val="none"/>
        </w:rPr>
      </w:pPr>
      <w:bookmarkStart w:id="200" w:name="_Toc11992"/>
      <w:bookmarkStart w:id="201" w:name="_Toc20856"/>
      <w:r>
        <w:rPr>
          <w:rFonts w:ascii="宋体" w:hAnsi="宋体" w:eastAsia="宋体" w:cs="宋体"/>
          <w:b/>
          <w:bCs/>
          <w:color w:val="auto"/>
          <w:spacing w:val="-3"/>
          <w:sz w:val="24"/>
          <w:szCs w:val="24"/>
          <w:highlight w:val="none"/>
        </w:rPr>
        <w:t>3.1</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第一个信封初步评审</w:t>
      </w:r>
      <w:bookmarkEnd w:id="200"/>
      <w:bookmarkEnd w:id="201"/>
    </w:p>
    <w:p w14:paraId="38C252B4">
      <w:pPr>
        <w:spacing w:before="52" w:line="324" w:lineRule="auto"/>
        <w:ind w:left="12" w:right="2" w:firstLine="48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3.1.1 评标委员会可以要求投标人提交第二章“投标人须知</w:t>
      </w:r>
      <w:r>
        <w:rPr>
          <w:rFonts w:ascii="宋体" w:hAnsi="宋体" w:eastAsia="宋体" w:cs="宋体"/>
          <w:color w:val="auto"/>
          <w:spacing w:val="-74"/>
          <w:sz w:val="24"/>
          <w:szCs w:val="24"/>
          <w:highlight w:val="none"/>
        </w:rPr>
        <w:t xml:space="preserve"> </w:t>
      </w:r>
      <w:r>
        <w:rPr>
          <w:rFonts w:ascii="宋体" w:hAnsi="宋体" w:eastAsia="宋体" w:cs="宋体"/>
          <w:color w:val="auto"/>
          <w:spacing w:val="8"/>
          <w:sz w:val="24"/>
          <w:szCs w:val="24"/>
          <w:highlight w:val="none"/>
        </w:rPr>
        <w:t>”第</w:t>
      </w:r>
      <w:r>
        <w:rPr>
          <w:rFonts w:ascii="宋体" w:hAnsi="宋体" w:eastAsia="宋体" w:cs="宋体"/>
          <w:color w:val="auto"/>
          <w:spacing w:val="-29"/>
          <w:sz w:val="24"/>
          <w:szCs w:val="24"/>
          <w:highlight w:val="none"/>
        </w:rPr>
        <w:t xml:space="preserve"> </w:t>
      </w:r>
      <w:r>
        <w:rPr>
          <w:rFonts w:ascii="宋体" w:hAnsi="宋体" w:eastAsia="宋体" w:cs="宋体"/>
          <w:color w:val="auto"/>
          <w:spacing w:val="8"/>
          <w:sz w:val="24"/>
          <w:szCs w:val="24"/>
          <w:highlight w:val="none"/>
        </w:rPr>
        <w:t>3.5.1</w:t>
      </w:r>
      <w:r>
        <w:rPr>
          <w:rFonts w:ascii="宋体" w:hAnsi="宋体" w:eastAsia="宋体" w:cs="宋体"/>
          <w:color w:val="auto"/>
          <w:spacing w:val="-33"/>
          <w:sz w:val="24"/>
          <w:szCs w:val="24"/>
          <w:highlight w:val="none"/>
        </w:rPr>
        <w:t xml:space="preserve"> </w:t>
      </w:r>
      <w:r>
        <w:rPr>
          <w:rFonts w:ascii="宋体" w:hAnsi="宋体" w:eastAsia="宋体" w:cs="宋体"/>
          <w:color w:val="auto"/>
          <w:spacing w:val="8"/>
          <w:sz w:val="24"/>
          <w:szCs w:val="24"/>
          <w:highlight w:val="none"/>
        </w:rPr>
        <w:t>项至第</w:t>
      </w:r>
      <w:r>
        <w:rPr>
          <w:rFonts w:ascii="宋体" w:hAnsi="宋体" w:eastAsia="宋体" w:cs="宋体"/>
          <w:color w:val="auto"/>
          <w:spacing w:val="-1"/>
          <w:sz w:val="24"/>
          <w:szCs w:val="24"/>
          <w:highlight w:val="none"/>
        </w:rPr>
        <w:t>3.5.5</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项规定的有关证明和证件的原件，以便核验。评标委员会依据本章第</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2.1</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款规定</w:t>
      </w:r>
      <w:r>
        <w:rPr>
          <w:rFonts w:ascii="宋体" w:hAnsi="宋体" w:eastAsia="宋体" w:cs="宋体"/>
          <w:color w:val="auto"/>
          <w:spacing w:val="5"/>
          <w:sz w:val="24"/>
          <w:szCs w:val="24"/>
          <w:highlight w:val="none"/>
        </w:rPr>
        <w:t>的标准对投标文件第一个信封（商务及技术文件）进行初步评审。有一项</w:t>
      </w:r>
      <w:r>
        <w:rPr>
          <w:rFonts w:ascii="宋体" w:hAnsi="宋体" w:eastAsia="宋体" w:cs="宋体"/>
          <w:color w:val="auto"/>
          <w:spacing w:val="4"/>
          <w:sz w:val="24"/>
          <w:szCs w:val="24"/>
          <w:highlight w:val="none"/>
        </w:rPr>
        <w:t>不符合评审</w:t>
      </w:r>
      <w:r>
        <w:rPr>
          <w:rFonts w:ascii="宋体" w:hAnsi="宋体" w:eastAsia="宋体" w:cs="宋体"/>
          <w:color w:val="auto"/>
          <w:spacing w:val="-1"/>
          <w:sz w:val="24"/>
          <w:szCs w:val="24"/>
          <w:highlight w:val="none"/>
        </w:rPr>
        <w:t>标准的，评标委员会应否决其投标。（适用于未进行资格预审的）</w:t>
      </w:r>
    </w:p>
    <w:p w14:paraId="19E99EAF">
      <w:pPr>
        <w:spacing w:before="182" w:line="324" w:lineRule="auto"/>
        <w:ind w:left="10" w:right="2" w:firstLine="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3.1.1 评标委员会依据本章第</w:t>
      </w:r>
      <w:r>
        <w:rPr>
          <w:rFonts w:ascii="宋体" w:hAnsi="宋体" w:eastAsia="宋体" w:cs="宋体"/>
          <w:color w:val="auto"/>
          <w:spacing w:val="-26"/>
          <w:sz w:val="24"/>
          <w:szCs w:val="24"/>
          <w:highlight w:val="none"/>
        </w:rPr>
        <w:t xml:space="preserve"> </w:t>
      </w:r>
      <w:r>
        <w:rPr>
          <w:rFonts w:ascii="宋体" w:hAnsi="宋体" w:eastAsia="宋体" w:cs="宋体"/>
          <w:color w:val="auto"/>
          <w:spacing w:val="2"/>
          <w:sz w:val="24"/>
          <w:szCs w:val="24"/>
          <w:highlight w:val="none"/>
        </w:rPr>
        <w:t>2.1.1</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项、第</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2.1.3</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项规定的评审标准对投标文件</w:t>
      </w:r>
      <w:r>
        <w:rPr>
          <w:rFonts w:ascii="宋体" w:hAnsi="宋体" w:eastAsia="宋体" w:cs="宋体"/>
          <w:color w:val="auto"/>
          <w:spacing w:val="5"/>
          <w:sz w:val="24"/>
          <w:szCs w:val="24"/>
          <w:highlight w:val="none"/>
        </w:rPr>
        <w:t>第一个信封（商务及技术文件）进行初步评审。有一项不符合评审标准的，评</w:t>
      </w:r>
      <w:r>
        <w:rPr>
          <w:rFonts w:ascii="宋体" w:hAnsi="宋体" w:eastAsia="宋体" w:cs="宋体"/>
          <w:color w:val="auto"/>
          <w:spacing w:val="4"/>
          <w:sz w:val="24"/>
          <w:szCs w:val="24"/>
          <w:highlight w:val="none"/>
        </w:rPr>
        <w:t>标委员</w:t>
      </w:r>
      <w:r>
        <w:rPr>
          <w:rFonts w:ascii="宋体" w:hAnsi="宋体" w:eastAsia="宋体" w:cs="宋体"/>
          <w:color w:val="auto"/>
          <w:spacing w:val="5"/>
          <w:sz w:val="24"/>
          <w:szCs w:val="24"/>
          <w:highlight w:val="none"/>
        </w:rPr>
        <w:t>会应否决其投标。当投标人资格预审申请文件的内容发生重大变化时，评标委</w:t>
      </w:r>
      <w:r>
        <w:rPr>
          <w:rFonts w:ascii="宋体" w:hAnsi="宋体" w:eastAsia="宋体" w:cs="宋体"/>
          <w:color w:val="auto"/>
          <w:spacing w:val="4"/>
          <w:sz w:val="24"/>
          <w:szCs w:val="24"/>
          <w:highlight w:val="none"/>
        </w:rPr>
        <w:t>员会依</w:t>
      </w:r>
      <w:r>
        <w:rPr>
          <w:rFonts w:ascii="宋体" w:hAnsi="宋体" w:eastAsia="宋体" w:cs="宋体"/>
          <w:color w:val="auto"/>
          <w:spacing w:val="-1"/>
          <w:sz w:val="24"/>
          <w:szCs w:val="24"/>
          <w:highlight w:val="none"/>
        </w:rPr>
        <w:t>据本章第</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2.1.2</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项规定的标准对其更新资料进行评审。（适用于已进行资格预审的）</w:t>
      </w:r>
    </w:p>
    <w:p w14:paraId="1B05F55D">
      <w:pPr>
        <w:spacing w:line="248" w:lineRule="auto"/>
        <w:rPr>
          <w:rFonts w:ascii="Arial"/>
          <w:color w:val="auto"/>
          <w:sz w:val="21"/>
          <w:highlight w:val="none"/>
        </w:rPr>
      </w:pPr>
    </w:p>
    <w:p w14:paraId="2D43D1BB">
      <w:pPr>
        <w:spacing w:before="79" w:line="219" w:lineRule="auto"/>
        <w:ind w:left="16"/>
        <w:outlineLvl w:val="1"/>
        <w:rPr>
          <w:rFonts w:ascii="宋体" w:hAnsi="宋体" w:eastAsia="宋体" w:cs="宋体"/>
          <w:color w:val="auto"/>
          <w:sz w:val="24"/>
          <w:szCs w:val="24"/>
          <w:highlight w:val="none"/>
        </w:rPr>
      </w:pPr>
      <w:bookmarkStart w:id="202" w:name="_Toc12167"/>
      <w:bookmarkStart w:id="203" w:name="_Toc15799"/>
      <w:r>
        <w:rPr>
          <w:rFonts w:ascii="宋体" w:hAnsi="宋体" w:eastAsia="宋体" w:cs="宋体"/>
          <w:b/>
          <w:bCs/>
          <w:color w:val="auto"/>
          <w:spacing w:val="-3"/>
          <w:sz w:val="24"/>
          <w:szCs w:val="24"/>
          <w:highlight w:val="none"/>
        </w:rPr>
        <w:t>3.2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第一个信封详细评审</w:t>
      </w:r>
      <w:bookmarkEnd w:id="202"/>
      <w:bookmarkEnd w:id="203"/>
    </w:p>
    <w:p w14:paraId="7553C021">
      <w:pPr>
        <w:spacing w:before="51" w:line="359" w:lineRule="auto"/>
        <w:ind w:left="14" w:firstLine="48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3.2.1 评标委员会按本章第</w:t>
      </w:r>
      <w:r>
        <w:rPr>
          <w:rFonts w:ascii="宋体" w:hAnsi="宋体" w:eastAsia="宋体" w:cs="宋体"/>
          <w:color w:val="auto"/>
          <w:spacing w:val="-43"/>
          <w:sz w:val="24"/>
          <w:szCs w:val="24"/>
          <w:highlight w:val="none"/>
        </w:rPr>
        <w:t xml:space="preserve"> </w:t>
      </w:r>
      <w:r>
        <w:rPr>
          <w:rFonts w:ascii="宋体" w:hAnsi="宋体" w:eastAsia="宋体" w:cs="宋体"/>
          <w:color w:val="auto"/>
          <w:spacing w:val="4"/>
          <w:sz w:val="24"/>
          <w:szCs w:val="24"/>
          <w:highlight w:val="none"/>
        </w:rPr>
        <w:t>2.2</w:t>
      </w:r>
      <w:r>
        <w:rPr>
          <w:rFonts w:ascii="宋体" w:hAnsi="宋体" w:eastAsia="宋体" w:cs="宋体"/>
          <w:color w:val="auto"/>
          <w:spacing w:val="-42"/>
          <w:sz w:val="24"/>
          <w:szCs w:val="24"/>
          <w:highlight w:val="none"/>
        </w:rPr>
        <w:t xml:space="preserve"> </w:t>
      </w:r>
      <w:r>
        <w:rPr>
          <w:rFonts w:ascii="宋体" w:hAnsi="宋体" w:eastAsia="宋体" w:cs="宋体"/>
          <w:color w:val="auto"/>
          <w:spacing w:val="4"/>
          <w:sz w:val="24"/>
          <w:szCs w:val="24"/>
          <w:highlight w:val="none"/>
        </w:rPr>
        <w:t>款规定的量化因素和</w:t>
      </w:r>
      <w:r>
        <w:rPr>
          <w:rFonts w:ascii="宋体" w:hAnsi="宋体" w:eastAsia="宋体" w:cs="宋体"/>
          <w:color w:val="auto"/>
          <w:spacing w:val="3"/>
          <w:sz w:val="24"/>
          <w:szCs w:val="24"/>
          <w:highlight w:val="none"/>
        </w:rPr>
        <w:t>分值进行打分，并计算出各</w:t>
      </w:r>
      <w:r>
        <w:rPr>
          <w:rFonts w:ascii="宋体" w:hAnsi="宋体" w:eastAsia="宋体" w:cs="宋体"/>
          <w:color w:val="auto"/>
          <w:spacing w:val="-2"/>
          <w:sz w:val="24"/>
          <w:szCs w:val="24"/>
          <w:highlight w:val="none"/>
        </w:rPr>
        <w:t>投标人的商务和技术得分。</w:t>
      </w:r>
    </w:p>
    <w:p w14:paraId="69BE520B">
      <w:pPr>
        <w:spacing w:before="2" w:line="289" w:lineRule="auto"/>
        <w:ind w:left="12" w:right="2" w:firstLine="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（1）按本章第</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2.2.4</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项（1）</w:t>
      </w:r>
      <w:r>
        <w:rPr>
          <w:rFonts w:ascii="宋体" w:hAnsi="宋体" w:eastAsia="宋体" w:cs="宋体"/>
          <w:color w:val="auto"/>
          <w:spacing w:val="-55"/>
          <w:sz w:val="24"/>
          <w:szCs w:val="24"/>
          <w:highlight w:val="none"/>
        </w:rPr>
        <w:t xml:space="preserve"> </w:t>
      </w:r>
      <w:r>
        <w:rPr>
          <w:rFonts w:ascii="宋体" w:hAnsi="宋体" w:eastAsia="宋体" w:cs="宋体"/>
          <w:color w:val="auto"/>
          <w:spacing w:val="2"/>
          <w:sz w:val="24"/>
          <w:szCs w:val="24"/>
          <w:highlight w:val="none"/>
        </w:rPr>
        <w:t>目规定的评审因素和分值对技</w:t>
      </w:r>
      <w:r>
        <w:rPr>
          <w:rFonts w:ascii="宋体" w:hAnsi="宋体" w:eastAsia="宋体" w:cs="宋体"/>
          <w:color w:val="auto"/>
          <w:spacing w:val="1"/>
          <w:sz w:val="24"/>
          <w:szCs w:val="24"/>
          <w:highlight w:val="none"/>
        </w:rPr>
        <w:t>术建议书部分计算出</w:t>
      </w:r>
      <w:r>
        <w:rPr>
          <w:rFonts w:ascii="宋体" w:hAnsi="宋体" w:eastAsia="宋体" w:cs="宋体"/>
          <w:color w:val="auto"/>
          <w:spacing w:val="-4"/>
          <w:sz w:val="24"/>
          <w:szCs w:val="24"/>
          <w:highlight w:val="none"/>
        </w:rPr>
        <w:t>得分</w:t>
      </w:r>
      <w:r>
        <w:rPr>
          <w:rFonts w:ascii="宋体" w:hAnsi="宋体" w:eastAsia="宋体" w:cs="宋体"/>
          <w:color w:val="auto"/>
          <w:spacing w:val="-56"/>
          <w:sz w:val="24"/>
          <w:szCs w:val="24"/>
          <w:highlight w:val="none"/>
        </w:rPr>
        <w:t xml:space="preserve"> </w:t>
      </w:r>
      <w:r>
        <w:rPr>
          <w:rFonts w:ascii="宋体" w:hAnsi="宋体" w:eastAsia="宋体" w:cs="宋体"/>
          <w:color w:val="auto"/>
          <w:spacing w:val="-4"/>
          <w:sz w:val="24"/>
          <w:szCs w:val="24"/>
          <w:highlight w:val="none"/>
        </w:rPr>
        <w:t>A；</w:t>
      </w:r>
    </w:p>
    <w:p w14:paraId="41D79872">
      <w:pPr>
        <w:spacing w:before="180" w:line="290" w:lineRule="auto"/>
        <w:ind w:left="14" w:right="2" w:firstLine="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（2）按本章第</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2.2.4</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项（2）</w:t>
      </w:r>
      <w:r>
        <w:rPr>
          <w:rFonts w:ascii="宋体" w:hAnsi="宋体" w:eastAsia="宋体" w:cs="宋体"/>
          <w:color w:val="auto"/>
          <w:spacing w:val="-55"/>
          <w:sz w:val="24"/>
          <w:szCs w:val="24"/>
          <w:highlight w:val="none"/>
        </w:rPr>
        <w:t xml:space="preserve"> </w:t>
      </w:r>
      <w:r>
        <w:rPr>
          <w:rFonts w:ascii="宋体" w:hAnsi="宋体" w:eastAsia="宋体" w:cs="宋体"/>
          <w:color w:val="auto"/>
          <w:spacing w:val="2"/>
          <w:sz w:val="24"/>
          <w:szCs w:val="24"/>
          <w:highlight w:val="none"/>
        </w:rPr>
        <w:t>目规定的评审因素和分值对主</w:t>
      </w:r>
      <w:r>
        <w:rPr>
          <w:rFonts w:ascii="宋体" w:hAnsi="宋体" w:eastAsia="宋体" w:cs="宋体"/>
          <w:color w:val="auto"/>
          <w:spacing w:val="1"/>
          <w:sz w:val="24"/>
          <w:szCs w:val="24"/>
          <w:highlight w:val="none"/>
        </w:rPr>
        <w:t>要人员部分计算出得</w:t>
      </w:r>
      <w:r>
        <w:rPr>
          <w:rFonts w:ascii="宋体" w:hAnsi="宋体" w:eastAsia="宋体" w:cs="宋体"/>
          <w:color w:val="auto"/>
          <w:spacing w:val="15"/>
          <w:sz w:val="24"/>
          <w:szCs w:val="24"/>
          <w:highlight w:val="none"/>
        </w:rPr>
        <w:t>分B；</w:t>
      </w:r>
    </w:p>
    <w:p w14:paraId="78940F6A">
      <w:pPr>
        <w:spacing w:before="180" w:line="219" w:lineRule="auto"/>
        <w:ind w:right="14"/>
        <w:jc w:val="right"/>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（3）按本章第</w:t>
      </w:r>
      <w:r>
        <w:rPr>
          <w:rFonts w:ascii="宋体" w:hAnsi="宋体" w:eastAsia="宋体" w:cs="宋体"/>
          <w:color w:val="auto"/>
          <w:spacing w:val="-39"/>
          <w:sz w:val="24"/>
          <w:szCs w:val="24"/>
          <w:highlight w:val="none"/>
        </w:rPr>
        <w:t xml:space="preserve"> </w:t>
      </w:r>
      <w:r>
        <w:rPr>
          <w:rFonts w:ascii="宋体" w:hAnsi="宋体" w:eastAsia="宋体" w:cs="宋体"/>
          <w:color w:val="auto"/>
          <w:spacing w:val="-3"/>
          <w:sz w:val="24"/>
          <w:szCs w:val="24"/>
          <w:highlight w:val="none"/>
        </w:rPr>
        <w:t>2.2.4</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项（4）</w:t>
      </w:r>
      <w:r>
        <w:rPr>
          <w:rFonts w:ascii="宋体" w:hAnsi="宋体" w:eastAsia="宋体" w:cs="宋体"/>
          <w:color w:val="auto"/>
          <w:spacing w:val="-65"/>
          <w:sz w:val="24"/>
          <w:szCs w:val="24"/>
          <w:highlight w:val="none"/>
        </w:rPr>
        <w:t xml:space="preserve"> </w:t>
      </w:r>
      <w:r>
        <w:rPr>
          <w:rFonts w:ascii="宋体" w:hAnsi="宋体" w:eastAsia="宋体" w:cs="宋体"/>
          <w:color w:val="auto"/>
          <w:spacing w:val="-3"/>
          <w:sz w:val="24"/>
          <w:szCs w:val="24"/>
          <w:highlight w:val="none"/>
        </w:rPr>
        <w:t>目规定的评审因素和分值对其他部分计算出得分</w:t>
      </w:r>
      <w:r>
        <w:rPr>
          <w:rFonts w:ascii="宋体" w:hAnsi="宋体" w:eastAsia="宋体" w:cs="宋体"/>
          <w:color w:val="auto"/>
          <w:spacing w:val="-55"/>
          <w:sz w:val="24"/>
          <w:szCs w:val="24"/>
          <w:highlight w:val="none"/>
        </w:rPr>
        <w:t xml:space="preserve"> </w:t>
      </w:r>
      <w:r>
        <w:rPr>
          <w:rFonts w:ascii="宋体" w:hAnsi="宋体" w:eastAsia="宋体" w:cs="宋体"/>
          <w:color w:val="auto"/>
          <w:spacing w:val="-3"/>
          <w:sz w:val="24"/>
          <w:szCs w:val="24"/>
          <w:highlight w:val="none"/>
        </w:rPr>
        <w:t>D。</w:t>
      </w:r>
    </w:p>
    <w:p w14:paraId="54499288">
      <w:pPr>
        <w:spacing w:before="183" w:line="290" w:lineRule="auto"/>
        <w:ind w:right="2" w:firstLine="496"/>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3.2.2 投标人的商务和技术得分分值计算保留小数点后四位，小数点后第五位</w:t>
      </w:r>
      <w:r>
        <w:rPr>
          <w:rFonts w:ascii="宋体" w:hAnsi="宋体" w:eastAsia="宋体" w:cs="宋体"/>
          <w:color w:val="auto"/>
          <w:spacing w:val="-5"/>
          <w:sz w:val="24"/>
          <w:szCs w:val="24"/>
          <w:highlight w:val="none"/>
        </w:rPr>
        <w:t>“</w:t>
      </w:r>
      <w:r>
        <w:rPr>
          <w:rFonts w:ascii="宋体" w:hAnsi="宋体" w:eastAsia="宋体" w:cs="宋体"/>
          <w:color w:val="auto"/>
          <w:spacing w:val="-83"/>
          <w:sz w:val="24"/>
          <w:szCs w:val="24"/>
          <w:highlight w:val="none"/>
        </w:rPr>
        <w:t xml:space="preserve"> </w:t>
      </w:r>
      <w:r>
        <w:rPr>
          <w:rFonts w:ascii="宋体" w:hAnsi="宋体" w:eastAsia="宋体" w:cs="宋体"/>
          <w:color w:val="auto"/>
          <w:spacing w:val="-5"/>
          <w:sz w:val="24"/>
          <w:szCs w:val="24"/>
          <w:highlight w:val="none"/>
        </w:rPr>
        <w:t>四舍五入</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w:t>
      </w:r>
    </w:p>
    <w:p w14:paraId="110E8723">
      <w:pPr>
        <w:spacing w:before="180" w:line="219" w:lineRule="auto"/>
        <w:ind w:left="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3.2.3 投标人的商务和技术得分=A+B+D。</w:t>
      </w:r>
    </w:p>
    <w:p w14:paraId="217AB557">
      <w:pPr>
        <w:spacing w:before="180" w:line="219" w:lineRule="auto"/>
        <w:ind w:left="50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除履约信誉得分外，投标文件第一信封各评分因素细分项得分均不应低于其权重</w:t>
      </w:r>
    </w:p>
    <w:p w14:paraId="74311DD3">
      <w:pPr>
        <w:spacing w:line="219" w:lineRule="auto"/>
        <w:rPr>
          <w:rFonts w:ascii="宋体" w:hAnsi="宋体" w:eastAsia="宋体" w:cs="宋体"/>
          <w:color w:val="auto"/>
          <w:sz w:val="24"/>
          <w:szCs w:val="24"/>
          <w:highlight w:val="none"/>
        </w:rPr>
        <w:sectPr>
          <w:footerReference r:id="rId56" w:type="default"/>
          <w:pgSz w:w="11906" w:h="16839"/>
          <w:pgMar w:top="1405" w:right="1415" w:bottom="1297" w:left="1413" w:header="0" w:footer="1067" w:gutter="0"/>
          <w:pgNumType w:fmt="decimal"/>
          <w:cols w:space="720" w:num="1"/>
        </w:sectPr>
      </w:pPr>
    </w:p>
    <w:p w14:paraId="7A54BF42">
      <w:pPr>
        <w:spacing w:before="47" w:line="218" w:lineRule="auto"/>
        <w:ind w:left="14"/>
        <w:rPr>
          <w:rFonts w:ascii="宋体" w:hAnsi="宋体" w:eastAsia="宋体" w:cs="宋体"/>
          <w:color w:val="auto"/>
          <w:sz w:val="24"/>
          <w:szCs w:val="24"/>
          <w:highlight w:val="none"/>
        </w:rPr>
      </w:pPr>
      <w:bookmarkStart w:id="204" w:name="bookmark137"/>
      <w:bookmarkEnd w:id="204"/>
      <w:r>
        <w:rPr>
          <w:rFonts w:ascii="宋体" w:hAnsi="宋体" w:eastAsia="宋体" w:cs="宋体"/>
          <w:color w:val="auto"/>
          <w:spacing w:val="1"/>
          <w:sz w:val="24"/>
          <w:szCs w:val="24"/>
          <w:highlight w:val="none"/>
        </w:rPr>
        <w:t>分的60%，评分低于权重分值</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60%的，评标委员会成员应当在评标报告中作</w:t>
      </w:r>
      <w:r>
        <w:rPr>
          <w:rFonts w:ascii="宋体" w:hAnsi="宋体" w:eastAsia="宋体" w:cs="宋体"/>
          <w:color w:val="auto"/>
          <w:sz w:val="24"/>
          <w:szCs w:val="24"/>
          <w:highlight w:val="none"/>
        </w:rPr>
        <w:t>出说明。</w:t>
      </w:r>
    </w:p>
    <w:p w14:paraId="4BDDBDC5">
      <w:pPr>
        <w:spacing w:before="184" w:line="359" w:lineRule="auto"/>
        <w:ind w:right="162" w:firstLine="49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评标委员会人数为</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9</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人时，计算投标人技术得分时:首先在评委技术评分中，采用</w:t>
      </w:r>
      <w:r>
        <w:rPr>
          <w:rFonts w:ascii="宋体" w:hAnsi="宋体" w:eastAsia="宋体" w:cs="宋体"/>
          <w:color w:val="auto"/>
          <w:spacing w:val="5"/>
          <w:sz w:val="24"/>
          <w:szCs w:val="24"/>
          <w:highlight w:val="none"/>
        </w:rPr>
        <w:t>取消同一评委对同一标段各投标人评分总分的差值最大的</w:t>
      </w:r>
      <w:r>
        <w:rPr>
          <w:rFonts w:ascii="宋体" w:hAnsi="宋体" w:eastAsia="宋体" w:cs="宋体"/>
          <w:color w:val="auto"/>
          <w:spacing w:val="-25"/>
          <w:sz w:val="24"/>
          <w:szCs w:val="24"/>
          <w:highlight w:val="none"/>
        </w:rPr>
        <w:t xml:space="preserve"> </w:t>
      </w:r>
      <w:r>
        <w:rPr>
          <w:rFonts w:ascii="宋体" w:hAnsi="宋体" w:eastAsia="宋体" w:cs="宋体"/>
          <w:color w:val="auto"/>
          <w:spacing w:val="5"/>
          <w:sz w:val="24"/>
          <w:szCs w:val="24"/>
          <w:highlight w:val="none"/>
        </w:rPr>
        <w:t>1</w:t>
      </w:r>
      <w:r>
        <w:rPr>
          <w:rFonts w:ascii="宋体" w:hAnsi="宋体" w:eastAsia="宋体" w:cs="宋体"/>
          <w:color w:val="auto"/>
          <w:spacing w:val="-41"/>
          <w:sz w:val="24"/>
          <w:szCs w:val="24"/>
          <w:highlight w:val="none"/>
        </w:rPr>
        <w:t xml:space="preserve"> </w:t>
      </w:r>
      <w:r>
        <w:rPr>
          <w:rFonts w:ascii="宋体" w:hAnsi="宋体" w:eastAsia="宋体" w:cs="宋体"/>
          <w:color w:val="auto"/>
          <w:spacing w:val="5"/>
          <w:sz w:val="24"/>
          <w:szCs w:val="24"/>
          <w:highlight w:val="none"/>
        </w:rPr>
        <w:t>名评委评分</w:t>
      </w:r>
      <w:r>
        <w:rPr>
          <w:rFonts w:ascii="宋体" w:hAnsi="宋体" w:eastAsia="宋体" w:cs="宋体"/>
          <w:color w:val="auto"/>
          <w:spacing w:val="4"/>
          <w:sz w:val="24"/>
          <w:szCs w:val="24"/>
          <w:highlight w:val="none"/>
        </w:rPr>
        <w:t>分值（若有</w:t>
      </w:r>
      <w:r>
        <w:rPr>
          <w:rFonts w:ascii="宋体" w:hAnsi="宋体" w:eastAsia="宋体" w:cs="宋体"/>
          <w:color w:val="auto"/>
          <w:spacing w:val="-40"/>
          <w:sz w:val="24"/>
          <w:szCs w:val="24"/>
          <w:highlight w:val="none"/>
        </w:rPr>
        <w:t xml:space="preserve"> </w:t>
      </w:r>
      <w:r>
        <w:rPr>
          <w:rFonts w:ascii="宋体" w:hAnsi="宋体" w:eastAsia="宋体" w:cs="宋体"/>
          <w:color w:val="auto"/>
          <w:spacing w:val="4"/>
          <w:sz w:val="24"/>
          <w:szCs w:val="24"/>
          <w:highlight w:val="none"/>
        </w:rPr>
        <w:t>2名或以上评委技术评分总分差值最大值相等时，则取消其中</w:t>
      </w:r>
      <w:r>
        <w:rPr>
          <w:rFonts w:ascii="宋体" w:hAnsi="宋体" w:eastAsia="宋体" w:cs="宋体"/>
          <w:color w:val="auto"/>
          <w:spacing w:val="-28"/>
          <w:sz w:val="24"/>
          <w:szCs w:val="24"/>
          <w:highlight w:val="none"/>
        </w:rPr>
        <w:t xml:space="preserve"> </w:t>
      </w:r>
      <w:r>
        <w:rPr>
          <w:rFonts w:ascii="宋体" w:hAnsi="宋体" w:eastAsia="宋体" w:cs="宋体"/>
          <w:color w:val="auto"/>
          <w:spacing w:val="4"/>
          <w:sz w:val="24"/>
          <w:szCs w:val="24"/>
          <w:highlight w:val="none"/>
        </w:rPr>
        <w:t>1</w:t>
      </w:r>
      <w:r>
        <w:rPr>
          <w:rFonts w:ascii="宋体" w:hAnsi="宋体" w:eastAsia="宋体" w:cs="宋体"/>
          <w:color w:val="auto"/>
          <w:spacing w:val="-43"/>
          <w:sz w:val="24"/>
          <w:szCs w:val="24"/>
          <w:highlight w:val="none"/>
        </w:rPr>
        <w:t xml:space="preserve"> </w:t>
      </w:r>
      <w:r>
        <w:rPr>
          <w:rFonts w:ascii="宋体" w:hAnsi="宋体" w:eastAsia="宋体" w:cs="宋体"/>
          <w:color w:val="auto"/>
          <w:spacing w:val="4"/>
          <w:sz w:val="24"/>
          <w:szCs w:val="24"/>
          <w:highlight w:val="none"/>
        </w:rPr>
        <w:t>名评委的所有</w:t>
      </w:r>
      <w:r>
        <w:rPr>
          <w:rFonts w:ascii="宋体" w:hAnsi="宋体" w:eastAsia="宋体" w:cs="宋体"/>
          <w:color w:val="auto"/>
          <w:spacing w:val="3"/>
          <w:sz w:val="24"/>
          <w:szCs w:val="24"/>
          <w:highlight w:val="none"/>
        </w:rPr>
        <w:t>评分，具</w:t>
      </w:r>
      <w:r>
        <w:rPr>
          <w:rFonts w:ascii="宋体" w:hAnsi="宋体" w:eastAsia="宋体" w:cs="宋体"/>
          <w:color w:val="auto"/>
          <w:spacing w:val="5"/>
          <w:sz w:val="24"/>
          <w:szCs w:val="24"/>
          <w:highlight w:val="none"/>
        </w:rPr>
        <w:t>体办法如下</w:t>
      </w:r>
      <w:r>
        <w:rPr>
          <w:rFonts w:ascii="宋体" w:hAnsi="宋体" w:eastAsia="宋体" w:cs="宋体"/>
          <w:color w:val="auto"/>
          <w:spacing w:val="14"/>
          <w:sz w:val="24"/>
          <w:szCs w:val="24"/>
          <w:highlight w:val="none"/>
        </w:rPr>
        <w:t>），</w:t>
      </w:r>
      <w:r>
        <w:rPr>
          <w:rFonts w:ascii="宋体" w:hAnsi="宋体" w:eastAsia="宋体" w:cs="宋体"/>
          <w:color w:val="auto"/>
          <w:spacing w:val="5"/>
          <w:sz w:val="24"/>
          <w:szCs w:val="24"/>
          <w:highlight w:val="none"/>
        </w:rPr>
        <w:t>再对各评分因素细分项[ 评分因素</w:t>
      </w:r>
      <w:r>
        <w:rPr>
          <w:rFonts w:ascii="宋体" w:hAnsi="宋体" w:eastAsia="宋体" w:cs="宋体"/>
          <w:color w:val="auto"/>
          <w:spacing w:val="4"/>
          <w:sz w:val="24"/>
          <w:szCs w:val="24"/>
          <w:highlight w:val="none"/>
        </w:rPr>
        <w:t>细分项是指“监理大纲（或监理方</w:t>
      </w:r>
      <w:r>
        <w:rPr>
          <w:rFonts w:ascii="宋体" w:hAnsi="宋体" w:eastAsia="宋体" w:cs="宋体"/>
          <w:color w:val="auto"/>
          <w:spacing w:val="2"/>
          <w:sz w:val="24"/>
          <w:szCs w:val="24"/>
          <w:highlight w:val="none"/>
        </w:rPr>
        <w:t>案）和措施</w:t>
      </w:r>
      <w:r>
        <w:rPr>
          <w:rFonts w:ascii="宋体" w:hAnsi="宋体" w:eastAsia="宋体" w:cs="宋体"/>
          <w:color w:val="auto"/>
          <w:spacing w:val="-77"/>
          <w:sz w:val="24"/>
          <w:szCs w:val="24"/>
          <w:highlight w:val="none"/>
        </w:rPr>
        <w:t xml:space="preserve"> </w:t>
      </w:r>
      <w:r>
        <w:rPr>
          <w:rFonts w:ascii="宋体" w:hAnsi="宋体" w:eastAsia="宋体" w:cs="宋体"/>
          <w:color w:val="auto"/>
          <w:spacing w:val="2"/>
          <w:sz w:val="24"/>
          <w:szCs w:val="24"/>
          <w:highlight w:val="none"/>
        </w:rPr>
        <w:t>”、“本工程监理工作的重点与难点分析</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”、“对本工程的建议</w:t>
      </w:r>
      <w:r>
        <w:rPr>
          <w:rFonts w:ascii="宋体" w:hAnsi="宋体" w:eastAsia="宋体" w:cs="宋体"/>
          <w:color w:val="auto"/>
          <w:spacing w:val="-81"/>
          <w:sz w:val="24"/>
          <w:szCs w:val="24"/>
          <w:highlight w:val="none"/>
        </w:rPr>
        <w:t xml:space="preserve"> </w:t>
      </w:r>
      <w:r>
        <w:rPr>
          <w:rFonts w:ascii="宋体" w:hAnsi="宋体" w:eastAsia="宋体" w:cs="宋体"/>
          <w:color w:val="auto"/>
          <w:spacing w:val="2"/>
          <w:sz w:val="24"/>
          <w:szCs w:val="24"/>
          <w:highlight w:val="none"/>
        </w:rPr>
        <w:t>”三项，</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“监理大纲（或监理方案）和措施</w:t>
      </w:r>
      <w:r>
        <w:rPr>
          <w:rFonts w:ascii="宋体" w:hAnsi="宋体" w:eastAsia="宋体" w:cs="宋体"/>
          <w:color w:val="auto"/>
          <w:spacing w:val="-75"/>
          <w:sz w:val="24"/>
          <w:szCs w:val="24"/>
          <w:highlight w:val="none"/>
        </w:rPr>
        <w:t xml:space="preserve"> </w:t>
      </w:r>
      <w:r>
        <w:rPr>
          <w:rFonts w:ascii="宋体" w:hAnsi="宋体" w:eastAsia="宋体" w:cs="宋体"/>
          <w:color w:val="auto"/>
          <w:spacing w:val="4"/>
          <w:sz w:val="24"/>
          <w:szCs w:val="24"/>
          <w:highlight w:val="none"/>
        </w:rPr>
        <w:t>”中的质量和安全监理、进度监理、费用和合同监</w:t>
      </w:r>
      <w:r>
        <w:rPr>
          <w:rFonts w:ascii="宋体" w:hAnsi="宋体" w:eastAsia="宋体" w:cs="宋体"/>
          <w:color w:val="auto"/>
          <w:spacing w:val="2"/>
          <w:sz w:val="24"/>
          <w:szCs w:val="24"/>
          <w:highlight w:val="none"/>
        </w:rPr>
        <w:t>理、、施工环境保护管理不属于细分项。]中取消一个最高、一个最低分后计算</w:t>
      </w:r>
      <w:r>
        <w:rPr>
          <w:rFonts w:ascii="宋体" w:hAnsi="宋体" w:eastAsia="宋体" w:cs="宋体"/>
          <w:color w:val="auto"/>
          <w:spacing w:val="1"/>
          <w:sz w:val="24"/>
          <w:szCs w:val="24"/>
          <w:highlight w:val="none"/>
        </w:rPr>
        <w:t>其算术</w:t>
      </w:r>
      <w:r>
        <w:rPr>
          <w:rFonts w:ascii="宋体" w:hAnsi="宋体" w:eastAsia="宋体" w:cs="宋体"/>
          <w:color w:val="auto"/>
          <w:spacing w:val="5"/>
          <w:sz w:val="24"/>
          <w:szCs w:val="24"/>
          <w:highlight w:val="none"/>
        </w:rPr>
        <w:t>平均值的和为投标人的最终技术得分，平均值计算保留小数点后四位，小数点后第五</w:t>
      </w:r>
      <w:r>
        <w:rPr>
          <w:rFonts w:ascii="宋体" w:hAnsi="宋体" w:eastAsia="宋体" w:cs="宋体"/>
          <w:color w:val="auto"/>
          <w:spacing w:val="-4"/>
          <w:sz w:val="24"/>
          <w:szCs w:val="24"/>
          <w:highlight w:val="none"/>
        </w:rPr>
        <w:t>位“</w:t>
      </w:r>
      <w:r>
        <w:rPr>
          <w:rFonts w:ascii="宋体" w:hAnsi="宋体" w:eastAsia="宋体" w:cs="宋体"/>
          <w:color w:val="auto"/>
          <w:spacing w:val="-86"/>
          <w:sz w:val="24"/>
          <w:szCs w:val="24"/>
          <w:highlight w:val="none"/>
        </w:rPr>
        <w:t xml:space="preserve"> </w:t>
      </w:r>
      <w:r>
        <w:rPr>
          <w:rFonts w:ascii="宋体" w:hAnsi="宋体" w:eastAsia="宋体" w:cs="宋体"/>
          <w:color w:val="auto"/>
          <w:spacing w:val="-4"/>
          <w:sz w:val="24"/>
          <w:szCs w:val="24"/>
          <w:highlight w:val="none"/>
        </w:rPr>
        <w:t>四舍五入</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w:t>
      </w:r>
    </w:p>
    <w:p w14:paraId="377E4FF0">
      <w:pPr>
        <w:spacing w:line="219" w:lineRule="auto"/>
        <w:ind w:left="49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取消其中</w:t>
      </w:r>
      <w:r>
        <w:rPr>
          <w:rFonts w:ascii="宋体" w:hAnsi="宋体" w:eastAsia="宋体" w:cs="宋体"/>
          <w:color w:val="auto"/>
          <w:spacing w:val="-33"/>
          <w:sz w:val="24"/>
          <w:szCs w:val="24"/>
          <w:highlight w:val="none"/>
        </w:rPr>
        <w:t xml:space="preserve"> </w:t>
      </w:r>
      <w:r>
        <w:rPr>
          <w:rFonts w:ascii="宋体" w:hAnsi="宋体" w:eastAsia="宋体" w:cs="宋体"/>
          <w:color w:val="auto"/>
          <w:spacing w:val="-1"/>
          <w:sz w:val="24"/>
          <w:szCs w:val="24"/>
          <w:highlight w:val="none"/>
        </w:rPr>
        <w:t>1</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名评委所有评分的办法[ 办法一、办法</w:t>
      </w:r>
      <w:r>
        <w:rPr>
          <w:rFonts w:ascii="宋体" w:hAnsi="宋体" w:eastAsia="宋体" w:cs="宋体"/>
          <w:color w:val="auto"/>
          <w:spacing w:val="-2"/>
          <w:sz w:val="24"/>
          <w:szCs w:val="24"/>
          <w:highlight w:val="none"/>
        </w:rPr>
        <w:t>二任选一个。]</w:t>
      </w:r>
    </w:p>
    <w:p w14:paraId="069FA899">
      <w:pPr>
        <w:spacing w:before="181" w:line="359" w:lineRule="auto"/>
        <w:ind w:left="10" w:right="160" w:firstLine="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办法一：依次按照以下流程</w:t>
      </w:r>
      <w:r>
        <w:rPr>
          <w:rFonts w:ascii="宋体" w:hAnsi="宋体" w:eastAsia="宋体" w:cs="宋体"/>
          <w:color w:val="auto"/>
          <w:spacing w:val="-23"/>
          <w:sz w:val="24"/>
          <w:szCs w:val="24"/>
          <w:highlight w:val="none"/>
        </w:rPr>
        <w:t>，（</w:t>
      </w:r>
      <w:r>
        <w:rPr>
          <w:rFonts w:ascii="宋体" w:hAnsi="宋体" w:eastAsia="宋体" w:cs="宋体"/>
          <w:color w:val="auto"/>
          <w:spacing w:val="3"/>
          <w:sz w:val="24"/>
          <w:szCs w:val="24"/>
          <w:highlight w:val="none"/>
        </w:rPr>
        <w:t>1）对比上述出现技术评分总分差值最大值相等的</w:t>
      </w:r>
      <w:r>
        <w:rPr>
          <w:rFonts w:ascii="宋体" w:hAnsi="宋体" w:eastAsia="宋体" w:cs="宋体"/>
          <w:color w:val="auto"/>
          <w:spacing w:val="5"/>
          <w:sz w:val="24"/>
          <w:szCs w:val="24"/>
          <w:highlight w:val="none"/>
        </w:rPr>
        <w:t>评委的次分差值（次分差值＝某一评委技术评分总分的最高分－该评委技术评</w:t>
      </w:r>
      <w:r>
        <w:rPr>
          <w:rFonts w:ascii="宋体" w:hAnsi="宋体" w:eastAsia="宋体" w:cs="宋体"/>
          <w:color w:val="auto"/>
          <w:spacing w:val="4"/>
          <w:sz w:val="24"/>
          <w:szCs w:val="24"/>
          <w:highlight w:val="none"/>
        </w:rPr>
        <w:t>分总分</w:t>
      </w:r>
      <w:r>
        <w:rPr>
          <w:rFonts w:ascii="宋体" w:hAnsi="宋体" w:eastAsia="宋体" w:cs="宋体"/>
          <w:color w:val="auto"/>
          <w:spacing w:val="2"/>
          <w:sz w:val="24"/>
          <w:szCs w:val="24"/>
          <w:highlight w:val="none"/>
        </w:rPr>
        <w:t>的次低分</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取消次分差值最大的评委所有评分</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2）如次分差值仍相同，则按随机</w:t>
      </w:r>
      <w:r>
        <w:rPr>
          <w:rFonts w:ascii="宋体" w:hAnsi="宋体" w:eastAsia="宋体" w:cs="宋体"/>
          <w:color w:val="auto"/>
          <w:spacing w:val="4"/>
          <w:sz w:val="24"/>
          <w:szCs w:val="24"/>
          <w:highlight w:val="none"/>
        </w:rPr>
        <w:t>抽取的方式选定取消</w:t>
      </w:r>
      <w:r>
        <w:rPr>
          <w:rFonts w:ascii="宋体" w:hAnsi="宋体" w:eastAsia="宋体" w:cs="宋体"/>
          <w:color w:val="auto"/>
          <w:spacing w:val="-23"/>
          <w:sz w:val="24"/>
          <w:szCs w:val="24"/>
          <w:highlight w:val="none"/>
        </w:rPr>
        <w:t xml:space="preserve"> </w:t>
      </w:r>
      <w:r>
        <w:rPr>
          <w:rFonts w:ascii="宋体" w:hAnsi="宋体" w:eastAsia="宋体" w:cs="宋体"/>
          <w:color w:val="auto"/>
          <w:spacing w:val="4"/>
          <w:sz w:val="24"/>
          <w:szCs w:val="24"/>
          <w:highlight w:val="none"/>
        </w:rPr>
        <w:t>1</w:t>
      </w:r>
      <w:r>
        <w:rPr>
          <w:rFonts w:ascii="宋体" w:hAnsi="宋体" w:eastAsia="宋体" w:cs="宋体"/>
          <w:color w:val="auto"/>
          <w:spacing w:val="-41"/>
          <w:sz w:val="24"/>
          <w:szCs w:val="24"/>
          <w:highlight w:val="none"/>
        </w:rPr>
        <w:t xml:space="preserve"> </w:t>
      </w:r>
      <w:r>
        <w:rPr>
          <w:rFonts w:ascii="宋体" w:hAnsi="宋体" w:eastAsia="宋体" w:cs="宋体"/>
          <w:color w:val="auto"/>
          <w:spacing w:val="4"/>
          <w:sz w:val="24"/>
          <w:szCs w:val="24"/>
          <w:highlight w:val="none"/>
        </w:rPr>
        <w:t>名评委评分。示例</w:t>
      </w:r>
      <w:r>
        <w:rPr>
          <w:rFonts w:ascii="宋体" w:hAnsi="宋体" w:eastAsia="宋体" w:cs="宋体"/>
          <w:color w:val="auto"/>
          <w:spacing w:val="-65"/>
          <w:sz w:val="24"/>
          <w:szCs w:val="24"/>
          <w:highlight w:val="none"/>
        </w:rPr>
        <w:t xml:space="preserve"> </w:t>
      </w:r>
      <w:r>
        <w:rPr>
          <w:rFonts w:ascii="宋体" w:hAnsi="宋体" w:eastAsia="宋体" w:cs="宋体"/>
          <w:color w:val="auto"/>
          <w:spacing w:val="4"/>
          <w:sz w:val="24"/>
          <w:szCs w:val="24"/>
          <w:highlight w:val="none"/>
        </w:rPr>
        <w:t>:同一评委对</w:t>
      </w:r>
      <w:r>
        <w:rPr>
          <w:rFonts w:ascii="宋体" w:hAnsi="宋体" w:eastAsia="宋体" w:cs="宋体"/>
          <w:color w:val="auto"/>
          <w:spacing w:val="-36"/>
          <w:sz w:val="24"/>
          <w:szCs w:val="24"/>
          <w:highlight w:val="none"/>
        </w:rPr>
        <w:t xml:space="preserve"> </w:t>
      </w:r>
      <w:r>
        <w:rPr>
          <w:rFonts w:ascii="宋体" w:hAnsi="宋体" w:eastAsia="宋体" w:cs="宋体"/>
          <w:color w:val="auto"/>
          <w:spacing w:val="4"/>
          <w:sz w:val="24"/>
          <w:szCs w:val="24"/>
          <w:highlight w:val="none"/>
        </w:rPr>
        <w:t>5</w:t>
      </w:r>
      <w:r>
        <w:rPr>
          <w:rFonts w:ascii="宋体" w:hAnsi="宋体" w:eastAsia="宋体" w:cs="宋体"/>
          <w:color w:val="auto"/>
          <w:spacing w:val="-41"/>
          <w:sz w:val="24"/>
          <w:szCs w:val="24"/>
          <w:highlight w:val="none"/>
        </w:rPr>
        <w:t xml:space="preserve"> </w:t>
      </w:r>
      <w:r>
        <w:rPr>
          <w:rFonts w:ascii="宋体" w:hAnsi="宋体" w:eastAsia="宋体" w:cs="宋体"/>
          <w:color w:val="auto"/>
          <w:spacing w:val="4"/>
          <w:sz w:val="24"/>
          <w:szCs w:val="24"/>
          <w:highlight w:val="none"/>
        </w:rPr>
        <w:t>名投标人技术评分总分分别</w:t>
      </w:r>
      <w:r>
        <w:rPr>
          <w:rFonts w:ascii="宋体" w:hAnsi="宋体" w:eastAsia="宋体" w:cs="宋体"/>
          <w:color w:val="auto"/>
          <w:spacing w:val="3"/>
          <w:sz w:val="24"/>
          <w:szCs w:val="24"/>
          <w:highlight w:val="none"/>
        </w:rPr>
        <w:t>为:27.3（最高分)、27.1、26.5、26.1（次低分）、25.5（最低分</w:t>
      </w:r>
      <w:r>
        <w:rPr>
          <w:rFonts w:ascii="宋体" w:hAnsi="宋体" w:eastAsia="宋体" w:cs="宋体"/>
          <w:color w:val="auto"/>
          <w:spacing w:val="22"/>
          <w:sz w:val="24"/>
          <w:szCs w:val="24"/>
          <w:highlight w:val="none"/>
        </w:rPr>
        <w:t>），</w:t>
      </w:r>
      <w:r>
        <w:rPr>
          <w:rFonts w:ascii="宋体" w:hAnsi="宋体" w:eastAsia="宋体" w:cs="宋体"/>
          <w:color w:val="auto"/>
          <w:spacing w:val="3"/>
          <w:sz w:val="24"/>
          <w:szCs w:val="24"/>
          <w:highlight w:val="none"/>
        </w:rPr>
        <w:t>则其最大差值</w:t>
      </w:r>
      <w:r>
        <w:rPr>
          <w:rFonts w:ascii="宋体" w:hAnsi="宋体" w:eastAsia="宋体" w:cs="宋体"/>
          <w:color w:val="auto"/>
          <w:spacing w:val="-2"/>
          <w:sz w:val="24"/>
          <w:szCs w:val="24"/>
          <w:highlight w:val="none"/>
        </w:rPr>
        <w:t>为</w:t>
      </w:r>
      <w:r>
        <w:rPr>
          <w:rFonts w:ascii="宋体" w:hAnsi="宋体" w:eastAsia="宋体" w:cs="宋体"/>
          <w:color w:val="auto"/>
          <w:spacing w:val="-32"/>
          <w:sz w:val="24"/>
          <w:szCs w:val="24"/>
          <w:highlight w:val="none"/>
        </w:rPr>
        <w:t xml:space="preserve"> </w:t>
      </w:r>
      <w:r>
        <w:rPr>
          <w:rFonts w:ascii="宋体" w:hAnsi="宋体" w:eastAsia="宋体" w:cs="宋体"/>
          <w:color w:val="auto"/>
          <w:spacing w:val="-2"/>
          <w:sz w:val="24"/>
          <w:szCs w:val="24"/>
          <w:highlight w:val="none"/>
        </w:rPr>
        <w:t>1.8、次大差值为</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27.3-26.1=1.2）。</w:t>
      </w:r>
    </w:p>
    <w:p w14:paraId="42A3BC2F">
      <w:pPr>
        <w:spacing w:line="218" w:lineRule="auto"/>
        <w:ind w:left="49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办法二：按随机抽取的方式选定取消</w:t>
      </w:r>
      <w:r>
        <w:rPr>
          <w:rFonts w:ascii="宋体" w:hAnsi="宋体" w:eastAsia="宋体" w:cs="宋体"/>
          <w:color w:val="auto"/>
          <w:spacing w:val="-19"/>
          <w:sz w:val="24"/>
          <w:szCs w:val="24"/>
          <w:highlight w:val="none"/>
        </w:rPr>
        <w:t xml:space="preserve"> </w:t>
      </w:r>
      <w:r>
        <w:rPr>
          <w:rFonts w:ascii="宋体" w:hAnsi="宋体" w:eastAsia="宋体" w:cs="宋体"/>
          <w:color w:val="auto"/>
          <w:spacing w:val="-3"/>
          <w:sz w:val="24"/>
          <w:szCs w:val="24"/>
          <w:highlight w:val="none"/>
        </w:rPr>
        <w:t>1</w:t>
      </w:r>
      <w:r>
        <w:rPr>
          <w:rFonts w:ascii="宋体" w:hAnsi="宋体" w:eastAsia="宋体" w:cs="宋体"/>
          <w:color w:val="auto"/>
          <w:spacing w:val="-48"/>
          <w:sz w:val="24"/>
          <w:szCs w:val="24"/>
          <w:highlight w:val="none"/>
        </w:rPr>
        <w:t xml:space="preserve"> </w:t>
      </w:r>
      <w:r>
        <w:rPr>
          <w:rFonts w:ascii="宋体" w:hAnsi="宋体" w:eastAsia="宋体" w:cs="宋体"/>
          <w:color w:val="auto"/>
          <w:spacing w:val="-3"/>
          <w:sz w:val="24"/>
          <w:szCs w:val="24"/>
          <w:highlight w:val="none"/>
        </w:rPr>
        <w:t>名评委评分。</w:t>
      </w:r>
    </w:p>
    <w:p w14:paraId="4C24CC34">
      <w:pPr>
        <w:spacing w:before="185" w:line="359" w:lineRule="auto"/>
        <w:ind w:left="14" w:right="163" w:firstLine="47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评标委员会人数为</w:t>
      </w:r>
      <w:r>
        <w:rPr>
          <w:rFonts w:ascii="宋体" w:hAnsi="宋体" w:eastAsia="宋体" w:cs="宋体"/>
          <w:color w:val="auto"/>
          <w:spacing w:val="-43"/>
          <w:sz w:val="24"/>
          <w:szCs w:val="24"/>
          <w:highlight w:val="none"/>
        </w:rPr>
        <w:t xml:space="preserve"> </w:t>
      </w:r>
      <w:r>
        <w:rPr>
          <w:rFonts w:ascii="宋体" w:hAnsi="宋体" w:eastAsia="宋体" w:cs="宋体"/>
          <w:color w:val="auto"/>
          <w:spacing w:val="1"/>
          <w:sz w:val="24"/>
          <w:szCs w:val="24"/>
          <w:highlight w:val="none"/>
        </w:rPr>
        <w:t>7</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人时，计算投标人技术得分时:各评分因素细分项</w:t>
      </w:r>
      <w:r>
        <w:rPr>
          <w:rFonts w:ascii="宋体" w:hAnsi="宋体" w:eastAsia="宋体" w:cs="宋体"/>
          <w:color w:val="auto"/>
          <w:sz w:val="24"/>
          <w:szCs w:val="24"/>
          <w:highlight w:val="none"/>
        </w:rPr>
        <w:t>中取消一个</w:t>
      </w:r>
      <w:r>
        <w:rPr>
          <w:rFonts w:ascii="宋体" w:hAnsi="宋体" w:eastAsia="宋体" w:cs="宋体"/>
          <w:color w:val="auto"/>
          <w:spacing w:val="5"/>
          <w:sz w:val="24"/>
          <w:szCs w:val="24"/>
          <w:highlight w:val="none"/>
        </w:rPr>
        <w:t>最高、一个最低分后计算算术平均值的和为投标人的最终技术得分，</w:t>
      </w:r>
      <w:r>
        <w:rPr>
          <w:rFonts w:ascii="宋体" w:hAnsi="宋体" w:eastAsia="宋体" w:cs="宋体"/>
          <w:color w:val="auto"/>
          <w:spacing w:val="4"/>
          <w:sz w:val="24"/>
          <w:szCs w:val="24"/>
          <w:highlight w:val="none"/>
        </w:rPr>
        <w:t>平均值计算保留</w:t>
      </w:r>
      <w:r>
        <w:rPr>
          <w:rFonts w:ascii="宋体" w:hAnsi="宋体" w:eastAsia="宋体" w:cs="宋体"/>
          <w:color w:val="auto"/>
          <w:spacing w:val="-4"/>
          <w:sz w:val="24"/>
          <w:szCs w:val="24"/>
          <w:highlight w:val="none"/>
        </w:rPr>
        <w:t>小数点后四位，小数点后第五位“</w:t>
      </w:r>
      <w:r>
        <w:rPr>
          <w:rFonts w:ascii="宋体" w:hAnsi="宋体" w:eastAsia="宋体" w:cs="宋体"/>
          <w:color w:val="auto"/>
          <w:spacing w:val="-78"/>
          <w:sz w:val="24"/>
          <w:szCs w:val="24"/>
          <w:highlight w:val="none"/>
        </w:rPr>
        <w:t xml:space="preserve"> </w:t>
      </w:r>
      <w:r>
        <w:rPr>
          <w:rFonts w:ascii="宋体" w:hAnsi="宋体" w:eastAsia="宋体" w:cs="宋体"/>
          <w:color w:val="auto"/>
          <w:spacing w:val="-4"/>
          <w:sz w:val="24"/>
          <w:szCs w:val="24"/>
          <w:highlight w:val="none"/>
        </w:rPr>
        <w:t>四舍五入</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w:t>
      </w:r>
      <w:r>
        <w:rPr>
          <w:color w:val="auto"/>
          <w:highlight w:val="none"/>
        </w:rPr>
        <w:fldChar w:fldCharType="begin"/>
      </w:r>
      <w:r>
        <w:rPr>
          <w:color w:val="auto"/>
          <w:highlight w:val="none"/>
        </w:rPr>
        <w:instrText xml:space="preserve"> HYPERLINK \l "bookmark138" </w:instrText>
      </w:r>
      <w:r>
        <w:rPr>
          <w:color w:val="auto"/>
          <w:highlight w:val="none"/>
        </w:rPr>
        <w:fldChar w:fldCharType="separate"/>
      </w:r>
      <w:r>
        <w:rPr>
          <w:rFonts w:ascii="宋体" w:hAnsi="宋体" w:eastAsia="宋体" w:cs="宋体"/>
          <w:color w:val="auto"/>
          <w:spacing w:val="-4"/>
          <w:position w:val="12"/>
          <w:sz w:val="12"/>
          <w:szCs w:val="12"/>
          <w:highlight w:val="none"/>
        </w:rPr>
        <w:t>①</w:t>
      </w:r>
      <w:r>
        <w:rPr>
          <w:rFonts w:ascii="宋体" w:hAnsi="宋体" w:eastAsia="宋体" w:cs="宋体"/>
          <w:color w:val="auto"/>
          <w:spacing w:val="-4"/>
          <w:position w:val="12"/>
          <w:sz w:val="12"/>
          <w:szCs w:val="12"/>
          <w:highlight w:val="none"/>
        </w:rPr>
        <w:fldChar w:fldCharType="end"/>
      </w:r>
      <w:r>
        <w:rPr>
          <w:rFonts w:ascii="宋体" w:hAnsi="宋体" w:eastAsia="宋体" w:cs="宋体"/>
          <w:color w:val="auto"/>
          <w:spacing w:val="-4"/>
          <w:sz w:val="24"/>
          <w:szCs w:val="24"/>
          <w:highlight w:val="none"/>
        </w:rPr>
        <w:t>。</w:t>
      </w:r>
    </w:p>
    <w:p w14:paraId="4566D953">
      <w:pPr>
        <w:spacing w:before="1" w:line="218" w:lineRule="auto"/>
        <w:ind w:left="51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以上评标委员会人数以实际参与评审的评标委</w:t>
      </w:r>
      <w:r>
        <w:rPr>
          <w:rFonts w:ascii="宋体" w:hAnsi="宋体" w:eastAsia="宋体" w:cs="宋体"/>
          <w:color w:val="auto"/>
          <w:spacing w:val="-2"/>
          <w:sz w:val="24"/>
          <w:szCs w:val="24"/>
          <w:highlight w:val="none"/>
        </w:rPr>
        <w:t>员会人数数量为准。</w:t>
      </w:r>
    </w:p>
    <w:p w14:paraId="3DAAD828">
      <w:pPr>
        <w:spacing w:line="246" w:lineRule="auto"/>
        <w:rPr>
          <w:rFonts w:ascii="Arial"/>
          <w:color w:val="auto"/>
          <w:sz w:val="21"/>
          <w:highlight w:val="none"/>
        </w:rPr>
      </w:pPr>
    </w:p>
    <w:p w14:paraId="6F2D5BE6">
      <w:pPr>
        <w:spacing w:before="78" w:line="219" w:lineRule="auto"/>
        <w:ind w:left="16"/>
        <w:outlineLvl w:val="1"/>
        <w:rPr>
          <w:rFonts w:ascii="宋体" w:hAnsi="宋体" w:eastAsia="宋体" w:cs="宋体"/>
          <w:color w:val="auto"/>
          <w:sz w:val="24"/>
          <w:szCs w:val="24"/>
          <w:highlight w:val="none"/>
        </w:rPr>
      </w:pPr>
      <w:bookmarkStart w:id="205" w:name="_Toc17607"/>
      <w:bookmarkStart w:id="206" w:name="_Toc10420"/>
      <w:r>
        <w:rPr>
          <w:rFonts w:ascii="宋体" w:hAnsi="宋体" w:eastAsia="宋体" w:cs="宋体"/>
          <w:b/>
          <w:bCs/>
          <w:color w:val="auto"/>
          <w:spacing w:val="-3"/>
          <w:sz w:val="24"/>
          <w:szCs w:val="24"/>
          <w:highlight w:val="none"/>
        </w:rPr>
        <w:t>3.3</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第二个信封开标</w:t>
      </w:r>
      <w:bookmarkEnd w:id="205"/>
      <w:bookmarkEnd w:id="206"/>
    </w:p>
    <w:p w14:paraId="7F22ACBD">
      <w:pPr>
        <w:spacing w:before="51" w:line="361" w:lineRule="auto"/>
        <w:ind w:left="11" w:firstLine="48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第一个信封（商务及技术文件）评审结束后，招标人将按照第二章“投标人须知</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w:t>
      </w:r>
      <w:r>
        <w:rPr>
          <w:rFonts w:ascii="宋体" w:hAnsi="宋体" w:eastAsia="宋体" w:cs="宋体"/>
          <w:color w:val="auto"/>
          <w:spacing w:val="4"/>
          <w:sz w:val="24"/>
          <w:szCs w:val="24"/>
          <w:highlight w:val="none"/>
        </w:rPr>
        <w:t>第</w:t>
      </w:r>
      <w:r>
        <w:rPr>
          <w:rFonts w:ascii="宋体" w:hAnsi="宋体" w:eastAsia="宋体" w:cs="宋体"/>
          <w:color w:val="auto"/>
          <w:spacing w:val="-41"/>
          <w:sz w:val="24"/>
          <w:szCs w:val="24"/>
          <w:highlight w:val="none"/>
        </w:rPr>
        <w:t xml:space="preserve"> </w:t>
      </w:r>
      <w:r>
        <w:rPr>
          <w:rFonts w:ascii="宋体" w:hAnsi="宋体" w:eastAsia="宋体" w:cs="宋体"/>
          <w:color w:val="auto"/>
          <w:spacing w:val="4"/>
          <w:sz w:val="24"/>
          <w:szCs w:val="24"/>
          <w:highlight w:val="none"/>
        </w:rPr>
        <w:t>5.1</w:t>
      </w:r>
      <w:r>
        <w:rPr>
          <w:rFonts w:ascii="宋体" w:hAnsi="宋体" w:eastAsia="宋体" w:cs="宋体"/>
          <w:color w:val="auto"/>
          <w:spacing w:val="-42"/>
          <w:sz w:val="24"/>
          <w:szCs w:val="24"/>
          <w:highlight w:val="none"/>
        </w:rPr>
        <w:t xml:space="preserve"> </w:t>
      </w:r>
      <w:r>
        <w:rPr>
          <w:rFonts w:ascii="宋体" w:hAnsi="宋体" w:eastAsia="宋体" w:cs="宋体"/>
          <w:color w:val="auto"/>
          <w:spacing w:val="4"/>
          <w:sz w:val="24"/>
          <w:szCs w:val="24"/>
          <w:highlight w:val="none"/>
        </w:rPr>
        <w:t>款规定的时间和地点对通过投标文件第一个信封（商务及技</w:t>
      </w:r>
      <w:r>
        <w:rPr>
          <w:rFonts w:ascii="宋体" w:hAnsi="宋体" w:eastAsia="宋体" w:cs="宋体"/>
          <w:color w:val="auto"/>
          <w:spacing w:val="3"/>
          <w:sz w:val="24"/>
          <w:szCs w:val="24"/>
          <w:highlight w:val="none"/>
        </w:rPr>
        <w:t>术文件）评审的投</w:t>
      </w:r>
      <w:r>
        <w:rPr>
          <w:rFonts w:ascii="宋体" w:hAnsi="宋体" w:eastAsia="宋体" w:cs="宋体"/>
          <w:color w:val="auto"/>
          <w:spacing w:val="-1"/>
          <w:sz w:val="24"/>
          <w:szCs w:val="24"/>
          <w:highlight w:val="none"/>
        </w:rPr>
        <w:t>标文件第二个信封（报价文件）进行开标。</w:t>
      </w:r>
    </w:p>
    <w:p w14:paraId="171FF3BF">
      <w:pPr>
        <w:spacing w:before="136" w:line="219" w:lineRule="auto"/>
        <w:ind w:left="16"/>
        <w:outlineLvl w:val="1"/>
        <w:rPr>
          <w:rFonts w:ascii="宋体" w:hAnsi="宋体" w:eastAsia="宋体" w:cs="宋体"/>
          <w:color w:val="auto"/>
          <w:sz w:val="24"/>
          <w:szCs w:val="24"/>
          <w:highlight w:val="none"/>
        </w:rPr>
      </w:pPr>
      <w:bookmarkStart w:id="207" w:name="bookmark138"/>
      <w:bookmarkEnd w:id="207"/>
      <w:bookmarkStart w:id="208" w:name="_Toc24685"/>
      <w:bookmarkStart w:id="209" w:name="_Toc17635"/>
      <w:r>
        <w:rPr>
          <w:rFonts w:ascii="宋体" w:hAnsi="宋体" w:eastAsia="宋体" w:cs="宋体"/>
          <w:b/>
          <w:bCs/>
          <w:color w:val="auto"/>
          <w:spacing w:val="-3"/>
          <w:sz w:val="24"/>
          <w:szCs w:val="24"/>
          <w:highlight w:val="none"/>
        </w:rPr>
        <w:t>3.4</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第二个信封初步评审</w:t>
      </w:r>
      <w:bookmarkEnd w:id="208"/>
      <w:bookmarkEnd w:id="209"/>
    </w:p>
    <w:p w14:paraId="570D90A3">
      <w:pPr>
        <w:spacing w:before="53" w:line="219" w:lineRule="auto"/>
        <w:ind w:left="4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3.4.1 评标委员会依据本章第</w:t>
      </w:r>
      <w:r>
        <w:rPr>
          <w:rFonts w:ascii="宋体" w:hAnsi="宋体" w:eastAsia="宋体" w:cs="宋体"/>
          <w:color w:val="auto"/>
          <w:spacing w:val="-26"/>
          <w:sz w:val="24"/>
          <w:szCs w:val="24"/>
          <w:highlight w:val="none"/>
        </w:rPr>
        <w:t xml:space="preserve"> </w:t>
      </w:r>
      <w:r>
        <w:rPr>
          <w:rFonts w:ascii="宋体" w:hAnsi="宋体" w:eastAsia="宋体" w:cs="宋体"/>
          <w:color w:val="auto"/>
          <w:spacing w:val="2"/>
          <w:sz w:val="24"/>
          <w:szCs w:val="24"/>
          <w:highlight w:val="none"/>
        </w:rPr>
        <w:t>2.1.1</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项、第</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2.1.3</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项规定的评审标准对投标文件</w:t>
      </w:r>
    </w:p>
    <w:p w14:paraId="10FE07A6">
      <w:pPr>
        <w:spacing w:line="319" w:lineRule="auto"/>
        <w:rPr>
          <w:rFonts w:ascii="Arial"/>
          <w:color w:val="auto"/>
          <w:sz w:val="21"/>
          <w:highlight w:val="none"/>
        </w:rPr>
      </w:pPr>
      <w:r>
        <w:rPr>
          <w:color w:val="auto"/>
          <w:highlight w:val="none"/>
        </w:rPr>
        <w:pict>
          <v:shape id="_x0000_s1082" o:spid="_x0000_s1082" style="position:absolute;left:0pt;margin-left:0.15pt;margin-top:11.55pt;height:0pt;width:144pt;z-index:251695104;mso-width-relative:page;mso-height-relative:page;" filled="f" stroked="t" coordsize="2880,0" path="m0,0l2880,0e">
            <v:fill on="f" focussize="0,0"/>
            <v:stroke weight="0pt" color="#000000" miterlimit="0" joinstyle="bevel" endcap="square"/>
            <v:imagedata o:title=""/>
            <o:lock v:ext="edit"/>
          </v:shape>
        </w:pict>
      </w:r>
    </w:p>
    <w:p w14:paraId="0293B18D">
      <w:pPr>
        <w:spacing w:before="59" w:line="232" w:lineRule="auto"/>
        <w:ind w:left="8" w:right="235"/>
        <w:rPr>
          <w:rFonts w:ascii="宋体" w:hAnsi="宋体" w:eastAsia="宋体" w:cs="宋体"/>
          <w:color w:val="auto"/>
          <w:sz w:val="18"/>
          <w:szCs w:val="18"/>
          <w:highlight w:val="none"/>
        </w:rPr>
      </w:pPr>
      <w:r>
        <w:rPr>
          <w:rFonts w:ascii="宋体" w:hAnsi="宋体" w:eastAsia="宋体" w:cs="宋体"/>
          <w:color w:val="auto"/>
          <w:sz w:val="18"/>
          <w:szCs w:val="18"/>
          <w:highlight w:val="none"/>
        </w:rPr>
        <w:t>① 本项适用于实际参与评审的评标委员会人数数量为</w:t>
      </w:r>
      <w:r>
        <w:rPr>
          <w:rFonts w:ascii="宋体" w:hAnsi="宋体" w:eastAsia="宋体" w:cs="宋体"/>
          <w:color w:val="auto"/>
          <w:spacing w:val="-33"/>
          <w:sz w:val="18"/>
          <w:szCs w:val="18"/>
          <w:highlight w:val="none"/>
        </w:rPr>
        <w:t xml:space="preserve"> </w:t>
      </w:r>
      <w:r>
        <w:rPr>
          <w:rFonts w:ascii="宋体" w:hAnsi="宋体" w:eastAsia="宋体" w:cs="宋体"/>
          <w:color w:val="auto"/>
          <w:spacing w:val="-1"/>
          <w:sz w:val="18"/>
          <w:szCs w:val="18"/>
          <w:highlight w:val="none"/>
        </w:rPr>
        <w:t>7</w:t>
      </w:r>
      <w:r>
        <w:rPr>
          <w:rFonts w:ascii="宋体" w:hAnsi="宋体" w:eastAsia="宋体" w:cs="宋体"/>
          <w:color w:val="auto"/>
          <w:spacing w:val="-38"/>
          <w:sz w:val="18"/>
          <w:szCs w:val="18"/>
          <w:highlight w:val="none"/>
        </w:rPr>
        <w:t xml:space="preserve"> </w:t>
      </w:r>
      <w:r>
        <w:rPr>
          <w:rFonts w:ascii="宋体" w:hAnsi="宋体" w:eastAsia="宋体" w:cs="宋体"/>
          <w:color w:val="auto"/>
          <w:spacing w:val="-1"/>
          <w:sz w:val="18"/>
          <w:szCs w:val="18"/>
          <w:highlight w:val="none"/>
        </w:rPr>
        <w:t>人的情形。（包括由于符合相关规定的特殊原因评标委员会人数由9</w:t>
      </w:r>
      <w:r>
        <w:rPr>
          <w:rFonts w:ascii="宋体" w:hAnsi="宋体" w:eastAsia="宋体" w:cs="宋体"/>
          <w:color w:val="auto"/>
          <w:spacing w:val="-36"/>
          <w:sz w:val="18"/>
          <w:szCs w:val="18"/>
          <w:highlight w:val="none"/>
        </w:rPr>
        <w:t xml:space="preserve"> </w:t>
      </w:r>
      <w:r>
        <w:rPr>
          <w:rFonts w:ascii="宋体" w:hAnsi="宋体" w:eastAsia="宋体" w:cs="宋体"/>
          <w:color w:val="auto"/>
          <w:spacing w:val="-1"/>
          <w:sz w:val="18"/>
          <w:szCs w:val="18"/>
          <w:highlight w:val="none"/>
        </w:rPr>
        <w:t>人变为</w:t>
      </w:r>
      <w:r>
        <w:rPr>
          <w:rFonts w:ascii="宋体" w:hAnsi="宋体" w:eastAsia="宋体" w:cs="宋体"/>
          <w:color w:val="auto"/>
          <w:spacing w:val="-34"/>
          <w:sz w:val="18"/>
          <w:szCs w:val="18"/>
          <w:highlight w:val="none"/>
        </w:rPr>
        <w:t xml:space="preserve"> </w:t>
      </w:r>
      <w:r>
        <w:rPr>
          <w:rFonts w:ascii="宋体" w:hAnsi="宋体" w:eastAsia="宋体" w:cs="宋体"/>
          <w:color w:val="auto"/>
          <w:spacing w:val="-1"/>
          <w:sz w:val="18"/>
          <w:szCs w:val="18"/>
          <w:highlight w:val="none"/>
        </w:rPr>
        <w:t>7</w:t>
      </w:r>
      <w:r>
        <w:rPr>
          <w:rFonts w:ascii="宋体" w:hAnsi="宋体" w:eastAsia="宋体" w:cs="宋体"/>
          <w:color w:val="auto"/>
          <w:spacing w:val="-37"/>
          <w:sz w:val="18"/>
          <w:szCs w:val="18"/>
          <w:highlight w:val="none"/>
        </w:rPr>
        <w:t xml:space="preserve"> </w:t>
      </w:r>
      <w:r>
        <w:rPr>
          <w:rFonts w:ascii="宋体" w:hAnsi="宋体" w:eastAsia="宋体" w:cs="宋体"/>
          <w:color w:val="auto"/>
          <w:spacing w:val="-1"/>
          <w:sz w:val="18"/>
          <w:szCs w:val="18"/>
          <w:highlight w:val="none"/>
        </w:rPr>
        <w:t>人的情形</w:t>
      </w:r>
      <w:r>
        <w:rPr>
          <w:rFonts w:ascii="宋体" w:hAnsi="宋体" w:eastAsia="宋体" w:cs="宋体"/>
          <w:color w:val="auto"/>
          <w:spacing w:val="9"/>
          <w:sz w:val="18"/>
          <w:szCs w:val="18"/>
          <w:highlight w:val="none"/>
        </w:rPr>
        <w:t>），</w:t>
      </w:r>
      <w:r>
        <w:rPr>
          <w:rFonts w:ascii="宋体" w:hAnsi="宋体" w:eastAsia="宋体" w:cs="宋体"/>
          <w:color w:val="auto"/>
          <w:spacing w:val="-1"/>
          <w:sz w:val="18"/>
          <w:szCs w:val="18"/>
          <w:highlight w:val="none"/>
        </w:rPr>
        <w:t>如果特殊原因评标委员会人数由</w:t>
      </w:r>
      <w:r>
        <w:rPr>
          <w:rFonts w:ascii="宋体" w:hAnsi="宋体" w:eastAsia="宋体" w:cs="宋体"/>
          <w:color w:val="auto"/>
          <w:spacing w:val="-33"/>
          <w:sz w:val="18"/>
          <w:szCs w:val="18"/>
          <w:highlight w:val="none"/>
        </w:rPr>
        <w:t xml:space="preserve"> </w:t>
      </w:r>
      <w:r>
        <w:rPr>
          <w:rFonts w:ascii="宋体" w:hAnsi="宋体" w:eastAsia="宋体" w:cs="宋体"/>
          <w:color w:val="auto"/>
          <w:spacing w:val="-1"/>
          <w:sz w:val="18"/>
          <w:szCs w:val="18"/>
          <w:highlight w:val="none"/>
        </w:rPr>
        <w:t>7</w:t>
      </w:r>
      <w:r>
        <w:rPr>
          <w:rFonts w:ascii="宋体" w:hAnsi="宋体" w:eastAsia="宋体" w:cs="宋体"/>
          <w:color w:val="auto"/>
          <w:spacing w:val="-37"/>
          <w:sz w:val="18"/>
          <w:szCs w:val="18"/>
          <w:highlight w:val="none"/>
        </w:rPr>
        <w:t xml:space="preserve"> </w:t>
      </w:r>
      <w:r>
        <w:rPr>
          <w:rFonts w:ascii="宋体" w:hAnsi="宋体" w:eastAsia="宋体" w:cs="宋体"/>
          <w:color w:val="auto"/>
          <w:spacing w:val="-1"/>
          <w:sz w:val="18"/>
          <w:szCs w:val="18"/>
          <w:highlight w:val="none"/>
        </w:rPr>
        <w:t>人变为</w:t>
      </w:r>
      <w:r>
        <w:rPr>
          <w:rFonts w:ascii="宋体" w:hAnsi="宋体" w:eastAsia="宋体" w:cs="宋体"/>
          <w:color w:val="auto"/>
          <w:spacing w:val="-34"/>
          <w:sz w:val="18"/>
          <w:szCs w:val="18"/>
          <w:highlight w:val="none"/>
        </w:rPr>
        <w:t xml:space="preserve"> </w:t>
      </w:r>
      <w:r>
        <w:rPr>
          <w:rFonts w:ascii="宋体" w:hAnsi="宋体" w:eastAsia="宋体" w:cs="宋体"/>
          <w:color w:val="auto"/>
          <w:spacing w:val="-1"/>
          <w:sz w:val="18"/>
          <w:szCs w:val="18"/>
          <w:highlight w:val="none"/>
        </w:rPr>
        <w:t>5</w:t>
      </w:r>
      <w:r>
        <w:rPr>
          <w:rFonts w:ascii="宋体" w:hAnsi="宋体" w:eastAsia="宋体" w:cs="宋体"/>
          <w:color w:val="auto"/>
          <w:spacing w:val="-37"/>
          <w:sz w:val="18"/>
          <w:szCs w:val="18"/>
          <w:highlight w:val="none"/>
        </w:rPr>
        <w:t xml:space="preserve"> </w:t>
      </w:r>
      <w:r>
        <w:rPr>
          <w:rFonts w:ascii="宋体" w:hAnsi="宋体" w:eastAsia="宋体" w:cs="宋体"/>
          <w:color w:val="auto"/>
          <w:spacing w:val="-1"/>
          <w:sz w:val="18"/>
          <w:szCs w:val="18"/>
          <w:highlight w:val="none"/>
        </w:rPr>
        <w:t>人的情形，对各评分因素细分项算术平均值的和为投标人的最终技术得分，平均值计算保留小数点后四位，小数点后第五位“</w:t>
      </w:r>
      <w:r>
        <w:rPr>
          <w:rFonts w:ascii="宋体" w:hAnsi="宋体" w:eastAsia="宋体" w:cs="宋体"/>
          <w:color w:val="auto"/>
          <w:spacing w:val="-52"/>
          <w:sz w:val="18"/>
          <w:szCs w:val="18"/>
          <w:highlight w:val="none"/>
        </w:rPr>
        <w:t xml:space="preserve"> </w:t>
      </w:r>
      <w:r>
        <w:rPr>
          <w:rFonts w:ascii="宋体" w:hAnsi="宋体" w:eastAsia="宋体" w:cs="宋体"/>
          <w:color w:val="auto"/>
          <w:spacing w:val="-1"/>
          <w:sz w:val="18"/>
          <w:szCs w:val="18"/>
          <w:highlight w:val="none"/>
        </w:rPr>
        <w:t>四舍五入</w:t>
      </w:r>
      <w:r>
        <w:rPr>
          <w:rFonts w:ascii="宋体" w:hAnsi="宋体" w:eastAsia="宋体" w:cs="宋体"/>
          <w:color w:val="auto"/>
          <w:spacing w:val="-66"/>
          <w:sz w:val="18"/>
          <w:szCs w:val="18"/>
          <w:highlight w:val="none"/>
        </w:rPr>
        <w:t xml:space="preserve"> </w:t>
      </w:r>
      <w:r>
        <w:rPr>
          <w:rFonts w:ascii="宋体" w:hAnsi="宋体" w:eastAsia="宋体" w:cs="宋体"/>
          <w:color w:val="auto"/>
          <w:spacing w:val="-1"/>
          <w:sz w:val="18"/>
          <w:szCs w:val="18"/>
          <w:highlight w:val="none"/>
        </w:rPr>
        <w:t>”。</w:t>
      </w:r>
    </w:p>
    <w:p w14:paraId="40D39995">
      <w:pPr>
        <w:spacing w:line="232" w:lineRule="auto"/>
        <w:rPr>
          <w:rFonts w:ascii="宋体" w:hAnsi="宋体" w:eastAsia="宋体" w:cs="宋体"/>
          <w:color w:val="auto"/>
          <w:sz w:val="18"/>
          <w:szCs w:val="18"/>
          <w:highlight w:val="none"/>
        </w:rPr>
        <w:sectPr>
          <w:footerReference r:id="rId57" w:type="default"/>
          <w:pgSz w:w="11906" w:h="16839"/>
          <w:pgMar w:top="1405" w:right="1255" w:bottom="1297" w:left="1413" w:header="0" w:footer="1066" w:gutter="0"/>
          <w:pgNumType w:fmt="decimal"/>
          <w:cols w:space="720" w:num="1"/>
        </w:sectPr>
      </w:pPr>
    </w:p>
    <w:p w14:paraId="3828D22B">
      <w:pPr>
        <w:spacing w:before="48" w:line="359" w:lineRule="auto"/>
        <w:ind w:left="15" w:right="128" w:hanging="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第二个信封（报价文件）进行初步评审。有一项不符合评审标准的，评标委</w:t>
      </w:r>
      <w:r>
        <w:rPr>
          <w:rFonts w:ascii="宋体" w:hAnsi="宋体" w:eastAsia="宋体" w:cs="宋体"/>
          <w:color w:val="auto"/>
          <w:spacing w:val="4"/>
          <w:sz w:val="24"/>
          <w:szCs w:val="24"/>
          <w:highlight w:val="none"/>
        </w:rPr>
        <w:t>员会应否</w:t>
      </w:r>
      <w:r>
        <w:rPr>
          <w:rFonts w:ascii="宋体" w:hAnsi="宋体" w:eastAsia="宋体" w:cs="宋体"/>
          <w:color w:val="auto"/>
          <w:spacing w:val="-4"/>
          <w:sz w:val="24"/>
          <w:szCs w:val="24"/>
          <w:highlight w:val="none"/>
        </w:rPr>
        <w:t>决其投标。</w:t>
      </w:r>
    </w:p>
    <w:p w14:paraId="620E795C">
      <w:pPr>
        <w:spacing w:before="2" w:line="358" w:lineRule="auto"/>
        <w:ind w:left="13" w:right="128" w:firstLine="48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3.4.2 投标报价有算术错误的，评标委员会按以</w:t>
      </w:r>
      <w:r>
        <w:rPr>
          <w:rFonts w:ascii="宋体" w:hAnsi="宋体" w:eastAsia="宋体" w:cs="宋体"/>
          <w:color w:val="auto"/>
          <w:spacing w:val="4"/>
          <w:sz w:val="24"/>
          <w:szCs w:val="24"/>
          <w:highlight w:val="none"/>
        </w:rPr>
        <w:t>下原则对投标报价进行修正，修</w:t>
      </w:r>
      <w:r>
        <w:rPr>
          <w:rFonts w:ascii="宋体" w:hAnsi="宋体" w:eastAsia="宋体" w:cs="宋体"/>
          <w:color w:val="auto"/>
          <w:spacing w:val="5"/>
          <w:sz w:val="24"/>
          <w:szCs w:val="24"/>
          <w:highlight w:val="none"/>
        </w:rPr>
        <w:t>正的价格经投标人书面确认后具有约束力。投标人不接受修正价</w:t>
      </w:r>
      <w:r>
        <w:rPr>
          <w:rFonts w:ascii="宋体" w:hAnsi="宋体" w:eastAsia="宋体" w:cs="宋体"/>
          <w:color w:val="auto"/>
          <w:spacing w:val="4"/>
          <w:sz w:val="24"/>
          <w:szCs w:val="24"/>
          <w:highlight w:val="none"/>
        </w:rPr>
        <w:t>格的，评标委员会应</w:t>
      </w:r>
      <w:r>
        <w:rPr>
          <w:rFonts w:ascii="宋体" w:hAnsi="宋体" w:eastAsia="宋体" w:cs="宋体"/>
          <w:color w:val="auto"/>
          <w:spacing w:val="-3"/>
          <w:sz w:val="24"/>
          <w:szCs w:val="24"/>
          <w:highlight w:val="none"/>
        </w:rPr>
        <w:t>否决其投标。</w:t>
      </w:r>
    </w:p>
    <w:p w14:paraId="453489D1">
      <w:pPr>
        <w:spacing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（1）投标文件中的大写金额与小写金额不一致的，以大写金额为准；</w:t>
      </w:r>
    </w:p>
    <w:p w14:paraId="4F1AAAF4">
      <w:pPr>
        <w:spacing w:before="182" w:line="288" w:lineRule="auto"/>
        <w:ind w:left="10" w:right="128" w:firstLine="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（2）总价金额与依据单价计算出的结果不一致的，以单价金额为准修正总价，但</w:t>
      </w:r>
      <w:r>
        <w:rPr>
          <w:rFonts w:ascii="宋体" w:hAnsi="宋体" w:eastAsia="宋体" w:cs="宋体"/>
          <w:color w:val="auto"/>
          <w:spacing w:val="-1"/>
          <w:sz w:val="24"/>
          <w:szCs w:val="24"/>
          <w:highlight w:val="none"/>
        </w:rPr>
        <w:t>单价金额小数点有明显错误的除外；</w:t>
      </w:r>
    </w:p>
    <w:p w14:paraId="6E46FA40">
      <w:pPr>
        <w:spacing w:before="185" w:line="288" w:lineRule="auto"/>
        <w:ind w:left="20" w:right="128"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（3）当单价与数量相乘不等于合价时，以单价计算为准，如果单价有明显的小数</w:t>
      </w:r>
      <w:r>
        <w:rPr>
          <w:rFonts w:ascii="宋体" w:hAnsi="宋体" w:eastAsia="宋体" w:cs="宋体"/>
          <w:color w:val="auto"/>
          <w:spacing w:val="-1"/>
          <w:sz w:val="24"/>
          <w:szCs w:val="24"/>
          <w:highlight w:val="none"/>
        </w:rPr>
        <w:t>点位置差错，应以标出的合价为准，同时对单价予以修正；</w:t>
      </w:r>
    </w:p>
    <w:p w14:paraId="0AB1DC22">
      <w:pPr>
        <w:spacing w:before="184" w:line="218" w:lineRule="auto"/>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（4）当各子目的合价累计不等于总价时，应以各子目合价累计数为准，修正总价。</w:t>
      </w:r>
    </w:p>
    <w:p w14:paraId="6D8F539A">
      <w:pPr>
        <w:spacing w:before="183" w:line="290" w:lineRule="auto"/>
        <w:ind w:left="9" w:right="128" w:firstLine="48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3.4.3 修正后的最终投标报价若超过最高投标限价（如有</w:t>
      </w:r>
      <w:r>
        <w:rPr>
          <w:rFonts w:ascii="宋体" w:hAnsi="宋体" w:eastAsia="宋体" w:cs="宋体"/>
          <w:color w:val="auto"/>
          <w:spacing w:val="16"/>
          <w:sz w:val="24"/>
          <w:szCs w:val="24"/>
          <w:highlight w:val="none"/>
        </w:rPr>
        <w:t>），</w:t>
      </w:r>
      <w:r>
        <w:rPr>
          <w:rFonts w:ascii="宋体" w:hAnsi="宋体" w:eastAsia="宋体" w:cs="宋体"/>
          <w:color w:val="auto"/>
          <w:spacing w:val="4"/>
          <w:sz w:val="24"/>
          <w:szCs w:val="24"/>
          <w:highlight w:val="none"/>
        </w:rPr>
        <w:t>评标委员会应否决</w:t>
      </w:r>
      <w:r>
        <w:rPr>
          <w:rFonts w:ascii="宋体" w:hAnsi="宋体" w:eastAsia="宋体" w:cs="宋体"/>
          <w:color w:val="auto"/>
          <w:spacing w:val="-3"/>
          <w:sz w:val="24"/>
          <w:szCs w:val="24"/>
          <w:highlight w:val="none"/>
        </w:rPr>
        <w:t>其投标。</w:t>
      </w:r>
    </w:p>
    <w:p w14:paraId="33E08066">
      <w:pPr>
        <w:spacing w:before="181" w:line="289" w:lineRule="auto"/>
        <w:ind w:left="8" w:right="128" w:firstLine="48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3.4.4 修正后的最终投标报价仅作为签订合同的</w:t>
      </w:r>
      <w:r>
        <w:rPr>
          <w:rFonts w:ascii="宋体" w:hAnsi="宋体" w:eastAsia="宋体" w:cs="宋体"/>
          <w:color w:val="auto"/>
          <w:spacing w:val="4"/>
          <w:sz w:val="24"/>
          <w:szCs w:val="24"/>
          <w:highlight w:val="none"/>
        </w:rPr>
        <w:t>一个依据，不参与评标价得分的</w:t>
      </w:r>
      <w:r>
        <w:rPr>
          <w:rFonts w:ascii="宋体" w:hAnsi="宋体" w:eastAsia="宋体" w:cs="宋体"/>
          <w:color w:val="auto"/>
          <w:spacing w:val="-4"/>
          <w:sz w:val="24"/>
          <w:szCs w:val="24"/>
          <w:highlight w:val="none"/>
        </w:rPr>
        <w:t>计算。</w:t>
      </w:r>
    </w:p>
    <w:p w14:paraId="28832C12">
      <w:pPr>
        <w:spacing w:line="245" w:lineRule="auto"/>
        <w:rPr>
          <w:rFonts w:ascii="Arial"/>
          <w:color w:val="auto"/>
          <w:sz w:val="21"/>
          <w:highlight w:val="none"/>
        </w:rPr>
      </w:pPr>
    </w:p>
    <w:p w14:paraId="0CA6DA73">
      <w:pPr>
        <w:spacing w:before="78" w:line="219" w:lineRule="auto"/>
        <w:ind w:left="13"/>
        <w:outlineLvl w:val="1"/>
        <w:rPr>
          <w:rFonts w:ascii="宋体" w:hAnsi="宋体" w:eastAsia="宋体" w:cs="宋体"/>
          <w:color w:val="auto"/>
          <w:sz w:val="24"/>
          <w:szCs w:val="24"/>
          <w:highlight w:val="none"/>
        </w:rPr>
      </w:pPr>
      <w:bookmarkStart w:id="210" w:name="_Toc11538"/>
      <w:bookmarkStart w:id="211" w:name="_Toc32318"/>
      <w:r>
        <w:rPr>
          <w:rFonts w:ascii="宋体" w:hAnsi="宋体" w:eastAsia="宋体" w:cs="宋体"/>
          <w:b/>
          <w:bCs/>
          <w:color w:val="auto"/>
          <w:spacing w:val="-3"/>
          <w:sz w:val="24"/>
          <w:szCs w:val="24"/>
          <w:highlight w:val="none"/>
        </w:rPr>
        <w:t>3.5</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第二个信封详细评审</w:t>
      </w:r>
      <w:bookmarkEnd w:id="210"/>
      <w:bookmarkEnd w:id="211"/>
    </w:p>
    <w:p w14:paraId="62249AC3">
      <w:pPr>
        <w:spacing w:before="54" w:line="288" w:lineRule="auto"/>
        <w:ind w:left="28" w:right="128" w:firstLine="46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3.5.1 评标委员会按本章第</w:t>
      </w:r>
      <w:r>
        <w:rPr>
          <w:rFonts w:ascii="宋体" w:hAnsi="宋体" w:eastAsia="宋体" w:cs="宋体"/>
          <w:color w:val="auto"/>
          <w:spacing w:val="-38"/>
          <w:sz w:val="24"/>
          <w:szCs w:val="24"/>
          <w:highlight w:val="none"/>
        </w:rPr>
        <w:t xml:space="preserve"> </w:t>
      </w:r>
      <w:r>
        <w:rPr>
          <w:rFonts w:ascii="宋体" w:hAnsi="宋体" w:eastAsia="宋体" w:cs="宋体"/>
          <w:color w:val="auto"/>
          <w:spacing w:val="-1"/>
          <w:sz w:val="24"/>
          <w:szCs w:val="24"/>
          <w:highlight w:val="none"/>
        </w:rPr>
        <w:t>2.2.4</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项（3）</w:t>
      </w:r>
      <w:r>
        <w:rPr>
          <w:rFonts w:ascii="宋体" w:hAnsi="宋体" w:eastAsia="宋体" w:cs="宋体"/>
          <w:color w:val="auto"/>
          <w:spacing w:val="-60"/>
          <w:sz w:val="24"/>
          <w:szCs w:val="24"/>
          <w:highlight w:val="none"/>
        </w:rPr>
        <w:t xml:space="preserve"> </w:t>
      </w:r>
      <w:r>
        <w:rPr>
          <w:rFonts w:ascii="宋体" w:hAnsi="宋体" w:eastAsia="宋体" w:cs="宋体"/>
          <w:color w:val="auto"/>
          <w:spacing w:val="-1"/>
          <w:sz w:val="24"/>
          <w:szCs w:val="24"/>
          <w:highlight w:val="none"/>
        </w:rPr>
        <w:t>目规定的评审因素和分值对评标价计算</w:t>
      </w:r>
      <w:r>
        <w:rPr>
          <w:rFonts w:ascii="宋体" w:hAnsi="宋体" w:eastAsia="宋体" w:cs="宋体"/>
          <w:color w:val="auto"/>
          <w:spacing w:val="-2"/>
          <w:sz w:val="24"/>
          <w:szCs w:val="24"/>
          <w:highlight w:val="none"/>
        </w:rPr>
        <w:t>出得分</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C。评标价得分分值计算保留小数点后四位，小数点后第五位“</w:t>
      </w:r>
      <w:r>
        <w:rPr>
          <w:rFonts w:ascii="宋体" w:hAnsi="宋体" w:eastAsia="宋体" w:cs="宋体"/>
          <w:color w:val="auto"/>
          <w:spacing w:val="-89"/>
          <w:sz w:val="24"/>
          <w:szCs w:val="24"/>
          <w:highlight w:val="none"/>
        </w:rPr>
        <w:t xml:space="preserve"> </w:t>
      </w:r>
      <w:r>
        <w:rPr>
          <w:rFonts w:ascii="宋体" w:hAnsi="宋体" w:eastAsia="宋体" w:cs="宋体"/>
          <w:color w:val="auto"/>
          <w:spacing w:val="-2"/>
          <w:sz w:val="24"/>
          <w:szCs w:val="24"/>
          <w:highlight w:val="none"/>
        </w:rPr>
        <w:t>四舍五入</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w:t>
      </w:r>
    </w:p>
    <w:p w14:paraId="4D61444E">
      <w:pPr>
        <w:spacing w:before="183"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3.5.2 投标人综合得分=投标人的商务和技术得分+C。</w:t>
      </w:r>
    </w:p>
    <w:p w14:paraId="2B9736A8">
      <w:pPr>
        <w:spacing w:before="182" w:line="324" w:lineRule="auto"/>
        <w:ind w:left="9" w:right="128" w:firstLine="48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3.5.3 评标委员会发现投标人的报价明显低于其</w:t>
      </w:r>
      <w:r>
        <w:rPr>
          <w:rFonts w:ascii="宋体" w:hAnsi="宋体" w:eastAsia="宋体" w:cs="宋体"/>
          <w:color w:val="auto"/>
          <w:spacing w:val="4"/>
          <w:sz w:val="24"/>
          <w:szCs w:val="24"/>
          <w:highlight w:val="none"/>
        </w:rPr>
        <w:t>他投标报价，使得其投标报价可</w:t>
      </w:r>
      <w:r>
        <w:rPr>
          <w:rFonts w:ascii="宋体" w:hAnsi="宋体" w:eastAsia="宋体" w:cs="宋体"/>
          <w:color w:val="auto"/>
          <w:spacing w:val="5"/>
          <w:sz w:val="24"/>
          <w:szCs w:val="24"/>
          <w:highlight w:val="none"/>
        </w:rPr>
        <w:t>能低于其个别成本的，应要求该投标人作出书面说明并提供相应的证明材</w:t>
      </w:r>
      <w:r>
        <w:rPr>
          <w:rFonts w:ascii="宋体" w:hAnsi="宋体" w:eastAsia="宋体" w:cs="宋体"/>
          <w:color w:val="auto"/>
          <w:spacing w:val="4"/>
          <w:sz w:val="24"/>
          <w:szCs w:val="24"/>
          <w:highlight w:val="none"/>
        </w:rPr>
        <w:t>料。投标人</w:t>
      </w:r>
      <w:r>
        <w:rPr>
          <w:rFonts w:ascii="宋体" w:hAnsi="宋体" w:eastAsia="宋体" w:cs="宋体"/>
          <w:color w:val="auto"/>
          <w:spacing w:val="5"/>
          <w:sz w:val="24"/>
          <w:szCs w:val="24"/>
          <w:highlight w:val="none"/>
        </w:rPr>
        <w:t>不能合理说明或不能提供相应证明材料的，评标委员会应认定该投标人以</w:t>
      </w:r>
      <w:r>
        <w:rPr>
          <w:rFonts w:ascii="宋体" w:hAnsi="宋体" w:eastAsia="宋体" w:cs="宋体"/>
          <w:color w:val="auto"/>
          <w:spacing w:val="4"/>
          <w:sz w:val="24"/>
          <w:szCs w:val="24"/>
          <w:highlight w:val="none"/>
        </w:rPr>
        <w:t>低于成本报</w:t>
      </w:r>
      <w:r>
        <w:rPr>
          <w:rFonts w:ascii="宋体" w:hAnsi="宋体" w:eastAsia="宋体" w:cs="宋体"/>
          <w:color w:val="auto"/>
          <w:spacing w:val="-1"/>
          <w:sz w:val="24"/>
          <w:szCs w:val="24"/>
          <w:highlight w:val="none"/>
        </w:rPr>
        <w:t>价竞标，并否决其投标。</w:t>
      </w:r>
    </w:p>
    <w:p w14:paraId="2D693936">
      <w:pPr>
        <w:spacing w:line="247" w:lineRule="auto"/>
        <w:rPr>
          <w:rFonts w:ascii="Arial"/>
          <w:color w:val="auto"/>
          <w:sz w:val="21"/>
          <w:highlight w:val="none"/>
        </w:rPr>
      </w:pPr>
    </w:p>
    <w:p w14:paraId="762E8329">
      <w:pPr>
        <w:spacing w:before="79" w:line="219" w:lineRule="auto"/>
        <w:ind w:left="13"/>
        <w:outlineLvl w:val="1"/>
        <w:rPr>
          <w:rFonts w:ascii="宋体" w:hAnsi="宋体" w:eastAsia="宋体" w:cs="宋体"/>
          <w:color w:val="auto"/>
          <w:sz w:val="24"/>
          <w:szCs w:val="24"/>
          <w:highlight w:val="none"/>
        </w:rPr>
      </w:pPr>
      <w:bookmarkStart w:id="212" w:name="_Toc2479"/>
      <w:bookmarkStart w:id="213" w:name="_Toc454"/>
      <w:r>
        <w:rPr>
          <w:rFonts w:ascii="宋体" w:hAnsi="宋体" w:eastAsia="宋体" w:cs="宋体"/>
          <w:b/>
          <w:bCs/>
          <w:color w:val="auto"/>
          <w:spacing w:val="-3"/>
          <w:sz w:val="24"/>
          <w:szCs w:val="24"/>
          <w:highlight w:val="none"/>
        </w:rPr>
        <w:t>3.6</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投标文件相关信息的核查</w:t>
      </w:r>
      <w:bookmarkEnd w:id="212"/>
      <w:bookmarkEnd w:id="213"/>
    </w:p>
    <w:p w14:paraId="239C2E9E">
      <w:pPr>
        <w:spacing w:before="14" w:line="364" w:lineRule="auto"/>
        <w:ind w:left="14" w:right="125" w:firstLine="479"/>
        <w:jc w:val="both"/>
        <w:rPr>
          <w:rFonts w:ascii="宋体" w:hAnsi="宋体" w:eastAsia="宋体" w:cs="宋体"/>
          <w:color w:val="auto"/>
          <w:sz w:val="24"/>
          <w:szCs w:val="24"/>
          <w:highlight w:val="none"/>
        </w:rPr>
      </w:pPr>
      <w:r>
        <w:rPr>
          <w:color w:val="auto"/>
          <w:highlight w:val="none"/>
        </w:rPr>
        <w:pict>
          <v:shape id="_x0000_s1083" o:spid="_x0000_s1083" style="position:absolute;left:0pt;margin-left:0pt;margin-top:121.6pt;height:0pt;width:144pt;z-index:251696128;mso-width-relative:page;mso-height-relative:page;" filled="f" stroked="t" coordsize="2880,0" path="m0,0l2880,0e">
            <v:fill on="f" focussize="0,0"/>
            <v:stroke weight="0pt" color="#000000" miterlimit="0" joinstyle="bevel" endcap="square"/>
            <v:imagedata o:title=""/>
            <o:lock v:ext="edit"/>
          </v:shape>
        </w:pict>
      </w:r>
      <w:r>
        <w:rPr>
          <w:rFonts w:ascii="宋体" w:hAnsi="宋体" w:eastAsia="宋体" w:cs="宋体"/>
          <w:color w:val="auto"/>
          <w:spacing w:val="1"/>
          <w:sz w:val="24"/>
          <w:szCs w:val="24"/>
          <w:highlight w:val="none"/>
        </w:rPr>
        <w:t xml:space="preserve">3.6.1 </w:t>
      </w:r>
      <w:r>
        <w:rPr>
          <w:color w:val="auto"/>
          <w:highlight w:val="none"/>
        </w:rPr>
        <w:fldChar w:fldCharType="begin"/>
      </w:r>
      <w:r>
        <w:rPr>
          <w:color w:val="auto"/>
          <w:highlight w:val="none"/>
        </w:rPr>
        <w:instrText xml:space="preserve"> HYPERLINK \l "bookmark139" </w:instrText>
      </w:r>
      <w:r>
        <w:rPr>
          <w:color w:val="auto"/>
          <w:highlight w:val="none"/>
        </w:rPr>
        <w:fldChar w:fldCharType="separate"/>
      </w:r>
      <w:r>
        <w:rPr>
          <w:rFonts w:ascii="宋体" w:hAnsi="宋体" w:eastAsia="宋体" w:cs="宋体"/>
          <w:color w:val="auto"/>
          <w:spacing w:val="1"/>
          <w:position w:val="11"/>
          <w:sz w:val="12"/>
          <w:szCs w:val="12"/>
          <w:highlight w:val="none"/>
        </w:rPr>
        <w:t>①</w:t>
      </w:r>
      <w:r>
        <w:rPr>
          <w:rFonts w:ascii="宋体" w:hAnsi="宋体" w:eastAsia="宋体" w:cs="宋体"/>
          <w:color w:val="auto"/>
          <w:spacing w:val="1"/>
          <w:position w:val="11"/>
          <w:sz w:val="12"/>
          <w:szCs w:val="12"/>
          <w:highlight w:val="none"/>
        </w:rPr>
        <w:fldChar w:fldCharType="end"/>
      </w:r>
      <w:r>
        <w:rPr>
          <w:rFonts w:ascii="宋体" w:hAnsi="宋体" w:eastAsia="宋体" w:cs="宋体"/>
          <w:color w:val="auto"/>
          <w:spacing w:val="1"/>
          <w:sz w:val="24"/>
          <w:szCs w:val="24"/>
          <w:highlight w:val="none"/>
        </w:rPr>
        <w:t>在评标过程中，评标委员会应查询交通运输主管部门“公路建设市场监督</w:t>
      </w:r>
      <w:r>
        <w:rPr>
          <w:rFonts w:ascii="宋体" w:hAnsi="宋体" w:eastAsia="宋体" w:cs="宋体"/>
          <w:color w:val="auto"/>
          <w:spacing w:val="4"/>
          <w:sz w:val="24"/>
          <w:szCs w:val="24"/>
          <w:highlight w:val="none"/>
        </w:rPr>
        <w:t>管理系统</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”，对投标人的资质、业绩、主要人员资历和目前在</w:t>
      </w:r>
      <w:r>
        <w:rPr>
          <w:rFonts w:ascii="宋体" w:hAnsi="宋体" w:eastAsia="宋体" w:cs="宋体"/>
          <w:color w:val="auto"/>
          <w:spacing w:val="3"/>
          <w:sz w:val="24"/>
          <w:szCs w:val="24"/>
          <w:highlight w:val="none"/>
        </w:rPr>
        <w:t>岗情况、信用等级等信</w:t>
      </w:r>
      <w:r>
        <w:rPr>
          <w:rFonts w:ascii="宋体" w:hAnsi="宋体" w:eastAsia="宋体" w:cs="宋体"/>
          <w:color w:val="auto"/>
          <w:spacing w:val="5"/>
          <w:sz w:val="24"/>
          <w:szCs w:val="24"/>
          <w:highlight w:val="none"/>
        </w:rPr>
        <w:t>息进行核实。若投标文件载明的信息与交通运输主管部门“公</w:t>
      </w:r>
      <w:r>
        <w:rPr>
          <w:rFonts w:ascii="宋体" w:hAnsi="宋体" w:eastAsia="宋体" w:cs="宋体"/>
          <w:color w:val="auto"/>
          <w:spacing w:val="4"/>
          <w:sz w:val="24"/>
          <w:szCs w:val="24"/>
          <w:highlight w:val="none"/>
        </w:rPr>
        <w:t>路建设市场监督管理系统</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”发布的信息不符，使得投标人的资格条件不符合招标文件规定的</w:t>
      </w:r>
      <w:r>
        <w:rPr>
          <w:rFonts w:ascii="宋体" w:hAnsi="宋体" w:eastAsia="宋体" w:cs="宋体"/>
          <w:color w:val="auto"/>
          <w:spacing w:val="3"/>
          <w:sz w:val="24"/>
          <w:szCs w:val="24"/>
          <w:highlight w:val="none"/>
        </w:rPr>
        <w:t>，评标委员会应</w:t>
      </w:r>
      <w:bookmarkStart w:id="214" w:name="bookmark139"/>
      <w:bookmarkEnd w:id="214"/>
      <w:r>
        <w:rPr>
          <w:rFonts w:ascii="宋体" w:hAnsi="宋体" w:eastAsia="宋体" w:cs="宋体"/>
          <w:color w:val="auto"/>
          <w:spacing w:val="-3"/>
          <w:sz w:val="24"/>
          <w:szCs w:val="24"/>
          <w:highlight w:val="none"/>
        </w:rPr>
        <w:t>否决其投标。</w:t>
      </w:r>
    </w:p>
    <w:p w14:paraId="57190946">
      <w:pPr>
        <w:spacing w:before="201" w:line="220" w:lineRule="auto"/>
        <w:ind w:left="5"/>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① 适用于使用“公路建设市场监督管理系</w:t>
      </w:r>
      <w:r>
        <w:rPr>
          <w:rFonts w:ascii="宋体" w:hAnsi="宋体" w:eastAsia="宋体" w:cs="宋体"/>
          <w:color w:val="auto"/>
          <w:spacing w:val="-2"/>
          <w:sz w:val="18"/>
          <w:szCs w:val="18"/>
          <w:highlight w:val="none"/>
        </w:rPr>
        <w:t>统</w:t>
      </w:r>
      <w:r>
        <w:rPr>
          <w:rFonts w:ascii="宋体" w:hAnsi="宋体" w:eastAsia="宋体" w:cs="宋体"/>
          <w:color w:val="auto"/>
          <w:spacing w:val="-66"/>
          <w:sz w:val="18"/>
          <w:szCs w:val="18"/>
          <w:highlight w:val="none"/>
        </w:rPr>
        <w:t xml:space="preserve"> </w:t>
      </w:r>
      <w:r>
        <w:rPr>
          <w:rFonts w:ascii="宋体" w:hAnsi="宋体" w:eastAsia="宋体" w:cs="宋体"/>
          <w:color w:val="auto"/>
          <w:spacing w:val="-2"/>
          <w:sz w:val="18"/>
          <w:szCs w:val="18"/>
          <w:highlight w:val="none"/>
        </w:rPr>
        <w:t>”的情形。</w:t>
      </w:r>
    </w:p>
    <w:p w14:paraId="0B3B6DF8">
      <w:pPr>
        <w:spacing w:line="220" w:lineRule="auto"/>
        <w:rPr>
          <w:rFonts w:ascii="宋体" w:hAnsi="宋体" w:eastAsia="宋体" w:cs="宋体"/>
          <w:color w:val="auto"/>
          <w:sz w:val="18"/>
          <w:szCs w:val="18"/>
          <w:highlight w:val="none"/>
        </w:rPr>
        <w:sectPr>
          <w:footerReference r:id="rId58" w:type="default"/>
          <w:pgSz w:w="11906" w:h="16839"/>
          <w:pgMar w:top="1405" w:right="1289" w:bottom="1297" w:left="1417" w:header="0" w:footer="1067" w:gutter="0"/>
          <w:pgNumType w:fmt="decimal"/>
          <w:cols w:space="720" w:num="1"/>
        </w:sectPr>
      </w:pPr>
    </w:p>
    <w:p w14:paraId="7E2CC24F">
      <w:pPr>
        <w:spacing w:before="47" w:line="359" w:lineRule="auto"/>
        <w:ind w:firstLine="485"/>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3.6.2 评标委员会应对在评标过程中发现的投标</w:t>
      </w:r>
      <w:r>
        <w:rPr>
          <w:rFonts w:ascii="宋体" w:hAnsi="宋体" w:eastAsia="宋体" w:cs="宋体"/>
          <w:color w:val="auto"/>
          <w:spacing w:val="4"/>
          <w:sz w:val="24"/>
          <w:szCs w:val="24"/>
          <w:highlight w:val="none"/>
        </w:rPr>
        <w:t>人与投标人之间、投标人与招标</w:t>
      </w:r>
      <w:r>
        <w:rPr>
          <w:rFonts w:ascii="宋体" w:hAnsi="宋体" w:eastAsia="宋体" w:cs="宋体"/>
          <w:color w:val="auto"/>
          <w:spacing w:val="5"/>
          <w:sz w:val="24"/>
          <w:szCs w:val="24"/>
          <w:highlight w:val="none"/>
        </w:rPr>
        <w:t>人之间存在的串通投标的情形进行评审和认定。投标人存在串通投标、弄虚作</w:t>
      </w:r>
      <w:r>
        <w:rPr>
          <w:rFonts w:ascii="宋体" w:hAnsi="宋体" w:eastAsia="宋体" w:cs="宋体"/>
          <w:color w:val="auto"/>
          <w:spacing w:val="4"/>
          <w:sz w:val="24"/>
          <w:szCs w:val="24"/>
          <w:highlight w:val="none"/>
        </w:rPr>
        <w:t>假、行</w:t>
      </w:r>
      <w:r>
        <w:rPr>
          <w:rFonts w:ascii="宋体" w:hAnsi="宋体" w:eastAsia="宋体" w:cs="宋体"/>
          <w:color w:val="auto"/>
          <w:spacing w:val="-1"/>
          <w:sz w:val="24"/>
          <w:szCs w:val="24"/>
          <w:highlight w:val="none"/>
        </w:rPr>
        <w:t>贿等违法行为的，评标委员会应否决其投标。</w:t>
      </w:r>
    </w:p>
    <w:p w14:paraId="3AA6E5AD">
      <w:pPr>
        <w:spacing w:line="220"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（1）有下列情形之一的，属于投标人相互串通投标：</w:t>
      </w:r>
    </w:p>
    <w:p w14:paraId="77DF3D17">
      <w:pPr>
        <w:spacing w:before="181" w:line="218"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a.投标人之间协商投标报价等投标文件的实质性内容；</w:t>
      </w:r>
    </w:p>
    <w:p w14:paraId="148DDEBC">
      <w:pPr>
        <w:spacing w:before="182" w:line="220" w:lineRule="auto"/>
        <w:ind w:left="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b.投标人之间约定中标人；</w:t>
      </w:r>
    </w:p>
    <w:p w14:paraId="16138E0A">
      <w:pPr>
        <w:spacing w:before="182"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c.投标人之间约定部分投标人放弃投标或中标；</w:t>
      </w:r>
    </w:p>
    <w:p w14:paraId="03372EE2">
      <w:pPr>
        <w:spacing w:before="179" w:line="219" w:lineRule="auto"/>
        <w:ind w:left="485"/>
        <w:rPr>
          <w:rFonts w:ascii="宋体" w:hAnsi="宋体" w:eastAsia="宋体" w:cs="宋体"/>
          <w:color w:val="auto"/>
          <w:sz w:val="24"/>
          <w:szCs w:val="24"/>
          <w:highlight w:val="none"/>
        </w:rPr>
      </w:pPr>
      <w:r>
        <w:rPr>
          <w:rFonts w:ascii="宋体" w:hAnsi="宋体" w:eastAsia="宋体" w:cs="宋体"/>
          <w:color w:val="auto"/>
          <w:sz w:val="24"/>
          <w:szCs w:val="24"/>
          <w:highlight w:val="none"/>
        </w:rPr>
        <w:t>d.属于同一集团、协会、商会等组织成员</w:t>
      </w:r>
      <w:r>
        <w:rPr>
          <w:rFonts w:ascii="宋体" w:hAnsi="宋体" w:eastAsia="宋体" w:cs="宋体"/>
          <w:color w:val="auto"/>
          <w:spacing w:val="-1"/>
          <w:sz w:val="24"/>
          <w:szCs w:val="24"/>
          <w:highlight w:val="none"/>
        </w:rPr>
        <w:t>的投标人按照该组织要求协同投标；</w:t>
      </w:r>
    </w:p>
    <w:p w14:paraId="622CCED2">
      <w:pPr>
        <w:spacing w:before="183"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e.投标人之间为谋取中标或排斥特定投标人而采取的其他联合行动。</w:t>
      </w:r>
    </w:p>
    <w:p w14:paraId="28C4E055">
      <w:pPr>
        <w:spacing w:before="182" w:line="220"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（2）有下列情形之一的，视为投标人相互串通投标：</w:t>
      </w:r>
    </w:p>
    <w:p w14:paraId="28F97A13">
      <w:pPr>
        <w:spacing w:before="182"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a.不同投标人的投标文件由同一单位或个人编制；</w:t>
      </w:r>
    </w:p>
    <w:p w14:paraId="31CA69A1">
      <w:pPr>
        <w:spacing w:before="181" w:line="219" w:lineRule="auto"/>
        <w:ind w:left="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b.不同投标人委托同一单位或个人办理投标事宜；</w:t>
      </w:r>
    </w:p>
    <w:p w14:paraId="1056A4C4">
      <w:pPr>
        <w:spacing w:before="183"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c.不同投标人的投标文件载明的项目管理成员为同一人；</w:t>
      </w:r>
    </w:p>
    <w:p w14:paraId="6B3606AD">
      <w:pPr>
        <w:spacing w:before="183" w:line="218"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d.不同投标人的投标文件异常一致或投标报价呈规律性差异；</w:t>
      </w:r>
    </w:p>
    <w:p w14:paraId="4A547BCB">
      <w:pPr>
        <w:spacing w:before="183"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e.不同投标人的投标文件相互混装；</w:t>
      </w:r>
    </w:p>
    <w:p w14:paraId="44D0472A">
      <w:pPr>
        <w:spacing w:before="183"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f.不同投标人的投标保证金从同一单位或个人的账户转出。</w:t>
      </w:r>
    </w:p>
    <w:p w14:paraId="0E2E10A3">
      <w:pPr>
        <w:spacing w:before="180" w:line="214"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g.广东省实施《中华人民共和国招标投标法》办法第十六条规定的情形。</w:t>
      </w:r>
    </w:p>
    <w:p w14:paraId="76C64DF3">
      <w:pPr>
        <w:spacing w:before="188" w:line="220"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（3）有下列情形之一的，属于招标人与投标人串通投标：</w:t>
      </w:r>
    </w:p>
    <w:p w14:paraId="62B46487">
      <w:pPr>
        <w:spacing w:before="183"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a.招标人在开标前开启投标文件并将有关信息泄露给其他投标人；</w:t>
      </w:r>
    </w:p>
    <w:p w14:paraId="5F6D028F">
      <w:pPr>
        <w:spacing w:before="182" w:line="219" w:lineRule="auto"/>
        <w:ind w:left="477"/>
        <w:rPr>
          <w:rFonts w:ascii="宋体" w:hAnsi="宋体" w:eastAsia="宋体" w:cs="宋体"/>
          <w:color w:val="auto"/>
          <w:sz w:val="24"/>
          <w:szCs w:val="24"/>
          <w:highlight w:val="none"/>
        </w:rPr>
      </w:pPr>
      <w:r>
        <w:rPr>
          <w:rFonts w:ascii="宋体" w:hAnsi="宋体" w:eastAsia="宋体" w:cs="宋体"/>
          <w:color w:val="auto"/>
          <w:sz w:val="24"/>
          <w:szCs w:val="24"/>
          <w:highlight w:val="none"/>
        </w:rPr>
        <w:t>b.招标人直接或间接向投标人泄露标底、评标委员</w:t>
      </w:r>
      <w:r>
        <w:rPr>
          <w:rFonts w:ascii="宋体" w:hAnsi="宋体" w:eastAsia="宋体" w:cs="宋体"/>
          <w:color w:val="auto"/>
          <w:spacing w:val="-1"/>
          <w:sz w:val="24"/>
          <w:szCs w:val="24"/>
          <w:highlight w:val="none"/>
        </w:rPr>
        <w:t>会成员等信息；</w:t>
      </w:r>
    </w:p>
    <w:p w14:paraId="426CEEF8">
      <w:pPr>
        <w:spacing w:before="181" w:line="218"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c.招标人明示或暗示投标人压低或抬高投标报价；</w:t>
      </w:r>
    </w:p>
    <w:p w14:paraId="17BC4A8A">
      <w:pPr>
        <w:spacing w:before="185"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d.招标人授意投标人撤换、修改投标文件；</w:t>
      </w:r>
    </w:p>
    <w:p w14:paraId="4918FE4A">
      <w:pPr>
        <w:spacing w:before="180"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e.招标人明示或暗示投标人为特定投标人中标提供方便；</w:t>
      </w:r>
    </w:p>
    <w:p w14:paraId="30B702E8">
      <w:pPr>
        <w:spacing w:before="184"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f.招标人与投标人为谋求特定投标人中标而采取的其他串通行为。</w:t>
      </w:r>
    </w:p>
    <w:p w14:paraId="4B2AC05D">
      <w:pPr>
        <w:spacing w:before="183"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（4）投标人有下列情形之一的，属于弄虚作假的行为：</w:t>
      </w:r>
    </w:p>
    <w:p w14:paraId="7EB35BA8">
      <w:pPr>
        <w:spacing w:before="181"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a.使用通过受让或租借等方式获取的资格、资质证书投标；</w:t>
      </w:r>
    </w:p>
    <w:p w14:paraId="021BF741">
      <w:pPr>
        <w:spacing w:before="182" w:line="219" w:lineRule="auto"/>
        <w:ind w:left="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b.使用伪造、变造的许可证件；</w:t>
      </w:r>
    </w:p>
    <w:p w14:paraId="7E13CD00">
      <w:pPr>
        <w:spacing w:before="182" w:line="219" w:lineRule="auto"/>
        <w:ind w:left="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c.提供虚假的业绩；</w:t>
      </w:r>
    </w:p>
    <w:p w14:paraId="492DC1A9">
      <w:pPr>
        <w:spacing w:before="181"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d.提供虚假的项目负责人或主要技术人员简历、劳动关系证明；</w:t>
      </w:r>
    </w:p>
    <w:p w14:paraId="186321D4">
      <w:pPr>
        <w:spacing w:before="183" w:line="219" w:lineRule="auto"/>
        <w:ind w:left="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e.提供虚假的信用状况；</w:t>
      </w:r>
    </w:p>
    <w:p w14:paraId="58291BA7">
      <w:pPr>
        <w:spacing w:line="219" w:lineRule="auto"/>
        <w:rPr>
          <w:rFonts w:ascii="宋体" w:hAnsi="宋体" w:eastAsia="宋体" w:cs="宋体"/>
          <w:color w:val="auto"/>
          <w:sz w:val="24"/>
          <w:szCs w:val="24"/>
          <w:highlight w:val="none"/>
        </w:rPr>
        <w:sectPr>
          <w:footerReference r:id="rId59" w:type="default"/>
          <w:pgSz w:w="11906" w:h="16839"/>
          <w:pgMar w:top="1405" w:right="1418" w:bottom="1297" w:left="1424" w:header="0" w:footer="1067" w:gutter="0"/>
          <w:pgNumType w:fmt="decimal"/>
          <w:cols w:space="720" w:num="1"/>
        </w:sectPr>
      </w:pPr>
    </w:p>
    <w:p w14:paraId="763D0DD5">
      <w:pPr>
        <w:spacing w:before="47" w:line="219"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f.其他弄虚作假的行为。</w:t>
      </w:r>
    </w:p>
    <w:p w14:paraId="200BE6A1">
      <w:pPr>
        <w:spacing w:before="182" w:line="324" w:lineRule="auto"/>
        <w:ind w:left="2" w:right="8"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3.6.3</w:t>
      </w:r>
      <w:r>
        <w:rPr>
          <w:rFonts w:ascii="宋体" w:hAnsi="宋体" w:eastAsia="宋体" w:cs="宋体"/>
          <w:color w:val="auto"/>
          <w:spacing w:val="-49"/>
          <w:sz w:val="24"/>
          <w:szCs w:val="24"/>
          <w:highlight w:val="none"/>
        </w:rPr>
        <w:t xml:space="preserve"> </w:t>
      </w:r>
      <w:r>
        <w:rPr>
          <w:rFonts w:ascii="宋体" w:hAnsi="宋体" w:eastAsia="宋体" w:cs="宋体"/>
          <w:color w:val="auto"/>
          <w:sz w:val="24"/>
          <w:szCs w:val="24"/>
          <w:highlight w:val="none"/>
        </w:rPr>
        <w:t>依法必须进行招标的项目，除第一中标候</w:t>
      </w:r>
      <w:r>
        <w:rPr>
          <w:rFonts w:ascii="宋体" w:hAnsi="宋体" w:eastAsia="宋体" w:cs="宋体"/>
          <w:color w:val="auto"/>
          <w:spacing w:val="-1"/>
          <w:sz w:val="24"/>
          <w:szCs w:val="24"/>
          <w:highlight w:val="none"/>
        </w:rPr>
        <w:t>选人或者中标人，其他投标人存在</w:t>
      </w:r>
      <w:r>
        <w:rPr>
          <w:rFonts w:ascii="宋体" w:hAnsi="宋体" w:eastAsia="宋体" w:cs="宋体"/>
          <w:color w:val="auto"/>
          <w:spacing w:val="5"/>
          <w:sz w:val="24"/>
          <w:szCs w:val="24"/>
          <w:highlight w:val="none"/>
        </w:rPr>
        <w:t>串通投标、弄虚作假、行贿情形且在评标过程中未被发现的，视为对中</w:t>
      </w:r>
      <w:r>
        <w:rPr>
          <w:rFonts w:ascii="宋体" w:hAnsi="宋体" w:eastAsia="宋体" w:cs="宋体"/>
          <w:color w:val="auto"/>
          <w:spacing w:val="4"/>
          <w:sz w:val="24"/>
          <w:szCs w:val="24"/>
          <w:highlight w:val="none"/>
        </w:rPr>
        <w:t>标结果没有造</w:t>
      </w:r>
      <w:r>
        <w:rPr>
          <w:rFonts w:ascii="宋体" w:hAnsi="宋体" w:eastAsia="宋体" w:cs="宋体"/>
          <w:color w:val="auto"/>
          <w:spacing w:val="5"/>
          <w:sz w:val="24"/>
          <w:szCs w:val="24"/>
          <w:highlight w:val="none"/>
        </w:rPr>
        <w:t>成实质性影响，招标人可以依法继续开展招标活动。投标人的违法行为</w:t>
      </w:r>
      <w:r>
        <w:rPr>
          <w:rFonts w:ascii="宋体" w:hAnsi="宋体" w:eastAsia="宋体" w:cs="宋体"/>
          <w:color w:val="auto"/>
          <w:spacing w:val="4"/>
          <w:sz w:val="24"/>
          <w:szCs w:val="24"/>
          <w:highlight w:val="none"/>
        </w:rPr>
        <w:t>由行政监督部</w:t>
      </w:r>
      <w:r>
        <w:rPr>
          <w:rFonts w:ascii="宋体" w:hAnsi="宋体" w:eastAsia="宋体" w:cs="宋体"/>
          <w:color w:val="auto"/>
          <w:spacing w:val="-2"/>
          <w:sz w:val="24"/>
          <w:szCs w:val="24"/>
          <w:highlight w:val="none"/>
        </w:rPr>
        <w:t>门依法处理。</w:t>
      </w:r>
    </w:p>
    <w:p w14:paraId="5A5AECE7">
      <w:pPr>
        <w:spacing w:line="246" w:lineRule="auto"/>
        <w:rPr>
          <w:rFonts w:ascii="Arial"/>
          <w:color w:val="auto"/>
          <w:sz w:val="21"/>
          <w:highlight w:val="none"/>
        </w:rPr>
      </w:pPr>
    </w:p>
    <w:p w14:paraId="55A94188">
      <w:pPr>
        <w:spacing w:before="78" w:line="219" w:lineRule="auto"/>
        <w:ind w:left="5"/>
        <w:outlineLvl w:val="1"/>
        <w:rPr>
          <w:rFonts w:ascii="宋体" w:hAnsi="宋体" w:eastAsia="宋体" w:cs="宋体"/>
          <w:color w:val="auto"/>
          <w:sz w:val="24"/>
          <w:szCs w:val="24"/>
          <w:highlight w:val="none"/>
        </w:rPr>
      </w:pPr>
      <w:bookmarkStart w:id="215" w:name="_Toc21279"/>
      <w:bookmarkStart w:id="216" w:name="_Toc20884"/>
      <w:r>
        <w:rPr>
          <w:rFonts w:ascii="宋体" w:hAnsi="宋体" w:eastAsia="宋体" w:cs="宋体"/>
          <w:b/>
          <w:bCs/>
          <w:color w:val="auto"/>
          <w:spacing w:val="-3"/>
          <w:sz w:val="24"/>
          <w:szCs w:val="24"/>
          <w:highlight w:val="none"/>
        </w:rPr>
        <w:t>3.7</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投标文件的澄清和说明</w:t>
      </w:r>
      <w:bookmarkEnd w:id="215"/>
      <w:bookmarkEnd w:id="216"/>
    </w:p>
    <w:p w14:paraId="0B2B8A21">
      <w:pPr>
        <w:spacing w:before="51" w:line="312" w:lineRule="auto"/>
        <w:ind w:right="8" w:firstLine="48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3.7.1 在评标过程中，评标委员会可以要求投标</w:t>
      </w:r>
      <w:r>
        <w:rPr>
          <w:rFonts w:ascii="宋体" w:hAnsi="宋体" w:eastAsia="宋体" w:cs="宋体"/>
          <w:color w:val="auto"/>
          <w:spacing w:val="4"/>
          <w:sz w:val="24"/>
          <w:szCs w:val="24"/>
          <w:highlight w:val="none"/>
        </w:rPr>
        <w:t>人对投标文件中含义不明确的内</w:t>
      </w:r>
      <w:r>
        <w:rPr>
          <w:rFonts w:ascii="宋体" w:hAnsi="宋体" w:eastAsia="宋体" w:cs="宋体"/>
          <w:color w:val="auto"/>
          <w:spacing w:val="5"/>
          <w:sz w:val="24"/>
          <w:szCs w:val="24"/>
          <w:highlight w:val="none"/>
        </w:rPr>
        <w:t>容、明显文字或计算错误进行书面澄清或说明。评标委员会不接受投标人主</w:t>
      </w:r>
      <w:r>
        <w:rPr>
          <w:rFonts w:ascii="宋体" w:hAnsi="宋体" w:eastAsia="宋体" w:cs="宋体"/>
          <w:color w:val="auto"/>
          <w:spacing w:val="4"/>
          <w:sz w:val="24"/>
          <w:szCs w:val="24"/>
          <w:highlight w:val="none"/>
        </w:rPr>
        <w:t>动提出的</w:t>
      </w:r>
      <w:r>
        <w:rPr>
          <w:rFonts w:ascii="宋体" w:hAnsi="宋体" w:eastAsia="宋体" w:cs="宋体"/>
          <w:color w:val="auto"/>
          <w:sz w:val="24"/>
          <w:szCs w:val="24"/>
          <w:highlight w:val="none"/>
        </w:rPr>
        <w:t>澄清、说明。投标人不按评标委员会要求澄清或说明的，评</w:t>
      </w:r>
      <w:r>
        <w:rPr>
          <w:rFonts w:ascii="宋体" w:hAnsi="宋体" w:eastAsia="宋体" w:cs="宋体"/>
          <w:color w:val="auto"/>
          <w:spacing w:val="-1"/>
          <w:sz w:val="24"/>
          <w:szCs w:val="24"/>
          <w:highlight w:val="none"/>
        </w:rPr>
        <w:t>标委员会应否决其投标。</w:t>
      </w:r>
    </w:p>
    <w:p w14:paraId="2B146F47">
      <w:pPr>
        <w:spacing w:before="184" w:line="288" w:lineRule="auto"/>
        <w:ind w:left="3" w:right="8" w:firstLine="48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3.7.2 澄清和说明不得超出投标文件的范围或改</w:t>
      </w:r>
      <w:r>
        <w:rPr>
          <w:rFonts w:ascii="宋体" w:hAnsi="宋体" w:eastAsia="宋体" w:cs="宋体"/>
          <w:color w:val="auto"/>
          <w:spacing w:val="4"/>
          <w:sz w:val="24"/>
          <w:szCs w:val="24"/>
          <w:highlight w:val="none"/>
        </w:rPr>
        <w:t>变投标文件的实质性内容（算术</w:t>
      </w:r>
      <w:r>
        <w:rPr>
          <w:rFonts w:ascii="宋体" w:hAnsi="宋体" w:eastAsia="宋体" w:cs="宋体"/>
          <w:color w:val="auto"/>
          <w:sz w:val="24"/>
          <w:szCs w:val="24"/>
          <w:highlight w:val="none"/>
        </w:rPr>
        <w:t>性错误的修正除外）。投标人的书面澄清、</w:t>
      </w:r>
      <w:r>
        <w:rPr>
          <w:rFonts w:ascii="宋体" w:hAnsi="宋体" w:eastAsia="宋体" w:cs="宋体"/>
          <w:color w:val="auto"/>
          <w:spacing w:val="-1"/>
          <w:sz w:val="24"/>
          <w:szCs w:val="24"/>
          <w:highlight w:val="none"/>
        </w:rPr>
        <w:t>说明属于投标文件的组成部分。</w:t>
      </w:r>
    </w:p>
    <w:p w14:paraId="2D78E050">
      <w:pPr>
        <w:spacing w:before="185" w:line="288" w:lineRule="auto"/>
        <w:ind w:left="3"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3.7.3 评标委员会不得暗示或诱导投标人作出</w:t>
      </w:r>
      <w:r>
        <w:rPr>
          <w:rFonts w:ascii="宋体" w:hAnsi="宋体" w:eastAsia="宋体" w:cs="宋体"/>
          <w:color w:val="auto"/>
          <w:spacing w:val="-2"/>
          <w:sz w:val="24"/>
          <w:szCs w:val="24"/>
          <w:highlight w:val="none"/>
        </w:rPr>
        <w:t>澄清、说明，对投标人提交的澄清、</w:t>
      </w:r>
      <w:r>
        <w:rPr>
          <w:rFonts w:ascii="宋体" w:hAnsi="宋体" w:eastAsia="宋体" w:cs="宋体"/>
          <w:color w:val="auto"/>
          <w:sz w:val="24"/>
          <w:szCs w:val="24"/>
          <w:highlight w:val="none"/>
        </w:rPr>
        <w:t>说明有疑问的，可以要求投标人进一步澄清或说明</w:t>
      </w:r>
      <w:r>
        <w:rPr>
          <w:rFonts w:ascii="宋体" w:hAnsi="宋体" w:eastAsia="宋体" w:cs="宋体"/>
          <w:color w:val="auto"/>
          <w:spacing w:val="-1"/>
          <w:sz w:val="24"/>
          <w:szCs w:val="24"/>
          <w:highlight w:val="none"/>
        </w:rPr>
        <w:t>，直至满足评标委员会的要求。</w:t>
      </w:r>
    </w:p>
    <w:p w14:paraId="5B2E4548">
      <w:pPr>
        <w:spacing w:before="185" w:line="289" w:lineRule="auto"/>
        <w:ind w:right="8" w:firstLine="48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3.7.4 凡超出招标文件规定的或给委托人带来未</w:t>
      </w:r>
      <w:r>
        <w:rPr>
          <w:rFonts w:ascii="宋体" w:hAnsi="宋体" w:eastAsia="宋体" w:cs="宋体"/>
          <w:color w:val="auto"/>
          <w:spacing w:val="4"/>
          <w:sz w:val="24"/>
          <w:szCs w:val="24"/>
          <w:highlight w:val="none"/>
        </w:rPr>
        <w:t>曾要求的利益的变化、偏差或其</w:t>
      </w:r>
      <w:r>
        <w:rPr>
          <w:rFonts w:ascii="宋体" w:hAnsi="宋体" w:eastAsia="宋体" w:cs="宋体"/>
          <w:color w:val="auto"/>
          <w:spacing w:val="-1"/>
          <w:sz w:val="24"/>
          <w:szCs w:val="24"/>
          <w:highlight w:val="none"/>
        </w:rPr>
        <w:t>他因素在评标时不予考虑。</w:t>
      </w:r>
    </w:p>
    <w:p w14:paraId="197E4C0F">
      <w:pPr>
        <w:spacing w:line="246" w:lineRule="auto"/>
        <w:rPr>
          <w:rFonts w:ascii="Arial"/>
          <w:color w:val="auto"/>
          <w:sz w:val="21"/>
          <w:highlight w:val="none"/>
        </w:rPr>
      </w:pPr>
    </w:p>
    <w:p w14:paraId="6052ECB3">
      <w:pPr>
        <w:spacing w:before="78" w:line="219" w:lineRule="auto"/>
        <w:ind w:left="5"/>
        <w:outlineLvl w:val="1"/>
        <w:rPr>
          <w:rFonts w:ascii="宋体" w:hAnsi="宋体" w:eastAsia="宋体" w:cs="宋体"/>
          <w:color w:val="auto"/>
          <w:sz w:val="24"/>
          <w:szCs w:val="24"/>
          <w:highlight w:val="none"/>
        </w:rPr>
      </w:pPr>
      <w:bookmarkStart w:id="217" w:name="_Toc9266"/>
      <w:bookmarkStart w:id="218" w:name="_Toc22360"/>
      <w:r>
        <w:rPr>
          <w:rFonts w:ascii="宋体" w:hAnsi="宋体" w:eastAsia="宋体" w:cs="宋体"/>
          <w:b/>
          <w:bCs/>
          <w:color w:val="auto"/>
          <w:spacing w:val="-3"/>
          <w:sz w:val="24"/>
          <w:szCs w:val="24"/>
          <w:highlight w:val="none"/>
        </w:rPr>
        <w:t>3.8</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不得否决投标的情形</w:t>
      </w:r>
      <w:bookmarkEnd w:id="217"/>
      <w:bookmarkEnd w:id="218"/>
    </w:p>
    <w:p w14:paraId="578F9B2A">
      <w:pPr>
        <w:spacing w:before="50" w:line="361" w:lineRule="auto"/>
        <w:ind w:right="8" w:firstLine="483"/>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投标文件存在第二章“投标人须知</w:t>
      </w:r>
      <w:r>
        <w:rPr>
          <w:rFonts w:ascii="宋体" w:hAnsi="宋体" w:eastAsia="宋体" w:cs="宋体"/>
          <w:color w:val="auto"/>
          <w:spacing w:val="-88"/>
          <w:sz w:val="24"/>
          <w:szCs w:val="24"/>
          <w:highlight w:val="none"/>
        </w:rPr>
        <w:t xml:space="preserve"> </w:t>
      </w:r>
      <w:r>
        <w:rPr>
          <w:rFonts w:ascii="宋体" w:hAnsi="宋体" w:eastAsia="宋体" w:cs="宋体"/>
          <w:color w:val="auto"/>
          <w:sz w:val="24"/>
          <w:szCs w:val="24"/>
          <w:highlight w:val="none"/>
        </w:rPr>
        <w:t>”第</w:t>
      </w:r>
      <w:r>
        <w:rPr>
          <w:rFonts w:ascii="宋体" w:hAnsi="宋体" w:eastAsia="宋体" w:cs="宋体"/>
          <w:color w:val="auto"/>
          <w:spacing w:val="-30"/>
          <w:sz w:val="24"/>
          <w:szCs w:val="24"/>
          <w:highlight w:val="none"/>
        </w:rPr>
        <w:t xml:space="preserve"> </w:t>
      </w:r>
      <w:r>
        <w:rPr>
          <w:rFonts w:ascii="宋体" w:hAnsi="宋体" w:eastAsia="宋体" w:cs="宋体"/>
          <w:color w:val="auto"/>
          <w:sz w:val="24"/>
          <w:szCs w:val="24"/>
          <w:highlight w:val="none"/>
        </w:rPr>
        <w:t>1.</w:t>
      </w:r>
      <w:r>
        <w:rPr>
          <w:rFonts w:ascii="宋体" w:hAnsi="宋体" w:eastAsia="宋体" w:cs="宋体"/>
          <w:color w:val="auto"/>
          <w:spacing w:val="-1"/>
          <w:sz w:val="24"/>
          <w:szCs w:val="24"/>
          <w:highlight w:val="none"/>
        </w:rPr>
        <w:t>12.3</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项所列情形的，均视为细微偏差，</w:t>
      </w:r>
      <w:r>
        <w:rPr>
          <w:rFonts w:ascii="宋体" w:hAnsi="宋体" w:eastAsia="宋体" w:cs="宋体"/>
          <w:color w:val="auto"/>
          <w:sz w:val="24"/>
          <w:szCs w:val="24"/>
          <w:highlight w:val="none"/>
        </w:rPr>
        <w:t>评标委员会不得否决投标人的投标，应按照第二章“投标</w:t>
      </w:r>
      <w:r>
        <w:rPr>
          <w:rFonts w:ascii="宋体" w:hAnsi="宋体" w:eastAsia="宋体" w:cs="宋体"/>
          <w:color w:val="auto"/>
          <w:spacing w:val="-1"/>
          <w:sz w:val="24"/>
          <w:szCs w:val="24"/>
          <w:highlight w:val="none"/>
        </w:rPr>
        <w:t>人须知</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”第</w:t>
      </w:r>
      <w:r>
        <w:rPr>
          <w:rFonts w:ascii="宋体" w:hAnsi="宋体" w:eastAsia="宋体" w:cs="宋体"/>
          <w:color w:val="auto"/>
          <w:spacing w:val="-30"/>
          <w:sz w:val="24"/>
          <w:szCs w:val="24"/>
          <w:highlight w:val="none"/>
        </w:rPr>
        <w:t xml:space="preserve"> </w:t>
      </w:r>
      <w:r>
        <w:rPr>
          <w:rFonts w:ascii="宋体" w:hAnsi="宋体" w:eastAsia="宋体" w:cs="宋体"/>
          <w:color w:val="auto"/>
          <w:spacing w:val="-1"/>
          <w:sz w:val="24"/>
          <w:szCs w:val="24"/>
          <w:highlight w:val="none"/>
        </w:rPr>
        <w:t>1.12.4</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项规定的</w:t>
      </w:r>
      <w:r>
        <w:rPr>
          <w:rFonts w:ascii="宋体" w:hAnsi="宋体" w:eastAsia="宋体" w:cs="宋体"/>
          <w:color w:val="auto"/>
          <w:spacing w:val="-2"/>
          <w:sz w:val="24"/>
          <w:szCs w:val="24"/>
          <w:highlight w:val="none"/>
        </w:rPr>
        <w:t>原则处理。</w:t>
      </w:r>
    </w:p>
    <w:p w14:paraId="624EF2D6">
      <w:pPr>
        <w:spacing w:before="136" w:line="220" w:lineRule="auto"/>
        <w:ind w:left="5"/>
        <w:outlineLvl w:val="1"/>
        <w:rPr>
          <w:rFonts w:ascii="宋体" w:hAnsi="宋体" w:eastAsia="宋体" w:cs="宋体"/>
          <w:color w:val="auto"/>
          <w:sz w:val="24"/>
          <w:szCs w:val="24"/>
          <w:highlight w:val="none"/>
        </w:rPr>
      </w:pPr>
      <w:bookmarkStart w:id="219" w:name="_Toc2480"/>
      <w:bookmarkStart w:id="220" w:name="_Toc5826"/>
      <w:r>
        <w:rPr>
          <w:rFonts w:ascii="宋体" w:hAnsi="宋体" w:eastAsia="宋体" w:cs="宋体"/>
          <w:b/>
          <w:bCs/>
          <w:color w:val="auto"/>
          <w:spacing w:val="-4"/>
          <w:sz w:val="24"/>
          <w:szCs w:val="24"/>
          <w:highlight w:val="none"/>
        </w:rPr>
        <w:t>3.9</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评标结果</w:t>
      </w:r>
      <w:bookmarkEnd w:id="219"/>
      <w:bookmarkEnd w:id="220"/>
    </w:p>
    <w:p w14:paraId="25BA9259">
      <w:pPr>
        <w:spacing w:before="51" w:line="289" w:lineRule="auto"/>
        <w:ind w:left="1" w:right="8" w:firstLine="48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3.9.1 除第二章“投标人须知</w:t>
      </w:r>
      <w:r>
        <w:rPr>
          <w:rFonts w:ascii="宋体" w:hAnsi="宋体" w:eastAsia="宋体" w:cs="宋体"/>
          <w:color w:val="auto"/>
          <w:spacing w:val="-81"/>
          <w:sz w:val="24"/>
          <w:szCs w:val="24"/>
          <w:highlight w:val="none"/>
        </w:rPr>
        <w:t xml:space="preserve"> </w:t>
      </w:r>
      <w:r>
        <w:rPr>
          <w:rFonts w:ascii="宋体" w:hAnsi="宋体" w:eastAsia="宋体" w:cs="宋体"/>
          <w:color w:val="auto"/>
          <w:spacing w:val="4"/>
          <w:sz w:val="24"/>
          <w:szCs w:val="24"/>
          <w:highlight w:val="none"/>
        </w:rPr>
        <w:t>”前附表授权直</w:t>
      </w:r>
      <w:r>
        <w:rPr>
          <w:rFonts w:ascii="宋体" w:hAnsi="宋体" w:eastAsia="宋体" w:cs="宋体"/>
          <w:color w:val="auto"/>
          <w:spacing w:val="3"/>
          <w:sz w:val="24"/>
          <w:szCs w:val="24"/>
          <w:highlight w:val="none"/>
        </w:rPr>
        <w:t>接确定中标人外，评标委员会按照</w:t>
      </w:r>
      <w:r>
        <w:rPr>
          <w:rFonts w:ascii="宋体" w:hAnsi="宋体" w:eastAsia="宋体" w:cs="宋体"/>
          <w:color w:val="auto"/>
          <w:spacing w:val="-1"/>
          <w:sz w:val="24"/>
          <w:szCs w:val="24"/>
          <w:highlight w:val="none"/>
        </w:rPr>
        <w:t>得分由高到低的顺序推荐中标候选人，并标明排序。</w:t>
      </w:r>
    </w:p>
    <w:p w14:paraId="3DDD823B">
      <w:pPr>
        <w:spacing w:before="184" w:line="218"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3.9.2 评标委员会完成评标后，应向招标人提交评标报告。</w:t>
      </w:r>
    </w:p>
    <w:p w14:paraId="4FE6288F">
      <w:pPr>
        <w:spacing w:before="183" w:line="331" w:lineRule="auto"/>
        <w:ind w:right="8"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3.9.3</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通过第一个信封商务和技术文件评审的投标人少于</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3</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个的，评标委员会可以</w:t>
      </w:r>
      <w:r>
        <w:rPr>
          <w:rFonts w:ascii="宋体" w:hAnsi="宋体" w:eastAsia="宋体" w:cs="宋体"/>
          <w:color w:val="auto"/>
          <w:spacing w:val="5"/>
          <w:sz w:val="24"/>
          <w:szCs w:val="24"/>
          <w:highlight w:val="none"/>
        </w:rPr>
        <w:t>否决全部投标；未否决全部投标的，评标委员会应当在评标报告中阐明理由，</w:t>
      </w:r>
      <w:r>
        <w:rPr>
          <w:rFonts w:ascii="宋体" w:hAnsi="宋体" w:eastAsia="宋体" w:cs="宋体"/>
          <w:color w:val="auto"/>
          <w:spacing w:val="4"/>
          <w:sz w:val="24"/>
          <w:szCs w:val="24"/>
          <w:highlight w:val="none"/>
        </w:rPr>
        <w:t>招标人</w:t>
      </w:r>
      <w:r>
        <w:rPr>
          <w:rFonts w:ascii="宋体" w:hAnsi="宋体" w:eastAsia="宋体" w:cs="宋体"/>
          <w:color w:val="auto"/>
          <w:spacing w:val="5"/>
          <w:sz w:val="24"/>
          <w:szCs w:val="24"/>
          <w:highlight w:val="none"/>
        </w:rPr>
        <w:t>应当按照招标文件规定的程序进行第二个信封报价开标，但评标委员会在进行</w:t>
      </w:r>
      <w:r>
        <w:rPr>
          <w:rFonts w:ascii="宋体" w:hAnsi="宋体" w:eastAsia="宋体" w:cs="宋体"/>
          <w:color w:val="auto"/>
          <w:spacing w:val="4"/>
          <w:sz w:val="24"/>
          <w:szCs w:val="24"/>
          <w:highlight w:val="none"/>
        </w:rPr>
        <w:t>报价评</w:t>
      </w:r>
      <w:r>
        <w:rPr>
          <w:rFonts w:ascii="宋体" w:hAnsi="宋体" w:eastAsia="宋体" w:cs="宋体"/>
          <w:color w:val="auto"/>
          <w:spacing w:val="5"/>
          <w:sz w:val="24"/>
          <w:szCs w:val="24"/>
          <w:highlight w:val="none"/>
        </w:rPr>
        <w:t>审时仍有权否决全部投标；评标委员会未在报价文件评审时否决全部投标的，</w:t>
      </w:r>
      <w:r>
        <w:rPr>
          <w:rFonts w:ascii="宋体" w:hAnsi="宋体" w:eastAsia="宋体" w:cs="宋体"/>
          <w:color w:val="auto"/>
          <w:spacing w:val="4"/>
          <w:sz w:val="24"/>
          <w:szCs w:val="24"/>
          <w:highlight w:val="none"/>
        </w:rPr>
        <w:t>应当在</w:t>
      </w:r>
      <w:r>
        <w:rPr>
          <w:rFonts w:ascii="宋体" w:hAnsi="宋体" w:eastAsia="宋体" w:cs="宋体"/>
          <w:color w:val="auto"/>
          <w:spacing w:val="-1"/>
          <w:sz w:val="24"/>
          <w:szCs w:val="24"/>
          <w:highlight w:val="none"/>
        </w:rPr>
        <w:t>评标报告中阐明理由并推荐中标候选人。</w:t>
      </w:r>
    </w:p>
    <w:p w14:paraId="5CD08B97">
      <w:pPr>
        <w:spacing w:before="183" w:line="288" w:lineRule="auto"/>
        <w:ind w:left="2" w:right="5" w:firstLine="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3.9.4</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通过第一个信封商务和技术文件评审的投标人在</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3</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个及以上的，招标人应当</w:t>
      </w:r>
      <w:r>
        <w:rPr>
          <w:rFonts w:ascii="宋体" w:hAnsi="宋体" w:eastAsia="宋体" w:cs="宋体"/>
          <w:color w:val="auto"/>
          <w:spacing w:val="5"/>
          <w:sz w:val="24"/>
          <w:szCs w:val="24"/>
          <w:highlight w:val="none"/>
        </w:rPr>
        <w:t>按照招标文件规定的程序进行第二个信封报价文件开标；在</w:t>
      </w:r>
      <w:r>
        <w:rPr>
          <w:rFonts w:ascii="宋体" w:hAnsi="宋体" w:eastAsia="宋体" w:cs="宋体"/>
          <w:color w:val="auto"/>
          <w:spacing w:val="4"/>
          <w:sz w:val="24"/>
          <w:szCs w:val="24"/>
          <w:highlight w:val="none"/>
        </w:rPr>
        <w:t>对报价文件进行评审后，</w:t>
      </w:r>
    </w:p>
    <w:p w14:paraId="523F4983">
      <w:pPr>
        <w:spacing w:line="288" w:lineRule="auto"/>
        <w:rPr>
          <w:rFonts w:ascii="宋体" w:hAnsi="宋体" w:eastAsia="宋体" w:cs="宋体"/>
          <w:color w:val="auto"/>
          <w:sz w:val="24"/>
          <w:szCs w:val="24"/>
          <w:highlight w:val="none"/>
        </w:rPr>
        <w:sectPr>
          <w:footerReference r:id="rId60" w:type="default"/>
          <w:pgSz w:w="11906" w:h="16839"/>
          <w:pgMar w:top="1405" w:right="1409" w:bottom="1297" w:left="1424" w:header="0" w:footer="1066" w:gutter="0"/>
          <w:pgNumType w:fmt="decimal"/>
          <w:cols w:space="720" w:num="1"/>
        </w:sectPr>
      </w:pPr>
    </w:p>
    <w:p w14:paraId="71EAEA3B">
      <w:pPr>
        <w:spacing w:before="48" w:line="359" w:lineRule="auto"/>
        <w:ind w:firstLine="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有效投标不足</w:t>
      </w:r>
      <w:r>
        <w:rPr>
          <w:rFonts w:ascii="宋体" w:hAnsi="宋体" w:eastAsia="宋体" w:cs="宋体"/>
          <w:color w:val="auto"/>
          <w:spacing w:val="-41"/>
          <w:sz w:val="24"/>
          <w:szCs w:val="24"/>
          <w:highlight w:val="none"/>
        </w:rPr>
        <w:t xml:space="preserve"> </w:t>
      </w:r>
      <w:r>
        <w:rPr>
          <w:rFonts w:ascii="宋体" w:hAnsi="宋体" w:eastAsia="宋体" w:cs="宋体"/>
          <w:color w:val="auto"/>
          <w:spacing w:val="4"/>
          <w:sz w:val="24"/>
          <w:szCs w:val="24"/>
          <w:highlight w:val="none"/>
        </w:rPr>
        <w:t>3</w:t>
      </w:r>
      <w:r>
        <w:rPr>
          <w:rFonts w:ascii="宋体" w:hAnsi="宋体" w:eastAsia="宋体" w:cs="宋体"/>
          <w:color w:val="auto"/>
          <w:spacing w:val="-43"/>
          <w:sz w:val="24"/>
          <w:szCs w:val="24"/>
          <w:highlight w:val="none"/>
        </w:rPr>
        <w:t xml:space="preserve"> </w:t>
      </w:r>
      <w:r>
        <w:rPr>
          <w:rFonts w:ascii="宋体" w:hAnsi="宋体" w:eastAsia="宋体" w:cs="宋体"/>
          <w:color w:val="auto"/>
          <w:spacing w:val="4"/>
          <w:sz w:val="24"/>
          <w:szCs w:val="24"/>
          <w:highlight w:val="none"/>
        </w:rPr>
        <w:t>个的，评标委员会可以否决全部投标。未否决全部投标的，</w:t>
      </w:r>
      <w:r>
        <w:rPr>
          <w:rFonts w:ascii="宋体" w:hAnsi="宋体" w:eastAsia="宋体" w:cs="宋体"/>
          <w:color w:val="auto"/>
          <w:spacing w:val="3"/>
          <w:sz w:val="24"/>
          <w:szCs w:val="24"/>
          <w:highlight w:val="none"/>
        </w:rPr>
        <w:t>评标委员</w:t>
      </w:r>
      <w:r>
        <w:rPr>
          <w:rFonts w:ascii="宋体" w:hAnsi="宋体" w:eastAsia="宋体" w:cs="宋体"/>
          <w:color w:val="auto"/>
          <w:spacing w:val="-1"/>
          <w:sz w:val="24"/>
          <w:szCs w:val="24"/>
          <w:highlight w:val="none"/>
        </w:rPr>
        <w:t>会应当在评标报告中阐明理由并推荐中标候选人。</w:t>
      </w:r>
    </w:p>
    <w:p w14:paraId="6825CFBB">
      <w:pPr>
        <w:spacing w:line="359" w:lineRule="auto"/>
        <w:ind w:left="2"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3.9.5</w:t>
      </w:r>
      <w:r>
        <w:rPr>
          <w:rFonts w:ascii="宋体" w:hAnsi="宋体" w:eastAsia="宋体" w:cs="宋体"/>
          <w:color w:val="auto"/>
          <w:spacing w:val="-47"/>
          <w:sz w:val="24"/>
          <w:szCs w:val="24"/>
          <w:highlight w:val="none"/>
        </w:rPr>
        <w:t xml:space="preserve"> </w:t>
      </w:r>
      <w:r>
        <w:rPr>
          <w:rFonts w:ascii="宋体" w:hAnsi="宋体" w:eastAsia="宋体" w:cs="宋体"/>
          <w:color w:val="auto"/>
          <w:sz w:val="24"/>
          <w:szCs w:val="24"/>
          <w:highlight w:val="none"/>
        </w:rPr>
        <w:t>如果发生无法确定推荐中标候选人的</w:t>
      </w:r>
      <w:r>
        <w:rPr>
          <w:rFonts w:ascii="宋体" w:hAnsi="宋体" w:eastAsia="宋体" w:cs="宋体"/>
          <w:color w:val="auto"/>
          <w:spacing w:val="-1"/>
          <w:sz w:val="24"/>
          <w:szCs w:val="24"/>
          <w:highlight w:val="none"/>
        </w:rPr>
        <w:t>其他意外情况，评标委员会可建议招标</w:t>
      </w:r>
      <w:r>
        <w:rPr>
          <w:rFonts w:ascii="宋体" w:hAnsi="宋体" w:eastAsia="宋体" w:cs="宋体"/>
          <w:color w:val="auto"/>
          <w:spacing w:val="-2"/>
          <w:sz w:val="24"/>
          <w:szCs w:val="24"/>
          <w:highlight w:val="none"/>
        </w:rPr>
        <w:t>人重新招标。</w:t>
      </w:r>
    </w:p>
    <w:p w14:paraId="5037E447">
      <w:pPr>
        <w:spacing w:line="218"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3.9.6</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本招标文件规定的否决投标条款包含在以下条款：</w:t>
      </w:r>
    </w:p>
    <w:p w14:paraId="0915D40F">
      <w:pPr>
        <w:spacing w:before="180"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（1）投标人须知前附表后附录资格审查条件；</w:t>
      </w:r>
    </w:p>
    <w:p w14:paraId="6231769E">
      <w:pPr>
        <w:spacing w:before="184" w:line="289" w:lineRule="auto"/>
        <w:ind w:left="5" w:right="39" w:firstLine="48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（2）投标人须知</w:t>
      </w:r>
      <w:r>
        <w:rPr>
          <w:rFonts w:ascii="宋体" w:hAnsi="宋体" w:eastAsia="宋体" w:cs="宋体"/>
          <w:color w:val="auto"/>
          <w:spacing w:val="-31"/>
          <w:sz w:val="24"/>
          <w:szCs w:val="24"/>
          <w:highlight w:val="none"/>
        </w:rPr>
        <w:t xml:space="preserve"> </w:t>
      </w:r>
      <w:r>
        <w:rPr>
          <w:rFonts w:ascii="宋体" w:hAnsi="宋体" w:eastAsia="宋体" w:cs="宋体"/>
          <w:color w:val="auto"/>
          <w:spacing w:val="-3"/>
          <w:sz w:val="24"/>
          <w:szCs w:val="24"/>
          <w:highlight w:val="none"/>
        </w:rPr>
        <w:t>1.4.3</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项、1.4.4</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项、1.4.5</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项、1.12.2</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项、3.4.2</w:t>
      </w:r>
      <w:r>
        <w:rPr>
          <w:rFonts w:ascii="宋体" w:hAnsi="宋体" w:eastAsia="宋体" w:cs="宋体"/>
          <w:color w:val="auto"/>
          <w:spacing w:val="-44"/>
          <w:sz w:val="24"/>
          <w:szCs w:val="24"/>
          <w:highlight w:val="none"/>
        </w:rPr>
        <w:t xml:space="preserve"> </w:t>
      </w:r>
      <w:r>
        <w:rPr>
          <w:rFonts w:ascii="宋体" w:hAnsi="宋体" w:eastAsia="宋体" w:cs="宋体"/>
          <w:color w:val="auto"/>
          <w:spacing w:val="-4"/>
          <w:sz w:val="24"/>
          <w:szCs w:val="24"/>
          <w:highlight w:val="none"/>
        </w:rPr>
        <w:t>项、3.5</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项、</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3.6.1</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项；</w:t>
      </w:r>
    </w:p>
    <w:p w14:paraId="309DE143">
      <w:pPr>
        <w:spacing w:before="181"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（3）本评标办法的否决条款。</w:t>
      </w:r>
    </w:p>
    <w:p w14:paraId="11FF2286">
      <w:pPr>
        <w:spacing w:line="219" w:lineRule="auto"/>
        <w:rPr>
          <w:rFonts w:ascii="宋体" w:hAnsi="宋体" w:eastAsia="宋体" w:cs="宋体"/>
          <w:color w:val="auto"/>
          <w:sz w:val="24"/>
          <w:szCs w:val="24"/>
          <w:highlight w:val="none"/>
        </w:rPr>
        <w:sectPr>
          <w:footerReference r:id="rId61" w:type="default"/>
          <w:pgSz w:w="11906" w:h="16839"/>
          <w:pgMar w:top="1405" w:right="1418" w:bottom="1297" w:left="1424" w:header="0" w:footer="1067" w:gutter="0"/>
          <w:pgNumType w:fmt="decimal"/>
          <w:cols w:space="720" w:num="1"/>
        </w:sectPr>
      </w:pPr>
    </w:p>
    <w:p w14:paraId="29410F63">
      <w:pPr>
        <w:spacing w:line="244" w:lineRule="auto"/>
        <w:rPr>
          <w:rFonts w:ascii="Arial"/>
          <w:color w:val="auto"/>
          <w:sz w:val="21"/>
          <w:highlight w:val="none"/>
        </w:rPr>
      </w:pPr>
    </w:p>
    <w:p w14:paraId="46634C8F">
      <w:pPr>
        <w:spacing w:line="244" w:lineRule="auto"/>
        <w:rPr>
          <w:rFonts w:ascii="Arial"/>
          <w:color w:val="auto"/>
          <w:sz w:val="21"/>
          <w:highlight w:val="none"/>
        </w:rPr>
      </w:pPr>
    </w:p>
    <w:p w14:paraId="2D16EA86">
      <w:pPr>
        <w:spacing w:line="244" w:lineRule="auto"/>
        <w:rPr>
          <w:rFonts w:ascii="Arial"/>
          <w:color w:val="auto"/>
          <w:sz w:val="21"/>
          <w:highlight w:val="none"/>
        </w:rPr>
      </w:pPr>
    </w:p>
    <w:p w14:paraId="3C56B741">
      <w:pPr>
        <w:spacing w:line="244" w:lineRule="auto"/>
        <w:rPr>
          <w:rFonts w:ascii="Arial"/>
          <w:color w:val="auto"/>
          <w:sz w:val="21"/>
          <w:highlight w:val="none"/>
        </w:rPr>
      </w:pPr>
    </w:p>
    <w:p w14:paraId="2F7C9F2D">
      <w:pPr>
        <w:spacing w:line="244" w:lineRule="auto"/>
        <w:rPr>
          <w:rFonts w:ascii="Arial"/>
          <w:color w:val="auto"/>
          <w:sz w:val="21"/>
          <w:highlight w:val="none"/>
        </w:rPr>
      </w:pPr>
    </w:p>
    <w:p w14:paraId="5EBD83A3">
      <w:pPr>
        <w:spacing w:line="244" w:lineRule="auto"/>
        <w:rPr>
          <w:rFonts w:ascii="Arial"/>
          <w:color w:val="auto"/>
          <w:sz w:val="21"/>
          <w:highlight w:val="none"/>
        </w:rPr>
      </w:pPr>
    </w:p>
    <w:p w14:paraId="3B9932D6">
      <w:pPr>
        <w:spacing w:line="244" w:lineRule="auto"/>
        <w:rPr>
          <w:rFonts w:ascii="Arial"/>
          <w:color w:val="auto"/>
          <w:sz w:val="21"/>
          <w:highlight w:val="none"/>
        </w:rPr>
      </w:pPr>
    </w:p>
    <w:p w14:paraId="604EBEF3">
      <w:pPr>
        <w:spacing w:line="244" w:lineRule="auto"/>
        <w:rPr>
          <w:rFonts w:ascii="Arial"/>
          <w:color w:val="auto"/>
          <w:sz w:val="21"/>
          <w:highlight w:val="none"/>
        </w:rPr>
      </w:pPr>
    </w:p>
    <w:p w14:paraId="5ACC551C">
      <w:pPr>
        <w:spacing w:line="244" w:lineRule="auto"/>
        <w:rPr>
          <w:rFonts w:ascii="Arial"/>
          <w:color w:val="auto"/>
          <w:sz w:val="21"/>
          <w:highlight w:val="none"/>
        </w:rPr>
      </w:pPr>
    </w:p>
    <w:p w14:paraId="79C2BB4B">
      <w:pPr>
        <w:spacing w:line="244" w:lineRule="auto"/>
        <w:rPr>
          <w:rFonts w:ascii="Arial"/>
          <w:color w:val="auto"/>
          <w:sz w:val="21"/>
          <w:highlight w:val="none"/>
        </w:rPr>
      </w:pPr>
    </w:p>
    <w:p w14:paraId="65E227FE">
      <w:pPr>
        <w:spacing w:line="244" w:lineRule="auto"/>
        <w:rPr>
          <w:rFonts w:ascii="Arial"/>
          <w:color w:val="auto"/>
          <w:sz w:val="21"/>
          <w:highlight w:val="none"/>
        </w:rPr>
      </w:pPr>
    </w:p>
    <w:p w14:paraId="758718D5">
      <w:pPr>
        <w:spacing w:line="244" w:lineRule="auto"/>
        <w:rPr>
          <w:rFonts w:ascii="Arial"/>
          <w:color w:val="auto"/>
          <w:sz w:val="21"/>
          <w:highlight w:val="none"/>
        </w:rPr>
      </w:pPr>
    </w:p>
    <w:p w14:paraId="0595B62F">
      <w:pPr>
        <w:spacing w:line="245" w:lineRule="auto"/>
        <w:rPr>
          <w:rFonts w:ascii="Arial"/>
          <w:color w:val="auto"/>
          <w:sz w:val="21"/>
          <w:highlight w:val="none"/>
        </w:rPr>
      </w:pPr>
    </w:p>
    <w:p w14:paraId="21163F15">
      <w:pPr>
        <w:spacing w:line="245" w:lineRule="auto"/>
        <w:rPr>
          <w:rFonts w:ascii="Arial"/>
          <w:color w:val="auto"/>
          <w:sz w:val="21"/>
          <w:highlight w:val="none"/>
        </w:rPr>
      </w:pPr>
    </w:p>
    <w:p w14:paraId="1C48B93E">
      <w:pPr>
        <w:spacing w:line="245" w:lineRule="auto"/>
        <w:rPr>
          <w:rFonts w:ascii="Arial"/>
          <w:color w:val="auto"/>
          <w:sz w:val="21"/>
          <w:highlight w:val="none"/>
        </w:rPr>
      </w:pPr>
    </w:p>
    <w:p w14:paraId="31DB2D8C">
      <w:pPr>
        <w:spacing w:line="245" w:lineRule="auto"/>
        <w:rPr>
          <w:rFonts w:ascii="Arial"/>
          <w:color w:val="auto"/>
          <w:sz w:val="21"/>
          <w:highlight w:val="none"/>
        </w:rPr>
      </w:pPr>
    </w:p>
    <w:p w14:paraId="3932F305">
      <w:pPr>
        <w:spacing w:line="245" w:lineRule="auto"/>
        <w:rPr>
          <w:rFonts w:ascii="Arial"/>
          <w:color w:val="auto"/>
          <w:sz w:val="21"/>
          <w:highlight w:val="none"/>
        </w:rPr>
      </w:pPr>
    </w:p>
    <w:p w14:paraId="0C22DBAF">
      <w:pPr>
        <w:spacing w:before="169" w:line="219" w:lineRule="auto"/>
        <w:ind w:left="1316"/>
        <w:outlineLvl w:val="0"/>
        <w:rPr>
          <w:rFonts w:ascii="宋体" w:hAnsi="宋体" w:eastAsia="宋体" w:cs="宋体"/>
          <w:color w:val="auto"/>
          <w:sz w:val="52"/>
          <w:szCs w:val="52"/>
          <w:highlight w:val="none"/>
        </w:rPr>
      </w:pPr>
      <w:bookmarkStart w:id="221" w:name="bookmark140"/>
      <w:bookmarkEnd w:id="221"/>
      <w:bookmarkStart w:id="222" w:name="_Toc1001"/>
      <w:r>
        <w:rPr>
          <w:rFonts w:ascii="宋体" w:hAnsi="宋体" w:eastAsia="宋体" w:cs="宋体"/>
          <w:b/>
          <w:bCs/>
          <w:color w:val="auto"/>
          <w:spacing w:val="-5"/>
          <w:sz w:val="52"/>
          <w:szCs w:val="52"/>
          <w:highlight w:val="none"/>
        </w:rPr>
        <w:t>第四章</w:t>
      </w:r>
      <w:r>
        <w:rPr>
          <w:rFonts w:ascii="宋体" w:hAnsi="宋体" w:eastAsia="宋体" w:cs="宋体"/>
          <w:color w:val="auto"/>
          <w:spacing w:val="-5"/>
          <w:sz w:val="52"/>
          <w:szCs w:val="52"/>
          <w:highlight w:val="none"/>
        </w:rPr>
        <w:t xml:space="preserve">  </w:t>
      </w:r>
      <w:r>
        <w:rPr>
          <w:rFonts w:ascii="宋体" w:hAnsi="宋体" w:eastAsia="宋体" w:cs="宋体"/>
          <w:b/>
          <w:bCs/>
          <w:color w:val="auto"/>
          <w:spacing w:val="-5"/>
          <w:sz w:val="52"/>
          <w:szCs w:val="52"/>
          <w:highlight w:val="none"/>
        </w:rPr>
        <w:t>合同条款及格式</w:t>
      </w:r>
      <w:bookmarkEnd w:id="222"/>
    </w:p>
    <w:p w14:paraId="4798B0E1">
      <w:pPr>
        <w:spacing w:line="219" w:lineRule="auto"/>
        <w:rPr>
          <w:rFonts w:ascii="宋体" w:hAnsi="宋体" w:eastAsia="宋体" w:cs="宋体"/>
          <w:color w:val="auto"/>
          <w:sz w:val="52"/>
          <w:szCs w:val="52"/>
          <w:highlight w:val="none"/>
        </w:rPr>
        <w:sectPr>
          <w:footerReference r:id="rId62" w:type="default"/>
          <w:pgSz w:w="11906" w:h="16839"/>
          <w:pgMar w:top="1431" w:right="1785" w:bottom="1297" w:left="1785" w:header="0" w:footer="1069" w:gutter="0"/>
          <w:pgNumType w:fmt="decimal"/>
          <w:cols w:space="720" w:num="1"/>
        </w:sectPr>
      </w:pPr>
    </w:p>
    <w:p w14:paraId="7CD90010">
      <w:pPr>
        <w:spacing w:line="411" w:lineRule="auto"/>
        <w:rPr>
          <w:rFonts w:ascii="Arial"/>
          <w:color w:val="auto"/>
          <w:sz w:val="21"/>
          <w:highlight w:val="none"/>
        </w:rPr>
      </w:pPr>
    </w:p>
    <w:p w14:paraId="4A11ED84">
      <w:pPr>
        <w:spacing w:before="101" w:line="225" w:lineRule="auto"/>
        <w:ind w:left="3012"/>
        <w:outlineLvl w:val="0"/>
        <w:rPr>
          <w:rFonts w:ascii="宋体" w:hAnsi="宋体" w:eastAsia="宋体" w:cs="宋体"/>
          <w:color w:val="auto"/>
          <w:sz w:val="31"/>
          <w:szCs w:val="31"/>
          <w:highlight w:val="none"/>
        </w:rPr>
      </w:pPr>
      <w:bookmarkStart w:id="223" w:name="bookmark15"/>
      <w:bookmarkEnd w:id="223"/>
      <w:bookmarkStart w:id="224" w:name="_Toc19292"/>
      <w:r>
        <w:rPr>
          <w:rFonts w:ascii="宋体" w:hAnsi="宋体" w:eastAsia="宋体" w:cs="宋体"/>
          <w:b/>
          <w:bCs/>
          <w:color w:val="auto"/>
          <w:spacing w:val="6"/>
          <w:sz w:val="31"/>
          <w:szCs w:val="31"/>
          <w:highlight w:val="none"/>
        </w:rPr>
        <w:t>第一节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通用合同条款</w:t>
      </w:r>
      <w:bookmarkEnd w:id="224"/>
    </w:p>
    <w:p w14:paraId="413B6BFC">
      <w:pPr>
        <w:spacing w:line="246" w:lineRule="auto"/>
        <w:rPr>
          <w:rFonts w:ascii="Arial"/>
          <w:color w:val="auto"/>
          <w:sz w:val="21"/>
          <w:highlight w:val="none"/>
        </w:rPr>
      </w:pPr>
    </w:p>
    <w:p w14:paraId="64DECE42">
      <w:pPr>
        <w:spacing w:line="247" w:lineRule="auto"/>
        <w:rPr>
          <w:rFonts w:ascii="Arial"/>
          <w:color w:val="auto"/>
          <w:sz w:val="21"/>
          <w:highlight w:val="none"/>
        </w:rPr>
      </w:pPr>
    </w:p>
    <w:p w14:paraId="5EB05DE6">
      <w:pPr>
        <w:spacing w:before="78" w:line="219" w:lineRule="auto"/>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详见《中华人民共和国标准监理招标文件（2017</w:t>
      </w:r>
      <w:r>
        <w:rPr>
          <w:rFonts w:ascii="宋体" w:hAnsi="宋体" w:eastAsia="宋体" w:cs="宋体"/>
          <w:color w:val="auto"/>
          <w:spacing w:val="-49"/>
          <w:sz w:val="24"/>
          <w:szCs w:val="24"/>
          <w:highlight w:val="none"/>
        </w:rPr>
        <w:t xml:space="preserve"> </w:t>
      </w:r>
      <w:r>
        <w:rPr>
          <w:rFonts w:ascii="宋体" w:hAnsi="宋体" w:eastAsia="宋体" w:cs="宋体"/>
          <w:b/>
          <w:bCs/>
          <w:color w:val="auto"/>
          <w:spacing w:val="-2"/>
          <w:sz w:val="24"/>
          <w:szCs w:val="24"/>
          <w:highlight w:val="none"/>
        </w:rPr>
        <w:t>年版）》</w:t>
      </w:r>
      <w:r>
        <w:rPr>
          <w:rFonts w:ascii="宋体" w:hAnsi="宋体" w:eastAsia="宋体" w:cs="宋体"/>
          <w:b/>
          <w:bCs/>
          <w:color w:val="auto"/>
          <w:spacing w:val="-3"/>
          <w:sz w:val="24"/>
          <w:szCs w:val="24"/>
          <w:highlight w:val="none"/>
        </w:rPr>
        <w:t>的通用合同条款内容。</w:t>
      </w:r>
    </w:p>
    <w:p w14:paraId="31AE1CA7">
      <w:pPr>
        <w:spacing w:line="219" w:lineRule="auto"/>
        <w:rPr>
          <w:rFonts w:ascii="宋体" w:hAnsi="宋体" w:eastAsia="宋体" w:cs="宋体"/>
          <w:color w:val="auto"/>
          <w:sz w:val="24"/>
          <w:szCs w:val="24"/>
          <w:highlight w:val="none"/>
        </w:rPr>
        <w:sectPr>
          <w:footerReference r:id="rId63" w:type="default"/>
          <w:pgSz w:w="11906" w:h="16839"/>
          <w:pgMar w:top="1431" w:right="1785" w:bottom="1297" w:left="1428" w:header="0" w:footer="1067" w:gutter="0"/>
          <w:pgNumType w:fmt="decimal"/>
          <w:cols w:space="720" w:num="1"/>
        </w:sectPr>
      </w:pPr>
    </w:p>
    <w:p w14:paraId="59DD8F9C">
      <w:pPr>
        <w:spacing w:before="63" w:line="225" w:lineRule="auto"/>
        <w:ind w:left="2931"/>
        <w:outlineLvl w:val="0"/>
        <w:rPr>
          <w:rFonts w:ascii="宋体" w:hAnsi="宋体" w:eastAsia="宋体" w:cs="宋体"/>
          <w:color w:val="auto"/>
          <w:sz w:val="31"/>
          <w:szCs w:val="31"/>
          <w:highlight w:val="none"/>
        </w:rPr>
      </w:pPr>
      <w:bookmarkStart w:id="225" w:name="bookmark15"/>
      <w:bookmarkEnd w:id="225"/>
      <w:bookmarkStart w:id="226" w:name="_Toc28672"/>
      <w:r>
        <w:rPr>
          <w:rFonts w:ascii="宋体" w:hAnsi="宋体" w:eastAsia="宋体" w:cs="宋体"/>
          <w:b/>
          <w:bCs/>
          <w:color w:val="auto"/>
          <w:spacing w:val="6"/>
          <w:sz w:val="31"/>
          <w:szCs w:val="31"/>
          <w:highlight w:val="none"/>
        </w:rPr>
        <w:t>第二节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专用合同条款</w:t>
      </w:r>
      <w:bookmarkEnd w:id="226"/>
    </w:p>
    <w:p w14:paraId="35DEACB6">
      <w:pPr>
        <w:spacing w:before="269" w:line="223" w:lineRule="auto"/>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包括：</w:t>
      </w:r>
    </w:p>
    <w:p w14:paraId="16FDB181">
      <w:pPr>
        <w:spacing w:before="204" w:line="360" w:lineRule="auto"/>
        <w:ind w:left="1" w:firstLine="551"/>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A</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公路工程专用合同条款详见《交通运输部公路工程标准施工监理</w:t>
      </w:r>
      <w:r>
        <w:rPr>
          <w:rFonts w:ascii="宋体" w:hAnsi="宋体" w:eastAsia="宋体" w:cs="宋体"/>
          <w:b/>
          <w:bCs/>
          <w:color w:val="auto"/>
          <w:spacing w:val="-2"/>
          <w:sz w:val="28"/>
          <w:szCs w:val="28"/>
          <w:highlight w:val="none"/>
        </w:rPr>
        <w:t>招标文件（2018</w:t>
      </w:r>
      <w:r>
        <w:rPr>
          <w:rFonts w:ascii="宋体" w:hAnsi="宋体" w:eastAsia="宋体" w:cs="宋体"/>
          <w:color w:val="auto"/>
          <w:spacing w:val="-57"/>
          <w:sz w:val="28"/>
          <w:szCs w:val="28"/>
          <w:highlight w:val="none"/>
        </w:rPr>
        <w:t xml:space="preserve"> </w:t>
      </w:r>
      <w:r>
        <w:rPr>
          <w:rFonts w:ascii="宋体" w:hAnsi="宋体" w:eastAsia="宋体" w:cs="宋体"/>
          <w:b/>
          <w:bCs/>
          <w:color w:val="auto"/>
          <w:spacing w:val="-2"/>
          <w:sz w:val="28"/>
          <w:szCs w:val="28"/>
          <w:highlight w:val="none"/>
        </w:rPr>
        <w:t>年版）》</w:t>
      </w:r>
    </w:p>
    <w:p w14:paraId="3EA4FA55">
      <w:pPr>
        <w:spacing w:before="1" w:line="219" w:lineRule="auto"/>
        <w:ind w:left="557"/>
        <w:rPr>
          <w:rFonts w:ascii="宋体" w:hAnsi="宋体" w:eastAsia="宋体" w:cs="宋体"/>
          <w:color w:val="auto"/>
          <w:sz w:val="28"/>
          <w:szCs w:val="28"/>
          <w:highlight w:val="none"/>
        </w:rPr>
      </w:pPr>
      <w:r>
        <w:rPr>
          <w:rFonts w:ascii="宋体" w:hAnsi="宋体" w:eastAsia="宋体" w:cs="宋体"/>
          <w:b/>
          <w:bCs/>
          <w:color w:val="auto"/>
          <w:spacing w:val="-2"/>
          <w:sz w:val="28"/>
          <w:szCs w:val="28"/>
          <w:highlight w:val="none"/>
        </w:rPr>
        <w:t>B</w:t>
      </w:r>
      <w:r>
        <w:rPr>
          <w:rFonts w:ascii="宋体" w:hAnsi="宋体" w:eastAsia="宋体" w:cs="宋体"/>
          <w:color w:val="auto"/>
          <w:spacing w:val="-2"/>
          <w:sz w:val="28"/>
          <w:szCs w:val="28"/>
          <w:highlight w:val="none"/>
        </w:rPr>
        <w:t xml:space="preserve">  </w:t>
      </w:r>
      <w:r>
        <w:rPr>
          <w:rFonts w:ascii="宋体" w:hAnsi="宋体" w:eastAsia="宋体" w:cs="宋体"/>
          <w:b/>
          <w:bCs/>
          <w:color w:val="auto"/>
          <w:spacing w:val="-2"/>
          <w:sz w:val="28"/>
          <w:szCs w:val="28"/>
          <w:highlight w:val="none"/>
        </w:rPr>
        <w:t>项目专用合同条款</w:t>
      </w:r>
    </w:p>
    <w:p w14:paraId="15DA66BF">
      <w:pPr>
        <w:spacing w:line="219" w:lineRule="auto"/>
        <w:rPr>
          <w:rFonts w:ascii="宋体" w:hAnsi="宋体" w:eastAsia="宋体" w:cs="宋体"/>
          <w:color w:val="auto"/>
          <w:sz w:val="28"/>
          <w:szCs w:val="28"/>
          <w:highlight w:val="none"/>
        </w:rPr>
        <w:sectPr>
          <w:footerReference r:id="rId64" w:type="default"/>
          <w:pgSz w:w="11906" w:h="16839"/>
          <w:pgMar w:top="1403" w:right="1417" w:bottom="1297" w:left="1426" w:header="0" w:footer="1067" w:gutter="0"/>
          <w:pgNumType w:fmt="decimal"/>
          <w:cols w:space="720" w:num="1"/>
        </w:sectPr>
      </w:pPr>
    </w:p>
    <w:p w14:paraId="756B4031">
      <w:pPr>
        <w:spacing w:before="69" w:line="241" w:lineRule="auto"/>
        <w:ind w:left="3156"/>
        <w:rPr>
          <w:rFonts w:ascii="宋体" w:hAnsi="宋体" w:eastAsia="宋体" w:cs="宋体"/>
          <w:color w:val="auto"/>
          <w:sz w:val="16"/>
          <w:szCs w:val="16"/>
          <w:highlight w:val="none"/>
        </w:rPr>
      </w:pPr>
      <w:r>
        <w:rPr>
          <w:rFonts w:ascii="宋体" w:hAnsi="宋体" w:eastAsia="宋体" w:cs="宋体"/>
          <w:b/>
          <w:bCs/>
          <w:color w:val="auto"/>
          <w:spacing w:val="5"/>
          <w:sz w:val="31"/>
          <w:szCs w:val="31"/>
          <w:highlight w:val="none"/>
        </w:rPr>
        <w:t>B.</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项目专用合同条款</w:t>
      </w:r>
    </w:p>
    <w:p w14:paraId="0C6EDAEC">
      <w:pPr>
        <w:spacing w:line="464" w:lineRule="auto"/>
        <w:rPr>
          <w:rFonts w:ascii="Arial"/>
          <w:color w:val="auto"/>
          <w:sz w:val="21"/>
          <w:highlight w:val="none"/>
        </w:rPr>
      </w:pPr>
    </w:p>
    <w:p w14:paraId="07BBDA6D">
      <w:pPr>
        <w:spacing w:before="78" w:line="219" w:lineRule="auto"/>
        <w:ind w:left="14"/>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说</w:t>
      </w:r>
      <w:r>
        <w:rPr>
          <w:rFonts w:ascii="宋体" w:hAnsi="宋体" w:eastAsia="宋体" w:cs="宋体"/>
          <w:color w:val="auto"/>
          <w:spacing w:val="15"/>
          <w:sz w:val="24"/>
          <w:szCs w:val="24"/>
          <w:highlight w:val="none"/>
        </w:rPr>
        <w:t xml:space="preserve">  </w:t>
      </w:r>
      <w:r>
        <w:rPr>
          <w:rFonts w:ascii="宋体" w:hAnsi="宋体" w:eastAsia="宋体" w:cs="宋体"/>
          <w:color w:val="auto"/>
          <w:spacing w:val="-15"/>
          <w:sz w:val="24"/>
          <w:szCs w:val="24"/>
          <w:highlight w:val="none"/>
        </w:rPr>
        <w:t>明：</w:t>
      </w:r>
    </w:p>
    <w:p w14:paraId="3AC61F6E">
      <w:pPr>
        <w:spacing w:before="236" w:line="295" w:lineRule="auto"/>
        <w:ind w:right="93" w:firstLine="45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1.招标人在根据《公路工程标准施工监理招标文件》编制项目招标文件中的“项目</w:t>
      </w:r>
      <w:r>
        <w:rPr>
          <w:rFonts w:ascii="宋体" w:hAnsi="宋体" w:eastAsia="宋体" w:cs="宋体"/>
          <w:color w:val="auto"/>
          <w:spacing w:val="3"/>
          <w:sz w:val="24"/>
          <w:szCs w:val="24"/>
          <w:highlight w:val="none"/>
        </w:rPr>
        <w:t>专用合同条款</w:t>
      </w:r>
      <w:r>
        <w:rPr>
          <w:rFonts w:ascii="宋体" w:hAnsi="宋体" w:eastAsia="宋体" w:cs="宋体"/>
          <w:color w:val="auto"/>
          <w:spacing w:val="-75"/>
          <w:sz w:val="24"/>
          <w:szCs w:val="24"/>
          <w:highlight w:val="none"/>
        </w:rPr>
        <w:t xml:space="preserve"> </w:t>
      </w:r>
      <w:r>
        <w:rPr>
          <w:rFonts w:ascii="宋体" w:hAnsi="宋体" w:eastAsia="宋体" w:cs="宋体"/>
          <w:color w:val="auto"/>
          <w:spacing w:val="3"/>
          <w:sz w:val="24"/>
          <w:szCs w:val="24"/>
          <w:highlight w:val="none"/>
        </w:rPr>
        <w:t>”时，可根据招标项目的具体特点和实际需要，对“通用合同条款</w:t>
      </w:r>
      <w:r>
        <w:rPr>
          <w:rFonts w:ascii="宋体" w:hAnsi="宋体" w:eastAsia="宋体" w:cs="宋体"/>
          <w:color w:val="auto"/>
          <w:spacing w:val="-83"/>
          <w:sz w:val="24"/>
          <w:szCs w:val="24"/>
          <w:highlight w:val="none"/>
        </w:rPr>
        <w:t xml:space="preserve"> </w:t>
      </w:r>
      <w:r>
        <w:rPr>
          <w:rFonts w:ascii="宋体" w:hAnsi="宋体" w:eastAsia="宋体" w:cs="宋体"/>
          <w:color w:val="auto"/>
          <w:spacing w:val="3"/>
          <w:sz w:val="24"/>
          <w:szCs w:val="24"/>
          <w:highlight w:val="none"/>
        </w:rPr>
        <w:t>”及“公路工程专用合同条款</w:t>
      </w:r>
      <w:r>
        <w:rPr>
          <w:rFonts w:ascii="宋体" w:hAnsi="宋体" w:eastAsia="宋体" w:cs="宋体"/>
          <w:color w:val="auto"/>
          <w:spacing w:val="-75"/>
          <w:sz w:val="24"/>
          <w:szCs w:val="24"/>
          <w:highlight w:val="none"/>
        </w:rPr>
        <w:t xml:space="preserve"> </w:t>
      </w:r>
      <w:r>
        <w:rPr>
          <w:rFonts w:ascii="宋体" w:hAnsi="宋体" w:eastAsia="宋体" w:cs="宋体"/>
          <w:color w:val="auto"/>
          <w:spacing w:val="3"/>
          <w:sz w:val="24"/>
          <w:szCs w:val="24"/>
          <w:highlight w:val="none"/>
        </w:rPr>
        <w:t>”进行补充和细化，除“通用合同条款</w:t>
      </w:r>
      <w:r>
        <w:rPr>
          <w:rFonts w:ascii="宋体" w:hAnsi="宋体" w:eastAsia="宋体" w:cs="宋体"/>
          <w:color w:val="auto"/>
          <w:spacing w:val="-83"/>
          <w:sz w:val="24"/>
          <w:szCs w:val="24"/>
          <w:highlight w:val="none"/>
        </w:rPr>
        <w:t xml:space="preserve"> </w:t>
      </w:r>
      <w:r>
        <w:rPr>
          <w:rFonts w:ascii="宋体" w:hAnsi="宋体" w:eastAsia="宋体" w:cs="宋体"/>
          <w:color w:val="auto"/>
          <w:spacing w:val="3"/>
          <w:sz w:val="24"/>
          <w:szCs w:val="24"/>
          <w:highlight w:val="none"/>
        </w:rPr>
        <w:t>”明确“专用合同条</w:t>
      </w:r>
      <w:r>
        <w:rPr>
          <w:rFonts w:ascii="宋体" w:hAnsi="宋体" w:eastAsia="宋体" w:cs="宋体"/>
          <w:color w:val="auto"/>
          <w:spacing w:val="2"/>
          <w:sz w:val="24"/>
          <w:szCs w:val="24"/>
          <w:highlight w:val="none"/>
        </w:rPr>
        <w:t>款</w:t>
      </w:r>
      <w:r>
        <w:rPr>
          <w:rFonts w:ascii="宋体" w:hAnsi="宋体" w:eastAsia="宋体" w:cs="宋体"/>
          <w:color w:val="auto"/>
          <w:spacing w:val="-75"/>
          <w:sz w:val="24"/>
          <w:szCs w:val="24"/>
          <w:highlight w:val="none"/>
        </w:rPr>
        <w:t xml:space="preserve"> </w:t>
      </w:r>
      <w:r>
        <w:rPr>
          <w:rFonts w:ascii="宋体" w:hAnsi="宋体" w:eastAsia="宋体" w:cs="宋体"/>
          <w:color w:val="auto"/>
          <w:spacing w:val="2"/>
          <w:sz w:val="24"/>
          <w:szCs w:val="24"/>
          <w:highlight w:val="none"/>
        </w:rPr>
        <w:t>”可作出不同约定以及“公路工程专用合同条款</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”明确“项目专用合同条款</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”可作</w:t>
      </w:r>
      <w:r>
        <w:rPr>
          <w:rFonts w:ascii="宋体" w:hAnsi="宋体" w:eastAsia="宋体" w:cs="宋体"/>
          <w:color w:val="auto"/>
          <w:spacing w:val="4"/>
          <w:sz w:val="24"/>
          <w:szCs w:val="24"/>
          <w:highlight w:val="none"/>
        </w:rPr>
        <w:t>出不同约定外，补充和细化的内容不得与“通用合同条款</w:t>
      </w:r>
      <w:r>
        <w:rPr>
          <w:rFonts w:ascii="宋体" w:hAnsi="宋体" w:eastAsia="宋体" w:cs="宋体"/>
          <w:color w:val="auto"/>
          <w:spacing w:val="-75"/>
          <w:sz w:val="24"/>
          <w:szCs w:val="24"/>
          <w:highlight w:val="none"/>
        </w:rPr>
        <w:t xml:space="preserve"> </w:t>
      </w:r>
      <w:r>
        <w:rPr>
          <w:rFonts w:ascii="宋体" w:hAnsi="宋体" w:eastAsia="宋体" w:cs="宋体"/>
          <w:color w:val="auto"/>
          <w:spacing w:val="4"/>
          <w:sz w:val="24"/>
          <w:szCs w:val="24"/>
          <w:highlight w:val="none"/>
        </w:rPr>
        <w:t>”及“公路工程专用合同条款</w:t>
      </w:r>
      <w:r>
        <w:rPr>
          <w:rFonts w:ascii="宋体" w:hAnsi="宋体" w:eastAsia="宋体" w:cs="宋体"/>
          <w:color w:val="auto"/>
          <w:spacing w:val="-73"/>
          <w:sz w:val="24"/>
          <w:szCs w:val="24"/>
          <w:highlight w:val="none"/>
        </w:rPr>
        <w:t xml:space="preserve"> </w:t>
      </w:r>
      <w:r>
        <w:rPr>
          <w:rFonts w:ascii="宋体" w:hAnsi="宋体" w:eastAsia="宋体" w:cs="宋体"/>
          <w:color w:val="auto"/>
          <w:spacing w:val="4"/>
          <w:sz w:val="24"/>
          <w:szCs w:val="24"/>
          <w:highlight w:val="none"/>
        </w:rPr>
        <w:t>”强制性规定相抵触。同时，补充、细化或约定的内容，不得违反法律、行政法规</w:t>
      </w:r>
      <w:r>
        <w:rPr>
          <w:rFonts w:ascii="宋体" w:hAnsi="宋体" w:eastAsia="宋体" w:cs="宋体"/>
          <w:color w:val="auto"/>
          <w:spacing w:val="-2"/>
          <w:sz w:val="24"/>
          <w:szCs w:val="24"/>
          <w:highlight w:val="none"/>
        </w:rPr>
        <w:t>的强制性规定和平等、</w:t>
      </w:r>
      <w:r>
        <w:rPr>
          <w:rFonts w:ascii="宋体" w:hAnsi="宋体" w:eastAsia="宋体" w:cs="宋体"/>
          <w:color w:val="auto"/>
          <w:spacing w:val="-71"/>
          <w:sz w:val="24"/>
          <w:szCs w:val="24"/>
          <w:highlight w:val="none"/>
        </w:rPr>
        <w:t xml:space="preserve"> </w:t>
      </w:r>
      <w:r>
        <w:rPr>
          <w:rFonts w:ascii="宋体" w:hAnsi="宋体" w:eastAsia="宋体" w:cs="宋体"/>
          <w:color w:val="auto"/>
          <w:spacing w:val="-2"/>
          <w:sz w:val="24"/>
          <w:szCs w:val="24"/>
          <w:highlight w:val="none"/>
        </w:rPr>
        <w:t>自愿、公平和诚实信用原</w:t>
      </w:r>
      <w:r>
        <w:rPr>
          <w:rFonts w:ascii="宋体" w:hAnsi="宋体" w:eastAsia="宋体" w:cs="宋体"/>
          <w:color w:val="auto"/>
          <w:spacing w:val="-3"/>
          <w:sz w:val="24"/>
          <w:szCs w:val="24"/>
          <w:highlight w:val="none"/>
        </w:rPr>
        <w:t>则。</w:t>
      </w:r>
    </w:p>
    <w:p w14:paraId="35035081">
      <w:pPr>
        <w:spacing w:before="236" w:line="219" w:lineRule="auto"/>
        <w:ind w:left="439"/>
        <w:rPr>
          <w:rFonts w:ascii="宋体" w:hAnsi="宋体" w:eastAsia="宋体" w:cs="宋体"/>
          <w:color w:val="auto"/>
          <w:sz w:val="24"/>
          <w:szCs w:val="24"/>
          <w:highlight w:val="none"/>
        </w:rPr>
      </w:pPr>
      <w:r>
        <w:rPr>
          <w:rFonts w:ascii="宋体" w:hAnsi="宋体" w:eastAsia="宋体" w:cs="宋体"/>
          <w:color w:val="auto"/>
          <w:sz w:val="24"/>
          <w:szCs w:val="24"/>
          <w:highlight w:val="none"/>
        </w:rPr>
        <w:t>2.项目专用合同条款的编号应与通用合同条款</w:t>
      </w:r>
      <w:r>
        <w:rPr>
          <w:rFonts w:ascii="宋体" w:hAnsi="宋体" w:eastAsia="宋体" w:cs="宋体"/>
          <w:color w:val="auto"/>
          <w:spacing w:val="-1"/>
          <w:sz w:val="24"/>
          <w:szCs w:val="24"/>
          <w:highlight w:val="none"/>
        </w:rPr>
        <w:t>和公路工程专用合同条款一致。</w:t>
      </w:r>
    </w:p>
    <w:p w14:paraId="5CB2D86C">
      <w:pPr>
        <w:spacing w:before="233" w:line="219" w:lineRule="auto"/>
        <w:ind w:left="44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3.项目专用合同条款可对下列内容进行补充和细化：</w:t>
      </w:r>
    </w:p>
    <w:p w14:paraId="5FE5F789">
      <w:pPr>
        <w:spacing w:before="233" w:line="286" w:lineRule="auto"/>
        <w:ind w:left="12" w:right="95" w:firstLine="46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(1)“通用合同条款</w:t>
      </w:r>
      <w:r>
        <w:rPr>
          <w:rFonts w:ascii="宋体" w:hAnsi="宋体" w:eastAsia="宋体" w:cs="宋体"/>
          <w:color w:val="auto"/>
          <w:spacing w:val="-78"/>
          <w:sz w:val="24"/>
          <w:szCs w:val="24"/>
          <w:highlight w:val="none"/>
        </w:rPr>
        <w:t xml:space="preserve"> </w:t>
      </w:r>
      <w:r>
        <w:rPr>
          <w:rFonts w:ascii="宋体" w:hAnsi="宋体" w:eastAsia="宋体" w:cs="宋体"/>
          <w:color w:val="auto"/>
          <w:spacing w:val="-1"/>
          <w:sz w:val="24"/>
          <w:szCs w:val="24"/>
          <w:highlight w:val="none"/>
        </w:rPr>
        <w:t>”中明确指出“专用合同条款</w:t>
      </w:r>
      <w:r>
        <w:rPr>
          <w:rFonts w:ascii="宋体" w:hAnsi="宋体" w:eastAsia="宋体" w:cs="宋体"/>
          <w:color w:val="auto"/>
          <w:spacing w:val="-85"/>
          <w:sz w:val="24"/>
          <w:szCs w:val="24"/>
          <w:highlight w:val="none"/>
        </w:rPr>
        <w:t xml:space="preserve"> </w:t>
      </w:r>
      <w:r>
        <w:rPr>
          <w:rFonts w:ascii="宋体" w:hAnsi="宋体" w:eastAsia="宋体" w:cs="宋体"/>
          <w:color w:val="auto"/>
          <w:spacing w:val="-1"/>
          <w:sz w:val="24"/>
          <w:szCs w:val="24"/>
          <w:highlight w:val="none"/>
        </w:rPr>
        <w:t>”可对“通用合同条款</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”进行修改的内容(在“通用合同条款</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”中用“应按合同约定</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”“应按专用合同</w:t>
      </w:r>
      <w:r>
        <w:rPr>
          <w:rFonts w:ascii="宋体" w:hAnsi="宋体" w:eastAsia="宋体" w:cs="宋体"/>
          <w:color w:val="auto"/>
          <w:spacing w:val="-2"/>
          <w:sz w:val="24"/>
          <w:szCs w:val="24"/>
          <w:highlight w:val="none"/>
        </w:rPr>
        <w:t>条款约定</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”“除</w:t>
      </w:r>
      <w:r>
        <w:rPr>
          <w:rFonts w:ascii="宋体" w:hAnsi="宋体" w:eastAsia="宋体" w:cs="宋体"/>
          <w:color w:val="auto"/>
          <w:spacing w:val="1"/>
          <w:sz w:val="24"/>
          <w:szCs w:val="24"/>
          <w:highlight w:val="none"/>
        </w:rPr>
        <w:t>合同另有约定外</w:t>
      </w:r>
      <w:r>
        <w:rPr>
          <w:rFonts w:ascii="宋体" w:hAnsi="宋体" w:eastAsia="宋体" w:cs="宋体"/>
          <w:color w:val="auto"/>
          <w:spacing w:val="-81"/>
          <w:sz w:val="24"/>
          <w:szCs w:val="24"/>
          <w:highlight w:val="none"/>
        </w:rPr>
        <w:t xml:space="preserve"> </w:t>
      </w:r>
      <w:r>
        <w:rPr>
          <w:rFonts w:ascii="宋体" w:hAnsi="宋体" w:eastAsia="宋体" w:cs="宋体"/>
          <w:color w:val="auto"/>
          <w:spacing w:val="1"/>
          <w:sz w:val="24"/>
          <w:szCs w:val="24"/>
          <w:highlight w:val="none"/>
        </w:rPr>
        <w:t>”“</w:t>
      </w:r>
      <w:r>
        <w:rPr>
          <w:rFonts w:ascii="宋体" w:hAnsi="宋体" w:eastAsia="宋体" w:cs="宋体"/>
          <w:color w:val="auto"/>
          <w:spacing w:val="-91"/>
          <w:sz w:val="24"/>
          <w:szCs w:val="24"/>
          <w:highlight w:val="none"/>
        </w:rPr>
        <w:t xml:space="preserve"> </w:t>
      </w:r>
      <w:r>
        <w:rPr>
          <w:rFonts w:ascii="宋体" w:hAnsi="宋体" w:eastAsia="宋体" w:cs="宋体"/>
          <w:color w:val="auto"/>
          <w:spacing w:val="1"/>
          <w:sz w:val="24"/>
          <w:szCs w:val="24"/>
          <w:highlight w:val="none"/>
        </w:rPr>
        <w:t>除专用合同条款另有约定外</w:t>
      </w:r>
      <w:r>
        <w:rPr>
          <w:rFonts w:ascii="宋体" w:hAnsi="宋体" w:eastAsia="宋体" w:cs="宋体"/>
          <w:color w:val="auto"/>
          <w:spacing w:val="-81"/>
          <w:sz w:val="24"/>
          <w:szCs w:val="24"/>
          <w:highlight w:val="none"/>
        </w:rPr>
        <w:t xml:space="preserve"> </w:t>
      </w:r>
      <w:r>
        <w:rPr>
          <w:rFonts w:ascii="宋体" w:hAnsi="宋体" w:eastAsia="宋体" w:cs="宋体"/>
          <w:color w:val="auto"/>
          <w:spacing w:val="1"/>
          <w:sz w:val="24"/>
          <w:szCs w:val="24"/>
          <w:highlight w:val="none"/>
        </w:rPr>
        <w:t>”“在专用合同条款中约定</w:t>
      </w:r>
      <w:r>
        <w:rPr>
          <w:rFonts w:ascii="宋体" w:hAnsi="宋体" w:eastAsia="宋体" w:cs="宋体"/>
          <w:color w:val="auto"/>
          <w:spacing w:val="-81"/>
          <w:sz w:val="24"/>
          <w:szCs w:val="24"/>
          <w:highlight w:val="none"/>
        </w:rPr>
        <w:t xml:space="preserve"> </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等多种</w:t>
      </w:r>
      <w:r>
        <w:rPr>
          <w:rFonts w:ascii="宋体" w:hAnsi="宋体" w:eastAsia="宋体" w:cs="宋体"/>
          <w:color w:val="auto"/>
          <w:spacing w:val="-2"/>
          <w:sz w:val="24"/>
          <w:szCs w:val="24"/>
          <w:highlight w:val="none"/>
        </w:rPr>
        <w:t>文字形式表达)；</w:t>
      </w:r>
    </w:p>
    <w:p w14:paraId="28D35FB3">
      <w:pPr>
        <w:spacing w:before="234" w:line="286" w:lineRule="auto"/>
        <w:ind w:left="12" w:right="93" w:firstLine="466"/>
        <w:rPr>
          <w:rFonts w:ascii="宋体" w:hAnsi="宋体" w:eastAsia="宋体" w:cs="宋体"/>
          <w:color w:val="auto"/>
          <w:sz w:val="24"/>
          <w:szCs w:val="24"/>
          <w:highlight w:val="none"/>
        </w:rPr>
      </w:pPr>
      <w:r>
        <w:rPr>
          <w:rFonts w:ascii="宋体" w:hAnsi="宋体" w:eastAsia="宋体" w:cs="宋体"/>
          <w:color w:val="auto"/>
          <w:sz w:val="24"/>
          <w:szCs w:val="24"/>
          <w:highlight w:val="none"/>
        </w:rPr>
        <w:t>(2)“公路工程专用合同条款</w:t>
      </w:r>
      <w:r>
        <w:rPr>
          <w:rFonts w:ascii="宋体" w:hAnsi="宋体" w:eastAsia="宋体" w:cs="宋体"/>
          <w:color w:val="auto"/>
          <w:spacing w:val="-80"/>
          <w:sz w:val="24"/>
          <w:szCs w:val="24"/>
          <w:highlight w:val="none"/>
        </w:rPr>
        <w:t xml:space="preserve"> </w:t>
      </w:r>
      <w:r>
        <w:rPr>
          <w:rFonts w:ascii="宋体" w:hAnsi="宋体" w:eastAsia="宋体" w:cs="宋体"/>
          <w:color w:val="auto"/>
          <w:sz w:val="24"/>
          <w:szCs w:val="24"/>
          <w:highlight w:val="none"/>
        </w:rPr>
        <w:t>”中明确指出“项目专用合同条款</w:t>
      </w:r>
      <w:r>
        <w:rPr>
          <w:rFonts w:ascii="宋体" w:hAnsi="宋体" w:eastAsia="宋体" w:cs="宋体"/>
          <w:color w:val="auto"/>
          <w:spacing w:val="-86"/>
          <w:sz w:val="24"/>
          <w:szCs w:val="24"/>
          <w:highlight w:val="none"/>
        </w:rPr>
        <w:t xml:space="preserve"> </w:t>
      </w:r>
      <w:r>
        <w:rPr>
          <w:rFonts w:ascii="宋体" w:hAnsi="宋体" w:eastAsia="宋体" w:cs="宋体"/>
          <w:color w:val="auto"/>
          <w:sz w:val="24"/>
          <w:szCs w:val="24"/>
          <w:highlight w:val="none"/>
        </w:rPr>
        <w:t>”可对“公路工程专用合同条款</w:t>
      </w:r>
      <w:r>
        <w:rPr>
          <w:rFonts w:ascii="宋体" w:hAnsi="宋体" w:eastAsia="宋体" w:cs="宋体"/>
          <w:color w:val="auto"/>
          <w:spacing w:val="-85"/>
          <w:sz w:val="24"/>
          <w:szCs w:val="24"/>
          <w:highlight w:val="none"/>
        </w:rPr>
        <w:t xml:space="preserve"> </w:t>
      </w:r>
      <w:r>
        <w:rPr>
          <w:rFonts w:ascii="宋体" w:hAnsi="宋体" w:eastAsia="宋体" w:cs="宋体"/>
          <w:color w:val="auto"/>
          <w:sz w:val="24"/>
          <w:szCs w:val="24"/>
          <w:highlight w:val="none"/>
        </w:rPr>
        <w:t>”进行修改的内容(在“公路工程专用合同条款</w:t>
      </w:r>
      <w:r>
        <w:rPr>
          <w:rFonts w:ascii="宋体" w:hAnsi="宋体" w:eastAsia="宋体" w:cs="宋体"/>
          <w:color w:val="auto"/>
          <w:spacing w:val="-86"/>
          <w:sz w:val="24"/>
          <w:szCs w:val="24"/>
          <w:highlight w:val="none"/>
        </w:rPr>
        <w:t xml:space="preserve"> </w:t>
      </w:r>
      <w:r>
        <w:rPr>
          <w:rFonts w:ascii="宋体" w:hAnsi="宋体" w:eastAsia="宋体" w:cs="宋体"/>
          <w:color w:val="auto"/>
          <w:sz w:val="24"/>
          <w:szCs w:val="24"/>
          <w:highlight w:val="none"/>
        </w:rPr>
        <w:t>”中</w:t>
      </w:r>
      <w:r>
        <w:rPr>
          <w:rFonts w:ascii="宋体" w:hAnsi="宋体" w:eastAsia="宋体" w:cs="宋体"/>
          <w:color w:val="auto"/>
          <w:spacing w:val="-1"/>
          <w:sz w:val="24"/>
          <w:szCs w:val="24"/>
          <w:highlight w:val="none"/>
        </w:rPr>
        <w:t>用“除项目专用合同</w:t>
      </w:r>
      <w:r>
        <w:rPr>
          <w:rFonts w:ascii="宋体" w:hAnsi="宋体" w:eastAsia="宋体" w:cs="宋体"/>
          <w:color w:val="auto"/>
          <w:spacing w:val="3"/>
          <w:sz w:val="24"/>
          <w:szCs w:val="24"/>
          <w:highlight w:val="none"/>
        </w:rPr>
        <w:t>条款另有约定外</w:t>
      </w:r>
      <w:r>
        <w:rPr>
          <w:rFonts w:ascii="宋体" w:hAnsi="宋体" w:eastAsia="宋体" w:cs="宋体"/>
          <w:color w:val="auto"/>
          <w:spacing w:val="-81"/>
          <w:sz w:val="24"/>
          <w:szCs w:val="24"/>
          <w:highlight w:val="none"/>
        </w:rPr>
        <w:t xml:space="preserve"> </w:t>
      </w:r>
      <w:r>
        <w:rPr>
          <w:rFonts w:ascii="宋体" w:hAnsi="宋体" w:eastAsia="宋体" w:cs="宋体"/>
          <w:color w:val="auto"/>
          <w:spacing w:val="3"/>
          <w:sz w:val="24"/>
          <w:szCs w:val="24"/>
          <w:highlight w:val="none"/>
        </w:rPr>
        <w:t>”“项目专用合同条款可能约定的</w:t>
      </w:r>
      <w:r>
        <w:rPr>
          <w:rFonts w:ascii="宋体" w:hAnsi="宋体" w:eastAsia="宋体" w:cs="宋体"/>
          <w:color w:val="auto"/>
          <w:spacing w:val="-83"/>
          <w:sz w:val="24"/>
          <w:szCs w:val="24"/>
          <w:highlight w:val="none"/>
        </w:rPr>
        <w:t xml:space="preserve"> </w:t>
      </w:r>
      <w:r>
        <w:rPr>
          <w:rFonts w:ascii="宋体" w:hAnsi="宋体" w:eastAsia="宋体" w:cs="宋体"/>
          <w:color w:val="auto"/>
          <w:spacing w:val="3"/>
          <w:sz w:val="24"/>
          <w:szCs w:val="24"/>
          <w:highlight w:val="none"/>
        </w:rPr>
        <w:t>”“项目专用合同条款约</w:t>
      </w:r>
      <w:r>
        <w:rPr>
          <w:rFonts w:ascii="宋体" w:hAnsi="宋体" w:eastAsia="宋体" w:cs="宋体"/>
          <w:color w:val="auto"/>
          <w:spacing w:val="2"/>
          <w:sz w:val="24"/>
          <w:szCs w:val="24"/>
          <w:highlight w:val="none"/>
        </w:rPr>
        <w:t>定的其他</w:t>
      </w:r>
      <w:r>
        <w:rPr>
          <w:rFonts w:ascii="宋体" w:hAnsi="宋体" w:eastAsia="宋体" w:cs="宋体"/>
          <w:color w:val="auto"/>
          <w:spacing w:val="-4"/>
          <w:sz w:val="24"/>
          <w:szCs w:val="24"/>
          <w:highlight w:val="none"/>
        </w:rPr>
        <w:t>情形</w:t>
      </w:r>
      <w:r>
        <w:rPr>
          <w:rFonts w:ascii="宋体" w:hAnsi="宋体" w:eastAsia="宋体" w:cs="宋体"/>
          <w:color w:val="auto"/>
          <w:spacing w:val="-76"/>
          <w:sz w:val="24"/>
          <w:szCs w:val="24"/>
          <w:highlight w:val="none"/>
        </w:rPr>
        <w:t xml:space="preserve"> </w:t>
      </w:r>
      <w:r>
        <w:rPr>
          <w:rFonts w:ascii="宋体" w:hAnsi="宋体" w:eastAsia="宋体" w:cs="宋体"/>
          <w:color w:val="auto"/>
          <w:spacing w:val="-4"/>
          <w:sz w:val="24"/>
          <w:szCs w:val="24"/>
          <w:highlight w:val="none"/>
        </w:rPr>
        <w:t>”等多种文字形式表达)。</w:t>
      </w:r>
    </w:p>
    <w:p w14:paraId="7E22CFC3">
      <w:pPr>
        <w:spacing w:before="233" w:line="219" w:lineRule="auto"/>
        <w:ind w:left="478"/>
        <w:rPr>
          <w:rFonts w:ascii="宋体" w:hAnsi="宋体" w:eastAsia="宋体" w:cs="宋体"/>
          <w:color w:val="auto"/>
          <w:sz w:val="24"/>
          <w:szCs w:val="24"/>
          <w:highlight w:val="none"/>
        </w:rPr>
      </w:pPr>
      <w:bookmarkStart w:id="227" w:name="bookmark141"/>
      <w:bookmarkEnd w:id="227"/>
      <w:r>
        <w:rPr>
          <w:rFonts w:ascii="宋体" w:hAnsi="宋体" w:eastAsia="宋体" w:cs="宋体"/>
          <w:color w:val="auto"/>
          <w:spacing w:val="-4"/>
          <w:sz w:val="24"/>
          <w:szCs w:val="24"/>
          <w:highlight w:val="none"/>
        </w:rPr>
        <w:t>(3)其他需要补充、细化的内容。</w:t>
      </w:r>
    </w:p>
    <w:p w14:paraId="17FB058C">
      <w:pPr>
        <w:spacing w:line="254" w:lineRule="auto"/>
        <w:rPr>
          <w:rFonts w:ascii="Arial"/>
          <w:color w:val="auto"/>
          <w:sz w:val="21"/>
          <w:highlight w:val="none"/>
        </w:rPr>
      </w:pPr>
    </w:p>
    <w:p w14:paraId="5C990F77">
      <w:pPr>
        <w:spacing w:line="254" w:lineRule="auto"/>
        <w:rPr>
          <w:rFonts w:ascii="Arial"/>
          <w:color w:val="auto"/>
          <w:sz w:val="21"/>
          <w:highlight w:val="none"/>
        </w:rPr>
      </w:pPr>
    </w:p>
    <w:p w14:paraId="2415279F">
      <w:pPr>
        <w:spacing w:line="254" w:lineRule="auto"/>
        <w:rPr>
          <w:rFonts w:ascii="Arial"/>
          <w:color w:val="auto"/>
          <w:sz w:val="21"/>
          <w:highlight w:val="none"/>
        </w:rPr>
      </w:pPr>
    </w:p>
    <w:p w14:paraId="356CBA35">
      <w:pPr>
        <w:spacing w:line="254" w:lineRule="auto"/>
        <w:rPr>
          <w:rFonts w:ascii="Arial"/>
          <w:color w:val="auto"/>
          <w:sz w:val="21"/>
          <w:highlight w:val="none"/>
        </w:rPr>
      </w:pPr>
    </w:p>
    <w:p w14:paraId="0D4403EA">
      <w:pPr>
        <w:spacing w:line="254" w:lineRule="auto"/>
        <w:rPr>
          <w:rFonts w:ascii="Arial"/>
          <w:color w:val="auto"/>
          <w:sz w:val="21"/>
          <w:highlight w:val="none"/>
        </w:rPr>
      </w:pPr>
    </w:p>
    <w:p w14:paraId="62161EAE">
      <w:pPr>
        <w:spacing w:line="254" w:lineRule="auto"/>
        <w:rPr>
          <w:rFonts w:ascii="Arial"/>
          <w:color w:val="auto"/>
          <w:sz w:val="21"/>
          <w:highlight w:val="none"/>
        </w:rPr>
      </w:pPr>
    </w:p>
    <w:p w14:paraId="3CCA4C5C">
      <w:pPr>
        <w:spacing w:line="254" w:lineRule="auto"/>
        <w:rPr>
          <w:rFonts w:ascii="Arial"/>
          <w:color w:val="auto"/>
          <w:sz w:val="21"/>
          <w:highlight w:val="none"/>
        </w:rPr>
      </w:pPr>
    </w:p>
    <w:p w14:paraId="7CF87BE1">
      <w:pPr>
        <w:spacing w:line="254" w:lineRule="auto"/>
        <w:rPr>
          <w:rFonts w:ascii="Arial"/>
          <w:color w:val="auto"/>
          <w:sz w:val="21"/>
          <w:highlight w:val="none"/>
        </w:rPr>
      </w:pPr>
    </w:p>
    <w:p w14:paraId="0677D573">
      <w:pPr>
        <w:spacing w:line="254" w:lineRule="auto"/>
        <w:rPr>
          <w:rFonts w:ascii="Arial"/>
          <w:color w:val="auto"/>
          <w:sz w:val="21"/>
          <w:highlight w:val="none"/>
        </w:rPr>
      </w:pPr>
    </w:p>
    <w:p w14:paraId="019B0E21">
      <w:pPr>
        <w:spacing w:line="254" w:lineRule="auto"/>
        <w:rPr>
          <w:rFonts w:ascii="Arial"/>
          <w:color w:val="auto"/>
          <w:sz w:val="21"/>
          <w:highlight w:val="none"/>
        </w:rPr>
      </w:pPr>
    </w:p>
    <w:p w14:paraId="68BBBCC9">
      <w:pPr>
        <w:spacing w:line="254" w:lineRule="auto"/>
        <w:rPr>
          <w:rFonts w:ascii="Arial"/>
          <w:color w:val="auto"/>
          <w:sz w:val="21"/>
          <w:highlight w:val="none"/>
        </w:rPr>
      </w:pPr>
    </w:p>
    <w:p w14:paraId="08227952">
      <w:pPr>
        <w:spacing w:line="255" w:lineRule="auto"/>
        <w:rPr>
          <w:rFonts w:ascii="Arial"/>
          <w:color w:val="auto"/>
          <w:sz w:val="21"/>
          <w:highlight w:val="none"/>
        </w:rPr>
      </w:pPr>
    </w:p>
    <w:p w14:paraId="6F84383D">
      <w:pPr>
        <w:spacing w:line="255" w:lineRule="auto"/>
        <w:rPr>
          <w:rFonts w:ascii="Arial"/>
          <w:color w:val="auto"/>
          <w:sz w:val="21"/>
          <w:highlight w:val="none"/>
        </w:rPr>
      </w:pPr>
    </w:p>
    <w:p w14:paraId="56EC64BE">
      <w:pPr>
        <w:spacing w:line="255" w:lineRule="auto"/>
        <w:rPr>
          <w:rFonts w:ascii="Arial"/>
          <w:color w:val="auto"/>
          <w:sz w:val="21"/>
          <w:highlight w:val="none"/>
        </w:rPr>
      </w:pPr>
    </w:p>
    <w:p w14:paraId="1F8D467B">
      <w:pPr>
        <w:spacing w:line="255" w:lineRule="auto"/>
        <w:rPr>
          <w:rFonts w:ascii="Arial"/>
          <w:color w:val="auto"/>
          <w:sz w:val="21"/>
          <w:highlight w:val="none"/>
        </w:rPr>
      </w:pPr>
    </w:p>
    <w:p w14:paraId="701E33D1">
      <w:pPr>
        <w:spacing w:line="233" w:lineRule="auto"/>
        <w:rPr>
          <w:rFonts w:ascii="宋体" w:hAnsi="宋体" w:eastAsia="宋体" w:cs="宋体"/>
          <w:color w:val="auto"/>
          <w:sz w:val="18"/>
          <w:szCs w:val="18"/>
          <w:highlight w:val="none"/>
        </w:rPr>
        <w:sectPr>
          <w:footerReference r:id="rId65" w:type="default"/>
          <w:pgSz w:w="11906" w:h="16839"/>
          <w:pgMar w:top="1382" w:right="1322" w:bottom="1297" w:left="1413" w:header="0" w:footer="1067" w:gutter="0"/>
          <w:pgNumType w:fmt="decimal"/>
          <w:cols w:space="720" w:num="1"/>
        </w:sectPr>
      </w:pPr>
    </w:p>
    <w:p w14:paraId="7205D2B2">
      <w:pPr>
        <w:spacing w:before="163" w:line="220" w:lineRule="auto"/>
        <w:ind w:left="26"/>
        <w:outlineLvl w:val="1"/>
        <w:rPr>
          <w:rFonts w:ascii="宋体" w:hAnsi="宋体" w:eastAsia="宋体" w:cs="宋体"/>
          <w:color w:val="auto"/>
          <w:sz w:val="24"/>
          <w:szCs w:val="24"/>
          <w:highlight w:val="none"/>
        </w:rPr>
      </w:pPr>
      <w:bookmarkStart w:id="228" w:name="_Toc23052"/>
      <w:bookmarkStart w:id="229" w:name="_Toc7825"/>
      <w:r>
        <w:rPr>
          <w:rFonts w:ascii="宋体" w:hAnsi="宋体" w:eastAsia="宋体" w:cs="宋体"/>
          <w:b/>
          <w:bCs/>
          <w:color w:val="auto"/>
          <w:spacing w:val="-9"/>
          <w:sz w:val="24"/>
          <w:szCs w:val="24"/>
          <w:highlight w:val="none"/>
        </w:rPr>
        <w:t>1.</w:t>
      </w:r>
      <w:r>
        <w:rPr>
          <w:rFonts w:ascii="宋体" w:hAnsi="宋体" w:eastAsia="宋体" w:cs="宋体"/>
          <w:color w:val="auto"/>
          <w:spacing w:val="15"/>
          <w:sz w:val="24"/>
          <w:szCs w:val="24"/>
          <w:highlight w:val="none"/>
        </w:rPr>
        <w:t xml:space="preserve"> </w:t>
      </w:r>
      <w:r>
        <w:rPr>
          <w:rFonts w:ascii="宋体" w:hAnsi="宋体" w:eastAsia="宋体" w:cs="宋体"/>
          <w:b/>
          <w:bCs/>
          <w:color w:val="auto"/>
          <w:spacing w:val="-9"/>
          <w:sz w:val="24"/>
          <w:szCs w:val="24"/>
          <w:highlight w:val="none"/>
        </w:rPr>
        <w:t>一般约定</w:t>
      </w:r>
      <w:bookmarkEnd w:id="228"/>
      <w:bookmarkEnd w:id="229"/>
    </w:p>
    <w:p w14:paraId="4B07F314">
      <w:pPr>
        <w:spacing w:before="292" w:line="220" w:lineRule="auto"/>
        <w:ind w:left="26"/>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1.1</w:t>
      </w:r>
      <w:r>
        <w:rPr>
          <w:rFonts w:ascii="宋体" w:hAnsi="宋体" w:eastAsia="宋体" w:cs="宋体"/>
          <w:color w:val="auto"/>
          <w:spacing w:val="17"/>
          <w:sz w:val="24"/>
          <w:szCs w:val="24"/>
          <w:highlight w:val="none"/>
        </w:rPr>
        <w:t xml:space="preserve"> </w:t>
      </w:r>
      <w:r>
        <w:rPr>
          <w:rFonts w:ascii="宋体" w:hAnsi="宋体" w:eastAsia="宋体" w:cs="宋体"/>
          <w:b/>
          <w:bCs/>
          <w:color w:val="auto"/>
          <w:spacing w:val="-8"/>
          <w:sz w:val="24"/>
          <w:szCs w:val="24"/>
          <w:highlight w:val="none"/>
        </w:rPr>
        <w:t>词语定义</w:t>
      </w:r>
    </w:p>
    <w:p w14:paraId="0BDE3697">
      <w:pPr>
        <w:spacing w:line="342" w:lineRule="auto"/>
        <w:rPr>
          <w:rFonts w:ascii="Arial"/>
          <w:color w:val="auto"/>
          <w:sz w:val="21"/>
          <w:highlight w:val="none"/>
        </w:rPr>
      </w:pPr>
    </w:p>
    <w:p w14:paraId="6A1E4819">
      <w:pPr>
        <w:spacing w:before="72" w:line="222" w:lineRule="auto"/>
        <w:ind w:left="465"/>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1.1.2.2 委托人：</w:t>
      </w:r>
      <w:r>
        <w:rPr>
          <w:rFonts w:ascii="宋体" w:hAnsi="宋体" w:eastAsia="宋体" w:cs="宋体"/>
          <w:color w:val="auto"/>
          <w:sz w:val="22"/>
          <w:szCs w:val="22"/>
          <w:highlight w:val="none"/>
          <w:u w:val="single" w:color="auto"/>
        </w:rPr>
        <w:t xml:space="preserve"> </w:t>
      </w:r>
      <w:r>
        <w:rPr>
          <w:rFonts w:ascii="宋体" w:hAnsi="宋体" w:eastAsia="宋体" w:cs="宋体"/>
          <w:color w:val="auto"/>
          <w:sz w:val="22"/>
          <w:szCs w:val="22"/>
          <w:highlight w:val="none"/>
          <w:u w:val="single" w:color="auto"/>
          <w:lang w:val="en-US" w:eastAsia="zh-CN"/>
        </w:rPr>
        <w:t>乳源瑶族自治县地方公路事务中心</w:t>
      </w:r>
      <w:r>
        <w:rPr>
          <w:rFonts w:ascii="宋体" w:hAnsi="宋体" w:eastAsia="宋体" w:cs="宋体"/>
          <w:color w:val="auto"/>
          <w:spacing w:val="-3"/>
          <w:sz w:val="22"/>
          <w:szCs w:val="22"/>
          <w:highlight w:val="none"/>
        </w:rPr>
        <w:t>。</w:t>
      </w:r>
    </w:p>
    <w:p w14:paraId="6779009B">
      <w:pPr>
        <w:spacing w:line="360" w:lineRule="auto"/>
        <w:ind w:left="465"/>
        <w:rPr>
          <w:rFonts w:ascii="宋体" w:hAnsi="宋体" w:eastAsia="宋体" w:cs="宋体"/>
          <w:color w:val="auto"/>
          <w:spacing w:val="-1"/>
          <w:sz w:val="22"/>
          <w:szCs w:val="22"/>
          <w:highlight w:val="none"/>
        </w:rPr>
      </w:pPr>
      <w:r>
        <w:rPr>
          <w:rFonts w:ascii="宋体" w:hAnsi="宋体" w:eastAsia="宋体" w:cs="宋体"/>
          <w:color w:val="auto"/>
          <w:spacing w:val="-1"/>
          <w:sz w:val="22"/>
          <w:szCs w:val="22"/>
          <w:highlight w:val="none"/>
        </w:rPr>
        <w:t>增加第 1.1.2.10 项</w:t>
      </w:r>
    </w:p>
    <w:p w14:paraId="13D83FB0">
      <w:pPr>
        <w:spacing w:line="360" w:lineRule="auto"/>
        <w:ind w:left="465"/>
        <w:rPr>
          <w:rFonts w:ascii="宋体" w:hAnsi="宋体" w:eastAsia="宋体" w:cs="宋体"/>
          <w:color w:val="auto"/>
          <w:spacing w:val="-1"/>
          <w:sz w:val="22"/>
          <w:szCs w:val="22"/>
          <w:highlight w:val="none"/>
          <w:u w:val="single"/>
        </w:rPr>
      </w:pPr>
      <w:r>
        <w:rPr>
          <w:rFonts w:hint="eastAsia" w:ascii="宋体" w:hAnsi="宋体" w:eastAsia="宋体" w:cs="宋体"/>
          <w:color w:val="auto"/>
          <w:spacing w:val="-1"/>
          <w:sz w:val="22"/>
          <w:szCs w:val="22"/>
          <w:highlight w:val="none"/>
          <w:u w:val="single"/>
          <w:lang w:eastAsia="zh-CN"/>
        </w:rPr>
        <w:t>（</w:t>
      </w:r>
      <w:r>
        <w:rPr>
          <w:rFonts w:hint="eastAsia" w:ascii="宋体" w:hAnsi="宋体" w:eastAsia="宋体" w:cs="宋体"/>
          <w:color w:val="auto"/>
          <w:spacing w:val="-1"/>
          <w:sz w:val="22"/>
          <w:szCs w:val="22"/>
          <w:highlight w:val="none"/>
          <w:u w:val="single"/>
          <w:lang w:val="en-US" w:eastAsia="zh-CN"/>
        </w:rPr>
        <w:t>1</w:t>
      </w:r>
      <w:r>
        <w:rPr>
          <w:rFonts w:hint="eastAsia" w:ascii="宋体" w:hAnsi="宋体" w:eastAsia="宋体" w:cs="宋体"/>
          <w:color w:val="auto"/>
          <w:spacing w:val="-1"/>
          <w:sz w:val="22"/>
          <w:szCs w:val="22"/>
          <w:highlight w:val="none"/>
          <w:u w:val="single"/>
          <w:lang w:eastAsia="zh-CN"/>
        </w:rPr>
        <w:t>）</w:t>
      </w:r>
      <w:r>
        <w:rPr>
          <w:rFonts w:ascii="宋体" w:hAnsi="宋体" w:eastAsia="宋体" w:cs="宋体"/>
          <w:color w:val="auto"/>
          <w:spacing w:val="-1"/>
          <w:sz w:val="22"/>
          <w:szCs w:val="22"/>
          <w:highlight w:val="none"/>
          <w:u w:val="single"/>
        </w:rPr>
        <w:t xml:space="preserve"> 监理人可不自行组建中心试验室，本合同约定的全部试验检测工作，监理人应通过委托具备相应资质的第三方试验检测机构完成。</w:t>
      </w:r>
    </w:p>
    <w:p w14:paraId="14DF80ED">
      <w:pPr>
        <w:spacing w:line="360" w:lineRule="auto"/>
        <w:ind w:left="465"/>
        <w:rPr>
          <w:rFonts w:ascii="宋体" w:hAnsi="宋体" w:eastAsia="宋体" w:cs="宋体"/>
          <w:color w:val="auto"/>
          <w:spacing w:val="-1"/>
          <w:sz w:val="22"/>
          <w:szCs w:val="22"/>
          <w:highlight w:val="none"/>
          <w:u w:val="single"/>
        </w:rPr>
      </w:pPr>
      <w:r>
        <w:rPr>
          <w:rFonts w:hint="eastAsia" w:ascii="宋体" w:hAnsi="宋体" w:eastAsia="宋体" w:cs="宋体"/>
          <w:color w:val="auto"/>
          <w:spacing w:val="-1"/>
          <w:sz w:val="22"/>
          <w:szCs w:val="22"/>
          <w:highlight w:val="none"/>
          <w:u w:val="single"/>
          <w:lang w:eastAsia="zh-CN"/>
        </w:rPr>
        <w:t>（</w:t>
      </w:r>
      <w:r>
        <w:rPr>
          <w:rFonts w:hint="eastAsia" w:ascii="宋体" w:hAnsi="宋体" w:eastAsia="宋体" w:cs="宋体"/>
          <w:color w:val="auto"/>
          <w:spacing w:val="-1"/>
          <w:sz w:val="22"/>
          <w:szCs w:val="22"/>
          <w:highlight w:val="none"/>
          <w:u w:val="single"/>
          <w:lang w:val="en-US" w:eastAsia="zh-CN"/>
        </w:rPr>
        <w:t>2</w:t>
      </w:r>
      <w:r>
        <w:rPr>
          <w:rFonts w:hint="eastAsia" w:ascii="宋体" w:hAnsi="宋体" w:eastAsia="宋体" w:cs="宋体"/>
          <w:color w:val="auto"/>
          <w:spacing w:val="-1"/>
          <w:sz w:val="22"/>
          <w:szCs w:val="22"/>
          <w:highlight w:val="none"/>
          <w:u w:val="single"/>
          <w:lang w:eastAsia="zh-CN"/>
        </w:rPr>
        <w:t>）</w:t>
      </w:r>
      <w:r>
        <w:rPr>
          <w:rFonts w:ascii="宋体" w:hAnsi="宋体" w:eastAsia="宋体" w:cs="宋体"/>
          <w:color w:val="auto"/>
          <w:spacing w:val="-1"/>
          <w:sz w:val="22"/>
          <w:szCs w:val="22"/>
          <w:highlight w:val="none"/>
          <w:u w:val="single"/>
        </w:rPr>
        <w:t>监理人委托的第三方检测机构不得与施工承包人委托的检测机构为同一家机构。</w:t>
      </w:r>
    </w:p>
    <w:p w14:paraId="1F40D395">
      <w:pPr>
        <w:spacing w:line="360" w:lineRule="auto"/>
        <w:ind w:left="465"/>
        <w:rPr>
          <w:rFonts w:ascii="宋体" w:hAnsi="宋体" w:eastAsia="宋体" w:cs="宋体"/>
          <w:color w:val="auto"/>
          <w:spacing w:val="-1"/>
          <w:sz w:val="22"/>
          <w:szCs w:val="22"/>
          <w:highlight w:val="none"/>
          <w:u w:val="single"/>
        </w:rPr>
      </w:pPr>
      <w:r>
        <w:rPr>
          <w:rFonts w:hint="eastAsia" w:ascii="宋体" w:hAnsi="宋体" w:eastAsia="宋体" w:cs="宋体"/>
          <w:color w:val="auto"/>
          <w:spacing w:val="-1"/>
          <w:sz w:val="22"/>
          <w:szCs w:val="22"/>
          <w:highlight w:val="none"/>
          <w:u w:val="single"/>
          <w:lang w:eastAsia="zh-CN"/>
        </w:rPr>
        <w:t>（</w:t>
      </w:r>
      <w:r>
        <w:rPr>
          <w:rFonts w:hint="eastAsia" w:ascii="宋体" w:hAnsi="宋体" w:eastAsia="宋体" w:cs="宋体"/>
          <w:color w:val="auto"/>
          <w:spacing w:val="-1"/>
          <w:sz w:val="22"/>
          <w:szCs w:val="22"/>
          <w:highlight w:val="none"/>
          <w:u w:val="single"/>
          <w:lang w:val="en-US" w:eastAsia="zh-CN"/>
        </w:rPr>
        <w:t>3</w:t>
      </w:r>
      <w:r>
        <w:rPr>
          <w:rFonts w:hint="eastAsia" w:ascii="宋体" w:hAnsi="宋体" w:eastAsia="宋体" w:cs="宋体"/>
          <w:color w:val="auto"/>
          <w:spacing w:val="-1"/>
          <w:sz w:val="22"/>
          <w:szCs w:val="22"/>
          <w:highlight w:val="none"/>
          <w:u w:val="single"/>
          <w:lang w:eastAsia="zh-CN"/>
        </w:rPr>
        <w:t>）</w:t>
      </w:r>
      <w:r>
        <w:rPr>
          <w:rFonts w:ascii="宋体" w:hAnsi="宋体" w:eastAsia="宋体" w:cs="宋体"/>
          <w:color w:val="auto"/>
          <w:spacing w:val="-1"/>
          <w:sz w:val="22"/>
          <w:szCs w:val="22"/>
          <w:highlight w:val="none"/>
          <w:u w:val="single"/>
        </w:rPr>
        <w:t>所有外委检测机构的选定及检测方案必须报经建设单位书面审查同意后方可执行。</w:t>
      </w:r>
    </w:p>
    <w:p w14:paraId="7BF6C3CE">
      <w:pPr>
        <w:spacing w:line="360" w:lineRule="auto"/>
        <w:ind w:left="465"/>
        <w:rPr>
          <w:rFonts w:hint="eastAsia" w:ascii="宋体" w:hAnsi="宋体" w:eastAsia="宋体" w:cs="宋体"/>
          <w:color w:val="auto"/>
          <w:spacing w:val="-1"/>
          <w:sz w:val="22"/>
          <w:szCs w:val="22"/>
          <w:highlight w:val="none"/>
          <w:u w:val="single"/>
          <w:lang w:eastAsia="zh-CN"/>
        </w:rPr>
      </w:pPr>
      <w:r>
        <w:rPr>
          <w:rFonts w:hint="eastAsia" w:ascii="宋体" w:hAnsi="宋体" w:eastAsia="宋体" w:cs="宋体"/>
          <w:color w:val="auto"/>
          <w:spacing w:val="-1"/>
          <w:sz w:val="22"/>
          <w:szCs w:val="22"/>
          <w:highlight w:val="none"/>
          <w:u w:val="single"/>
          <w:lang w:eastAsia="zh-CN"/>
        </w:rPr>
        <w:t>（</w:t>
      </w:r>
      <w:r>
        <w:rPr>
          <w:rFonts w:hint="eastAsia" w:ascii="宋体" w:hAnsi="宋体" w:eastAsia="宋体" w:cs="宋体"/>
          <w:color w:val="auto"/>
          <w:spacing w:val="-1"/>
          <w:sz w:val="22"/>
          <w:szCs w:val="22"/>
          <w:highlight w:val="none"/>
          <w:u w:val="single"/>
          <w:lang w:val="en-US" w:eastAsia="zh-CN"/>
        </w:rPr>
        <w:t>4</w:t>
      </w:r>
      <w:r>
        <w:rPr>
          <w:rFonts w:hint="eastAsia" w:ascii="宋体" w:hAnsi="宋体" w:eastAsia="宋体" w:cs="宋体"/>
          <w:color w:val="auto"/>
          <w:spacing w:val="-1"/>
          <w:sz w:val="22"/>
          <w:szCs w:val="22"/>
          <w:highlight w:val="none"/>
          <w:u w:val="single"/>
          <w:lang w:eastAsia="zh-CN"/>
        </w:rPr>
        <w:t>）</w:t>
      </w:r>
      <w:r>
        <w:rPr>
          <w:rFonts w:ascii="宋体" w:hAnsi="宋体" w:eastAsia="宋体" w:cs="宋体"/>
          <w:color w:val="auto"/>
          <w:spacing w:val="-1"/>
          <w:sz w:val="22"/>
          <w:szCs w:val="22"/>
          <w:highlight w:val="none"/>
          <w:u w:val="single"/>
        </w:rPr>
        <w:t>外委检测机构资质要求</w:t>
      </w:r>
      <w:r>
        <w:rPr>
          <w:rFonts w:hint="eastAsia" w:ascii="宋体" w:hAnsi="宋体" w:eastAsia="宋体" w:cs="宋体"/>
          <w:color w:val="auto"/>
          <w:spacing w:val="-1"/>
          <w:sz w:val="22"/>
          <w:szCs w:val="22"/>
          <w:highlight w:val="none"/>
          <w:u w:val="single"/>
          <w:lang w:eastAsia="zh-CN"/>
        </w:rPr>
        <w:t>：</w:t>
      </w:r>
    </w:p>
    <w:p w14:paraId="6A84E603">
      <w:pPr>
        <w:spacing w:line="360" w:lineRule="auto"/>
        <w:ind w:left="465"/>
        <w:rPr>
          <w:rFonts w:ascii="宋体" w:hAnsi="宋体" w:eastAsia="宋体" w:cs="宋体"/>
          <w:color w:val="auto"/>
          <w:spacing w:val="-1"/>
          <w:sz w:val="22"/>
          <w:szCs w:val="22"/>
          <w:highlight w:val="none"/>
          <w:u w:val="single"/>
        </w:rPr>
      </w:pPr>
      <w:r>
        <w:rPr>
          <w:rFonts w:hint="eastAsia" w:ascii="宋体" w:hAnsi="宋体" w:eastAsia="宋体" w:cs="宋体"/>
          <w:color w:val="auto"/>
          <w:spacing w:val="-1"/>
          <w:sz w:val="22"/>
          <w:szCs w:val="22"/>
          <w:highlight w:val="none"/>
          <w:u w:val="single"/>
          <w:lang w:eastAsia="zh-CN"/>
        </w:rPr>
        <w:t>（</w:t>
      </w:r>
      <w:r>
        <w:rPr>
          <w:rFonts w:hint="eastAsia" w:ascii="宋体" w:hAnsi="宋体" w:eastAsia="宋体" w:cs="宋体"/>
          <w:color w:val="auto"/>
          <w:spacing w:val="-1"/>
          <w:sz w:val="22"/>
          <w:szCs w:val="22"/>
          <w:highlight w:val="none"/>
          <w:u w:val="single"/>
          <w:lang w:val="en-US" w:eastAsia="zh-CN"/>
        </w:rPr>
        <w:t>4.1</w:t>
      </w:r>
      <w:r>
        <w:rPr>
          <w:rFonts w:hint="eastAsia" w:ascii="宋体" w:hAnsi="宋体" w:eastAsia="宋体" w:cs="宋体"/>
          <w:color w:val="auto"/>
          <w:spacing w:val="-1"/>
          <w:sz w:val="22"/>
          <w:szCs w:val="22"/>
          <w:highlight w:val="none"/>
          <w:u w:val="single"/>
          <w:lang w:eastAsia="zh-CN"/>
        </w:rPr>
        <w:t>）</w:t>
      </w:r>
      <w:r>
        <w:rPr>
          <w:rFonts w:ascii="宋体" w:hAnsi="宋体" w:eastAsia="宋体" w:cs="宋体"/>
          <w:color w:val="auto"/>
          <w:spacing w:val="-1"/>
          <w:sz w:val="22"/>
          <w:szCs w:val="22"/>
          <w:highlight w:val="none"/>
          <w:u w:val="single"/>
        </w:rPr>
        <w:t>接受委托的检测机构必须同时持有在有效期内的《公路水运工程质量检测机构资质证书》 (公路工程综合</w:t>
      </w:r>
      <w:r>
        <w:rPr>
          <w:rFonts w:hint="eastAsia" w:ascii="宋体" w:hAnsi="宋体" w:eastAsia="宋体" w:cs="宋体"/>
          <w:color w:val="auto"/>
          <w:spacing w:val="-1"/>
          <w:sz w:val="22"/>
          <w:szCs w:val="22"/>
          <w:highlight w:val="none"/>
          <w:u w:val="single"/>
          <w:lang w:val="en-US" w:eastAsia="zh-CN"/>
        </w:rPr>
        <w:t>乙</w:t>
      </w:r>
      <w:r>
        <w:rPr>
          <w:rFonts w:ascii="宋体" w:hAnsi="宋体" w:eastAsia="宋体" w:cs="宋体"/>
          <w:color w:val="auto"/>
          <w:spacing w:val="-1"/>
          <w:sz w:val="22"/>
          <w:szCs w:val="22"/>
          <w:highlight w:val="none"/>
          <w:u w:val="single"/>
        </w:rPr>
        <w:t>级</w:t>
      </w:r>
      <w:r>
        <w:rPr>
          <w:rFonts w:hint="eastAsia" w:ascii="宋体" w:hAnsi="宋体" w:eastAsia="宋体" w:cs="宋体"/>
          <w:color w:val="auto"/>
          <w:spacing w:val="-1"/>
          <w:sz w:val="22"/>
          <w:szCs w:val="22"/>
          <w:highlight w:val="none"/>
          <w:u w:val="single"/>
          <w:lang w:val="en-US" w:eastAsia="zh-CN"/>
        </w:rPr>
        <w:t>以上（含乙级</w:t>
      </w:r>
      <w:r>
        <w:rPr>
          <w:rFonts w:ascii="宋体" w:hAnsi="宋体" w:eastAsia="宋体" w:cs="宋体"/>
          <w:color w:val="auto"/>
          <w:spacing w:val="-1"/>
          <w:sz w:val="22"/>
          <w:szCs w:val="22"/>
          <w:highlight w:val="none"/>
          <w:u w:val="single"/>
        </w:rPr>
        <w:t>)或相应专项</w:t>
      </w:r>
      <w:r>
        <w:rPr>
          <w:rFonts w:hint="eastAsia" w:ascii="宋体" w:hAnsi="宋体" w:eastAsia="宋体" w:cs="宋体"/>
          <w:color w:val="auto"/>
          <w:spacing w:val="-1"/>
          <w:sz w:val="22"/>
          <w:szCs w:val="22"/>
          <w:highlight w:val="none"/>
          <w:u w:val="single"/>
          <w:lang w:val="en-US" w:eastAsia="zh-CN"/>
        </w:rPr>
        <w:t>乙</w:t>
      </w:r>
      <w:r>
        <w:rPr>
          <w:rFonts w:ascii="宋体" w:hAnsi="宋体" w:eastAsia="宋体" w:cs="宋体"/>
          <w:color w:val="auto"/>
          <w:spacing w:val="-1"/>
          <w:sz w:val="22"/>
          <w:szCs w:val="22"/>
          <w:highlight w:val="none"/>
          <w:u w:val="single"/>
        </w:rPr>
        <w:t>级</w:t>
      </w:r>
      <w:r>
        <w:rPr>
          <w:rFonts w:hint="eastAsia" w:ascii="宋体" w:hAnsi="宋体" w:eastAsia="宋体" w:cs="宋体"/>
          <w:color w:val="auto"/>
          <w:spacing w:val="-1"/>
          <w:sz w:val="22"/>
          <w:szCs w:val="22"/>
          <w:highlight w:val="none"/>
          <w:u w:val="single"/>
          <w:lang w:val="en-US" w:eastAsia="zh-CN"/>
        </w:rPr>
        <w:t>以上（含乙级</w:t>
      </w:r>
      <w:r>
        <w:rPr>
          <w:rFonts w:ascii="宋体" w:hAnsi="宋体" w:eastAsia="宋体" w:cs="宋体"/>
          <w:color w:val="auto"/>
          <w:spacing w:val="-1"/>
          <w:sz w:val="22"/>
          <w:szCs w:val="22"/>
          <w:highlight w:val="none"/>
          <w:u w:val="single"/>
        </w:rPr>
        <w:t>)和《检验检测机构资质认定证书》(CMA)。</w:t>
      </w:r>
    </w:p>
    <w:p w14:paraId="1ACE6A99">
      <w:pPr>
        <w:spacing w:line="360" w:lineRule="auto"/>
        <w:ind w:left="465"/>
        <w:rPr>
          <w:rFonts w:ascii="宋体" w:hAnsi="宋体" w:eastAsia="宋体" w:cs="宋体"/>
          <w:color w:val="auto"/>
          <w:spacing w:val="-1"/>
          <w:sz w:val="22"/>
          <w:szCs w:val="22"/>
          <w:highlight w:val="none"/>
          <w:u w:val="single"/>
        </w:rPr>
      </w:pPr>
      <w:r>
        <w:rPr>
          <w:rFonts w:hint="eastAsia" w:ascii="宋体" w:hAnsi="宋体" w:eastAsia="宋体" w:cs="宋体"/>
          <w:color w:val="auto"/>
          <w:spacing w:val="-1"/>
          <w:sz w:val="22"/>
          <w:szCs w:val="22"/>
          <w:highlight w:val="none"/>
          <w:u w:val="single"/>
          <w:lang w:eastAsia="zh-CN"/>
        </w:rPr>
        <w:t>（</w:t>
      </w:r>
      <w:r>
        <w:rPr>
          <w:rFonts w:hint="eastAsia" w:ascii="宋体" w:hAnsi="宋体" w:eastAsia="宋体" w:cs="宋体"/>
          <w:color w:val="auto"/>
          <w:spacing w:val="-1"/>
          <w:sz w:val="22"/>
          <w:szCs w:val="22"/>
          <w:highlight w:val="none"/>
          <w:u w:val="single"/>
          <w:lang w:val="en-US" w:eastAsia="zh-CN"/>
        </w:rPr>
        <w:t>4.2</w:t>
      </w:r>
      <w:r>
        <w:rPr>
          <w:rFonts w:hint="eastAsia" w:ascii="宋体" w:hAnsi="宋体" w:eastAsia="宋体" w:cs="宋体"/>
          <w:color w:val="auto"/>
          <w:spacing w:val="-1"/>
          <w:sz w:val="22"/>
          <w:szCs w:val="22"/>
          <w:highlight w:val="none"/>
          <w:u w:val="single"/>
          <w:lang w:eastAsia="zh-CN"/>
        </w:rPr>
        <w:t>）</w:t>
      </w:r>
      <w:r>
        <w:rPr>
          <w:rFonts w:ascii="宋体" w:hAnsi="宋体" w:eastAsia="宋体" w:cs="宋体"/>
          <w:color w:val="auto"/>
          <w:spacing w:val="-1"/>
          <w:sz w:val="22"/>
          <w:szCs w:val="22"/>
          <w:highlight w:val="none"/>
          <w:u w:val="single"/>
        </w:rPr>
        <w:t>检测机构上年度信用等级应为B 级及以上。</w:t>
      </w:r>
    </w:p>
    <w:p w14:paraId="20C68A4F">
      <w:pPr>
        <w:spacing w:line="360" w:lineRule="auto"/>
        <w:ind w:left="465"/>
        <w:rPr>
          <w:rFonts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u w:val="single"/>
          <w:lang w:eastAsia="zh-CN"/>
        </w:rPr>
        <w:t>（</w:t>
      </w:r>
      <w:r>
        <w:rPr>
          <w:rFonts w:hint="eastAsia" w:ascii="宋体" w:hAnsi="宋体" w:eastAsia="宋体" w:cs="宋体"/>
          <w:color w:val="auto"/>
          <w:spacing w:val="-1"/>
          <w:sz w:val="22"/>
          <w:szCs w:val="22"/>
          <w:highlight w:val="none"/>
          <w:u w:val="single"/>
          <w:lang w:val="en-US" w:eastAsia="zh-CN"/>
        </w:rPr>
        <w:t>4.3</w:t>
      </w:r>
      <w:r>
        <w:rPr>
          <w:rFonts w:hint="eastAsia" w:ascii="宋体" w:hAnsi="宋体" w:eastAsia="宋体" w:cs="宋体"/>
          <w:color w:val="auto"/>
          <w:spacing w:val="-1"/>
          <w:sz w:val="22"/>
          <w:szCs w:val="22"/>
          <w:highlight w:val="none"/>
          <w:u w:val="single"/>
          <w:lang w:eastAsia="zh-CN"/>
        </w:rPr>
        <w:t>）</w:t>
      </w:r>
      <w:r>
        <w:rPr>
          <w:rFonts w:ascii="宋体" w:hAnsi="宋体" w:eastAsia="宋体" w:cs="宋体"/>
          <w:color w:val="auto"/>
          <w:spacing w:val="-1"/>
          <w:sz w:val="22"/>
          <w:szCs w:val="22"/>
          <w:highlight w:val="none"/>
          <w:u w:val="single"/>
        </w:rPr>
        <w:t>检测机构不得与监理人、建设单位或施工承包人存在可能影响公正决策的关联关系(如 母子公司、控股关系等)。</w:t>
      </w:r>
    </w:p>
    <w:p w14:paraId="143E563E">
      <w:pPr>
        <w:spacing w:line="219" w:lineRule="auto"/>
        <w:ind w:left="46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1.1.3.1 本次进行施工监理招标的项目为</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1"/>
          <w:sz w:val="22"/>
          <w:szCs w:val="22"/>
          <w:highlight w:val="none"/>
          <w:u w:val="single" w:color="auto"/>
          <w:lang w:val="en-US" w:eastAsia="zh-CN"/>
        </w:rPr>
        <w:t>乳源瑶族自治县大东至岭溪公路新建工程</w:t>
      </w:r>
      <w:r>
        <w:rPr>
          <w:rFonts w:ascii="宋体" w:hAnsi="宋体" w:eastAsia="宋体" w:cs="宋体"/>
          <w:color w:val="auto"/>
          <w:spacing w:val="-1"/>
          <w:sz w:val="22"/>
          <w:szCs w:val="22"/>
          <w:highlight w:val="none"/>
        </w:rPr>
        <w:t>。</w:t>
      </w:r>
    </w:p>
    <w:p w14:paraId="5F660A11">
      <w:pPr>
        <w:spacing w:before="166" w:line="221" w:lineRule="auto"/>
        <w:ind w:left="45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工程地点</w:t>
      </w:r>
      <w:r>
        <w:rPr>
          <w:rFonts w:ascii="宋体" w:hAnsi="宋体" w:eastAsia="宋体" w:cs="宋体"/>
          <w:color w:val="auto"/>
          <w:spacing w:val="-1"/>
          <w:sz w:val="22"/>
          <w:szCs w:val="22"/>
          <w:highlight w:val="none"/>
        </w:rPr>
        <w:t>：</w:t>
      </w:r>
      <w:r>
        <w:rPr>
          <w:rFonts w:ascii="宋体" w:hAnsi="宋体" w:eastAsia="宋体" w:cs="宋体"/>
          <w:color w:val="auto"/>
          <w:sz w:val="22"/>
          <w:szCs w:val="22"/>
          <w:highlight w:val="none"/>
          <w:u w:val="single" w:color="auto"/>
        </w:rPr>
        <w:t xml:space="preserve"> </w:t>
      </w:r>
      <w:r>
        <w:rPr>
          <w:rFonts w:ascii="宋体" w:hAnsi="宋体" w:eastAsia="宋体" w:cs="宋体"/>
          <w:color w:val="auto"/>
          <w:sz w:val="22"/>
          <w:szCs w:val="22"/>
          <w:highlight w:val="none"/>
          <w:u w:val="single" w:color="auto"/>
          <w:lang w:val="en-US" w:eastAsia="zh-CN"/>
        </w:rPr>
        <w:t>位于韶关市乳源瑶族自治县乳城镇</w:t>
      </w:r>
      <w:r>
        <w:rPr>
          <w:rFonts w:ascii="宋体" w:hAnsi="宋体" w:eastAsia="宋体" w:cs="宋体"/>
          <w:color w:val="auto"/>
          <w:sz w:val="22"/>
          <w:szCs w:val="22"/>
          <w:highlight w:val="none"/>
          <w:u w:val="single" w:color="auto"/>
        </w:rPr>
        <w:t xml:space="preserve"> </w:t>
      </w:r>
      <w:r>
        <w:rPr>
          <w:rFonts w:ascii="宋体" w:hAnsi="宋体" w:eastAsia="宋体" w:cs="宋体"/>
          <w:color w:val="auto"/>
          <w:spacing w:val="-1"/>
          <w:sz w:val="22"/>
          <w:szCs w:val="22"/>
          <w:highlight w:val="none"/>
        </w:rPr>
        <w:t>；</w:t>
      </w:r>
    </w:p>
    <w:p w14:paraId="48EE2C0D">
      <w:pPr>
        <w:spacing w:before="164" w:line="220" w:lineRule="auto"/>
        <w:ind w:left="450"/>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起讫桩号</w:t>
      </w:r>
      <w:r>
        <w:rPr>
          <w:rFonts w:ascii="宋体" w:hAnsi="宋体" w:eastAsia="宋体" w:cs="宋体"/>
          <w:color w:val="auto"/>
          <w:spacing w:val="-1"/>
          <w:sz w:val="22"/>
          <w:szCs w:val="22"/>
          <w:highlight w:val="none"/>
        </w:rPr>
        <w:t>：</w:t>
      </w:r>
      <w:r>
        <w:rPr>
          <w:rFonts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rPr>
        <w:t>K0+000～K9+703.02</w:t>
      </w:r>
      <w:r>
        <w:rPr>
          <w:rFonts w:ascii="宋体" w:hAnsi="宋体" w:eastAsia="宋体" w:cs="宋体"/>
          <w:color w:val="auto"/>
          <w:sz w:val="22"/>
          <w:szCs w:val="22"/>
          <w:highlight w:val="none"/>
          <w:u w:val="single" w:color="auto"/>
        </w:rPr>
        <w:t xml:space="preserve">  </w:t>
      </w:r>
      <w:r>
        <w:rPr>
          <w:rFonts w:ascii="宋体" w:hAnsi="宋体" w:eastAsia="宋体" w:cs="宋体"/>
          <w:color w:val="auto"/>
          <w:spacing w:val="-1"/>
          <w:sz w:val="22"/>
          <w:szCs w:val="22"/>
          <w:highlight w:val="none"/>
        </w:rPr>
        <w:t>；</w:t>
      </w:r>
    </w:p>
    <w:p w14:paraId="39127CA0">
      <w:pPr>
        <w:spacing w:before="167" w:line="221" w:lineRule="auto"/>
        <w:ind w:left="44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施工合同标段划分：</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1"/>
          <w:sz w:val="22"/>
          <w:szCs w:val="22"/>
          <w:highlight w:val="none"/>
        </w:rPr>
        <w:t>；</w:t>
      </w:r>
    </w:p>
    <w:p w14:paraId="51E9BD12">
      <w:pPr>
        <w:spacing w:before="164" w:line="221" w:lineRule="auto"/>
        <w:ind w:left="45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监理合同标段划分</w:t>
      </w:r>
      <w:r>
        <w:rPr>
          <w:rFonts w:ascii="宋体" w:hAnsi="宋体" w:eastAsia="宋体" w:cs="宋体"/>
          <w:color w:val="auto"/>
          <w:spacing w:val="-2"/>
          <w:sz w:val="22"/>
          <w:szCs w:val="22"/>
          <w:highlight w:val="none"/>
        </w:rPr>
        <w:t>：</w:t>
      </w:r>
      <w:r>
        <w:rPr>
          <w:rFonts w:ascii="宋体" w:hAnsi="宋体" w:eastAsia="宋体" w:cs="宋体"/>
          <w:color w:val="auto"/>
          <w:spacing w:val="3"/>
          <w:sz w:val="22"/>
          <w:szCs w:val="22"/>
          <w:highlight w:val="none"/>
          <w:u w:val="single" w:color="auto"/>
        </w:rPr>
        <w:t xml:space="preserve">                           </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2"/>
          <w:sz w:val="22"/>
          <w:szCs w:val="22"/>
          <w:highlight w:val="none"/>
        </w:rPr>
        <w:t>；</w:t>
      </w:r>
    </w:p>
    <w:p w14:paraId="759B8874">
      <w:pPr>
        <w:spacing w:before="169" w:line="219" w:lineRule="auto"/>
        <w:ind w:left="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试验检测服务标段划分</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w:t>
      </w:r>
    </w:p>
    <w:p w14:paraId="65894522">
      <w:pPr>
        <w:spacing w:before="166" w:line="360" w:lineRule="auto"/>
        <w:ind w:left="451"/>
        <w:rPr>
          <w:rFonts w:ascii="宋体" w:hAnsi="宋体" w:eastAsia="宋体" w:cs="宋体"/>
          <w:color w:val="auto"/>
          <w:sz w:val="22"/>
          <w:szCs w:val="22"/>
          <w:highlight w:val="none"/>
          <w:u w:val="single" w:color="auto"/>
          <w:lang w:val="en-US" w:eastAsia="zh-CN"/>
        </w:rPr>
      </w:pPr>
      <w:r>
        <w:rPr>
          <w:rFonts w:ascii="宋体" w:hAnsi="宋体" w:eastAsia="宋体" w:cs="宋体"/>
          <w:color w:val="auto"/>
          <w:sz w:val="22"/>
          <w:szCs w:val="22"/>
          <w:highlight w:val="none"/>
        </w:rPr>
        <w:t>工程概况：</w:t>
      </w:r>
      <w:r>
        <w:rPr>
          <w:rFonts w:hint="eastAsia" w:ascii="宋体" w:hAnsi="宋体" w:eastAsia="宋体" w:cs="宋体"/>
          <w:color w:val="auto"/>
          <w:sz w:val="22"/>
          <w:szCs w:val="22"/>
          <w:highlight w:val="none"/>
          <w:u w:val="single"/>
        </w:rPr>
        <w:t>1.建设地点：本项目位于韶关市乳源瑶族自治县，路线起于省道S246线肖屋村附近，起点桩号为K0+000，路线往北延伸，沿线途经石寨下、旱坑背、庙湾、陈江、岭溪，终于国道G323线，终点桩号为K9+</w:t>
      </w:r>
      <w:r>
        <w:rPr>
          <w:rFonts w:hint="eastAsia" w:ascii="宋体" w:hAnsi="宋体" w:eastAsia="宋体" w:cs="宋体"/>
          <w:color w:val="auto"/>
          <w:sz w:val="22"/>
          <w:szCs w:val="22"/>
          <w:highlight w:val="none"/>
          <w:u w:val="single"/>
          <w:lang w:val="en-US" w:eastAsia="zh-CN"/>
        </w:rPr>
        <w:t>703</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02</w:t>
      </w:r>
      <w:r>
        <w:rPr>
          <w:rFonts w:hint="eastAsia" w:ascii="宋体" w:hAnsi="宋体" w:eastAsia="宋体" w:cs="宋体"/>
          <w:color w:val="auto"/>
          <w:sz w:val="22"/>
          <w:szCs w:val="22"/>
          <w:highlight w:val="none"/>
          <w:u w:val="single"/>
        </w:rPr>
        <w:t>，路线全长9.</w:t>
      </w:r>
      <w:r>
        <w:rPr>
          <w:rFonts w:hint="eastAsia" w:ascii="宋体" w:hAnsi="宋体" w:eastAsia="宋体" w:cs="宋体"/>
          <w:color w:val="auto"/>
          <w:sz w:val="22"/>
          <w:szCs w:val="22"/>
          <w:highlight w:val="none"/>
          <w:u w:val="single"/>
          <w:lang w:val="en-US" w:eastAsia="zh-CN"/>
        </w:rPr>
        <w:t>703</w:t>
      </w:r>
      <w:r>
        <w:rPr>
          <w:rFonts w:hint="eastAsia" w:ascii="宋体" w:hAnsi="宋体" w:eastAsia="宋体" w:cs="宋体"/>
          <w:color w:val="auto"/>
          <w:sz w:val="22"/>
          <w:szCs w:val="22"/>
          <w:highlight w:val="none"/>
          <w:u w:val="single"/>
        </w:rPr>
        <w:t>公里。K</w:t>
      </w:r>
      <w:r>
        <w:rPr>
          <w:rFonts w:hint="eastAsia" w:ascii="宋体" w:hAnsi="宋体" w:eastAsia="宋体" w:cs="宋体"/>
          <w:color w:val="auto"/>
          <w:sz w:val="22"/>
          <w:szCs w:val="22"/>
          <w:highlight w:val="none"/>
          <w:u w:val="single"/>
          <w:lang w:val="en-US" w:eastAsia="zh-CN"/>
        </w:rPr>
        <w:t>0</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000-</w:t>
      </w:r>
      <w:r>
        <w:rPr>
          <w:rFonts w:hint="eastAsia" w:ascii="宋体" w:hAnsi="宋体" w:eastAsia="宋体" w:cs="宋体"/>
          <w:color w:val="auto"/>
          <w:sz w:val="22"/>
          <w:szCs w:val="22"/>
          <w:highlight w:val="none"/>
          <w:u w:val="single"/>
        </w:rPr>
        <w:t>K</w:t>
      </w:r>
      <w:r>
        <w:rPr>
          <w:rFonts w:hint="eastAsia" w:ascii="宋体" w:hAnsi="宋体" w:eastAsia="宋体" w:cs="宋体"/>
          <w:color w:val="auto"/>
          <w:sz w:val="22"/>
          <w:szCs w:val="22"/>
          <w:highlight w:val="none"/>
          <w:u w:val="single"/>
          <w:lang w:val="en-US" w:eastAsia="zh-CN"/>
        </w:rPr>
        <w:t>8</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660段为新建，K8+660-K9+703.02段尽量利用现有公路进行改建。</w:t>
      </w:r>
      <w:r>
        <w:rPr>
          <w:rFonts w:hint="eastAsia" w:ascii="宋体" w:hAnsi="宋体" w:eastAsia="宋体" w:cs="宋体"/>
          <w:color w:val="auto"/>
          <w:sz w:val="22"/>
          <w:szCs w:val="22"/>
          <w:highlight w:val="none"/>
          <w:u w:val="single"/>
        </w:rPr>
        <w:t>2.建设内容及规模：项目采用三级公路的技术标准建设，路线全长9.703公里，主要内容为：路基土石方344165m³,路面工程69330㎡，挡土墙26232.9m³，排水与防护工程9.703公里，新建小桥53.4m/2座，中桥71m/1座，涵洞45道，等级路平面交叉2处，与等外路交叉5处。</w:t>
      </w:r>
    </w:p>
    <w:p w14:paraId="270C6515">
      <w:pPr>
        <w:spacing w:line="329" w:lineRule="auto"/>
        <w:rPr>
          <w:rFonts w:ascii="Arial"/>
          <w:color w:val="auto"/>
          <w:sz w:val="21"/>
          <w:highlight w:val="none"/>
        </w:rPr>
      </w:pPr>
    </w:p>
    <w:p w14:paraId="04627A72">
      <w:pPr>
        <w:spacing w:before="79" w:line="219" w:lineRule="auto"/>
        <w:ind w:left="2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1.6</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文件的提供和照管</w:t>
      </w:r>
    </w:p>
    <w:p w14:paraId="3CBBA3F7">
      <w:pPr>
        <w:spacing w:before="178" w:line="361" w:lineRule="auto"/>
        <w:ind w:left="10" w:right="2" w:firstLine="45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1.6.2 委托人负责提供的文件包括</w:t>
      </w:r>
      <w:r>
        <w:rPr>
          <w:rFonts w:ascii="宋体" w:hAnsi="宋体" w:eastAsia="宋体" w:cs="宋体"/>
          <w:color w:val="auto"/>
          <w:spacing w:val="-8"/>
          <w:sz w:val="22"/>
          <w:szCs w:val="22"/>
          <w:highlight w:val="none"/>
        </w:rPr>
        <w:t>：</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rPr>
        <w:t xml:space="preserve"> 项目立项文件复印件、设计文件批复复印件施工图纸</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80"/>
          <w:sz w:val="22"/>
          <w:szCs w:val="22"/>
          <w:highlight w:val="none"/>
        </w:rPr>
        <w:t xml:space="preserve"> </w:t>
      </w:r>
      <w:r>
        <w:rPr>
          <w:rFonts w:ascii="宋体" w:hAnsi="宋体" w:eastAsia="宋体" w:cs="宋体"/>
          <w:color w:val="auto"/>
          <w:spacing w:val="-8"/>
          <w:sz w:val="22"/>
          <w:szCs w:val="22"/>
          <w:highlight w:val="none"/>
        </w:rPr>
        <w:t>，</w:t>
      </w:r>
      <w:r>
        <w:rPr>
          <w:rFonts w:ascii="宋体" w:hAnsi="宋体" w:eastAsia="宋体" w:cs="宋体"/>
          <w:color w:val="auto"/>
          <w:spacing w:val="-1"/>
          <w:sz w:val="22"/>
          <w:szCs w:val="22"/>
          <w:highlight w:val="none"/>
        </w:rPr>
        <w:t>提供</w:t>
      </w:r>
      <w:r>
        <w:rPr>
          <w:rFonts w:ascii="宋体" w:hAnsi="宋体" w:eastAsia="宋体" w:cs="宋体"/>
          <w:color w:val="auto"/>
          <w:spacing w:val="-2"/>
          <w:sz w:val="22"/>
          <w:szCs w:val="22"/>
          <w:highlight w:val="none"/>
        </w:rPr>
        <w:t>数量</w:t>
      </w:r>
      <w:r>
        <w:rPr>
          <w:rFonts w:ascii="宋体" w:hAnsi="宋体" w:eastAsia="宋体" w:cs="宋体"/>
          <w:color w:val="auto"/>
          <w:spacing w:val="-8"/>
          <w:sz w:val="22"/>
          <w:szCs w:val="22"/>
          <w:highlight w:val="none"/>
        </w:rPr>
        <w:t>：</w:t>
      </w:r>
      <w:r>
        <w:rPr>
          <w:rFonts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各一份</w:t>
      </w:r>
      <w:r>
        <w:rPr>
          <w:rFonts w:ascii="宋体" w:hAnsi="宋体" w:eastAsia="宋体" w:cs="宋体"/>
          <w:color w:val="auto"/>
          <w:sz w:val="22"/>
          <w:szCs w:val="22"/>
          <w:highlight w:val="none"/>
          <w:u w:val="single" w:color="auto"/>
        </w:rPr>
        <w:t xml:space="preserve">  </w:t>
      </w:r>
      <w:r>
        <w:rPr>
          <w:rFonts w:ascii="宋体" w:hAnsi="宋体" w:eastAsia="宋体" w:cs="宋体"/>
          <w:color w:val="auto"/>
          <w:spacing w:val="-75"/>
          <w:sz w:val="22"/>
          <w:szCs w:val="22"/>
          <w:highlight w:val="none"/>
        </w:rPr>
        <w:t xml:space="preserve"> </w:t>
      </w:r>
      <w:r>
        <w:rPr>
          <w:rFonts w:ascii="宋体" w:hAnsi="宋体" w:eastAsia="宋体" w:cs="宋体"/>
          <w:color w:val="auto"/>
          <w:spacing w:val="-8"/>
          <w:sz w:val="22"/>
          <w:szCs w:val="22"/>
          <w:highlight w:val="none"/>
        </w:rPr>
        <w:t>，</w:t>
      </w:r>
      <w:r>
        <w:rPr>
          <w:rFonts w:ascii="宋体" w:hAnsi="宋体" w:eastAsia="宋体" w:cs="宋体"/>
          <w:color w:val="auto"/>
          <w:spacing w:val="-2"/>
          <w:sz w:val="22"/>
          <w:szCs w:val="22"/>
          <w:highlight w:val="none"/>
        </w:rPr>
        <w:t>提供</w:t>
      </w:r>
      <w:r>
        <w:rPr>
          <w:rFonts w:ascii="宋体" w:hAnsi="宋体" w:eastAsia="宋体" w:cs="宋体"/>
          <w:color w:val="auto"/>
          <w:spacing w:val="-1"/>
          <w:sz w:val="22"/>
          <w:szCs w:val="22"/>
          <w:highlight w:val="none"/>
        </w:rPr>
        <w:t>期限：</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lang w:val="en-US" w:eastAsia="zh-CN"/>
        </w:rPr>
        <w:t>已提供</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1"/>
          <w:sz w:val="22"/>
          <w:szCs w:val="22"/>
          <w:highlight w:val="none"/>
        </w:rPr>
        <w:t>。</w:t>
      </w:r>
    </w:p>
    <w:p w14:paraId="78A6A841">
      <w:pPr>
        <w:spacing w:before="239" w:line="221" w:lineRule="auto"/>
        <w:ind w:left="2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1.12</w:t>
      </w:r>
      <w:r>
        <w:rPr>
          <w:rFonts w:ascii="宋体" w:hAnsi="宋体" w:eastAsia="宋体" w:cs="宋体"/>
          <w:color w:val="auto"/>
          <w:spacing w:val="-5"/>
          <w:sz w:val="24"/>
          <w:szCs w:val="24"/>
          <w:highlight w:val="none"/>
        </w:rPr>
        <w:t xml:space="preserve"> </w:t>
      </w:r>
      <w:r>
        <w:rPr>
          <w:rFonts w:ascii="宋体" w:hAnsi="宋体" w:eastAsia="宋体" w:cs="宋体"/>
          <w:b/>
          <w:bCs/>
          <w:color w:val="auto"/>
          <w:spacing w:val="-5"/>
          <w:sz w:val="24"/>
          <w:szCs w:val="24"/>
          <w:highlight w:val="none"/>
        </w:rPr>
        <w:t>委托人要求</w:t>
      </w:r>
    </w:p>
    <w:p w14:paraId="7FF85245">
      <w:pPr>
        <w:spacing w:before="176" w:line="361" w:lineRule="auto"/>
        <w:ind w:left="8" w:right="2" w:firstLine="45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1.12.3 委托人提供国外规范和标准的时间</w:t>
      </w:r>
      <w:r>
        <w:rPr>
          <w:rFonts w:ascii="宋体" w:hAnsi="宋体" w:eastAsia="宋体" w:cs="宋体"/>
          <w:color w:val="auto"/>
          <w:spacing w:val="-7"/>
          <w:sz w:val="22"/>
          <w:szCs w:val="22"/>
          <w:highlight w:val="none"/>
        </w:rPr>
        <w:t>：</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lang w:val="en-US" w:eastAsia="zh-CN"/>
        </w:rPr>
        <w:t>/</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80"/>
          <w:sz w:val="22"/>
          <w:szCs w:val="22"/>
          <w:highlight w:val="none"/>
        </w:rPr>
        <w:t xml:space="preserve"> </w:t>
      </w:r>
      <w:r>
        <w:rPr>
          <w:rFonts w:ascii="宋体" w:hAnsi="宋体" w:eastAsia="宋体" w:cs="宋体"/>
          <w:color w:val="auto"/>
          <w:spacing w:val="-7"/>
          <w:sz w:val="22"/>
          <w:szCs w:val="22"/>
          <w:highlight w:val="none"/>
        </w:rPr>
        <w:t>，</w:t>
      </w:r>
      <w:r>
        <w:rPr>
          <w:rFonts w:ascii="宋体" w:hAnsi="宋体" w:eastAsia="宋体" w:cs="宋体"/>
          <w:color w:val="auto"/>
          <w:spacing w:val="-1"/>
          <w:sz w:val="22"/>
          <w:szCs w:val="22"/>
          <w:highlight w:val="none"/>
        </w:rPr>
        <w:t>提供数量</w:t>
      </w:r>
      <w:r>
        <w:rPr>
          <w:rFonts w:ascii="宋体" w:hAnsi="宋体" w:eastAsia="宋体" w:cs="宋体"/>
          <w:color w:val="auto"/>
          <w:spacing w:val="-7"/>
          <w:sz w:val="22"/>
          <w:szCs w:val="22"/>
          <w:highlight w:val="none"/>
        </w:rPr>
        <w:t>：</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lang w:val="en-US" w:eastAsia="zh-CN"/>
        </w:rPr>
        <w:t>/</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81"/>
          <w:sz w:val="22"/>
          <w:szCs w:val="22"/>
          <w:highlight w:val="none"/>
        </w:rPr>
        <w:t xml:space="preserve"> </w:t>
      </w:r>
      <w:r>
        <w:rPr>
          <w:rFonts w:ascii="宋体" w:hAnsi="宋体" w:eastAsia="宋体" w:cs="宋体"/>
          <w:color w:val="auto"/>
          <w:spacing w:val="-7"/>
          <w:sz w:val="22"/>
          <w:szCs w:val="22"/>
          <w:highlight w:val="none"/>
        </w:rPr>
        <w:t>，</w:t>
      </w:r>
      <w:r>
        <w:rPr>
          <w:rFonts w:ascii="宋体" w:hAnsi="宋体" w:eastAsia="宋体" w:cs="宋体"/>
          <w:color w:val="auto"/>
          <w:spacing w:val="-1"/>
          <w:sz w:val="22"/>
          <w:szCs w:val="22"/>
          <w:highlight w:val="none"/>
        </w:rPr>
        <w:t>其他要求：</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lang w:val="en-US" w:eastAsia="zh-CN"/>
        </w:rPr>
        <w:t>/</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1"/>
          <w:sz w:val="22"/>
          <w:szCs w:val="22"/>
          <w:highlight w:val="none"/>
        </w:rPr>
        <w:t>。</w:t>
      </w:r>
    </w:p>
    <w:p w14:paraId="31F6EEFD">
      <w:pPr>
        <w:spacing w:line="322" w:lineRule="auto"/>
        <w:rPr>
          <w:rFonts w:ascii="Arial"/>
          <w:color w:val="auto"/>
          <w:sz w:val="21"/>
          <w:highlight w:val="none"/>
        </w:rPr>
      </w:pPr>
    </w:p>
    <w:p w14:paraId="0A487ACB">
      <w:pPr>
        <w:spacing w:before="79" w:line="219" w:lineRule="auto"/>
        <w:ind w:left="11"/>
        <w:outlineLvl w:val="1"/>
        <w:rPr>
          <w:rFonts w:ascii="宋体" w:hAnsi="宋体" w:eastAsia="宋体" w:cs="宋体"/>
          <w:color w:val="auto"/>
          <w:sz w:val="24"/>
          <w:szCs w:val="24"/>
          <w:highlight w:val="none"/>
        </w:rPr>
      </w:pPr>
      <w:bookmarkStart w:id="230" w:name="bookmark142"/>
      <w:bookmarkEnd w:id="230"/>
      <w:bookmarkStart w:id="231" w:name="_Toc4138"/>
      <w:bookmarkStart w:id="232" w:name="_Toc31024"/>
      <w:r>
        <w:rPr>
          <w:rFonts w:ascii="宋体" w:hAnsi="宋体" w:eastAsia="宋体" w:cs="宋体"/>
          <w:b/>
          <w:bCs/>
          <w:color w:val="auto"/>
          <w:spacing w:val="-4"/>
          <w:sz w:val="24"/>
          <w:szCs w:val="24"/>
          <w:highlight w:val="none"/>
        </w:rPr>
        <w:t>2.委托人义务</w:t>
      </w:r>
      <w:bookmarkEnd w:id="231"/>
      <w:bookmarkEnd w:id="232"/>
    </w:p>
    <w:p w14:paraId="5691CFF8">
      <w:pPr>
        <w:spacing w:before="48" w:line="220" w:lineRule="auto"/>
        <w:ind w:left="44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第</w:t>
      </w:r>
      <w:r>
        <w:rPr>
          <w:rFonts w:ascii="宋体" w:hAnsi="宋体" w:eastAsia="宋体" w:cs="宋体"/>
          <w:color w:val="auto"/>
          <w:spacing w:val="-40"/>
          <w:sz w:val="22"/>
          <w:szCs w:val="22"/>
          <w:highlight w:val="none"/>
        </w:rPr>
        <w:t xml:space="preserve"> </w:t>
      </w:r>
      <w:r>
        <w:rPr>
          <w:rFonts w:ascii="宋体" w:hAnsi="宋体" w:eastAsia="宋体" w:cs="宋体"/>
          <w:color w:val="auto"/>
          <w:spacing w:val="-4"/>
          <w:sz w:val="22"/>
          <w:szCs w:val="22"/>
          <w:highlight w:val="none"/>
        </w:rPr>
        <w:t>2.3</w:t>
      </w:r>
      <w:r>
        <w:rPr>
          <w:rFonts w:ascii="宋体" w:hAnsi="宋体" w:eastAsia="宋体" w:cs="宋体"/>
          <w:color w:val="auto"/>
          <w:spacing w:val="-43"/>
          <w:sz w:val="22"/>
          <w:szCs w:val="22"/>
          <w:highlight w:val="none"/>
        </w:rPr>
        <w:t xml:space="preserve"> </w:t>
      </w:r>
      <w:r>
        <w:rPr>
          <w:rFonts w:ascii="宋体" w:hAnsi="宋体" w:eastAsia="宋体" w:cs="宋体"/>
          <w:color w:val="auto"/>
          <w:spacing w:val="-4"/>
          <w:sz w:val="22"/>
          <w:szCs w:val="22"/>
          <w:highlight w:val="none"/>
        </w:rPr>
        <w:t>项修改为：</w:t>
      </w:r>
    </w:p>
    <w:p w14:paraId="1A2B7B06">
      <w:pPr>
        <w:spacing w:before="164" w:line="363" w:lineRule="auto"/>
        <w:ind w:left="9" w:firstLine="43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委托人不提供办公房间、办公桌椅、互联网接口、冷暖设施、生活设施、进出现场交通服</w:t>
      </w:r>
      <w:r>
        <w:rPr>
          <w:rFonts w:ascii="宋体" w:hAnsi="宋体" w:eastAsia="宋体" w:cs="宋体"/>
          <w:color w:val="auto"/>
          <w:spacing w:val="-5"/>
          <w:sz w:val="22"/>
          <w:szCs w:val="22"/>
          <w:highlight w:val="none"/>
        </w:rPr>
        <w:t>务。</w:t>
      </w:r>
    </w:p>
    <w:p w14:paraId="7301E98A">
      <w:pPr>
        <w:spacing w:before="164" w:line="219" w:lineRule="auto"/>
        <w:ind w:left="13"/>
        <w:outlineLvl w:val="1"/>
        <w:rPr>
          <w:rFonts w:ascii="宋体" w:hAnsi="宋体" w:eastAsia="宋体" w:cs="宋体"/>
          <w:color w:val="auto"/>
          <w:sz w:val="24"/>
          <w:szCs w:val="24"/>
          <w:highlight w:val="none"/>
        </w:rPr>
      </w:pPr>
      <w:bookmarkStart w:id="233" w:name="_Toc19522"/>
      <w:bookmarkStart w:id="234" w:name="_Toc5210"/>
      <w:r>
        <w:rPr>
          <w:rFonts w:ascii="宋体" w:hAnsi="宋体" w:eastAsia="宋体" w:cs="宋体"/>
          <w:b/>
          <w:bCs/>
          <w:color w:val="auto"/>
          <w:spacing w:val="-4"/>
          <w:sz w:val="24"/>
          <w:szCs w:val="24"/>
          <w:highlight w:val="none"/>
        </w:rPr>
        <w:t>3.</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委托人管理</w:t>
      </w:r>
      <w:bookmarkEnd w:id="233"/>
      <w:bookmarkEnd w:id="234"/>
    </w:p>
    <w:p w14:paraId="36E0C93C">
      <w:pPr>
        <w:spacing w:before="293" w:line="219" w:lineRule="auto"/>
        <w:ind w:left="13"/>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3.3</w:t>
      </w:r>
      <w:r>
        <w:rPr>
          <w:rFonts w:ascii="宋体" w:hAnsi="宋体" w:eastAsia="宋体" w:cs="宋体"/>
          <w:color w:val="auto"/>
          <w:spacing w:val="22"/>
          <w:sz w:val="24"/>
          <w:szCs w:val="24"/>
          <w:highlight w:val="none"/>
        </w:rPr>
        <w:t xml:space="preserve"> </w:t>
      </w:r>
      <w:r>
        <w:rPr>
          <w:rFonts w:ascii="宋体" w:hAnsi="宋体" w:eastAsia="宋体" w:cs="宋体"/>
          <w:b/>
          <w:bCs/>
          <w:color w:val="auto"/>
          <w:spacing w:val="-6"/>
          <w:sz w:val="24"/>
          <w:szCs w:val="24"/>
          <w:highlight w:val="none"/>
        </w:rPr>
        <w:t>决定或答复</w:t>
      </w:r>
    </w:p>
    <w:p w14:paraId="768552AC">
      <w:pPr>
        <w:spacing w:before="178" w:line="219" w:lineRule="auto"/>
        <w:ind w:left="45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3.3.2 委托人应在收到监理人书面提出的事项后</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lang w:val="en-US" w:eastAsia="zh-CN"/>
        </w:rPr>
        <w:t>7</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82"/>
          <w:sz w:val="22"/>
          <w:szCs w:val="22"/>
          <w:highlight w:val="none"/>
        </w:rPr>
        <w:t xml:space="preserve"> </w:t>
      </w:r>
      <w:r>
        <w:rPr>
          <w:rFonts w:ascii="宋体" w:hAnsi="宋体" w:eastAsia="宋体" w:cs="宋体"/>
          <w:color w:val="auto"/>
          <w:spacing w:val="-1"/>
          <w:sz w:val="22"/>
          <w:szCs w:val="22"/>
          <w:highlight w:val="none"/>
        </w:rPr>
        <w:t>天内作出书面答复。</w:t>
      </w:r>
    </w:p>
    <w:p w14:paraId="70575061">
      <w:pPr>
        <w:spacing w:line="245" w:lineRule="auto"/>
        <w:rPr>
          <w:rFonts w:ascii="Arial"/>
          <w:color w:val="auto"/>
          <w:sz w:val="21"/>
          <w:highlight w:val="none"/>
        </w:rPr>
      </w:pPr>
    </w:p>
    <w:p w14:paraId="322A9711">
      <w:pPr>
        <w:spacing w:line="246" w:lineRule="auto"/>
        <w:rPr>
          <w:rFonts w:ascii="Arial"/>
          <w:color w:val="auto"/>
          <w:sz w:val="21"/>
          <w:highlight w:val="none"/>
        </w:rPr>
      </w:pPr>
    </w:p>
    <w:p w14:paraId="41207DAB">
      <w:pPr>
        <w:spacing w:before="78" w:line="219" w:lineRule="auto"/>
        <w:ind w:left="7"/>
        <w:outlineLvl w:val="1"/>
        <w:rPr>
          <w:rFonts w:ascii="宋体" w:hAnsi="宋体" w:eastAsia="宋体" w:cs="宋体"/>
          <w:color w:val="auto"/>
          <w:sz w:val="24"/>
          <w:szCs w:val="24"/>
          <w:highlight w:val="none"/>
        </w:rPr>
      </w:pPr>
      <w:bookmarkStart w:id="235" w:name="_Toc2621"/>
      <w:bookmarkStart w:id="236" w:name="_Toc26576"/>
      <w:r>
        <w:rPr>
          <w:rFonts w:ascii="宋体" w:hAnsi="宋体" w:eastAsia="宋体" w:cs="宋体"/>
          <w:b/>
          <w:bCs/>
          <w:color w:val="auto"/>
          <w:spacing w:val="-3"/>
          <w:sz w:val="24"/>
          <w:szCs w:val="24"/>
          <w:highlight w:val="none"/>
        </w:rPr>
        <w:t>4.</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监理人义务</w:t>
      </w:r>
      <w:bookmarkEnd w:id="235"/>
      <w:bookmarkEnd w:id="236"/>
    </w:p>
    <w:p w14:paraId="3429A113">
      <w:pPr>
        <w:spacing w:before="293" w:line="219" w:lineRule="auto"/>
        <w:ind w:left="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4.1</w:t>
      </w:r>
      <w:r>
        <w:rPr>
          <w:rFonts w:ascii="宋体" w:hAnsi="宋体" w:eastAsia="宋体" w:cs="宋体"/>
          <w:color w:val="auto"/>
          <w:spacing w:val="-44"/>
          <w:sz w:val="24"/>
          <w:szCs w:val="24"/>
          <w:highlight w:val="none"/>
        </w:rPr>
        <w:t xml:space="preserve"> </w:t>
      </w:r>
      <w:r>
        <w:rPr>
          <w:rFonts w:ascii="宋体" w:hAnsi="宋体" w:eastAsia="宋体" w:cs="宋体"/>
          <w:b/>
          <w:bCs/>
          <w:color w:val="auto"/>
          <w:spacing w:val="-4"/>
          <w:sz w:val="24"/>
          <w:szCs w:val="24"/>
          <w:highlight w:val="none"/>
        </w:rPr>
        <w:t>监理人的一般义务</w:t>
      </w:r>
    </w:p>
    <w:p w14:paraId="024A649A">
      <w:pPr>
        <w:spacing w:before="177" w:line="220" w:lineRule="auto"/>
        <w:ind w:left="45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增加第</w:t>
      </w:r>
      <w:r>
        <w:rPr>
          <w:rFonts w:ascii="宋体" w:hAnsi="宋体" w:eastAsia="宋体" w:cs="宋体"/>
          <w:color w:val="auto"/>
          <w:spacing w:val="-45"/>
          <w:sz w:val="22"/>
          <w:szCs w:val="22"/>
          <w:highlight w:val="none"/>
        </w:rPr>
        <w:t xml:space="preserve"> </w:t>
      </w:r>
      <w:r>
        <w:rPr>
          <w:rFonts w:ascii="宋体" w:hAnsi="宋体" w:eastAsia="宋体" w:cs="宋体"/>
          <w:color w:val="auto"/>
          <w:spacing w:val="-2"/>
          <w:sz w:val="22"/>
          <w:szCs w:val="22"/>
          <w:highlight w:val="none"/>
        </w:rPr>
        <w:t>4.1.5-4.1.7</w:t>
      </w:r>
      <w:r>
        <w:rPr>
          <w:rFonts w:ascii="宋体" w:hAnsi="宋体" w:eastAsia="宋体" w:cs="宋体"/>
          <w:color w:val="auto"/>
          <w:spacing w:val="-43"/>
          <w:sz w:val="22"/>
          <w:szCs w:val="22"/>
          <w:highlight w:val="none"/>
        </w:rPr>
        <w:t xml:space="preserve"> </w:t>
      </w:r>
      <w:r>
        <w:rPr>
          <w:rFonts w:ascii="宋体" w:hAnsi="宋体" w:eastAsia="宋体" w:cs="宋体"/>
          <w:color w:val="auto"/>
          <w:spacing w:val="-2"/>
          <w:sz w:val="22"/>
          <w:szCs w:val="22"/>
          <w:highlight w:val="none"/>
        </w:rPr>
        <w:t>项：</w:t>
      </w:r>
    </w:p>
    <w:p w14:paraId="54A8F8D5">
      <w:pPr>
        <w:spacing w:before="167" w:line="324" w:lineRule="auto"/>
        <w:ind w:left="8" w:firstLine="43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4.1.5</w:t>
      </w:r>
      <w:r>
        <w:rPr>
          <w:rFonts w:ascii="宋体" w:hAnsi="宋体" w:eastAsia="宋体" w:cs="宋体"/>
          <w:color w:val="auto"/>
          <w:spacing w:val="-39"/>
          <w:sz w:val="22"/>
          <w:szCs w:val="22"/>
          <w:highlight w:val="none"/>
        </w:rPr>
        <w:t xml:space="preserve"> </w:t>
      </w:r>
      <w:r>
        <w:rPr>
          <w:rFonts w:ascii="宋体" w:hAnsi="宋体" w:eastAsia="宋体" w:cs="宋体"/>
          <w:color w:val="auto"/>
          <w:spacing w:val="2"/>
          <w:sz w:val="22"/>
          <w:szCs w:val="22"/>
          <w:highlight w:val="none"/>
        </w:rPr>
        <w:t>监理人应根据公路建设市场和高质量发展的需要，整合优势资源，构建灵活的服务</w:t>
      </w:r>
      <w:r>
        <w:rPr>
          <w:rFonts w:ascii="宋体" w:hAnsi="宋体" w:eastAsia="宋体" w:cs="宋体"/>
          <w:color w:val="auto"/>
          <w:spacing w:val="1"/>
          <w:sz w:val="22"/>
          <w:szCs w:val="22"/>
          <w:highlight w:val="none"/>
        </w:rPr>
        <w:t>架构和经营模式，丰富监理及咨询服务的内涵，强化技术支持，面向公路建设全产业链，提供</w:t>
      </w:r>
      <w:r>
        <w:rPr>
          <w:rFonts w:ascii="宋体" w:hAnsi="宋体" w:eastAsia="宋体" w:cs="宋体"/>
          <w:color w:val="auto"/>
          <w:spacing w:val="4"/>
          <w:sz w:val="22"/>
          <w:szCs w:val="22"/>
          <w:highlight w:val="none"/>
        </w:rPr>
        <w:t>专业、高水平的咨询服务，形成包括代建、咨询和监理等在内的</w:t>
      </w:r>
      <w:r>
        <w:rPr>
          <w:rFonts w:ascii="宋体" w:hAnsi="宋体" w:eastAsia="宋体" w:cs="宋体"/>
          <w:color w:val="auto"/>
          <w:spacing w:val="3"/>
          <w:sz w:val="22"/>
          <w:szCs w:val="22"/>
          <w:highlight w:val="none"/>
        </w:rPr>
        <w:t>多元化发展方向，提升监理+</w:t>
      </w:r>
      <w:r>
        <w:rPr>
          <w:rFonts w:ascii="宋体" w:hAnsi="宋体" w:eastAsia="宋体" w:cs="宋体"/>
          <w:color w:val="auto"/>
          <w:spacing w:val="-2"/>
          <w:sz w:val="22"/>
          <w:szCs w:val="22"/>
          <w:highlight w:val="none"/>
        </w:rPr>
        <w:t>的服务品质。</w:t>
      </w:r>
    </w:p>
    <w:p w14:paraId="62284886">
      <w:pPr>
        <w:spacing w:before="168" w:line="324" w:lineRule="auto"/>
        <w:ind w:left="6" w:right="2" w:firstLine="44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4.1.6</w:t>
      </w:r>
      <w:r>
        <w:rPr>
          <w:rFonts w:ascii="宋体" w:hAnsi="宋体" w:eastAsia="宋体" w:cs="宋体"/>
          <w:color w:val="auto"/>
          <w:spacing w:val="-28"/>
          <w:sz w:val="22"/>
          <w:szCs w:val="22"/>
          <w:highlight w:val="none"/>
        </w:rPr>
        <w:t xml:space="preserve"> </w:t>
      </w:r>
      <w:r>
        <w:rPr>
          <w:rFonts w:ascii="宋体" w:hAnsi="宋体" w:eastAsia="宋体" w:cs="宋体"/>
          <w:color w:val="auto"/>
          <w:spacing w:val="1"/>
          <w:sz w:val="22"/>
          <w:szCs w:val="22"/>
          <w:highlight w:val="none"/>
        </w:rPr>
        <w:t>监理法人单位应根据《广东省公路工程施工监理指南（试行）》第</w:t>
      </w:r>
      <w:r>
        <w:rPr>
          <w:rFonts w:ascii="宋体" w:hAnsi="宋体" w:eastAsia="宋体" w:cs="宋体"/>
          <w:color w:val="auto"/>
          <w:spacing w:val="-40"/>
          <w:sz w:val="22"/>
          <w:szCs w:val="22"/>
          <w:highlight w:val="none"/>
        </w:rPr>
        <w:t xml:space="preserve"> </w:t>
      </w:r>
      <w:r>
        <w:rPr>
          <w:rFonts w:ascii="宋体" w:hAnsi="宋体" w:eastAsia="宋体" w:cs="宋体"/>
          <w:color w:val="auto"/>
          <w:spacing w:val="1"/>
          <w:sz w:val="22"/>
          <w:szCs w:val="22"/>
          <w:highlight w:val="none"/>
        </w:rPr>
        <w:t>3.4</w:t>
      </w:r>
      <w:r>
        <w:rPr>
          <w:rFonts w:ascii="宋体" w:hAnsi="宋体" w:eastAsia="宋体" w:cs="宋体"/>
          <w:color w:val="auto"/>
          <w:spacing w:val="-43"/>
          <w:sz w:val="22"/>
          <w:szCs w:val="22"/>
          <w:highlight w:val="none"/>
        </w:rPr>
        <w:t xml:space="preserve"> </w:t>
      </w:r>
      <w:r>
        <w:rPr>
          <w:rFonts w:ascii="宋体" w:hAnsi="宋体" w:eastAsia="宋体" w:cs="宋体"/>
          <w:color w:val="auto"/>
          <w:spacing w:val="1"/>
          <w:sz w:val="22"/>
          <w:szCs w:val="22"/>
          <w:highlight w:val="none"/>
        </w:rPr>
        <w:t>款做好项目</w:t>
      </w:r>
      <w:r>
        <w:rPr>
          <w:rFonts w:ascii="宋体" w:hAnsi="宋体" w:eastAsia="宋体" w:cs="宋体"/>
          <w:color w:val="auto"/>
          <w:sz w:val="22"/>
          <w:szCs w:val="22"/>
          <w:highlight w:val="none"/>
        </w:rPr>
        <w:t>总监办的管理，加强对项目总监办的履约管理，不得以“总</w:t>
      </w:r>
      <w:r>
        <w:rPr>
          <w:rFonts w:ascii="宋体" w:hAnsi="宋体" w:eastAsia="宋体" w:cs="宋体"/>
          <w:color w:val="auto"/>
          <w:spacing w:val="-1"/>
          <w:sz w:val="22"/>
          <w:szCs w:val="22"/>
          <w:highlight w:val="none"/>
        </w:rPr>
        <w:t>费用包干</w:t>
      </w:r>
      <w:r>
        <w:rPr>
          <w:rFonts w:ascii="宋体" w:hAnsi="宋体" w:eastAsia="宋体" w:cs="宋体"/>
          <w:color w:val="auto"/>
          <w:spacing w:val="-81"/>
          <w:sz w:val="22"/>
          <w:szCs w:val="22"/>
          <w:highlight w:val="none"/>
        </w:rPr>
        <w:t xml:space="preserve"> </w:t>
      </w:r>
      <w:r>
        <w:rPr>
          <w:rFonts w:ascii="宋体" w:hAnsi="宋体" w:eastAsia="宋体" w:cs="宋体"/>
          <w:color w:val="auto"/>
          <w:spacing w:val="-1"/>
          <w:sz w:val="22"/>
          <w:szCs w:val="22"/>
          <w:highlight w:val="none"/>
        </w:rPr>
        <w:t>”、“重费用轻管理</w:t>
      </w:r>
      <w:r>
        <w:rPr>
          <w:rFonts w:ascii="宋体" w:hAnsi="宋体" w:eastAsia="宋体" w:cs="宋体"/>
          <w:color w:val="auto"/>
          <w:spacing w:val="-81"/>
          <w:sz w:val="22"/>
          <w:szCs w:val="22"/>
          <w:highlight w:val="none"/>
        </w:rPr>
        <w:t xml:space="preserve"> </w:t>
      </w:r>
      <w:r>
        <w:rPr>
          <w:rFonts w:ascii="宋体" w:hAnsi="宋体" w:eastAsia="宋体" w:cs="宋体"/>
          <w:color w:val="auto"/>
          <w:spacing w:val="-1"/>
          <w:sz w:val="22"/>
          <w:szCs w:val="22"/>
          <w:highlight w:val="none"/>
        </w:rPr>
        <w:t>”等</w:t>
      </w:r>
      <w:r>
        <w:rPr>
          <w:rFonts w:ascii="宋体" w:hAnsi="宋体" w:eastAsia="宋体" w:cs="宋体"/>
          <w:color w:val="auto"/>
          <w:sz w:val="22"/>
          <w:szCs w:val="22"/>
          <w:highlight w:val="none"/>
        </w:rPr>
        <w:t>模式进行管理，防止对总监办“脱管、失管</w:t>
      </w:r>
      <w:r>
        <w:rPr>
          <w:rFonts w:ascii="宋体" w:hAnsi="宋体" w:eastAsia="宋体" w:cs="宋体"/>
          <w:color w:val="auto"/>
          <w:spacing w:val="-67"/>
          <w:sz w:val="22"/>
          <w:szCs w:val="22"/>
          <w:highlight w:val="none"/>
        </w:rPr>
        <w:t xml:space="preserve"> </w:t>
      </w:r>
      <w:r>
        <w:rPr>
          <w:rFonts w:ascii="宋体" w:hAnsi="宋体" w:eastAsia="宋体" w:cs="宋体"/>
          <w:color w:val="auto"/>
          <w:sz w:val="22"/>
          <w:szCs w:val="22"/>
          <w:highlight w:val="none"/>
        </w:rPr>
        <w:t>”，保障总监办正常运作的合理经费及人员薪酬待</w:t>
      </w:r>
      <w:r>
        <w:rPr>
          <w:rFonts w:ascii="宋体" w:hAnsi="宋体" w:eastAsia="宋体" w:cs="宋体"/>
          <w:color w:val="auto"/>
          <w:spacing w:val="-1"/>
          <w:sz w:val="22"/>
          <w:szCs w:val="22"/>
          <w:highlight w:val="none"/>
        </w:rPr>
        <w:t>遇，对总监办开展工作提供必要的技术和管理支持。</w:t>
      </w:r>
    </w:p>
    <w:p w14:paraId="111C2A57">
      <w:pPr>
        <w:spacing w:before="165" w:line="359" w:lineRule="auto"/>
        <w:ind w:left="6" w:firstLine="443"/>
        <w:jc w:val="both"/>
        <w:rPr>
          <w:rFonts w:ascii="宋体" w:hAnsi="宋体" w:eastAsia="宋体" w:cs="宋体"/>
          <w:color w:val="auto"/>
          <w:spacing w:val="1"/>
          <w:sz w:val="22"/>
          <w:szCs w:val="22"/>
          <w:highlight w:val="none"/>
        </w:rPr>
      </w:pPr>
      <w:r>
        <w:rPr>
          <w:rFonts w:ascii="宋体" w:hAnsi="宋体" w:eastAsia="宋体" w:cs="宋体"/>
          <w:color w:val="auto"/>
          <w:spacing w:val="1"/>
          <w:sz w:val="22"/>
          <w:szCs w:val="22"/>
          <w:highlight w:val="none"/>
        </w:rPr>
        <w:t>监理单位应强化对总监及主要监理人员的管理，总监、副总监要切实履行对其他监理人员的管理职责。监理单位应与建设单位共同做好从下而上、从人员到单位的穿透式、联动式信用评价管理工作，承担连带责任，实行“红黑名单 ”管理。</w:t>
      </w:r>
    </w:p>
    <w:p w14:paraId="3402496C">
      <w:pPr>
        <w:spacing w:before="165" w:line="359" w:lineRule="auto"/>
        <w:ind w:left="6" w:firstLine="443"/>
        <w:jc w:val="both"/>
        <w:rPr>
          <w:rFonts w:ascii="宋体" w:hAnsi="宋体" w:eastAsia="宋体" w:cs="宋体"/>
          <w:color w:val="auto"/>
          <w:spacing w:val="1"/>
          <w:sz w:val="22"/>
          <w:szCs w:val="22"/>
          <w:highlight w:val="none"/>
        </w:rPr>
      </w:pPr>
      <w:r>
        <w:rPr>
          <w:rFonts w:ascii="宋体" w:hAnsi="宋体" w:eastAsia="宋体" w:cs="宋体"/>
          <w:color w:val="auto"/>
          <w:spacing w:val="1"/>
          <w:sz w:val="22"/>
          <w:szCs w:val="22"/>
          <w:highlight w:val="none"/>
        </w:rPr>
        <w:t>4.1.7 监理法人单位应在建设过程中对“项目现场管理机构 ”的履约情况进行监管和支持，重要事项提级管理，避免“失管失察 ”，建设单位要对该项工作进行专项管理，可在合同中单独列支相关“专项费用 ”，监理单位法人单位的履约情况纳入其年度信用管理。</w:t>
      </w:r>
    </w:p>
    <w:p w14:paraId="523830D0">
      <w:pPr>
        <w:spacing w:before="243" w:line="220" w:lineRule="auto"/>
        <w:ind w:left="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4.2</w:t>
      </w:r>
      <w:r>
        <w:rPr>
          <w:rFonts w:ascii="宋体" w:hAnsi="宋体" w:eastAsia="宋体" w:cs="宋体"/>
          <w:color w:val="auto"/>
          <w:spacing w:val="20"/>
          <w:sz w:val="24"/>
          <w:szCs w:val="24"/>
          <w:highlight w:val="none"/>
        </w:rPr>
        <w:t xml:space="preserve"> </w:t>
      </w:r>
      <w:r>
        <w:rPr>
          <w:rFonts w:ascii="宋体" w:hAnsi="宋体" w:eastAsia="宋体" w:cs="宋体"/>
          <w:b/>
          <w:bCs/>
          <w:color w:val="auto"/>
          <w:spacing w:val="-5"/>
          <w:sz w:val="24"/>
          <w:szCs w:val="24"/>
          <w:highlight w:val="none"/>
        </w:rPr>
        <w:t>履约保证金</w:t>
      </w:r>
    </w:p>
    <w:p w14:paraId="461D9669">
      <w:pPr>
        <w:spacing w:before="145" w:line="393" w:lineRule="auto"/>
        <w:ind w:left="448"/>
        <w:rPr>
          <w:rFonts w:ascii="宋体" w:hAnsi="宋体" w:eastAsia="宋体" w:cs="宋体"/>
          <w:color w:val="auto"/>
          <w:sz w:val="10"/>
          <w:szCs w:val="10"/>
          <w:highlight w:val="none"/>
        </w:rPr>
      </w:pPr>
      <w:r>
        <w:rPr>
          <w:rFonts w:ascii="宋体" w:hAnsi="宋体" w:eastAsia="宋体" w:cs="宋体"/>
          <w:color w:val="auto"/>
          <w:spacing w:val="-2"/>
          <w:sz w:val="22"/>
          <w:szCs w:val="22"/>
          <w:highlight w:val="none"/>
        </w:rPr>
        <w:t xml:space="preserve">4.2.1 缺陷责任期保函金额： </w:t>
      </w:r>
      <w:r>
        <w:rPr>
          <w:rFonts w:ascii="宋体" w:hAnsi="宋体" w:eastAsia="宋体" w:cs="宋体"/>
          <w:color w:val="auto"/>
          <w:spacing w:val="-2"/>
          <w:sz w:val="22"/>
          <w:szCs w:val="22"/>
          <w:highlight w:val="none"/>
          <w:u w:val="single" w:color="auto"/>
        </w:rPr>
        <w:t xml:space="preserve"> 监理服务费</w:t>
      </w:r>
      <w:r>
        <w:rPr>
          <w:rFonts w:ascii="宋体" w:hAnsi="宋体" w:eastAsia="宋体" w:cs="宋体"/>
          <w:color w:val="auto"/>
          <w:spacing w:val="-3"/>
          <w:sz w:val="22"/>
          <w:szCs w:val="22"/>
          <w:highlight w:val="none"/>
          <w:u w:val="single" w:color="auto"/>
        </w:rPr>
        <w:t>用总额的</w:t>
      </w:r>
      <w:r>
        <w:rPr>
          <w:rFonts w:ascii="宋体" w:hAnsi="宋体" w:eastAsia="宋体" w:cs="宋体"/>
          <w:color w:val="auto"/>
          <w:spacing w:val="-42"/>
          <w:sz w:val="22"/>
          <w:szCs w:val="22"/>
          <w:highlight w:val="none"/>
          <w:u w:val="single" w:color="auto"/>
        </w:rPr>
        <w:t xml:space="preserve"> </w:t>
      </w:r>
      <w:r>
        <w:rPr>
          <w:rFonts w:ascii="宋体" w:hAnsi="宋体" w:eastAsia="宋体" w:cs="宋体"/>
          <w:color w:val="auto"/>
          <w:spacing w:val="-3"/>
          <w:sz w:val="22"/>
          <w:szCs w:val="22"/>
          <w:highlight w:val="none"/>
          <w:u w:val="single" w:color="auto"/>
        </w:rPr>
        <w:t>3％</w:t>
      </w:r>
      <w:r>
        <w:rPr>
          <w:rFonts w:ascii="宋体" w:hAnsi="宋体" w:eastAsia="宋体" w:cs="宋体"/>
          <w:color w:val="auto"/>
          <w:spacing w:val="57"/>
          <w:sz w:val="22"/>
          <w:szCs w:val="22"/>
          <w:highlight w:val="none"/>
          <w:u w:val="single" w:color="auto"/>
        </w:rPr>
        <w:t xml:space="preserve"> </w:t>
      </w:r>
      <w:r>
        <w:rPr>
          <w:rFonts w:ascii="宋体" w:hAnsi="宋体" w:eastAsia="宋体" w:cs="宋体"/>
          <w:color w:val="auto"/>
          <w:spacing w:val="-3"/>
          <w:sz w:val="22"/>
          <w:szCs w:val="22"/>
          <w:highlight w:val="none"/>
        </w:rPr>
        <w:t>。</w:t>
      </w:r>
    </w:p>
    <w:p w14:paraId="48C50A1C">
      <w:pPr>
        <w:spacing w:before="236" w:line="219" w:lineRule="auto"/>
        <w:ind w:left="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4.5</w:t>
      </w:r>
      <w:r>
        <w:rPr>
          <w:rFonts w:ascii="宋体" w:hAnsi="宋体" w:eastAsia="宋体" w:cs="宋体"/>
          <w:color w:val="auto"/>
          <w:spacing w:val="-48"/>
          <w:sz w:val="24"/>
          <w:szCs w:val="24"/>
          <w:highlight w:val="none"/>
        </w:rPr>
        <w:t xml:space="preserve"> </w:t>
      </w:r>
      <w:r>
        <w:rPr>
          <w:rFonts w:ascii="宋体" w:hAnsi="宋体" w:eastAsia="宋体" w:cs="宋体"/>
          <w:b/>
          <w:bCs/>
          <w:color w:val="auto"/>
          <w:spacing w:val="-4"/>
          <w:sz w:val="24"/>
          <w:szCs w:val="24"/>
          <w:highlight w:val="none"/>
        </w:rPr>
        <w:t>监理人员的管理</w:t>
      </w:r>
    </w:p>
    <w:p w14:paraId="6EECC4B4">
      <w:pPr>
        <w:spacing w:before="178" w:line="220" w:lineRule="auto"/>
        <w:ind w:left="449"/>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第</w:t>
      </w:r>
      <w:r>
        <w:rPr>
          <w:rFonts w:ascii="宋体" w:hAnsi="宋体" w:eastAsia="宋体" w:cs="宋体"/>
          <w:color w:val="auto"/>
          <w:spacing w:val="-43"/>
          <w:sz w:val="22"/>
          <w:szCs w:val="22"/>
          <w:highlight w:val="none"/>
        </w:rPr>
        <w:t xml:space="preserve"> </w:t>
      </w:r>
      <w:r>
        <w:rPr>
          <w:rFonts w:ascii="宋体" w:hAnsi="宋体" w:eastAsia="宋体" w:cs="宋体"/>
          <w:color w:val="auto"/>
          <w:spacing w:val="-3"/>
          <w:sz w:val="22"/>
          <w:szCs w:val="22"/>
          <w:highlight w:val="none"/>
        </w:rPr>
        <w:t>4.5.3</w:t>
      </w:r>
      <w:r>
        <w:rPr>
          <w:rFonts w:ascii="宋体" w:hAnsi="宋体" w:eastAsia="宋体" w:cs="宋体"/>
          <w:color w:val="auto"/>
          <w:spacing w:val="-45"/>
          <w:sz w:val="22"/>
          <w:szCs w:val="22"/>
          <w:highlight w:val="none"/>
        </w:rPr>
        <w:t xml:space="preserve"> </w:t>
      </w:r>
      <w:r>
        <w:rPr>
          <w:rFonts w:ascii="宋体" w:hAnsi="宋体" w:eastAsia="宋体" w:cs="宋体"/>
          <w:color w:val="auto"/>
          <w:spacing w:val="-3"/>
          <w:sz w:val="22"/>
          <w:szCs w:val="22"/>
          <w:highlight w:val="none"/>
        </w:rPr>
        <w:t>项修改为：</w:t>
      </w:r>
    </w:p>
    <w:p w14:paraId="44E6E14E">
      <w:pPr>
        <w:spacing w:before="168" w:line="360" w:lineRule="auto"/>
        <w:ind w:left="6" w:firstLine="44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监理人派驻到工程所在地进行监理服务的总监理工程师及主要监理人员，必须常驻现场，</w:t>
      </w:r>
      <w:r>
        <w:rPr>
          <w:rFonts w:ascii="宋体" w:hAnsi="宋体" w:eastAsia="宋体" w:cs="宋体"/>
          <w:color w:val="auto"/>
          <w:spacing w:val="3"/>
          <w:sz w:val="22"/>
          <w:szCs w:val="22"/>
          <w:highlight w:val="none"/>
        </w:rPr>
        <w:t>每月不得少于</w:t>
      </w:r>
      <w:r>
        <w:rPr>
          <w:rFonts w:ascii="宋体" w:hAnsi="宋体" w:eastAsia="宋体" w:cs="宋体"/>
          <w:color w:val="auto"/>
          <w:spacing w:val="-41"/>
          <w:sz w:val="22"/>
          <w:szCs w:val="22"/>
          <w:highlight w:val="none"/>
        </w:rPr>
        <w:t xml:space="preserve"> </w:t>
      </w:r>
      <w:r>
        <w:rPr>
          <w:rFonts w:ascii="宋体" w:hAnsi="宋体" w:eastAsia="宋体" w:cs="宋体"/>
          <w:color w:val="auto"/>
          <w:spacing w:val="3"/>
          <w:sz w:val="22"/>
          <w:szCs w:val="22"/>
          <w:highlight w:val="none"/>
        </w:rPr>
        <w:t>22</w:t>
      </w:r>
      <w:r>
        <w:rPr>
          <w:rFonts w:ascii="宋体" w:hAnsi="宋体" w:eastAsia="宋体" w:cs="宋体"/>
          <w:color w:val="auto"/>
          <w:spacing w:val="-37"/>
          <w:sz w:val="22"/>
          <w:szCs w:val="22"/>
          <w:highlight w:val="none"/>
        </w:rPr>
        <w:t xml:space="preserve"> </w:t>
      </w:r>
      <w:r>
        <w:rPr>
          <w:rFonts w:ascii="宋体" w:hAnsi="宋体" w:eastAsia="宋体" w:cs="宋体"/>
          <w:color w:val="auto"/>
          <w:spacing w:val="3"/>
          <w:sz w:val="22"/>
          <w:szCs w:val="22"/>
          <w:highlight w:val="none"/>
        </w:rPr>
        <w:t>天，所有人员一律不得在同一时间内承担其他项目的监理任务。若出于某种</w:t>
      </w:r>
      <w:r>
        <w:rPr>
          <w:rFonts w:ascii="宋体" w:hAnsi="宋体" w:eastAsia="宋体" w:cs="宋体"/>
          <w:color w:val="auto"/>
          <w:spacing w:val="1"/>
          <w:sz w:val="22"/>
          <w:szCs w:val="22"/>
          <w:highlight w:val="none"/>
        </w:rPr>
        <w:t>原因需要暂时离开现场时，必须提请委托人批准后方可离开。如果总监理工程师（驻地监理工</w:t>
      </w:r>
      <w:bookmarkStart w:id="237" w:name="bookmark143"/>
      <w:bookmarkEnd w:id="237"/>
      <w:r>
        <w:rPr>
          <w:rFonts w:ascii="宋体" w:hAnsi="宋体" w:eastAsia="宋体" w:cs="宋体"/>
          <w:color w:val="auto"/>
          <w:spacing w:val="2"/>
          <w:sz w:val="22"/>
          <w:szCs w:val="22"/>
          <w:highlight w:val="none"/>
        </w:rPr>
        <w:t>程师）或其他主要监理人员需离开现场的时间超过</w:t>
      </w:r>
      <w:r>
        <w:rPr>
          <w:rFonts w:ascii="宋体" w:hAnsi="宋体" w:eastAsia="宋体" w:cs="宋体"/>
          <w:color w:val="auto"/>
          <w:spacing w:val="-25"/>
          <w:sz w:val="22"/>
          <w:szCs w:val="22"/>
          <w:highlight w:val="none"/>
        </w:rPr>
        <w:t xml:space="preserve"> </w:t>
      </w:r>
      <w:r>
        <w:rPr>
          <w:rFonts w:ascii="宋体" w:hAnsi="宋体" w:eastAsia="宋体" w:cs="宋体"/>
          <w:color w:val="auto"/>
          <w:spacing w:val="2"/>
          <w:sz w:val="22"/>
          <w:szCs w:val="22"/>
          <w:highlight w:val="none"/>
        </w:rPr>
        <w:t>14</w:t>
      </w:r>
      <w:r>
        <w:rPr>
          <w:rFonts w:ascii="宋体" w:hAnsi="宋体" w:eastAsia="宋体" w:cs="宋体"/>
          <w:color w:val="auto"/>
          <w:spacing w:val="-40"/>
          <w:sz w:val="22"/>
          <w:szCs w:val="22"/>
          <w:highlight w:val="none"/>
        </w:rPr>
        <w:t xml:space="preserve"> </w:t>
      </w:r>
      <w:r>
        <w:rPr>
          <w:rFonts w:ascii="宋体" w:hAnsi="宋体" w:eastAsia="宋体" w:cs="宋体"/>
          <w:color w:val="auto"/>
          <w:spacing w:val="2"/>
          <w:sz w:val="22"/>
          <w:szCs w:val="22"/>
          <w:highlight w:val="none"/>
        </w:rPr>
        <w:t>天，则监理人必须按第</w:t>
      </w:r>
      <w:r>
        <w:rPr>
          <w:rFonts w:ascii="宋体" w:hAnsi="宋体" w:eastAsia="宋体" w:cs="宋体"/>
          <w:color w:val="auto"/>
          <w:spacing w:val="-42"/>
          <w:sz w:val="22"/>
          <w:szCs w:val="22"/>
          <w:highlight w:val="none"/>
        </w:rPr>
        <w:t xml:space="preserve"> </w:t>
      </w:r>
      <w:r>
        <w:rPr>
          <w:rFonts w:ascii="宋体" w:hAnsi="宋体" w:eastAsia="宋体" w:cs="宋体"/>
          <w:color w:val="auto"/>
          <w:spacing w:val="2"/>
          <w:sz w:val="22"/>
          <w:szCs w:val="22"/>
          <w:highlight w:val="none"/>
        </w:rPr>
        <w:t>4.5.1</w:t>
      </w:r>
      <w:r>
        <w:rPr>
          <w:rFonts w:ascii="宋体" w:hAnsi="宋体" w:eastAsia="宋体" w:cs="宋体"/>
          <w:color w:val="auto"/>
          <w:spacing w:val="-43"/>
          <w:sz w:val="22"/>
          <w:szCs w:val="22"/>
          <w:highlight w:val="none"/>
        </w:rPr>
        <w:t xml:space="preserve"> </w:t>
      </w:r>
      <w:r>
        <w:rPr>
          <w:rFonts w:ascii="宋体" w:hAnsi="宋体" w:eastAsia="宋体" w:cs="宋体"/>
          <w:color w:val="auto"/>
          <w:spacing w:val="2"/>
          <w:sz w:val="22"/>
          <w:szCs w:val="22"/>
          <w:highlight w:val="none"/>
        </w:rPr>
        <w:t>规</w:t>
      </w:r>
      <w:r>
        <w:rPr>
          <w:rFonts w:ascii="宋体" w:hAnsi="宋体" w:eastAsia="宋体" w:cs="宋体"/>
          <w:color w:val="auto"/>
          <w:spacing w:val="1"/>
          <w:sz w:val="22"/>
          <w:szCs w:val="22"/>
          <w:highlight w:val="none"/>
        </w:rPr>
        <w:t>定派同</w:t>
      </w:r>
      <w:r>
        <w:rPr>
          <w:rFonts w:ascii="宋体" w:hAnsi="宋体" w:eastAsia="宋体" w:cs="宋体"/>
          <w:color w:val="auto"/>
          <w:spacing w:val="-1"/>
          <w:sz w:val="22"/>
          <w:szCs w:val="22"/>
          <w:highlight w:val="none"/>
        </w:rPr>
        <w:t>样资质的人员来替换。</w:t>
      </w:r>
    </w:p>
    <w:p w14:paraId="0E92314F">
      <w:pPr>
        <w:spacing w:before="166" w:line="359" w:lineRule="auto"/>
        <w:ind w:left="6" w:right="150" w:firstLine="44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监理人应如实记录各监理人员及行政事务人员的出勤情况及工作内容，并在每月月末提交</w:t>
      </w:r>
      <w:r>
        <w:rPr>
          <w:rFonts w:ascii="宋体" w:hAnsi="宋体" w:eastAsia="宋体" w:cs="宋体"/>
          <w:color w:val="auto"/>
          <w:sz w:val="22"/>
          <w:szCs w:val="22"/>
          <w:highlight w:val="none"/>
        </w:rPr>
        <w:t>委托人签字确认</w:t>
      </w:r>
      <w:r>
        <w:rPr>
          <w:color w:val="auto"/>
          <w:highlight w:val="none"/>
        </w:rPr>
        <w:fldChar w:fldCharType="begin"/>
      </w:r>
      <w:r>
        <w:rPr>
          <w:color w:val="auto"/>
          <w:highlight w:val="none"/>
        </w:rPr>
        <w:instrText xml:space="preserve"> HYPERLINK \l "bookmark144" </w:instrText>
      </w:r>
      <w:r>
        <w:rPr>
          <w:color w:val="auto"/>
          <w:highlight w:val="none"/>
        </w:rPr>
        <w:fldChar w:fldCharType="separate"/>
      </w:r>
      <w:r>
        <w:rPr>
          <w:rFonts w:ascii="宋体" w:hAnsi="宋体" w:eastAsia="宋体" w:cs="宋体"/>
          <w:color w:val="auto"/>
          <w:position w:val="10"/>
          <w:sz w:val="10"/>
          <w:szCs w:val="10"/>
          <w:highlight w:val="none"/>
        </w:rPr>
        <w:t>①</w:t>
      </w:r>
      <w:r>
        <w:rPr>
          <w:rFonts w:ascii="宋体" w:hAnsi="宋体" w:eastAsia="宋体" w:cs="宋体"/>
          <w:color w:val="auto"/>
          <w:position w:val="10"/>
          <w:sz w:val="10"/>
          <w:szCs w:val="10"/>
          <w:highlight w:val="none"/>
        </w:rPr>
        <w:fldChar w:fldCharType="end"/>
      </w:r>
      <w:r>
        <w:rPr>
          <w:rFonts w:ascii="宋体" w:hAnsi="宋体" w:eastAsia="宋体" w:cs="宋体"/>
          <w:color w:val="auto"/>
          <w:sz w:val="22"/>
          <w:szCs w:val="22"/>
          <w:highlight w:val="none"/>
        </w:rPr>
        <w:t>。</w:t>
      </w:r>
    </w:p>
    <w:p w14:paraId="2072EF38">
      <w:pPr>
        <w:spacing w:line="220" w:lineRule="auto"/>
        <w:ind w:left="449"/>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第</w:t>
      </w:r>
      <w:r>
        <w:rPr>
          <w:rFonts w:ascii="宋体" w:hAnsi="宋体" w:eastAsia="宋体" w:cs="宋体"/>
          <w:color w:val="auto"/>
          <w:spacing w:val="-43"/>
          <w:sz w:val="22"/>
          <w:szCs w:val="22"/>
          <w:highlight w:val="none"/>
        </w:rPr>
        <w:t xml:space="preserve"> </w:t>
      </w:r>
      <w:r>
        <w:rPr>
          <w:rFonts w:ascii="宋体" w:hAnsi="宋体" w:eastAsia="宋体" w:cs="宋体"/>
          <w:color w:val="auto"/>
          <w:spacing w:val="-3"/>
          <w:sz w:val="22"/>
          <w:szCs w:val="22"/>
          <w:highlight w:val="none"/>
        </w:rPr>
        <w:t>4.5.4</w:t>
      </w:r>
      <w:r>
        <w:rPr>
          <w:rFonts w:ascii="宋体" w:hAnsi="宋体" w:eastAsia="宋体" w:cs="宋体"/>
          <w:color w:val="auto"/>
          <w:spacing w:val="-45"/>
          <w:sz w:val="22"/>
          <w:szCs w:val="22"/>
          <w:highlight w:val="none"/>
        </w:rPr>
        <w:t xml:space="preserve"> </w:t>
      </w:r>
      <w:r>
        <w:rPr>
          <w:rFonts w:ascii="宋体" w:hAnsi="宋体" w:eastAsia="宋体" w:cs="宋体"/>
          <w:color w:val="auto"/>
          <w:spacing w:val="-3"/>
          <w:sz w:val="22"/>
          <w:szCs w:val="22"/>
          <w:highlight w:val="none"/>
        </w:rPr>
        <w:t>项修改为：</w:t>
      </w:r>
    </w:p>
    <w:p w14:paraId="5C77E917">
      <w:pPr>
        <w:spacing w:before="167" w:line="359" w:lineRule="auto"/>
        <w:ind w:left="6" w:right="34" w:firstLine="44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监理人须根据交通运输主管部门的有关规定，完成监理人员从业登记和业绩登记，其中房</w:t>
      </w:r>
      <w:r>
        <w:rPr>
          <w:rFonts w:ascii="宋体" w:hAnsi="宋体" w:eastAsia="宋体" w:cs="宋体"/>
          <w:color w:val="auto"/>
          <w:spacing w:val="-1"/>
          <w:sz w:val="22"/>
          <w:szCs w:val="22"/>
          <w:highlight w:val="none"/>
        </w:rPr>
        <w:t>建工程监理人员应满足《广东省公路房建工程建设管理指</w:t>
      </w:r>
      <w:r>
        <w:rPr>
          <w:rFonts w:ascii="宋体" w:hAnsi="宋体" w:eastAsia="宋体" w:cs="宋体"/>
          <w:color w:val="auto"/>
          <w:spacing w:val="-2"/>
          <w:sz w:val="22"/>
          <w:szCs w:val="22"/>
          <w:highlight w:val="none"/>
        </w:rPr>
        <w:t>南》中的相关要求。监理人员进场后，</w:t>
      </w:r>
      <w:r>
        <w:rPr>
          <w:rFonts w:ascii="宋体" w:hAnsi="宋体" w:eastAsia="宋体" w:cs="宋体"/>
          <w:color w:val="auto"/>
          <w:spacing w:val="4"/>
          <w:sz w:val="22"/>
          <w:szCs w:val="22"/>
          <w:highlight w:val="none"/>
        </w:rPr>
        <w:t>委托人将组织对监理人员进行上岗前考核，同时在监理服务期限内,委托</w:t>
      </w:r>
      <w:r>
        <w:rPr>
          <w:rFonts w:ascii="宋体" w:hAnsi="宋体" w:eastAsia="宋体" w:cs="宋体"/>
          <w:color w:val="auto"/>
          <w:spacing w:val="3"/>
          <w:sz w:val="22"/>
          <w:szCs w:val="22"/>
          <w:highlight w:val="none"/>
        </w:rPr>
        <w:t>人将根据实际情况不</w:t>
      </w:r>
      <w:r>
        <w:rPr>
          <w:rFonts w:ascii="宋体" w:hAnsi="宋体" w:eastAsia="宋体" w:cs="宋体"/>
          <w:color w:val="auto"/>
          <w:sz w:val="22"/>
          <w:szCs w:val="22"/>
          <w:highlight w:val="none"/>
        </w:rPr>
        <w:t>定期对监理人员进行考核，考核不合格的监理人员将不准上岗，全部监理人</w:t>
      </w:r>
      <w:r>
        <w:rPr>
          <w:rFonts w:ascii="宋体" w:hAnsi="宋体" w:eastAsia="宋体" w:cs="宋体"/>
          <w:color w:val="auto"/>
          <w:spacing w:val="-1"/>
          <w:sz w:val="22"/>
          <w:szCs w:val="22"/>
          <w:highlight w:val="none"/>
        </w:rPr>
        <w:t>员均须持证上岗。</w:t>
      </w:r>
    </w:p>
    <w:p w14:paraId="459EE52E">
      <w:pPr>
        <w:spacing w:line="220" w:lineRule="auto"/>
        <w:ind w:left="450"/>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增加第</w:t>
      </w:r>
      <w:r>
        <w:rPr>
          <w:rFonts w:ascii="宋体" w:hAnsi="宋体" w:eastAsia="宋体" w:cs="宋体"/>
          <w:color w:val="auto"/>
          <w:spacing w:val="-38"/>
          <w:sz w:val="22"/>
          <w:szCs w:val="22"/>
          <w:highlight w:val="none"/>
        </w:rPr>
        <w:t xml:space="preserve"> </w:t>
      </w:r>
      <w:r>
        <w:rPr>
          <w:rFonts w:ascii="宋体" w:hAnsi="宋体" w:eastAsia="宋体" w:cs="宋体"/>
          <w:color w:val="auto"/>
          <w:spacing w:val="-3"/>
          <w:sz w:val="22"/>
          <w:szCs w:val="22"/>
          <w:highlight w:val="none"/>
        </w:rPr>
        <w:t>4.5.5</w:t>
      </w:r>
      <w:r>
        <w:rPr>
          <w:rFonts w:ascii="宋体" w:hAnsi="宋体" w:eastAsia="宋体" w:cs="宋体"/>
          <w:color w:val="auto"/>
          <w:spacing w:val="-42"/>
          <w:sz w:val="22"/>
          <w:szCs w:val="22"/>
          <w:highlight w:val="none"/>
        </w:rPr>
        <w:t xml:space="preserve"> </w:t>
      </w:r>
      <w:r>
        <w:rPr>
          <w:rFonts w:ascii="宋体" w:hAnsi="宋体" w:eastAsia="宋体" w:cs="宋体"/>
          <w:color w:val="auto"/>
          <w:spacing w:val="-3"/>
          <w:sz w:val="22"/>
          <w:szCs w:val="22"/>
          <w:highlight w:val="none"/>
        </w:rPr>
        <w:t>项-4.5.8</w:t>
      </w:r>
      <w:r>
        <w:rPr>
          <w:rFonts w:ascii="宋体" w:hAnsi="宋体" w:eastAsia="宋体" w:cs="宋体"/>
          <w:color w:val="auto"/>
          <w:spacing w:val="-45"/>
          <w:sz w:val="22"/>
          <w:szCs w:val="22"/>
          <w:highlight w:val="none"/>
        </w:rPr>
        <w:t xml:space="preserve"> </w:t>
      </w:r>
      <w:r>
        <w:rPr>
          <w:rFonts w:ascii="宋体" w:hAnsi="宋体" w:eastAsia="宋体" w:cs="宋体"/>
          <w:color w:val="auto"/>
          <w:spacing w:val="-3"/>
          <w:sz w:val="22"/>
          <w:szCs w:val="22"/>
          <w:highlight w:val="none"/>
        </w:rPr>
        <w:t>项：</w:t>
      </w:r>
    </w:p>
    <w:p w14:paraId="29A093F8">
      <w:pPr>
        <w:spacing w:before="166" w:line="359" w:lineRule="auto"/>
        <w:ind w:left="6" w:right="152" w:firstLine="44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4.5.5 监理人在投标文件中填报或在合同附件约定的人员必须全部按时到位，对于人员不</w:t>
      </w:r>
      <w:r>
        <w:rPr>
          <w:rFonts w:ascii="宋体" w:hAnsi="宋体" w:eastAsia="宋体" w:cs="宋体"/>
          <w:color w:val="auto"/>
          <w:spacing w:val="-1"/>
          <w:sz w:val="22"/>
          <w:szCs w:val="22"/>
          <w:highlight w:val="none"/>
        </w:rPr>
        <w:t>及时到位的按违约进行：</w:t>
      </w:r>
    </w:p>
    <w:p w14:paraId="522FA488">
      <w:pPr>
        <w:spacing w:line="359" w:lineRule="auto"/>
        <w:ind w:left="7" w:firstLine="447"/>
        <w:jc w:val="both"/>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总监理工程师处违约金</w:t>
      </w:r>
      <w:r>
        <w:rPr>
          <w:rFonts w:ascii="宋体" w:hAnsi="宋体" w:eastAsia="宋体" w:cs="宋体"/>
          <w:color w:val="auto"/>
          <w:spacing w:val="-107"/>
          <w:sz w:val="22"/>
          <w:szCs w:val="22"/>
          <w:highlight w:val="none"/>
        </w:rPr>
        <w:t xml:space="preserve"> </w:t>
      </w:r>
      <w:r>
        <w:rPr>
          <w:rFonts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4"/>
          <w:sz w:val="22"/>
          <w:szCs w:val="22"/>
          <w:highlight w:val="none"/>
          <w:u w:val="single" w:color="auto"/>
          <w:lang w:val="en-US" w:eastAsia="zh-CN"/>
        </w:rPr>
        <w:t>1</w:t>
      </w:r>
      <w:r>
        <w:rPr>
          <w:rFonts w:ascii="宋体" w:hAnsi="宋体" w:eastAsia="宋体" w:cs="宋体"/>
          <w:color w:val="auto"/>
          <w:spacing w:val="4"/>
          <w:sz w:val="22"/>
          <w:szCs w:val="22"/>
          <w:highlight w:val="none"/>
          <w:u w:val="single" w:color="auto"/>
        </w:rPr>
        <w:t xml:space="preserve"> </w:t>
      </w:r>
      <w:r>
        <w:rPr>
          <w:rFonts w:ascii="宋体" w:hAnsi="宋体" w:eastAsia="宋体" w:cs="宋体"/>
          <w:color w:val="auto"/>
          <w:spacing w:val="-96"/>
          <w:sz w:val="22"/>
          <w:szCs w:val="22"/>
          <w:highlight w:val="none"/>
        </w:rPr>
        <w:t xml:space="preserve"> </w:t>
      </w:r>
      <w:r>
        <w:rPr>
          <w:rFonts w:ascii="宋体" w:hAnsi="宋体" w:eastAsia="宋体" w:cs="宋体"/>
          <w:color w:val="auto"/>
          <w:spacing w:val="3"/>
          <w:sz w:val="22"/>
          <w:szCs w:val="22"/>
          <w:highlight w:val="none"/>
        </w:rPr>
        <w:t>万元/人次（用备选人替换首选人的调整不受此限）、驻地监</w:t>
      </w:r>
      <w:r>
        <w:rPr>
          <w:rFonts w:ascii="宋体" w:hAnsi="宋体" w:eastAsia="宋体" w:cs="宋体"/>
          <w:color w:val="auto"/>
          <w:sz w:val="22"/>
          <w:szCs w:val="22"/>
          <w:highlight w:val="none"/>
        </w:rPr>
        <w:t>理工程师处违约金</w:t>
      </w:r>
      <w:r>
        <w:rPr>
          <w:rFonts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1</w:t>
      </w:r>
      <w:r>
        <w:rPr>
          <w:rFonts w:ascii="宋体" w:hAnsi="宋体" w:eastAsia="宋体" w:cs="宋体"/>
          <w:color w:val="auto"/>
          <w:sz w:val="22"/>
          <w:szCs w:val="22"/>
          <w:highlight w:val="none"/>
          <w:u w:val="single" w:color="auto"/>
        </w:rPr>
        <w:t xml:space="preserve">  </w:t>
      </w:r>
      <w:r>
        <w:rPr>
          <w:rFonts w:ascii="宋体" w:hAnsi="宋体" w:eastAsia="宋体" w:cs="宋体"/>
          <w:color w:val="auto"/>
          <w:spacing w:val="-94"/>
          <w:sz w:val="22"/>
          <w:szCs w:val="22"/>
          <w:highlight w:val="none"/>
        </w:rPr>
        <w:t xml:space="preserve"> </w:t>
      </w:r>
      <w:r>
        <w:rPr>
          <w:rFonts w:ascii="宋体" w:hAnsi="宋体" w:eastAsia="宋体" w:cs="宋体"/>
          <w:color w:val="auto"/>
          <w:sz w:val="22"/>
          <w:szCs w:val="22"/>
          <w:highlight w:val="none"/>
        </w:rPr>
        <w:t>万元/人次（用备选人替换首选人的调整不受此限</w:t>
      </w:r>
      <w:r>
        <w:rPr>
          <w:rFonts w:ascii="宋体" w:hAnsi="宋体" w:eastAsia="宋体" w:cs="宋体"/>
          <w:color w:val="auto"/>
          <w:spacing w:val="13"/>
          <w:sz w:val="22"/>
          <w:szCs w:val="22"/>
          <w:highlight w:val="none"/>
        </w:rPr>
        <w:t>）；</w:t>
      </w:r>
      <w:r>
        <w:rPr>
          <w:rFonts w:ascii="宋体" w:hAnsi="宋体" w:eastAsia="宋体" w:cs="宋体"/>
          <w:color w:val="auto"/>
          <w:sz w:val="22"/>
          <w:szCs w:val="22"/>
          <w:highlight w:val="none"/>
        </w:rPr>
        <w:t>其他主要监理人员</w:t>
      </w:r>
      <w:r>
        <w:rPr>
          <w:rFonts w:ascii="宋体" w:hAnsi="宋体" w:eastAsia="宋体" w:cs="宋体"/>
          <w:color w:val="auto"/>
          <w:spacing w:val="3"/>
          <w:sz w:val="22"/>
          <w:szCs w:val="22"/>
          <w:highlight w:val="none"/>
        </w:rPr>
        <w:t>的到位率必须达到</w:t>
      </w:r>
      <w:r>
        <w:rPr>
          <w:rFonts w:ascii="宋体" w:hAnsi="宋体" w:eastAsia="宋体" w:cs="宋体"/>
          <w:color w:val="auto"/>
          <w:spacing w:val="-41"/>
          <w:sz w:val="22"/>
          <w:szCs w:val="22"/>
          <w:highlight w:val="none"/>
        </w:rPr>
        <w:t xml:space="preserve"> </w:t>
      </w:r>
      <w:r>
        <w:rPr>
          <w:rFonts w:ascii="宋体" w:hAnsi="宋体" w:eastAsia="宋体" w:cs="宋体"/>
          <w:color w:val="auto"/>
          <w:spacing w:val="3"/>
          <w:sz w:val="22"/>
          <w:szCs w:val="22"/>
          <w:highlight w:val="none"/>
          <w:u w:val="single" w:color="auto"/>
        </w:rPr>
        <w:t>80%</w:t>
      </w:r>
      <w:r>
        <w:rPr>
          <w:rFonts w:ascii="宋体" w:hAnsi="宋体" w:eastAsia="宋体" w:cs="宋体"/>
          <w:color w:val="auto"/>
          <w:spacing w:val="3"/>
          <w:sz w:val="22"/>
          <w:szCs w:val="22"/>
          <w:highlight w:val="none"/>
        </w:rPr>
        <w:t>以上，如不足</w:t>
      </w:r>
      <w:r>
        <w:rPr>
          <w:rFonts w:ascii="宋体" w:hAnsi="宋体" w:eastAsia="宋体" w:cs="宋体"/>
          <w:color w:val="auto"/>
          <w:spacing w:val="-44"/>
          <w:sz w:val="22"/>
          <w:szCs w:val="22"/>
          <w:highlight w:val="none"/>
        </w:rPr>
        <w:t xml:space="preserve"> </w:t>
      </w:r>
      <w:r>
        <w:rPr>
          <w:rFonts w:ascii="宋体" w:hAnsi="宋体" w:eastAsia="宋体" w:cs="宋体"/>
          <w:color w:val="auto"/>
          <w:spacing w:val="3"/>
          <w:sz w:val="22"/>
          <w:szCs w:val="22"/>
          <w:highlight w:val="none"/>
          <w:u w:val="single" w:color="auto"/>
        </w:rPr>
        <w:t>80</w:t>
      </w:r>
      <w:r>
        <w:rPr>
          <w:rFonts w:ascii="宋体" w:hAnsi="宋体" w:eastAsia="宋体" w:cs="宋体"/>
          <w:color w:val="auto"/>
          <w:spacing w:val="3"/>
          <w:sz w:val="22"/>
          <w:szCs w:val="22"/>
          <w:highlight w:val="none"/>
        </w:rPr>
        <w:t>%的（其他主要监理人员分批次进场的，以最终进场的所有人员计算</w:t>
      </w:r>
      <w:r>
        <w:rPr>
          <w:rFonts w:ascii="宋体" w:hAnsi="宋体" w:eastAsia="宋体" w:cs="宋体"/>
          <w:color w:val="auto"/>
          <w:spacing w:val="10"/>
          <w:sz w:val="22"/>
          <w:szCs w:val="22"/>
          <w:highlight w:val="none"/>
        </w:rPr>
        <w:t>），</w:t>
      </w:r>
      <w:r>
        <w:rPr>
          <w:rFonts w:ascii="宋体" w:hAnsi="宋体" w:eastAsia="宋体" w:cs="宋体"/>
          <w:color w:val="auto"/>
          <w:spacing w:val="3"/>
          <w:sz w:val="22"/>
          <w:szCs w:val="22"/>
          <w:highlight w:val="none"/>
        </w:rPr>
        <w:t>其差额部分处以违约金</w:t>
      </w:r>
      <w:r>
        <w:rPr>
          <w:rFonts w:ascii="宋体" w:hAnsi="宋体" w:eastAsia="宋体" w:cs="宋体"/>
          <w:color w:val="auto"/>
          <w:spacing w:val="-108"/>
          <w:sz w:val="22"/>
          <w:szCs w:val="22"/>
          <w:highlight w:val="none"/>
        </w:rPr>
        <w:t xml:space="preserve"> </w:t>
      </w:r>
      <w:r>
        <w:rPr>
          <w:rFonts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4"/>
          <w:sz w:val="22"/>
          <w:szCs w:val="22"/>
          <w:highlight w:val="none"/>
          <w:u w:val="single" w:color="auto"/>
          <w:lang w:val="en-US" w:eastAsia="zh-CN"/>
        </w:rPr>
        <w:t>1</w:t>
      </w:r>
      <w:r>
        <w:rPr>
          <w:rFonts w:ascii="宋体" w:hAnsi="宋体" w:eastAsia="宋体" w:cs="宋体"/>
          <w:color w:val="auto"/>
          <w:spacing w:val="4"/>
          <w:sz w:val="22"/>
          <w:szCs w:val="22"/>
          <w:highlight w:val="none"/>
          <w:u w:val="single" w:color="auto"/>
        </w:rPr>
        <w:t xml:space="preserve"> </w:t>
      </w:r>
      <w:r>
        <w:rPr>
          <w:rFonts w:ascii="宋体" w:hAnsi="宋体" w:eastAsia="宋体" w:cs="宋体"/>
          <w:color w:val="auto"/>
          <w:spacing w:val="-96"/>
          <w:sz w:val="22"/>
          <w:szCs w:val="22"/>
          <w:highlight w:val="none"/>
        </w:rPr>
        <w:t xml:space="preserve"> </w:t>
      </w:r>
      <w:r>
        <w:rPr>
          <w:rFonts w:ascii="宋体" w:hAnsi="宋体" w:eastAsia="宋体" w:cs="宋体"/>
          <w:color w:val="auto"/>
          <w:spacing w:val="3"/>
          <w:sz w:val="22"/>
          <w:szCs w:val="22"/>
          <w:highlight w:val="none"/>
        </w:rPr>
        <w:t>万元/人次进行处罚。如因</w:t>
      </w:r>
      <w:r>
        <w:rPr>
          <w:rFonts w:ascii="宋体" w:hAnsi="宋体" w:eastAsia="宋体" w:cs="宋体"/>
          <w:color w:val="auto"/>
          <w:spacing w:val="2"/>
          <w:sz w:val="22"/>
          <w:szCs w:val="22"/>
          <w:highlight w:val="none"/>
        </w:rPr>
        <w:t>特殊原因确需对投标文件中的主要监理人员进行调整除按4.5.1</w:t>
      </w:r>
      <w:r>
        <w:rPr>
          <w:rFonts w:ascii="宋体" w:hAnsi="宋体" w:eastAsia="宋体" w:cs="宋体"/>
          <w:color w:val="auto"/>
          <w:spacing w:val="-42"/>
          <w:sz w:val="22"/>
          <w:szCs w:val="22"/>
          <w:highlight w:val="none"/>
        </w:rPr>
        <w:t xml:space="preserve"> </w:t>
      </w:r>
      <w:r>
        <w:rPr>
          <w:rFonts w:ascii="宋体" w:hAnsi="宋体" w:eastAsia="宋体" w:cs="宋体"/>
          <w:color w:val="auto"/>
          <w:spacing w:val="2"/>
          <w:sz w:val="22"/>
          <w:szCs w:val="22"/>
          <w:highlight w:val="none"/>
        </w:rPr>
        <w:t>项规定外，所代替的人选在资格、资历、能力等方</w:t>
      </w:r>
      <w:r>
        <w:rPr>
          <w:rFonts w:ascii="宋体" w:hAnsi="宋体" w:eastAsia="宋体" w:cs="宋体"/>
          <w:color w:val="auto"/>
          <w:spacing w:val="-1"/>
          <w:sz w:val="22"/>
          <w:szCs w:val="22"/>
          <w:highlight w:val="none"/>
        </w:rPr>
        <w:t>面均不得低于原来的人选，监理人须将更换人员的相关资料如任职证明、身份证、专业（执业）</w:t>
      </w:r>
      <w:r>
        <w:rPr>
          <w:rFonts w:ascii="宋体" w:hAnsi="宋体" w:eastAsia="宋体" w:cs="宋体"/>
          <w:color w:val="auto"/>
          <w:sz w:val="22"/>
          <w:szCs w:val="22"/>
          <w:highlight w:val="none"/>
        </w:rPr>
        <w:t>资格证书等复印件报委托人备案，并按上述</w:t>
      </w:r>
      <w:r>
        <w:rPr>
          <w:rFonts w:ascii="宋体" w:hAnsi="宋体" w:eastAsia="宋体" w:cs="宋体"/>
          <w:color w:val="auto"/>
          <w:spacing w:val="-1"/>
          <w:sz w:val="22"/>
          <w:szCs w:val="22"/>
          <w:highlight w:val="none"/>
        </w:rPr>
        <w:t>标准提交违约金。</w:t>
      </w:r>
    </w:p>
    <w:p w14:paraId="41514D9D">
      <w:pPr>
        <w:spacing w:line="289" w:lineRule="auto"/>
        <w:ind w:left="6" w:right="150" w:firstLine="44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4.5.6</w:t>
      </w:r>
      <w:r>
        <w:rPr>
          <w:rFonts w:ascii="宋体" w:hAnsi="宋体" w:eastAsia="宋体" w:cs="宋体"/>
          <w:color w:val="auto"/>
          <w:spacing w:val="-39"/>
          <w:sz w:val="22"/>
          <w:szCs w:val="22"/>
          <w:highlight w:val="none"/>
        </w:rPr>
        <w:t xml:space="preserve"> </w:t>
      </w:r>
      <w:r>
        <w:rPr>
          <w:rFonts w:ascii="宋体" w:hAnsi="宋体" w:eastAsia="宋体" w:cs="宋体"/>
          <w:color w:val="auto"/>
          <w:spacing w:val="2"/>
          <w:sz w:val="22"/>
          <w:szCs w:val="22"/>
          <w:highlight w:val="none"/>
        </w:rPr>
        <w:t>如果监理人需要对其在投标文件中提出的人员进场计划及计划调整，必须事先经过</w:t>
      </w:r>
      <w:r>
        <w:rPr>
          <w:rFonts w:ascii="宋体" w:hAnsi="宋体" w:eastAsia="宋体" w:cs="宋体"/>
          <w:color w:val="auto"/>
          <w:sz w:val="22"/>
          <w:szCs w:val="22"/>
          <w:highlight w:val="none"/>
        </w:rPr>
        <w:t>委托人的批准；所有监理人员需经委托人组织考核</w:t>
      </w:r>
      <w:r>
        <w:rPr>
          <w:rFonts w:ascii="宋体" w:hAnsi="宋体" w:eastAsia="宋体" w:cs="宋体"/>
          <w:color w:val="auto"/>
          <w:spacing w:val="-1"/>
          <w:sz w:val="22"/>
          <w:szCs w:val="22"/>
          <w:highlight w:val="none"/>
        </w:rPr>
        <w:t>合格后方可进场。</w:t>
      </w:r>
    </w:p>
    <w:p w14:paraId="0F74FB87">
      <w:pPr>
        <w:spacing w:before="167" w:line="220" w:lineRule="auto"/>
        <w:ind w:left="448"/>
        <w:rPr>
          <w:rFonts w:ascii="宋体" w:hAnsi="宋体" w:eastAsia="宋体" w:cs="宋体"/>
          <w:color w:val="auto"/>
          <w:sz w:val="22"/>
          <w:szCs w:val="22"/>
          <w:highlight w:val="none"/>
        </w:rPr>
      </w:pPr>
      <w:r>
        <w:rPr>
          <w:rFonts w:ascii="宋体" w:hAnsi="宋体" w:eastAsia="宋体" w:cs="宋体"/>
          <w:color w:val="auto"/>
          <w:sz w:val="22"/>
          <w:szCs w:val="22"/>
          <w:highlight w:val="none"/>
        </w:rPr>
        <w:t>4.5.7 监理人员上岗时必须统一着装、挂牌，做到标志</w:t>
      </w:r>
      <w:r>
        <w:rPr>
          <w:rFonts w:ascii="宋体" w:hAnsi="宋体" w:eastAsia="宋体" w:cs="宋体"/>
          <w:color w:val="auto"/>
          <w:spacing w:val="-1"/>
          <w:sz w:val="22"/>
          <w:szCs w:val="22"/>
          <w:highlight w:val="none"/>
        </w:rPr>
        <w:t>明显，形象分明。</w:t>
      </w:r>
    </w:p>
    <w:p w14:paraId="6C5C9F05">
      <w:pPr>
        <w:spacing w:before="166" w:line="289" w:lineRule="auto"/>
        <w:ind w:left="13" w:right="150" w:firstLine="434"/>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4.5.8</w:t>
      </w:r>
      <w:r>
        <w:rPr>
          <w:rFonts w:ascii="宋体" w:hAnsi="宋体" w:eastAsia="宋体" w:cs="宋体"/>
          <w:color w:val="auto"/>
          <w:spacing w:val="-48"/>
          <w:sz w:val="22"/>
          <w:szCs w:val="22"/>
          <w:highlight w:val="none"/>
        </w:rPr>
        <w:t xml:space="preserve"> </w:t>
      </w:r>
      <w:r>
        <w:rPr>
          <w:rFonts w:ascii="宋体" w:hAnsi="宋体" w:eastAsia="宋体" w:cs="宋体"/>
          <w:color w:val="auto"/>
          <w:sz w:val="22"/>
          <w:szCs w:val="22"/>
          <w:highlight w:val="none"/>
        </w:rPr>
        <w:t>在交(竣)工验收及缺陷责</w:t>
      </w:r>
      <w:r>
        <w:rPr>
          <w:rFonts w:ascii="宋体" w:hAnsi="宋体" w:eastAsia="宋体" w:cs="宋体"/>
          <w:color w:val="auto"/>
          <w:spacing w:val="5"/>
          <w:sz w:val="22"/>
          <w:szCs w:val="22"/>
          <w:highlight w:val="none"/>
        </w:rPr>
        <w:t>任期内，监理人应配备</w:t>
      </w:r>
      <w:r>
        <w:rPr>
          <w:rFonts w:ascii="宋体" w:hAnsi="宋体" w:eastAsia="宋体" w:cs="宋体"/>
          <w:color w:val="auto"/>
          <w:spacing w:val="-108"/>
          <w:sz w:val="22"/>
          <w:szCs w:val="22"/>
          <w:highlight w:val="none"/>
        </w:rPr>
        <w:t xml:space="preserve"> </w:t>
      </w:r>
      <w:r>
        <w:rPr>
          <w:rFonts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4"/>
          <w:sz w:val="22"/>
          <w:szCs w:val="22"/>
          <w:highlight w:val="none"/>
          <w:u w:val="single" w:color="auto"/>
          <w:lang w:val="en-US" w:eastAsia="zh-CN"/>
        </w:rPr>
        <w:t>1</w:t>
      </w:r>
      <w:r>
        <w:rPr>
          <w:rFonts w:ascii="宋体" w:hAnsi="宋体" w:eastAsia="宋体" w:cs="宋体"/>
          <w:color w:val="auto"/>
          <w:spacing w:val="4"/>
          <w:sz w:val="22"/>
          <w:szCs w:val="22"/>
          <w:highlight w:val="none"/>
          <w:u w:val="single" w:color="auto"/>
        </w:rPr>
        <w:t xml:space="preserve"> </w:t>
      </w:r>
      <w:r>
        <w:rPr>
          <w:rFonts w:ascii="宋体" w:hAnsi="宋体" w:eastAsia="宋体" w:cs="宋体"/>
          <w:color w:val="auto"/>
          <w:spacing w:val="-96"/>
          <w:sz w:val="22"/>
          <w:szCs w:val="22"/>
          <w:highlight w:val="none"/>
        </w:rPr>
        <w:t xml:space="preserve"> </w:t>
      </w:r>
      <w:r>
        <w:rPr>
          <w:rFonts w:ascii="宋体" w:hAnsi="宋体" w:eastAsia="宋体" w:cs="宋体"/>
          <w:color w:val="auto"/>
          <w:spacing w:val="5"/>
          <w:sz w:val="22"/>
          <w:szCs w:val="22"/>
          <w:highlight w:val="none"/>
        </w:rPr>
        <w:t>名监理人员，且所安排人员应</w:t>
      </w:r>
      <w:r>
        <w:rPr>
          <w:rFonts w:ascii="宋体" w:hAnsi="宋体" w:eastAsia="宋体" w:cs="宋体"/>
          <w:color w:val="auto"/>
          <w:spacing w:val="-2"/>
          <w:sz w:val="22"/>
          <w:szCs w:val="22"/>
          <w:highlight w:val="none"/>
        </w:rPr>
        <w:t>到岗到位，不得随意更换。</w:t>
      </w:r>
    </w:p>
    <w:p w14:paraId="0B42553C">
      <w:pPr>
        <w:spacing w:before="168" w:line="312" w:lineRule="auto"/>
        <w:ind w:left="10" w:right="150" w:firstLine="43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4.5.9</w:t>
      </w:r>
      <w:r>
        <w:rPr>
          <w:rFonts w:ascii="宋体" w:hAnsi="宋体" w:eastAsia="宋体" w:cs="宋体"/>
          <w:color w:val="auto"/>
          <w:spacing w:val="-39"/>
          <w:sz w:val="22"/>
          <w:szCs w:val="22"/>
          <w:highlight w:val="none"/>
        </w:rPr>
        <w:t xml:space="preserve"> </w:t>
      </w:r>
      <w:r>
        <w:rPr>
          <w:rFonts w:ascii="宋体" w:hAnsi="宋体" w:eastAsia="宋体" w:cs="宋体"/>
          <w:color w:val="auto"/>
          <w:spacing w:val="2"/>
          <w:sz w:val="22"/>
          <w:szCs w:val="22"/>
          <w:highlight w:val="none"/>
        </w:rPr>
        <w:t>监理人应根据广东省交通运输厅关于加强交通建设工程从业人员实名制管理和作业</w:t>
      </w:r>
      <w:r>
        <w:rPr>
          <w:rFonts w:ascii="宋体" w:hAnsi="宋体" w:eastAsia="宋体" w:cs="宋体"/>
          <w:color w:val="auto"/>
          <w:spacing w:val="1"/>
          <w:sz w:val="22"/>
          <w:szCs w:val="22"/>
          <w:highlight w:val="none"/>
        </w:rPr>
        <w:t>工人工资支付管理的通知（</w:t>
      </w:r>
      <w:r>
        <w:rPr>
          <w:rFonts w:ascii="宋体" w:hAnsi="宋体" w:eastAsia="宋体" w:cs="宋体"/>
          <w:color w:val="auto"/>
          <w:spacing w:val="48"/>
          <w:sz w:val="22"/>
          <w:szCs w:val="22"/>
          <w:highlight w:val="none"/>
        </w:rPr>
        <w:t xml:space="preserve"> </w:t>
      </w:r>
      <w:r>
        <w:rPr>
          <w:rFonts w:ascii="宋体" w:hAnsi="宋体" w:eastAsia="宋体" w:cs="宋体"/>
          <w:color w:val="auto"/>
          <w:spacing w:val="1"/>
          <w:sz w:val="22"/>
          <w:szCs w:val="22"/>
          <w:highlight w:val="none"/>
        </w:rPr>
        <w:t>粤交基函〔 2020〕</w:t>
      </w:r>
      <w:r>
        <w:rPr>
          <w:rFonts w:ascii="宋体" w:hAnsi="宋体" w:eastAsia="宋体" w:cs="宋体"/>
          <w:color w:val="auto"/>
          <w:spacing w:val="36"/>
          <w:sz w:val="22"/>
          <w:szCs w:val="22"/>
          <w:highlight w:val="none"/>
        </w:rPr>
        <w:t xml:space="preserve"> </w:t>
      </w:r>
      <w:r>
        <w:rPr>
          <w:rFonts w:ascii="宋体" w:hAnsi="宋体" w:eastAsia="宋体" w:cs="宋体"/>
          <w:color w:val="auto"/>
          <w:spacing w:val="1"/>
          <w:sz w:val="22"/>
          <w:szCs w:val="22"/>
          <w:highlight w:val="none"/>
        </w:rPr>
        <w:t>177 号</w:t>
      </w:r>
      <w:r>
        <w:rPr>
          <w:rFonts w:ascii="宋体" w:hAnsi="宋体" w:eastAsia="宋体" w:cs="宋体"/>
          <w:color w:val="auto"/>
          <w:sz w:val="22"/>
          <w:szCs w:val="22"/>
          <w:highlight w:val="none"/>
        </w:rPr>
        <w:t>）</w:t>
      </w:r>
      <w:r>
        <w:rPr>
          <w:rFonts w:ascii="宋体" w:hAnsi="宋体" w:eastAsia="宋体" w:cs="宋体"/>
          <w:color w:val="auto"/>
          <w:spacing w:val="37"/>
          <w:sz w:val="22"/>
          <w:szCs w:val="22"/>
          <w:highlight w:val="none"/>
        </w:rPr>
        <w:t xml:space="preserve"> </w:t>
      </w:r>
      <w:r>
        <w:rPr>
          <w:rFonts w:ascii="宋体" w:hAnsi="宋体" w:eastAsia="宋体" w:cs="宋体"/>
          <w:color w:val="auto"/>
          <w:sz w:val="22"/>
          <w:szCs w:val="22"/>
          <w:highlight w:val="none"/>
        </w:rPr>
        <w:t>的要求， 做好从业人员实名制管</w:t>
      </w:r>
      <w:r>
        <w:rPr>
          <w:rFonts w:ascii="宋体" w:hAnsi="宋体" w:eastAsia="宋体" w:cs="宋体"/>
          <w:color w:val="auto"/>
          <w:spacing w:val="-1"/>
          <w:sz w:val="22"/>
          <w:szCs w:val="22"/>
          <w:highlight w:val="none"/>
        </w:rPr>
        <w:t>理要求， 具体要求根据委托人发布的相关办法执行。</w:t>
      </w:r>
    </w:p>
    <w:p w14:paraId="39D2E1D5">
      <w:pPr>
        <w:spacing w:before="168" w:line="289" w:lineRule="auto"/>
        <w:ind w:left="49" w:right="152" w:firstLine="39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4.5.10 委托人可批准部分未持有交通运输部监理</w:t>
      </w:r>
      <w:r>
        <w:rPr>
          <w:rFonts w:ascii="宋体" w:hAnsi="宋体" w:eastAsia="宋体" w:cs="宋体"/>
          <w:color w:val="auto"/>
          <w:spacing w:val="3"/>
          <w:sz w:val="22"/>
          <w:szCs w:val="22"/>
          <w:highlight w:val="none"/>
        </w:rPr>
        <w:t>工程师证人员以专业工程师身份进入项</w:t>
      </w:r>
      <w:r>
        <w:rPr>
          <w:rFonts w:ascii="宋体" w:hAnsi="宋体" w:eastAsia="宋体" w:cs="宋体"/>
          <w:color w:val="auto"/>
          <w:spacing w:val="-2"/>
          <w:sz w:val="22"/>
          <w:szCs w:val="22"/>
          <w:highlight w:val="none"/>
        </w:rPr>
        <w:t>目执业，书面批复并明确其在项目内的职权范围。比例不超</w:t>
      </w:r>
      <w:r>
        <w:rPr>
          <w:rFonts w:ascii="宋体" w:hAnsi="宋体" w:eastAsia="宋体" w:cs="宋体"/>
          <w:color w:val="auto"/>
          <w:spacing w:val="-42"/>
          <w:sz w:val="22"/>
          <w:szCs w:val="22"/>
          <w:highlight w:val="none"/>
        </w:rPr>
        <w:t xml:space="preserve"> </w:t>
      </w:r>
      <w:r>
        <w:rPr>
          <w:rFonts w:ascii="宋体" w:hAnsi="宋体" w:eastAsia="宋体" w:cs="宋体"/>
          <w:color w:val="auto"/>
          <w:spacing w:val="-2"/>
          <w:sz w:val="22"/>
          <w:szCs w:val="22"/>
          <w:highlight w:val="none"/>
        </w:rPr>
        <w:t>30</w:t>
      </w:r>
      <w:r>
        <w:rPr>
          <w:rFonts w:ascii="宋体" w:hAnsi="宋体" w:eastAsia="宋体" w:cs="宋体"/>
          <w:color w:val="auto"/>
          <w:spacing w:val="-3"/>
          <w:sz w:val="22"/>
          <w:szCs w:val="22"/>
          <w:highlight w:val="none"/>
        </w:rPr>
        <w:t>%。</w:t>
      </w:r>
    </w:p>
    <w:p w14:paraId="2F69860F">
      <w:pPr>
        <w:spacing w:before="166" w:line="219" w:lineRule="auto"/>
        <w:ind w:left="448"/>
        <w:rPr>
          <w:rFonts w:ascii="宋体" w:hAnsi="宋体" w:eastAsia="宋体" w:cs="宋体"/>
          <w:color w:val="auto"/>
          <w:sz w:val="22"/>
          <w:szCs w:val="22"/>
          <w:highlight w:val="none"/>
        </w:rPr>
      </w:pPr>
      <w:r>
        <w:rPr>
          <w:rFonts w:ascii="宋体" w:hAnsi="宋体" w:eastAsia="宋体" w:cs="宋体"/>
          <w:color w:val="auto"/>
          <w:sz w:val="22"/>
          <w:szCs w:val="22"/>
          <w:highlight w:val="none"/>
        </w:rPr>
        <w:t>4.5.11 监理机构应制定监理人员培训方案，培</w:t>
      </w:r>
      <w:r>
        <w:rPr>
          <w:rFonts w:ascii="宋体" w:hAnsi="宋体" w:eastAsia="宋体" w:cs="宋体"/>
          <w:color w:val="auto"/>
          <w:spacing w:val="-1"/>
          <w:sz w:val="22"/>
          <w:szCs w:val="22"/>
          <w:highlight w:val="none"/>
        </w:rPr>
        <w:t>训内容应包括：</w:t>
      </w:r>
    </w:p>
    <w:p w14:paraId="2A8551F1">
      <w:pPr>
        <w:spacing w:before="168" w:line="220" w:lineRule="auto"/>
        <w:ind w:left="45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a）相关法律法规、规范及指南；</w:t>
      </w:r>
    </w:p>
    <w:p w14:paraId="680FBD0E">
      <w:pPr>
        <w:spacing w:before="165" w:line="220" w:lineRule="auto"/>
        <w:ind w:left="445"/>
        <w:rPr>
          <w:rFonts w:ascii="宋体" w:hAnsi="宋体" w:eastAsia="宋体" w:cs="宋体"/>
          <w:color w:val="auto"/>
          <w:sz w:val="22"/>
          <w:szCs w:val="22"/>
          <w:highlight w:val="none"/>
        </w:rPr>
      </w:pPr>
      <w:bookmarkStart w:id="238" w:name="bookmark144"/>
      <w:bookmarkEnd w:id="238"/>
      <w:r>
        <w:rPr>
          <w:rFonts w:ascii="宋体" w:hAnsi="宋体" w:eastAsia="宋体" w:cs="宋体"/>
          <w:color w:val="auto"/>
          <w:sz w:val="22"/>
          <w:szCs w:val="22"/>
          <w:highlight w:val="none"/>
        </w:rPr>
        <w:t>b）监理基础知识、专业技术知识，分部分项工程质量安全</w:t>
      </w:r>
      <w:r>
        <w:rPr>
          <w:rFonts w:ascii="宋体" w:hAnsi="宋体" w:eastAsia="宋体" w:cs="宋体"/>
          <w:color w:val="auto"/>
          <w:spacing w:val="-1"/>
          <w:sz w:val="22"/>
          <w:szCs w:val="22"/>
          <w:highlight w:val="none"/>
        </w:rPr>
        <w:t>监理要点；</w:t>
      </w:r>
    </w:p>
    <w:p w14:paraId="4701C6F2">
      <w:pPr>
        <w:spacing w:before="44" w:line="289" w:lineRule="auto"/>
        <w:ind w:left="2" w:right="118" w:firstLine="445"/>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c）项目建设目标、建设理念、项目管理要求或建设单位下发的项</w:t>
      </w:r>
      <w:r>
        <w:rPr>
          <w:rFonts w:ascii="宋体" w:hAnsi="宋体" w:eastAsia="宋体" w:cs="宋体"/>
          <w:color w:val="auto"/>
          <w:spacing w:val="3"/>
          <w:sz w:val="22"/>
          <w:szCs w:val="22"/>
          <w:highlight w:val="none"/>
        </w:rPr>
        <w:t>目管理办法、工程特点</w:t>
      </w:r>
      <w:r>
        <w:rPr>
          <w:rFonts w:ascii="宋体" w:hAnsi="宋体" w:eastAsia="宋体" w:cs="宋体"/>
          <w:color w:val="auto"/>
          <w:sz w:val="22"/>
          <w:szCs w:val="22"/>
          <w:highlight w:val="none"/>
        </w:rPr>
        <w:t>和施工图设计文件，总体施工组织设计、承包人项目管理方案</w:t>
      </w:r>
      <w:r>
        <w:rPr>
          <w:rFonts w:ascii="宋体" w:hAnsi="宋体" w:eastAsia="宋体" w:cs="宋体"/>
          <w:color w:val="auto"/>
          <w:spacing w:val="-1"/>
          <w:sz w:val="22"/>
          <w:szCs w:val="22"/>
          <w:highlight w:val="none"/>
        </w:rPr>
        <w:t>及专项施工方案等；</w:t>
      </w:r>
    </w:p>
    <w:p w14:paraId="18C30CDC">
      <w:pPr>
        <w:spacing w:before="167" w:line="221" w:lineRule="auto"/>
        <w:ind w:left="44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d）其他方面。</w:t>
      </w:r>
    </w:p>
    <w:p w14:paraId="14F22DA3">
      <w:pPr>
        <w:spacing w:line="300" w:lineRule="auto"/>
        <w:rPr>
          <w:rFonts w:ascii="Arial"/>
          <w:color w:val="auto"/>
          <w:sz w:val="21"/>
          <w:highlight w:val="none"/>
        </w:rPr>
      </w:pPr>
    </w:p>
    <w:p w14:paraId="7A9042F9">
      <w:pPr>
        <w:spacing w:line="301" w:lineRule="auto"/>
        <w:rPr>
          <w:rFonts w:ascii="Arial"/>
          <w:color w:val="auto"/>
          <w:sz w:val="21"/>
          <w:highlight w:val="none"/>
        </w:rPr>
      </w:pPr>
    </w:p>
    <w:p w14:paraId="621A00DA">
      <w:pPr>
        <w:spacing w:before="78" w:line="219" w:lineRule="auto"/>
        <w:ind w:left="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4.6</w:t>
      </w:r>
      <w:r>
        <w:rPr>
          <w:rFonts w:ascii="宋体" w:hAnsi="宋体" w:eastAsia="宋体" w:cs="宋体"/>
          <w:color w:val="auto"/>
          <w:spacing w:val="-48"/>
          <w:sz w:val="24"/>
          <w:szCs w:val="24"/>
          <w:highlight w:val="none"/>
        </w:rPr>
        <w:t xml:space="preserve"> </w:t>
      </w:r>
      <w:r>
        <w:rPr>
          <w:rFonts w:ascii="宋体" w:hAnsi="宋体" w:eastAsia="宋体" w:cs="宋体"/>
          <w:b/>
          <w:bCs/>
          <w:color w:val="auto"/>
          <w:spacing w:val="-3"/>
          <w:sz w:val="24"/>
          <w:szCs w:val="24"/>
          <w:highlight w:val="none"/>
        </w:rPr>
        <w:t>撤换总监理工程师和其他人员</w:t>
      </w:r>
    </w:p>
    <w:p w14:paraId="5FC1AC45">
      <w:pPr>
        <w:spacing w:before="175" w:line="220" w:lineRule="auto"/>
        <w:ind w:left="44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在</w:t>
      </w:r>
      <w:r>
        <w:rPr>
          <w:rFonts w:ascii="宋体" w:hAnsi="宋体" w:eastAsia="宋体" w:cs="宋体"/>
          <w:color w:val="auto"/>
          <w:spacing w:val="-48"/>
          <w:sz w:val="22"/>
          <w:szCs w:val="22"/>
          <w:highlight w:val="none"/>
        </w:rPr>
        <w:t xml:space="preserve"> </w:t>
      </w:r>
      <w:r>
        <w:rPr>
          <w:rFonts w:ascii="宋体" w:hAnsi="宋体" w:eastAsia="宋体" w:cs="宋体"/>
          <w:color w:val="auto"/>
          <w:spacing w:val="-2"/>
          <w:sz w:val="22"/>
          <w:szCs w:val="22"/>
          <w:highlight w:val="none"/>
        </w:rPr>
        <w:t>4.6</w:t>
      </w:r>
      <w:r>
        <w:rPr>
          <w:rFonts w:ascii="宋体" w:hAnsi="宋体" w:eastAsia="宋体" w:cs="宋体"/>
          <w:color w:val="auto"/>
          <w:spacing w:val="-43"/>
          <w:sz w:val="22"/>
          <w:szCs w:val="22"/>
          <w:highlight w:val="none"/>
        </w:rPr>
        <w:t xml:space="preserve"> </w:t>
      </w:r>
      <w:r>
        <w:rPr>
          <w:rFonts w:ascii="宋体" w:hAnsi="宋体" w:eastAsia="宋体" w:cs="宋体"/>
          <w:color w:val="auto"/>
          <w:spacing w:val="-2"/>
          <w:sz w:val="22"/>
          <w:szCs w:val="22"/>
          <w:highlight w:val="none"/>
        </w:rPr>
        <w:t>项段后增加如下内容：</w:t>
      </w:r>
    </w:p>
    <w:p w14:paraId="0DF37F47">
      <w:pPr>
        <w:spacing w:before="166" w:line="360" w:lineRule="auto"/>
        <w:ind w:left="1" w:firstLine="44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尽管监理人已按投标文件中的人员进场计划派遣了监理人员，但若委托人认为现场监理人员仍不足以满足施工监理服务的需要而影响了对工程质量及进度的监控时，委托人有权要求监</w:t>
      </w:r>
      <w:r>
        <w:rPr>
          <w:rFonts w:ascii="宋体" w:hAnsi="宋体" w:eastAsia="宋体" w:cs="宋体"/>
          <w:color w:val="auto"/>
          <w:spacing w:val="-1"/>
          <w:sz w:val="22"/>
          <w:szCs w:val="22"/>
          <w:highlight w:val="none"/>
        </w:rPr>
        <w:t>理人另外增派或雇用监理人员。监理人在接到通知后应</w:t>
      </w:r>
      <w:r>
        <w:rPr>
          <w:rFonts w:ascii="宋体" w:hAnsi="宋体" w:eastAsia="宋体" w:cs="宋体"/>
          <w:color w:val="auto"/>
          <w:spacing w:val="-2"/>
          <w:sz w:val="22"/>
          <w:szCs w:val="22"/>
          <w:highlight w:val="none"/>
        </w:rPr>
        <w:t>立即执行委托人的指示，不得无故拖延，</w:t>
      </w:r>
      <w:r>
        <w:rPr>
          <w:rFonts w:ascii="宋体" w:hAnsi="宋体" w:eastAsia="宋体" w:cs="宋体"/>
          <w:color w:val="auto"/>
          <w:spacing w:val="1"/>
          <w:sz w:val="22"/>
          <w:szCs w:val="22"/>
          <w:highlight w:val="none"/>
        </w:rPr>
        <w:t>同时委托人也有权要求监理人减少监理人员。如监理人因此在投标报价的现场监理人员费用总</w:t>
      </w:r>
      <w:r>
        <w:rPr>
          <w:rFonts w:ascii="宋体" w:hAnsi="宋体" w:eastAsia="宋体" w:cs="宋体"/>
          <w:color w:val="auto"/>
          <w:sz w:val="22"/>
          <w:szCs w:val="22"/>
          <w:highlight w:val="none"/>
        </w:rPr>
        <w:t>额上需增减费用，则增加部分由委托人承担，减</w:t>
      </w:r>
      <w:r>
        <w:rPr>
          <w:rFonts w:ascii="宋体" w:hAnsi="宋体" w:eastAsia="宋体" w:cs="宋体"/>
          <w:color w:val="auto"/>
          <w:spacing w:val="-1"/>
          <w:sz w:val="22"/>
          <w:szCs w:val="22"/>
          <w:highlight w:val="none"/>
        </w:rPr>
        <w:t>少部分归委托人所有。</w:t>
      </w:r>
    </w:p>
    <w:p w14:paraId="4A8BA6E9">
      <w:pPr>
        <w:spacing w:line="322" w:lineRule="auto"/>
        <w:rPr>
          <w:rFonts w:ascii="Arial"/>
          <w:color w:val="auto"/>
          <w:sz w:val="21"/>
          <w:highlight w:val="none"/>
        </w:rPr>
      </w:pPr>
    </w:p>
    <w:p w14:paraId="7E92F2F1">
      <w:pPr>
        <w:spacing w:before="78" w:line="221" w:lineRule="auto"/>
        <w:ind w:left="7"/>
        <w:outlineLvl w:val="1"/>
        <w:rPr>
          <w:rFonts w:ascii="宋体" w:hAnsi="宋体" w:eastAsia="宋体" w:cs="宋体"/>
          <w:color w:val="auto"/>
          <w:sz w:val="24"/>
          <w:szCs w:val="24"/>
          <w:highlight w:val="none"/>
        </w:rPr>
      </w:pPr>
      <w:bookmarkStart w:id="239" w:name="_Toc4735"/>
      <w:bookmarkStart w:id="240" w:name="_Toc19124"/>
      <w:r>
        <w:rPr>
          <w:rFonts w:ascii="宋体" w:hAnsi="宋体" w:eastAsia="宋体" w:cs="宋体"/>
          <w:b/>
          <w:bCs/>
          <w:color w:val="auto"/>
          <w:spacing w:val="-6"/>
          <w:sz w:val="24"/>
          <w:szCs w:val="24"/>
          <w:highlight w:val="none"/>
        </w:rPr>
        <w:t>5.</w:t>
      </w:r>
      <w:r>
        <w:rPr>
          <w:rFonts w:ascii="宋体" w:hAnsi="宋体" w:eastAsia="宋体" w:cs="宋体"/>
          <w:color w:val="auto"/>
          <w:spacing w:val="10"/>
          <w:sz w:val="24"/>
          <w:szCs w:val="24"/>
          <w:highlight w:val="none"/>
        </w:rPr>
        <w:t xml:space="preserve"> </w:t>
      </w:r>
      <w:r>
        <w:rPr>
          <w:rFonts w:ascii="宋体" w:hAnsi="宋体" w:eastAsia="宋体" w:cs="宋体"/>
          <w:b/>
          <w:bCs/>
          <w:color w:val="auto"/>
          <w:spacing w:val="-6"/>
          <w:sz w:val="24"/>
          <w:szCs w:val="24"/>
          <w:highlight w:val="none"/>
        </w:rPr>
        <w:t>监理要求</w:t>
      </w:r>
      <w:bookmarkEnd w:id="239"/>
      <w:bookmarkEnd w:id="240"/>
    </w:p>
    <w:p w14:paraId="3E357C2B">
      <w:pPr>
        <w:spacing w:before="289" w:line="220" w:lineRule="auto"/>
        <w:ind w:left="7"/>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5.1</w:t>
      </w:r>
      <w:r>
        <w:rPr>
          <w:rFonts w:ascii="宋体" w:hAnsi="宋体" w:eastAsia="宋体" w:cs="宋体"/>
          <w:color w:val="auto"/>
          <w:spacing w:val="16"/>
          <w:sz w:val="24"/>
          <w:szCs w:val="24"/>
          <w:highlight w:val="none"/>
        </w:rPr>
        <w:t xml:space="preserve"> </w:t>
      </w:r>
      <w:r>
        <w:rPr>
          <w:rFonts w:ascii="宋体" w:hAnsi="宋体" w:eastAsia="宋体" w:cs="宋体"/>
          <w:b/>
          <w:bCs/>
          <w:color w:val="auto"/>
          <w:spacing w:val="-6"/>
          <w:sz w:val="24"/>
          <w:szCs w:val="24"/>
          <w:highlight w:val="none"/>
        </w:rPr>
        <w:t>监理范围</w:t>
      </w:r>
    </w:p>
    <w:p w14:paraId="157AC4FE">
      <w:pPr>
        <w:spacing w:before="177" w:line="360" w:lineRule="auto"/>
        <w:ind w:left="7" w:leftChars="0" w:firstLine="440" w:firstLineChars="200"/>
        <w:rPr>
          <w:rFonts w:ascii="宋体" w:hAnsi="宋体" w:eastAsia="宋体" w:cs="宋体"/>
          <w:color w:val="auto"/>
          <w:sz w:val="22"/>
          <w:szCs w:val="22"/>
          <w:highlight w:val="none"/>
        </w:rPr>
      </w:pPr>
      <w:r>
        <w:rPr>
          <w:rFonts w:ascii="宋体" w:hAnsi="宋体" w:eastAsia="宋体" w:cs="宋体"/>
          <w:color w:val="auto"/>
          <w:sz w:val="22"/>
          <w:szCs w:val="22"/>
          <w:highlight w:val="none"/>
        </w:rPr>
        <w:t>5.1.2 工程范围包括：</w:t>
      </w:r>
      <w:r>
        <w:rPr>
          <w:rFonts w:ascii="宋体" w:hAnsi="宋体" w:eastAsia="宋体" w:cs="宋体"/>
          <w:color w:val="auto"/>
          <w:sz w:val="22"/>
          <w:szCs w:val="22"/>
          <w:highlight w:val="none"/>
          <w:u w:val="single" w:color="auto"/>
        </w:rPr>
        <w:t xml:space="preserve"> </w:t>
      </w:r>
      <w:r>
        <w:rPr>
          <w:rFonts w:hint="default" w:ascii="宋体" w:hAnsi="宋体" w:eastAsia="宋体" w:cs="宋体"/>
          <w:color w:val="auto"/>
          <w:sz w:val="22"/>
          <w:szCs w:val="22"/>
          <w:highlight w:val="none"/>
          <w:u w:val="single" w:color="auto"/>
          <w:lang w:val="en-US" w:eastAsia="zh-CN"/>
        </w:rPr>
        <w:t>本项目路线全长9.703公里，主要内容为:路基土石方344165m</w:t>
      </w:r>
      <w:r>
        <w:rPr>
          <w:rFonts w:hint="default" w:ascii="宋体" w:hAnsi="宋体" w:eastAsia="宋体" w:cs="宋体"/>
          <w:color w:val="auto"/>
          <w:sz w:val="22"/>
          <w:szCs w:val="22"/>
          <w:highlight w:val="none"/>
          <w:u w:val="single" w:color="auto"/>
          <w:vertAlign w:val="superscript"/>
          <w:lang w:val="en-US" w:eastAsia="zh-CN"/>
        </w:rPr>
        <w:t>3</w:t>
      </w:r>
      <w:r>
        <w:rPr>
          <w:rFonts w:hint="default" w:ascii="宋体" w:hAnsi="宋体" w:eastAsia="宋体" w:cs="宋体"/>
          <w:color w:val="auto"/>
          <w:sz w:val="22"/>
          <w:szCs w:val="22"/>
          <w:highlight w:val="none"/>
          <w:u w:val="single" w:color="auto"/>
          <w:lang w:val="en-US" w:eastAsia="zh-CN"/>
        </w:rPr>
        <w:t>,路面工程69330m</w:t>
      </w:r>
      <w:r>
        <w:rPr>
          <w:rFonts w:hint="eastAsia" w:ascii="宋体" w:hAnsi="宋体" w:eastAsia="宋体" w:cs="宋体"/>
          <w:color w:val="auto"/>
          <w:sz w:val="22"/>
          <w:szCs w:val="22"/>
          <w:highlight w:val="none"/>
          <w:u w:val="single" w:color="auto"/>
          <w:vertAlign w:val="superscript"/>
          <w:lang w:val="en-US" w:eastAsia="zh-CN"/>
        </w:rPr>
        <w:t>2</w:t>
      </w:r>
      <w:r>
        <w:rPr>
          <w:rFonts w:hint="default" w:ascii="宋体" w:hAnsi="宋体" w:eastAsia="宋体" w:cs="宋体"/>
          <w:color w:val="auto"/>
          <w:sz w:val="22"/>
          <w:szCs w:val="22"/>
          <w:highlight w:val="none"/>
          <w:u w:val="single" w:color="auto"/>
          <w:lang w:val="en-US" w:eastAsia="zh-CN"/>
        </w:rPr>
        <w:t>，挡土墙26232.9m</w:t>
      </w:r>
      <w:r>
        <w:rPr>
          <w:rFonts w:hint="default" w:ascii="宋体" w:hAnsi="宋体" w:eastAsia="宋体" w:cs="宋体"/>
          <w:color w:val="auto"/>
          <w:sz w:val="22"/>
          <w:szCs w:val="22"/>
          <w:highlight w:val="none"/>
          <w:u w:val="single" w:color="auto"/>
          <w:vertAlign w:val="superscript"/>
          <w:lang w:val="en-US" w:eastAsia="zh-CN"/>
        </w:rPr>
        <w:t>3</w:t>
      </w:r>
      <w:r>
        <w:rPr>
          <w:rFonts w:hint="default" w:ascii="宋体" w:hAnsi="宋体" w:eastAsia="宋体" w:cs="宋体"/>
          <w:color w:val="auto"/>
          <w:sz w:val="22"/>
          <w:szCs w:val="22"/>
          <w:highlight w:val="none"/>
          <w:u w:val="single" w:color="auto"/>
          <w:lang w:val="en-US" w:eastAsia="zh-CN"/>
        </w:rPr>
        <w:t>，排水与防护工程9.703公里，新建小桥53.4m/2座，中桥71m/1座，涵洞45道，等级路平面交叉2处，与等外路交叉5处。采用三级公路</w:t>
      </w:r>
      <w:r>
        <w:rPr>
          <w:rFonts w:hint="eastAsia" w:ascii="宋体" w:hAnsi="宋体" w:eastAsia="宋体" w:cs="宋体"/>
          <w:color w:val="auto"/>
          <w:sz w:val="22"/>
          <w:szCs w:val="22"/>
          <w:highlight w:val="none"/>
          <w:u w:val="single" w:color="auto"/>
          <w:lang w:val="en-US" w:eastAsia="zh-CN"/>
        </w:rPr>
        <w:t>技术</w:t>
      </w:r>
      <w:r>
        <w:rPr>
          <w:rFonts w:hint="default" w:ascii="宋体" w:hAnsi="宋体" w:eastAsia="宋体" w:cs="宋体"/>
          <w:color w:val="auto"/>
          <w:sz w:val="22"/>
          <w:szCs w:val="22"/>
          <w:highlight w:val="none"/>
          <w:u w:val="single" w:color="auto"/>
          <w:lang w:val="en-US" w:eastAsia="zh-CN"/>
        </w:rPr>
        <w:t>标准</w:t>
      </w:r>
      <w:r>
        <w:rPr>
          <w:rFonts w:hint="eastAsia" w:ascii="宋体" w:hAnsi="宋体" w:eastAsia="宋体" w:cs="宋体"/>
          <w:color w:val="auto"/>
          <w:sz w:val="22"/>
          <w:szCs w:val="22"/>
          <w:highlight w:val="none"/>
          <w:u w:val="single" w:color="auto"/>
          <w:lang w:val="en-US" w:eastAsia="zh-CN"/>
        </w:rPr>
        <w:t>建设</w:t>
      </w:r>
      <w:r>
        <w:rPr>
          <w:rFonts w:hint="default" w:ascii="宋体" w:hAnsi="宋体" w:eastAsia="宋体" w:cs="宋体"/>
          <w:color w:val="auto"/>
          <w:sz w:val="22"/>
          <w:szCs w:val="22"/>
          <w:highlight w:val="none"/>
          <w:u w:val="single" w:color="auto"/>
          <w:lang w:val="en-US" w:eastAsia="zh-CN"/>
        </w:rPr>
        <w:t>。</w:t>
      </w:r>
    </w:p>
    <w:p w14:paraId="41841AE4">
      <w:pPr>
        <w:spacing w:before="166" w:line="360" w:lineRule="auto"/>
        <w:ind w:left="7" w:leftChars="0" w:firstLine="438" w:firstLineChars="20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5.1.3 阶段范围包括：</w:t>
      </w:r>
      <w:r>
        <w:rPr>
          <w:rFonts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rPr>
        <w:t>施工准备阶段、施工阶段、交(竣)工验收及缺陷责任期阶段的施工监理、施工安全的监理</w:t>
      </w:r>
      <w:r>
        <w:rPr>
          <w:rFonts w:ascii="宋体" w:hAnsi="宋体" w:eastAsia="宋体" w:cs="宋体"/>
          <w:color w:val="auto"/>
          <w:sz w:val="22"/>
          <w:szCs w:val="22"/>
          <w:highlight w:val="none"/>
          <w:u w:val="single" w:color="auto"/>
        </w:rPr>
        <w:t xml:space="preserve"> </w:t>
      </w:r>
      <w:r>
        <w:rPr>
          <w:rFonts w:ascii="宋体" w:hAnsi="宋体" w:eastAsia="宋体" w:cs="宋体"/>
          <w:color w:val="auto"/>
          <w:spacing w:val="-2"/>
          <w:sz w:val="22"/>
          <w:szCs w:val="22"/>
          <w:highlight w:val="none"/>
        </w:rPr>
        <w:t>。</w:t>
      </w:r>
    </w:p>
    <w:p w14:paraId="466FA100">
      <w:pPr>
        <w:spacing w:before="164" w:line="360" w:lineRule="auto"/>
        <w:ind w:left="0" w:leftChars="0" w:firstLine="418" w:firstLineChars="190"/>
        <w:rPr>
          <w:rFonts w:hint="eastAsia" w:ascii="宋体" w:hAnsi="宋体" w:eastAsia="宋体" w:cs="宋体"/>
          <w:color w:val="auto"/>
          <w:sz w:val="22"/>
          <w:szCs w:val="22"/>
          <w:highlight w:val="none"/>
          <w:u w:val="single" w:color="auto"/>
        </w:rPr>
      </w:pPr>
      <w:r>
        <w:rPr>
          <w:rFonts w:ascii="宋体" w:hAnsi="宋体" w:eastAsia="宋体" w:cs="宋体"/>
          <w:color w:val="auto"/>
          <w:sz w:val="22"/>
          <w:szCs w:val="22"/>
          <w:highlight w:val="none"/>
        </w:rPr>
        <w:t>5.1.4 工作范围包括：</w:t>
      </w:r>
      <w:r>
        <w:rPr>
          <w:rFonts w:hint="eastAsia" w:ascii="宋体" w:hAnsi="宋体" w:eastAsia="宋体" w:cs="宋体"/>
          <w:color w:val="auto"/>
          <w:sz w:val="22"/>
          <w:szCs w:val="22"/>
          <w:highlight w:val="none"/>
          <w:u w:val="single" w:color="auto"/>
        </w:rPr>
        <w:t>里程范围内的路基、桥涵、路面、隧道、绿化、交通安全设施及沿线附属设施等的施工准备阶段、施工阶段、交(竣)工验收及缺陷责任期阶段的施工监理 、施工安全的监理、交通组织监理，项目的环境保护、水土保持的监理，参建各方竣工档案编制工作的监理， 以及配合业主交、竣工验收和配合业主竣工验收前的结算与决算的有关工作 。</w:t>
      </w:r>
    </w:p>
    <w:p w14:paraId="2A0F56E8">
      <w:pPr>
        <w:spacing w:line="329" w:lineRule="auto"/>
        <w:rPr>
          <w:rFonts w:ascii="Arial"/>
          <w:color w:val="auto"/>
          <w:sz w:val="21"/>
          <w:highlight w:val="none"/>
        </w:rPr>
      </w:pPr>
    </w:p>
    <w:p w14:paraId="1FCD407C">
      <w:pPr>
        <w:spacing w:before="79" w:line="219" w:lineRule="auto"/>
        <w:ind w:left="7"/>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5.3</w:t>
      </w:r>
      <w:r>
        <w:rPr>
          <w:rFonts w:ascii="宋体" w:hAnsi="宋体" w:eastAsia="宋体" w:cs="宋体"/>
          <w:color w:val="auto"/>
          <w:spacing w:val="16"/>
          <w:sz w:val="24"/>
          <w:szCs w:val="24"/>
          <w:highlight w:val="none"/>
        </w:rPr>
        <w:t xml:space="preserve"> </w:t>
      </w:r>
      <w:r>
        <w:rPr>
          <w:rFonts w:ascii="宋体" w:hAnsi="宋体" w:eastAsia="宋体" w:cs="宋体"/>
          <w:b/>
          <w:bCs/>
          <w:color w:val="auto"/>
          <w:spacing w:val="-6"/>
          <w:sz w:val="24"/>
          <w:szCs w:val="24"/>
          <w:highlight w:val="none"/>
        </w:rPr>
        <w:t>监理内容</w:t>
      </w:r>
    </w:p>
    <w:p w14:paraId="5F199CE1">
      <w:pPr>
        <w:spacing w:before="175" w:line="228" w:lineRule="auto"/>
        <w:ind w:left="472"/>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（以下适用于二级监理管理的情形）</w:t>
      </w:r>
    </w:p>
    <w:p w14:paraId="257624E0">
      <w:pPr>
        <w:spacing w:before="162" w:line="359" w:lineRule="auto"/>
        <w:ind w:right="115" w:firstLine="442"/>
        <w:jc w:val="both"/>
        <w:rPr>
          <w:rFonts w:ascii="宋体" w:hAnsi="宋体" w:eastAsia="宋体" w:cs="宋体"/>
          <w:color w:val="auto"/>
          <w:sz w:val="22"/>
          <w:szCs w:val="22"/>
          <w:highlight w:val="none"/>
        </w:rPr>
      </w:pPr>
      <w:r>
        <w:rPr>
          <w:rFonts w:ascii="宋体" w:hAnsi="宋体" w:eastAsia="宋体" w:cs="宋体"/>
          <w:color w:val="auto"/>
          <w:spacing w:val="2"/>
          <w:sz w:val="20"/>
          <w:szCs w:val="20"/>
          <w:highlight w:val="none"/>
        </w:rPr>
        <w:t>□</w:t>
      </w:r>
      <w:r>
        <w:rPr>
          <w:rFonts w:ascii="宋体" w:hAnsi="宋体" w:eastAsia="宋体" w:cs="宋体"/>
          <w:color w:val="auto"/>
          <w:spacing w:val="2"/>
          <w:sz w:val="22"/>
          <w:szCs w:val="22"/>
          <w:highlight w:val="none"/>
        </w:rPr>
        <w:t>工程同时设置总监理工程师办公室和驻地监理工程师</w:t>
      </w:r>
      <w:r>
        <w:rPr>
          <w:rFonts w:ascii="宋体" w:hAnsi="宋体" w:eastAsia="宋体" w:cs="宋体"/>
          <w:color w:val="auto"/>
          <w:spacing w:val="1"/>
          <w:sz w:val="22"/>
          <w:szCs w:val="22"/>
          <w:highlight w:val="none"/>
        </w:rPr>
        <w:t>办公室：本项目施工监理机构不设置中心试验室。委托人通过单独招标方式，另行设置中心试验室，原监理机构中心试验室的相</w:t>
      </w:r>
      <w:r>
        <w:rPr>
          <w:rFonts w:ascii="宋体" w:hAnsi="宋体" w:eastAsia="宋体" w:cs="宋体"/>
          <w:color w:val="auto"/>
          <w:spacing w:val="-1"/>
          <w:sz w:val="22"/>
          <w:szCs w:val="22"/>
          <w:highlight w:val="none"/>
        </w:rPr>
        <w:t>关试验检测服务工作由中心试验室试验检测服务单位承担，具体约定见</w:t>
      </w:r>
      <w:r>
        <w:rPr>
          <w:rFonts w:ascii="宋体" w:hAnsi="宋体" w:eastAsia="宋体" w:cs="宋体"/>
          <w:color w:val="auto"/>
          <w:spacing w:val="-30"/>
          <w:sz w:val="22"/>
          <w:szCs w:val="22"/>
          <w:highlight w:val="none"/>
        </w:rPr>
        <w:t xml:space="preserve"> </w:t>
      </w:r>
      <w:r>
        <w:rPr>
          <w:rFonts w:ascii="宋体" w:hAnsi="宋体" w:eastAsia="宋体" w:cs="宋体"/>
          <w:color w:val="auto"/>
          <w:spacing w:val="-1"/>
          <w:sz w:val="22"/>
          <w:szCs w:val="22"/>
          <w:highlight w:val="none"/>
        </w:rPr>
        <w:t>13.6</w:t>
      </w:r>
      <w:r>
        <w:rPr>
          <w:rFonts w:ascii="宋体" w:hAnsi="宋体" w:eastAsia="宋体" w:cs="宋体"/>
          <w:color w:val="auto"/>
          <w:spacing w:val="-48"/>
          <w:sz w:val="22"/>
          <w:szCs w:val="22"/>
          <w:highlight w:val="none"/>
        </w:rPr>
        <w:t xml:space="preserve"> </w:t>
      </w:r>
      <w:r>
        <w:rPr>
          <w:rFonts w:ascii="宋体" w:hAnsi="宋体" w:eastAsia="宋体" w:cs="宋体"/>
          <w:color w:val="auto"/>
          <w:spacing w:val="-2"/>
          <w:sz w:val="22"/>
          <w:szCs w:val="22"/>
          <w:highlight w:val="none"/>
        </w:rPr>
        <w:t>款；</w:t>
      </w:r>
    </w:p>
    <w:p w14:paraId="69C18F9B">
      <w:pPr>
        <w:spacing w:before="1" w:line="227" w:lineRule="auto"/>
        <w:ind w:left="472"/>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（以下适用于一级监理管理的情形）</w:t>
      </w:r>
    </w:p>
    <w:p w14:paraId="7196B37B">
      <w:pPr>
        <w:spacing w:before="163" w:line="359" w:lineRule="auto"/>
        <w:ind w:left="1" w:right="118" w:firstLine="440"/>
        <w:jc w:val="both"/>
        <w:rPr>
          <w:rFonts w:ascii="宋体" w:hAnsi="宋体" w:eastAsia="宋体" w:cs="宋体"/>
          <w:color w:val="auto"/>
          <w:sz w:val="22"/>
          <w:szCs w:val="22"/>
          <w:highlight w:val="none"/>
        </w:rPr>
      </w:pPr>
      <w:r>
        <w:rPr>
          <w:rFonts w:hint="eastAsia" w:ascii="宋体" w:hAnsi="宋体" w:eastAsia="宋体" w:cs="宋体"/>
          <w:color w:val="auto"/>
          <w:spacing w:val="2"/>
          <w:sz w:val="20"/>
          <w:szCs w:val="20"/>
          <w:highlight w:val="none"/>
          <w:lang w:eastAsia="zh-CN"/>
        </w:rPr>
        <w:t>☑</w:t>
      </w:r>
      <w:r>
        <w:rPr>
          <w:rFonts w:ascii="宋体" w:hAnsi="宋体" w:eastAsia="宋体" w:cs="宋体"/>
          <w:color w:val="auto"/>
          <w:spacing w:val="2"/>
          <w:sz w:val="22"/>
          <w:szCs w:val="22"/>
          <w:highlight w:val="none"/>
        </w:rPr>
        <w:t>工程只设置总监理工程师办公室：监理人可不自行组建中心试验室，本合同约定的全部试验检测工作，监理人应通过委托 具备相应资质的第三方试验检测机构完成</w:t>
      </w:r>
      <w:r>
        <w:rPr>
          <w:rFonts w:ascii="宋体" w:hAnsi="宋体" w:eastAsia="宋体" w:cs="宋体"/>
          <w:color w:val="auto"/>
          <w:spacing w:val="1"/>
          <w:sz w:val="22"/>
          <w:szCs w:val="22"/>
          <w:highlight w:val="none"/>
        </w:rPr>
        <w:t>，原监理机构中心试验室的相关试验检测服务工作由中心</w:t>
      </w:r>
      <w:r>
        <w:rPr>
          <w:rFonts w:ascii="宋体" w:hAnsi="宋体" w:eastAsia="宋体" w:cs="宋体"/>
          <w:color w:val="auto"/>
          <w:spacing w:val="-2"/>
          <w:sz w:val="22"/>
          <w:szCs w:val="22"/>
          <w:highlight w:val="none"/>
        </w:rPr>
        <w:t>试验室试验检测服务单位承担，具体约定见</w:t>
      </w:r>
      <w:r>
        <w:rPr>
          <w:rFonts w:ascii="宋体" w:hAnsi="宋体" w:eastAsia="宋体" w:cs="宋体"/>
          <w:color w:val="auto"/>
          <w:spacing w:val="-21"/>
          <w:sz w:val="22"/>
          <w:szCs w:val="22"/>
          <w:highlight w:val="none"/>
        </w:rPr>
        <w:t xml:space="preserve"> </w:t>
      </w:r>
      <w:r>
        <w:rPr>
          <w:rFonts w:ascii="宋体" w:hAnsi="宋体" w:eastAsia="宋体" w:cs="宋体"/>
          <w:color w:val="auto"/>
          <w:spacing w:val="-2"/>
          <w:sz w:val="22"/>
          <w:szCs w:val="22"/>
          <w:highlight w:val="none"/>
        </w:rPr>
        <w:t>13.6</w:t>
      </w:r>
      <w:r>
        <w:rPr>
          <w:rFonts w:ascii="宋体" w:hAnsi="宋体" w:eastAsia="宋体" w:cs="宋体"/>
          <w:color w:val="auto"/>
          <w:spacing w:val="-48"/>
          <w:sz w:val="22"/>
          <w:szCs w:val="22"/>
          <w:highlight w:val="none"/>
        </w:rPr>
        <w:t xml:space="preserve"> </w:t>
      </w:r>
      <w:r>
        <w:rPr>
          <w:rFonts w:ascii="宋体" w:hAnsi="宋体" w:eastAsia="宋体" w:cs="宋体"/>
          <w:color w:val="auto"/>
          <w:spacing w:val="-2"/>
          <w:sz w:val="22"/>
          <w:szCs w:val="22"/>
          <w:highlight w:val="none"/>
        </w:rPr>
        <w:t>款。</w:t>
      </w:r>
    </w:p>
    <w:p w14:paraId="652791C0">
      <w:pPr>
        <w:spacing w:before="1" w:line="220" w:lineRule="auto"/>
        <w:ind w:left="44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5.3.3</w:t>
      </w:r>
      <w:r>
        <w:rPr>
          <w:rFonts w:ascii="宋体" w:hAnsi="宋体" w:eastAsia="宋体" w:cs="宋体"/>
          <w:color w:val="auto"/>
          <w:spacing w:val="-45"/>
          <w:sz w:val="22"/>
          <w:szCs w:val="22"/>
          <w:highlight w:val="none"/>
        </w:rPr>
        <w:t xml:space="preserve"> </w:t>
      </w:r>
      <w:r>
        <w:rPr>
          <w:rFonts w:ascii="宋体" w:hAnsi="宋体" w:eastAsia="宋体" w:cs="宋体"/>
          <w:color w:val="auto"/>
          <w:spacing w:val="-1"/>
          <w:sz w:val="22"/>
          <w:szCs w:val="22"/>
          <w:highlight w:val="none"/>
        </w:rPr>
        <w:t>后增加第（48）~（52）项内容如下：</w:t>
      </w:r>
    </w:p>
    <w:p w14:paraId="54FD6A9A">
      <w:pPr>
        <w:spacing w:before="165" w:line="363" w:lineRule="auto"/>
        <w:ind w:right="115" w:firstLine="448"/>
        <w:jc w:val="both"/>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（48）监理人应按照《广东省交通运输厅关于进一步加强公路施工便道取弃土场</w:t>
      </w:r>
      <w:r>
        <w:rPr>
          <w:rFonts w:ascii="宋体" w:hAnsi="宋体" w:eastAsia="宋体" w:cs="宋体"/>
          <w:color w:val="auto"/>
          <w:sz w:val="22"/>
          <w:szCs w:val="22"/>
          <w:highlight w:val="none"/>
        </w:rPr>
        <w:t>的设计和</w:t>
      </w:r>
      <w:r>
        <w:rPr>
          <w:rFonts w:ascii="宋体" w:hAnsi="宋体" w:eastAsia="宋体" w:cs="宋体"/>
          <w:color w:val="auto"/>
          <w:spacing w:val="1"/>
          <w:sz w:val="22"/>
          <w:szCs w:val="22"/>
          <w:highlight w:val="none"/>
        </w:rPr>
        <w:t>施工管理工作的通知》《广东省高速公路工程施工安全标准化指南》和《广东省公路工程施工标准化指南》的要求审核施工便道和取弃土场的选址和建设方案，并对该部分建设内容进行监</w:t>
      </w:r>
      <w:r>
        <w:rPr>
          <w:rFonts w:ascii="宋体" w:hAnsi="宋体" w:eastAsia="宋体" w:cs="宋体"/>
          <w:color w:val="auto"/>
          <w:spacing w:val="-4"/>
          <w:sz w:val="22"/>
          <w:szCs w:val="22"/>
          <w:highlight w:val="none"/>
        </w:rPr>
        <w:t>理。</w:t>
      </w:r>
    </w:p>
    <w:p w14:paraId="077D2A60">
      <w:pPr>
        <w:spacing w:before="43" w:line="289" w:lineRule="auto"/>
        <w:ind w:left="8" w:firstLine="44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（49）监理人应根据《广东省交通运输厅关于切实加强我省高速公路路堑边坡管理的通知》</w:t>
      </w:r>
      <w:r>
        <w:rPr>
          <w:rFonts w:ascii="宋体" w:hAnsi="宋体" w:eastAsia="宋体" w:cs="宋体"/>
          <w:color w:val="auto"/>
          <w:spacing w:val="16"/>
          <w:sz w:val="22"/>
          <w:szCs w:val="22"/>
          <w:highlight w:val="none"/>
        </w:rPr>
        <w:t xml:space="preserve"> </w:t>
      </w:r>
      <w:r>
        <w:rPr>
          <w:rFonts w:ascii="宋体" w:hAnsi="宋体" w:eastAsia="宋体" w:cs="宋体"/>
          <w:color w:val="auto"/>
          <w:spacing w:val="-1"/>
          <w:sz w:val="22"/>
          <w:szCs w:val="22"/>
          <w:highlight w:val="none"/>
        </w:rPr>
        <w:t>（粤交基函〔2019〕680 号）要求审核施工承包人的开工报告。</w:t>
      </w:r>
    </w:p>
    <w:p w14:paraId="08678930">
      <w:pPr>
        <w:spacing w:before="169" w:line="331" w:lineRule="auto"/>
        <w:ind w:left="1" w:right="161" w:firstLine="44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（50）监理机构应按照行业发展的需求，发展自身管理的数字化建设，开放</w:t>
      </w:r>
      <w:r>
        <w:rPr>
          <w:rFonts w:ascii="宋体" w:hAnsi="宋体" w:eastAsia="宋体" w:cs="宋体"/>
          <w:color w:val="auto"/>
          <w:sz w:val="22"/>
          <w:szCs w:val="22"/>
          <w:highlight w:val="none"/>
        </w:rPr>
        <w:t>数字化平台及</w:t>
      </w:r>
      <w:r>
        <w:rPr>
          <w:rFonts w:ascii="宋体" w:hAnsi="宋体" w:eastAsia="宋体" w:cs="宋体"/>
          <w:color w:val="auto"/>
          <w:spacing w:val="1"/>
          <w:sz w:val="22"/>
          <w:szCs w:val="22"/>
          <w:highlight w:val="none"/>
        </w:rPr>
        <w:t>相关数据接口，对接建设单位数字化管理系统，积极配合建设单位对项目管理数字化的统筹和整合，助力建设单位打通各参建单位不同系统之间的信息壁垒，形成适应于项目的综合性数字化管理平台。监理机构的管理应充分利用共享数据的一体化数字化技术和平台，评估保证体系</w:t>
      </w:r>
      <w:r>
        <w:rPr>
          <w:rFonts w:ascii="宋体" w:hAnsi="宋体" w:eastAsia="宋体" w:cs="宋体"/>
          <w:color w:val="auto"/>
          <w:sz w:val="22"/>
          <w:szCs w:val="22"/>
          <w:highlight w:val="none"/>
        </w:rPr>
        <w:t>的运行状况，分析管理的薄弱环节，利用数字化手段和数据为监理</w:t>
      </w:r>
      <w:r>
        <w:rPr>
          <w:rFonts w:ascii="宋体" w:hAnsi="宋体" w:eastAsia="宋体" w:cs="宋体"/>
          <w:color w:val="auto"/>
          <w:spacing w:val="-1"/>
          <w:sz w:val="22"/>
          <w:szCs w:val="22"/>
          <w:highlight w:val="none"/>
        </w:rPr>
        <w:t>管理工作提供支撑。</w:t>
      </w:r>
    </w:p>
    <w:p w14:paraId="4A8B44A7">
      <w:pPr>
        <w:spacing w:before="166" w:line="290" w:lineRule="auto"/>
        <w:ind w:left="3" w:right="158" w:firstLine="44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（51）施工单位进场之后，对施工单位质量安全等保证体系进行检查，并每半年</w:t>
      </w:r>
      <w:r>
        <w:rPr>
          <w:rFonts w:ascii="宋体" w:hAnsi="宋体" w:eastAsia="宋体" w:cs="宋体"/>
          <w:color w:val="auto"/>
          <w:sz w:val="22"/>
          <w:szCs w:val="22"/>
          <w:highlight w:val="none"/>
        </w:rPr>
        <w:t>对执行情</w:t>
      </w:r>
      <w:r>
        <w:rPr>
          <w:rFonts w:ascii="宋体" w:hAnsi="宋体" w:eastAsia="宋体" w:cs="宋体"/>
          <w:color w:val="auto"/>
          <w:spacing w:val="-2"/>
          <w:sz w:val="22"/>
          <w:szCs w:val="22"/>
          <w:highlight w:val="none"/>
        </w:rPr>
        <w:t>况进行检查。</w:t>
      </w:r>
    </w:p>
    <w:p w14:paraId="4BD58EBB">
      <w:pPr>
        <w:spacing w:before="166" w:line="341" w:lineRule="auto"/>
        <w:ind w:right="23" w:firstLine="449"/>
        <w:rPr>
          <w:rFonts w:ascii="宋体" w:hAnsi="宋体" w:eastAsia="宋体" w:cs="宋体"/>
          <w:color w:val="auto"/>
          <w:sz w:val="24"/>
          <w:szCs w:val="24"/>
          <w:highlight w:val="none"/>
        </w:rPr>
      </w:pPr>
      <w:r>
        <w:rPr>
          <w:rFonts w:ascii="宋体" w:hAnsi="宋体" w:eastAsia="宋体" w:cs="宋体"/>
          <w:color w:val="auto"/>
          <w:spacing w:val="1"/>
          <w:sz w:val="22"/>
          <w:szCs w:val="22"/>
          <w:highlight w:val="none"/>
        </w:rPr>
        <w:t>（</w:t>
      </w:r>
      <w:r>
        <w:rPr>
          <w:rFonts w:ascii="MingLiU-ExtB" w:hAnsi="MingLiU-ExtB" w:eastAsia="MingLiU-ExtB" w:cs="MingLiU-ExtB"/>
          <w:color w:val="auto"/>
          <w:spacing w:val="1"/>
          <w:sz w:val="22"/>
          <w:szCs w:val="22"/>
          <w:highlight w:val="none"/>
        </w:rPr>
        <w:t>52</w:t>
      </w:r>
      <w:r>
        <w:rPr>
          <w:rFonts w:ascii="宋体" w:hAnsi="宋体" w:eastAsia="宋体" w:cs="宋体"/>
          <w:color w:val="auto"/>
          <w:spacing w:val="1"/>
          <w:sz w:val="22"/>
          <w:szCs w:val="22"/>
          <w:highlight w:val="none"/>
        </w:rPr>
        <w:t>）总监办根据《广东省公路工程施工监理指南（试行）》的要求，一是重点</w:t>
      </w:r>
      <w:r>
        <w:rPr>
          <w:rFonts w:ascii="宋体" w:hAnsi="宋体" w:eastAsia="宋体" w:cs="宋体"/>
          <w:color w:val="auto"/>
          <w:sz w:val="22"/>
          <w:szCs w:val="22"/>
          <w:highlight w:val="none"/>
        </w:rPr>
        <w:t>审核施工</w:t>
      </w:r>
      <w:r>
        <w:rPr>
          <w:rFonts w:ascii="宋体" w:hAnsi="宋体" w:eastAsia="宋体" w:cs="宋体"/>
          <w:color w:val="auto"/>
          <w:spacing w:val="1"/>
          <w:sz w:val="22"/>
          <w:szCs w:val="22"/>
          <w:highlight w:val="none"/>
        </w:rPr>
        <w:t>单位的项目管理方案是否落实《广东省交通运输厅关于推进公路建设项目管理改革的指导意见</w:t>
      </w:r>
      <w:r>
        <w:rPr>
          <w:rFonts w:ascii="宋体" w:hAnsi="宋体" w:eastAsia="宋体" w:cs="宋体"/>
          <w:color w:val="auto"/>
          <w:spacing w:val="-1"/>
          <w:sz w:val="22"/>
          <w:szCs w:val="22"/>
          <w:highlight w:val="none"/>
        </w:rPr>
        <w:t>（试行）》和《广东省公路工程施工项目部管理指南（试行）》相关要求，是否满足施工单位、</w:t>
      </w:r>
      <w:r>
        <w:rPr>
          <w:rFonts w:ascii="宋体" w:hAnsi="宋体" w:eastAsia="宋体" w:cs="宋体"/>
          <w:color w:val="auto"/>
          <w:spacing w:val="1"/>
          <w:sz w:val="22"/>
          <w:szCs w:val="22"/>
          <w:highlight w:val="none"/>
        </w:rPr>
        <w:t>项目部、分包单位、劳务合作企业、施工班组、材料供应商与机械设备租赁商的多层次的管理机构</w:t>
      </w:r>
      <w:r>
        <w:rPr>
          <w:rFonts w:ascii="宋体" w:hAnsi="宋体" w:eastAsia="宋体" w:cs="宋体"/>
          <w:color w:val="auto"/>
          <w:spacing w:val="7"/>
          <w:sz w:val="22"/>
          <w:szCs w:val="22"/>
          <w:highlight w:val="none"/>
        </w:rPr>
        <w:t>，是否建立管监分离的质量保障体系。督促、指导、监管施工单位在施工全过程中落实项目管理方案；二是重点做好施工单位/项目部对施工分包单位的分包工程质量、安全、进度、资金使用和管理行为等全过程管理行为的监理工作，加强对施工单位/项目部内控管理体系和主要人员履约、设备、材料等穿透式管理的监理工作。</w:t>
      </w:r>
    </w:p>
    <w:p w14:paraId="66A16A81">
      <w:pPr>
        <w:spacing w:before="177" w:line="360" w:lineRule="auto"/>
        <w:ind w:right="161" w:firstLine="442"/>
        <w:jc w:val="both"/>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在实施过程中每季度至少对施工单位</w:t>
      </w:r>
      <w:r>
        <w:rPr>
          <w:rFonts w:ascii="MingLiU-ExtB" w:hAnsi="MingLiU-ExtB" w:eastAsia="MingLiU-ExtB" w:cs="MingLiU-ExtB"/>
          <w:color w:val="auto"/>
          <w:spacing w:val="4"/>
          <w:sz w:val="22"/>
          <w:szCs w:val="22"/>
          <w:highlight w:val="none"/>
        </w:rPr>
        <w:t>/</w:t>
      </w:r>
      <w:r>
        <w:rPr>
          <w:rFonts w:ascii="宋体" w:hAnsi="宋体" w:eastAsia="宋体" w:cs="宋体"/>
          <w:color w:val="auto"/>
          <w:spacing w:val="4"/>
          <w:sz w:val="22"/>
          <w:szCs w:val="22"/>
          <w:highlight w:val="none"/>
        </w:rPr>
        <w:t>项目部上述工作的落实情况进行一次全</w:t>
      </w:r>
      <w:r>
        <w:rPr>
          <w:rFonts w:ascii="宋体" w:hAnsi="宋体" w:eastAsia="宋体" w:cs="宋体"/>
          <w:color w:val="auto"/>
          <w:spacing w:val="3"/>
          <w:sz w:val="22"/>
          <w:szCs w:val="22"/>
          <w:highlight w:val="none"/>
        </w:rPr>
        <w:t>面核查，并</w:t>
      </w:r>
      <w:r>
        <w:rPr>
          <w:rFonts w:ascii="宋体" w:hAnsi="宋体" w:eastAsia="宋体" w:cs="宋体"/>
          <w:color w:val="auto"/>
          <w:spacing w:val="1"/>
          <w:sz w:val="22"/>
          <w:szCs w:val="22"/>
          <w:highlight w:val="none"/>
        </w:rPr>
        <w:t>将核查情况报发包人。施工单位未落实项目管理方案的，监理单位应及时督促整改，未及时整</w:t>
      </w:r>
      <w:r>
        <w:rPr>
          <w:rFonts w:ascii="宋体" w:hAnsi="宋体" w:eastAsia="宋体" w:cs="宋体"/>
          <w:color w:val="auto"/>
          <w:spacing w:val="-1"/>
          <w:sz w:val="22"/>
          <w:szCs w:val="22"/>
          <w:highlight w:val="none"/>
        </w:rPr>
        <w:t>改的，应及时报发包人协调处理。</w:t>
      </w:r>
    </w:p>
    <w:p w14:paraId="62EBBFB4">
      <w:pPr>
        <w:spacing w:before="1" w:line="220" w:lineRule="auto"/>
        <w:ind w:left="442"/>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在</w:t>
      </w:r>
      <w:r>
        <w:rPr>
          <w:rFonts w:ascii="宋体" w:hAnsi="宋体" w:eastAsia="宋体" w:cs="宋体"/>
          <w:color w:val="auto"/>
          <w:spacing w:val="-43"/>
          <w:sz w:val="22"/>
          <w:szCs w:val="22"/>
          <w:highlight w:val="none"/>
        </w:rPr>
        <w:t xml:space="preserve"> </w:t>
      </w:r>
      <w:r>
        <w:rPr>
          <w:rFonts w:ascii="宋体" w:hAnsi="宋体" w:eastAsia="宋体" w:cs="宋体"/>
          <w:color w:val="auto"/>
          <w:spacing w:val="-3"/>
          <w:sz w:val="22"/>
          <w:szCs w:val="22"/>
          <w:highlight w:val="none"/>
        </w:rPr>
        <w:t>5.3.3</w:t>
      </w:r>
      <w:r>
        <w:rPr>
          <w:rFonts w:ascii="宋体" w:hAnsi="宋体" w:eastAsia="宋体" w:cs="宋体"/>
          <w:color w:val="auto"/>
          <w:spacing w:val="-47"/>
          <w:sz w:val="22"/>
          <w:szCs w:val="22"/>
          <w:highlight w:val="none"/>
        </w:rPr>
        <w:t xml:space="preserve"> </w:t>
      </w:r>
      <w:r>
        <w:rPr>
          <w:rFonts w:ascii="宋体" w:hAnsi="宋体" w:eastAsia="宋体" w:cs="宋体"/>
          <w:color w:val="auto"/>
          <w:spacing w:val="-3"/>
          <w:sz w:val="22"/>
          <w:szCs w:val="22"/>
          <w:highlight w:val="none"/>
        </w:rPr>
        <w:t>后增加</w:t>
      </w:r>
      <w:r>
        <w:rPr>
          <w:rFonts w:ascii="宋体" w:hAnsi="宋体" w:eastAsia="宋体" w:cs="宋体"/>
          <w:color w:val="auto"/>
          <w:spacing w:val="-42"/>
          <w:sz w:val="22"/>
          <w:szCs w:val="22"/>
          <w:highlight w:val="none"/>
        </w:rPr>
        <w:t xml:space="preserve"> </w:t>
      </w:r>
      <w:r>
        <w:rPr>
          <w:rFonts w:ascii="宋体" w:hAnsi="宋体" w:eastAsia="宋体" w:cs="宋体"/>
          <w:color w:val="auto"/>
          <w:spacing w:val="-3"/>
          <w:sz w:val="22"/>
          <w:szCs w:val="22"/>
          <w:highlight w:val="none"/>
        </w:rPr>
        <w:t>5.3.4</w:t>
      </w:r>
      <w:r>
        <w:rPr>
          <w:rFonts w:ascii="宋体" w:hAnsi="宋体" w:eastAsia="宋体" w:cs="宋体"/>
          <w:color w:val="auto"/>
          <w:spacing w:val="-45"/>
          <w:sz w:val="22"/>
          <w:szCs w:val="22"/>
          <w:highlight w:val="none"/>
        </w:rPr>
        <w:t xml:space="preserve"> </w:t>
      </w:r>
      <w:r>
        <w:rPr>
          <w:rFonts w:ascii="宋体" w:hAnsi="宋体" w:eastAsia="宋体" w:cs="宋体"/>
          <w:color w:val="auto"/>
          <w:spacing w:val="-3"/>
          <w:sz w:val="22"/>
          <w:szCs w:val="22"/>
          <w:highlight w:val="none"/>
        </w:rPr>
        <w:t>项如下：</w:t>
      </w:r>
    </w:p>
    <w:p w14:paraId="23168D8F">
      <w:pPr>
        <w:spacing w:before="164" w:line="220" w:lineRule="auto"/>
        <w:ind w:left="44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5.3.4</w:t>
      </w:r>
      <w:r>
        <w:rPr>
          <w:rFonts w:ascii="宋体" w:hAnsi="宋体" w:eastAsia="宋体" w:cs="宋体"/>
          <w:color w:val="auto"/>
          <w:spacing w:val="-24"/>
          <w:sz w:val="22"/>
          <w:szCs w:val="22"/>
          <w:highlight w:val="none"/>
        </w:rPr>
        <w:t xml:space="preserve"> </w:t>
      </w:r>
      <w:r>
        <w:rPr>
          <w:rFonts w:ascii="宋体" w:hAnsi="宋体" w:eastAsia="宋体" w:cs="宋体"/>
          <w:color w:val="auto"/>
          <w:spacing w:val="-2"/>
          <w:sz w:val="22"/>
          <w:szCs w:val="22"/>
          <w:highlight w:val="none"/>
        </w:rPr>
        <w:t>中心试验室与监理服务内容的界面划分</w:t>
      </w:r>
    </w:p>
    <w:p w14:paraId="40D9C21E">
      <w:pPr>
        <w:spacing w:before="164" w:line="221" w:lineRule="auto"/>
        <w:ind w:left="44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5.3.4.1</w:t>
      </w:r>
      <w:r>
        <w:rPr>
          <w:rFonts w:ascii="宋体" w:hAnsi="宋体" w:eastAsia="宋体" w:cs="宋体"/>
          <w:color w:val="auto"/>
          <w:spacing w:val="-22"/>
          <w:sz w:val="22"/>
          <w:szCs w:val="22"/>
          <w:highlight w:val="none"/>
        </w:rPr>
        <w:t xml:space="preserve"> </w:t>
      </w:r>
      <w:r>
        <w:rPr>
          <w:rFonts w:ascii="宋体" w:hAnsi="宋体" w:eastAsia="宋体" w:cs="宋体"/>
          <w:color w:val="auto"/>
          <w:spacing w:val="-4"/>
          <w:sz w:val="22"/>
          <w:szCs w:val="22"/>
          <w:highlight w:val="none"/>
        </w:rPr>
        <w:t>中心试验室</w:t>
      </w:r>
    </w:p>
    <w:p w14:paraId="03C0DC92">
      <w:pPr>
        <w:spacing w:before="167" w:line="312" w:lineRule="auto"/>
        <w:ind w:left="4" w:right="159" w:firstLine="445"/>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（1）承担在项目实施过程中工程原材料、结构物成品、半成品、</w:t>
      </w:r>
      <w:r>
        <w:rPr>
          <w:rFonts w:ascii="宋体" w:hAnsi="宋体" w:eastAsia="宋体" w:cs="宋体"/>
          <w:color w:val="auto"/>
          <w:spacing w:val="3"/>
          <w:sz w:val="22"/>
          <w:szCs w:val="22"/>
          <w:highlight w:val="none"/>
        </w:rPr>
        <w:t>工程实体的抽样（包括</w:t>
      </w:r>
      <w:r>
        <w:rPr>
          <w:rFonts w:ascii="宋体" w:hAnsi="宋体" w:eastAsia="宋体" w:cs="宋体"/>
          <w:color w:val="auto"/>
          <w:spacing w:val="1"/>
          <w:sz w:val="22"/>
          <w:szCs w:val="22"/>
          <w:highlight w:val="none"/>
        </w:rPr>
        <w:t>混凝土试件取样、送样）及试验检测工作，以及需要出具试验检测报告的现场原位测试工作，</w:t>
      </w:r>
      <w:r>
        <w:rPr>
          <w:rFonts w:ascii="宋体" w:hAnsi="宋体" w:eastAsia="宋体" w:cs="宋体"/>
          <w:color w:val="auto"/>
          <w:spacing w:val="-1"/>
          <w:sz w:val="22"/>
          <w:szCs w:val="22"/>
          <w:highlight w:val="none"/>
        </w:rPr>
        <w:t>如压实度、承载力、强度抽芯、混凝土强度回弹。</w:t>
      </w:r>
    </w:p>
    <w:p w14:paraId="209938E8">
      <w:pPr>
        <w:spacing w:before="169" w:line="289" w:lineRule="auto"/>
        <w:ind w:left="1" w:right="159" w:firstLine="44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（2）中心试验室负责对施工承包人工地试验室试验检测人员和试</w:t>
      </w:r>
      <w:r>
        <w:rPr>
          <w:rFonts w:ascii="宋体" w:hAnsi="宋体" w:eastAsia="宋体" w:cs="宋体"/>
          <w:color w:val="auto"/>
          <w:spacing w:val="3"/>
          <w:sz w:val="22"/>
          <w:szCs w:val="22"/>
          <w:highlight w:val="none"/>
        </w:rPr>
        <w:t>验检测仪器设备的履约</w:t>
      </w:r>
      <w:r>
        <w:rPr>
          <w:rFonts w:ascii="宋体" w:hAnsi="宋体" w:eastAsia="宋体" w:cs="宋体"/>
          <w:color w:val="auto"/>
          <w:spacing w:val="-2"/>
          <w:sz w:val="22"/>
          <w:szCs w:val="22"/>
          <w:highlight w:val="none"/>
        </w:rPr>
        <w:t>检查、变更审核、</w:t>
      </w:r>
      <w:r>
        <w:rPr>
          <w:rFonts w:ascii="宋体" w:hAnsi="宋体" w:eastAsia="宋体" w:cs="宋体"/>
          <w:color w:val="auto"/>
          <w:spacing w:val="-61"/>
          <w:sz w:val="22"/>
          <w:szCs w:val="22"/>
          <w:highlight w:val="none"/>
        </w:rPr>
        <w:t xml:space="preserve"> </w:t>
      </w:r>
      <w:r>
        <w:rPr>
          <w:rFonts w:ascii="宋体" w:hAnsi="宋体" w:eastAsia="宋体" w:cs="宋体"/>
          <w:color w:val="auto"/>
          <w:spacing w:val="-2"/>
          <w:sz w:val="22"/>
          <w:szCs w:val="22"/>
          <w:highlight w:val="none"/>
        </w:rPr>
        <w:t>日常管理等以及工地试验室临时资质备案管理。</w:t>
      </w:r>
    </w:p>
    <w:p w14:paraId="370DD03D">
      <w:pPr>
        <w:spacing w:before="161" w:line="289" w:lineRule="auto"/>
        <w:ind w:left="1" w:right="135" w:firstLine="447"/>
        <w:rPr>
          <w:rFonts w:ascii="宋体" w:hAnsi="宋体" w:eastAsia="宋体" w:cs="宋体"/>
          <w:color w:val="auto"/>
          <w:sz w:val="22"/>
          <w:szCs w:val="22"/>
          <w:highlight w:val="none"/>
        </w:rPr>
      </w:pPr>
      <w:r>
        <w:rPr>
          <w:rFonts w:ascii="宋体" w:hAnsi="宋体" w:eastAsia="宋体" w:cs="宋体"/>
          <w:color w:val="auto"/>
          <w:sz w:val="22"/>
          <w:szCs w:val="22"/>
          <w:highlight w:val="none"/>
        </w:rPr>
        <w:t>（3）代表委托人对整个项目的试验检测工作进行管理，代表委托人对工程质量进行抽检、日常质量巡查。</w:t>
      </w:r>
    </w:p>
    <w:p w14:paraId="23DC741F">
      <w:pPr>
        <w:spacing w:before="161" w:line="289" w:lineRule="auto"/>
        <w:ind w:left="1" w:right="135" w:firstLine="447"/>
        <w:rPr>
          <w:rFonts w:ascii="宋体" w:hAnsi="宋体" w:eastAsia="宋体" w:cs="宋体"/>
          <w:color w:val="auto"/>
          <w:sz w:val="22"/>
          <w:szCs w:val="22"/>
          <w:highlight w:val="none"/>
        </w:rPr>
      </w:pPr>
      <w:r>
        <w:rPr>
          <w:rFonts w:ascii="宋体" w:hAnsi="宋体" w:eastAsia="宋体" w:cs="宋体"/>
          <w:color w:val="auto"/>
          <w:sz w:val="22"/>
          <w:szCs w:val="22"/>
          <w:highlight w:val="none"/>
        </w:rPr>
        <w:t>（4）负责其代表委托人抽检及试验检测范围内的试验检测资料归档及竣工资料编制。</w:t>
      </w:r>
    </w:p>
    <w:p w14:paraId="50EB4FFB">
      <w:pPr>
        <w:spacing w:before="161" w:line="289" w:lineRule="auto"/>
        <w:ind w:left="1" w:right="135" w:firstLine="447"/>
        <w:rPr>
          <w:rFonts w:ascii="宋体" w:hAnsi="宋体" w:eastAsia="宋体" w:cs="宋体"/>
          <w:color w:val="auto"/>
          <w:sz w:val="22"/>
          <w:szCs w:val="22"/>
          <w:highlight w:val="none"/>
        </w:rPr>
      </w:pPr>
      <w:r>
        <w:rPr>
          <w:rFonts w:ascii="宋体" w:hAnsi="宋体" w:eastAsia="宋体" w:cs="宋体"/>
          <w:color w:val="auto"/>
          <w:sz w:val="22"/>
          <w:szCs w:val="22"/>
          <w:highlight w:val="none"/>
        </w:rPr>
        <w:t>（5）主持编制检测计划和检测细则，检测计划报建设单位审批，检测细则报建设单位备案。</w:t>
      </w:r>
    </w:p>
    <w:p w14:paraId="21DF13F9">
      <w:pPr>
        <w:spacing w:before="161" w:line="289" w:lineRule="auto"/>
        <w:ind w:left="1" w:right="135" w:firstLine="447"/>
        <w:rPr>
          <w:rFonts w:ascii="宋体" w:hAnsi="宋体" w:eastAsia="宋体" w:cs="宋体"/>
          <w:color w:val="auto"/>
          <w:sz w:val="22"/>
          <w:szCs w:val="22"/>
          <w:highlight w:val="none"/>
        </w:rPr>
      </w:pPr>
      <w:r>
        <w:rPr>
          <w:rFonts w:ascii="宋体" w:hAnsi="宋体" w:eastAsia="宋体" w:cs="宋体"/>
          <w:color w:val="auto"/>
          <w:sz w:val="22"/>
          <w:szCs w:val="22"/>
          <w:highlight w:val="none"/>
        </w:rPr>
        <w:t>（6）中心试验室试验检测服务单位负责月度工地试验室检查及督促整改工作。</w:t>
      </w:r>
    </w:p>
    <w:p w14:paraId="1E91C4B4">
      <w:pPr>
        <w:spacing w:before="161" w:line="289" w:lineRule="auto"/>
        <w:ind w:left="1" w:right="135" w:firstLine="447"/>
        <w:rPr>
          <w:rFonts w:ascii="宋体" w:hAnsi="宋体" w:eastAsia="宋体" w:cs="宋体"/>
          <w:color w:val="auto"/>
          <w:sz w:val="22"/>
          <w:szCs w:val="22"/>
          <w:highlight w:val="none"/>
        </w:rPr>
      </w:pPr>
      <w:r>
        <w:rPr>
          <w:rFonts w:ascii="宋体" w:hAnsi="宋体" w:eastAsia="宋体" w:cs="宋体"/>
          <w:color w:val="auto"/>
          <w:sz w:val="22"/>
          <w:szCs w:val="22"/>
          <w:highlight w:val="none"/>
        </w:rPr>
        <w:t>5.3.4.2 监理人</w:t>
      </w:r>
    </w:p>
    <w:p w14:paraId="06F2107A">
      <w:pPr>
        <w:spacing w:before="161" w:line="289" w:lineRule="auto"/>
        <w:ind w:left="1" w:right="135" w:firstLine="447"/>
        <w:rPr>
          <w:rFonts w:ascii="宋体" w:hAnsi="宋体" w:eastAsia="宋体" w:cs="宋体"/>
          <w:color w:val="auto"/>
          <w:sz w:val="22"/>
          <w:szCs w:val="22"/>
          <w:highlight w:val="none"/>
        </w:rPr>
      </w:pPr>
      <w:r>
        <w:rPr>
          <w:rFonts w:ascii="宋体" w:hAnsi="宋体" w:eastAsia="宋体" w:cs="宋体"/>
          <w:color w:val="auto"/>
          <w:sz w:val="22"/>
          <w:szCs w:val="22"/>
          <w:highlight w:val="none"/>
        </w:rPr>
        <w:t>（1）负责混凝土试件制样见</w:t>
      </w:r>
      <w:r>
        <w:rPr>
          <w:rFonts w:ascii="宋体" w:hAnsi="宋体" w:eastAsia="宋体" w:cs="宋体"/>
          <w:color w:val="auto"/>
          <w:spacing w:val="4"/>
          <w:sz w:val="22"/>
          <w:szCs w:val="22"/>
          <w:highlight w:val="none"/>
        </w:rPr>
        <w:t>证及不需要出具试验检测报告的</w:t>
      </w:r>
      <w:r>
        <w:rPr>
          <w:rFonts w:ascii="宋体" w:hAnsi="宋体" w:eastAsia="宋体" w:cs="宋体"/>
          <w:color w:val="auto"/>
          <w:spacing w:val="3"/>
          <w:sz w:val="22"/>
          <w:szCs w:val="22"/>
          <w:highlight w:val="none"/>
        </w:rPr>
        <w:t>现场原位试验检测工作，如</w:t>
      </w:r>
      <w:r>
        <w:rPr>
          <w:rFonts w:ascii="宋体" w:hAnsi="宋体" w:eastAsia="宋体" w:cs="宋体"/>
          <w:color w:val="auto"/>
          <w:sz w:val="22"/>
          <w:szCs w:val="22"/>
          <w:highlight w:val="none"/>
        </w:rPr>
        <w:t>测量放样复核、结构尺寸、钻孔灌注桩泥浆性能、现场混凝土和易</w:t>
      </w:r>
      <w:r>
        <w:rPr>
          <w:rFonts w:ascii="宋体" w:hAnsi="宋体" w:eastAsia="宋体" w:cs="宋体"/>
          <w:color w:val="auto"/>
          <w:spacing w:val="-1"/>
          <w:sz w:val="22"/>
          <w:szCs w:val="22"/>
          <w:highlight w:val="none"/>
        </w:rPr>
        <w:t>性、钢筋保护层厚度等。</w:t>
      </w:r>
    </w:p>
    <w:p w14:paraId="4045D94F">
      <w:pPr>
        <w:spacing w:before="168" w:line="289" w:lineRule="auto"/>
        <w:ind w:left="19" w:right="133" w:firstLine="429"/>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（2）监理人不设立中心试验室，但应按要求设置试验检测人员，做好“三检制</w:t>
      </w:r>
      <w:r>
        <w:rPr>
          <w:rFonts w:ascii="宋体" w:hAnsi="宋体" w:eastAsia="宋体" w:cs="宋体"/>
          <w:color w:val="auto"/>
          <w:spacing w:val="-79"/>
          <w:sz w:val="22"/>
          <w:szCs w:val="22"/>
          <w:highlight w:val="none"/>
        </w:rPr>
        <w:t xml:space="preserve"> </w:t>
      </w:r>
      <w:r>
        <w:rPr>
          <w:rFonts w:ascii="宋体" w:hAnsi="宋体" w:eastAsia="宋体" w:cs="宋体"/>
          <w:color w:val="auto"/>
          <w:spacing w:val="3"/>
          <w:sz w:val="22"/>
          <w:szCs w:val="22"/>
          <w:highlight w:val="none"/>
        </w:rPr>
        <w:t>”体</w:t>
      </w:r>
      <w:r>
        <w:rPr>
          <w:rFonts w:ascii="宋体" w:hAnsi="宋体" w:eastAsia="宋体" w:cs="宋体"/>
          <w:color w:val="auto"/>
          <w:spacing w:val="2"/>
          <w:sz w:val="22"/>
          <w:szCs w:val="22"/>
          <w:highlight w:val="none"/>
        </w:rPr>
        <w:t>系中</w:t>
      </w:r>
      <w:r>
        <w:rPr>
          <w:rFonts w:ascii="宋体" w:hAnsi="宋体" w:eastAsia="宋体" w:cs="宋体"/>
          <w:color w:val="auto"/>
          <w:spacing w:val="-1"/>
          <w:sz w:val="22"/>
          <w:szCs w:val="22"/>
          <w:highlight w:val="none"/>
        </w:rPr>
        <w:t>的监理工作。监理人的试验检测工作须接受中心试验室的技术指导。</w:t>
      </w:r>
    </w:p>
    <w:p w14:paraId="0FE36CE6">
      <w:pPr>
        <w:spacing w:before="164" w:line="313" w:lineRule="auto"/>
        <w:ind w:right="133" w:firstLine="44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（3）监理人应按照设计文件及相关规范规定的频率做好测点、试</w:t>
      </w:r>
      <w:r>
        <w:rPr>
          <w:rFonts w:ascii="宋体" w:hAnsi="宋体" w:eastAsia="宋体" w:cs="宋体"/>
          <w:color w:val="auto"/>
          <w:spacing w:val="3"/>
          <w:sz w:val="22"/>
          <w:szCs w:val="22"/>
          <w:highlight w:val="none"/>
        </w:rPr>
        <w:t>样试件的取样送样的见</w:t>
      </w:r>
      <w:r>
        <w:rPr>
          <w:rFonts w:ascii="宋体" w:hAnsi="宋体" w:eastAsia="宋体" w:cs="宋体"/>
          <w:color w:val="auto"/>
          <w:spacing w:val="1"/>
          <w:sz w:val="22"/>
          <w:szCs w:val="22"/>
          <w:highlight w:val="none"/>
        </w:rPr>
        <w:t>证工作，并对试样、试件的真实性、代表性负责。对于无法在现场完成的试验检测项目，监理</w:t>
      </w:r>
      <w:r>
        <w:rPr>
          <w:rFonts w:ascii="宋体" w:hAnsi="宋体" w:eastAsia="宋体" w:cs="宋体"/>
          <w:color w:val="auto"/>
          <w:sz w:val="22"/>
          <w:szCs w:val="22"/>
          <w:highlight w:val="none"/>
        </w:rPr>
        <w:t>人联合中心试验室拟定具体检测项目以及快速、安全的送检</w:t>
      </w:r>
      <w:r>
        <w:rPr>
          <w:rFonts w:ascii="宋体" w:hAnsi="宋体" w:eastAsia="宋体" w:cs="宋体"/>
          <w:color w:val="auto"/>
          <w:spacing w:val="-1"/>
          <w:sz w:val="22"/>
          <w:szCs w:val="22"/>
          <w:highlight w:val="none"/>
        </w:rPr>
        <w:t>措施并报备委托人。</w:t>
      </w:r>
    </w:p>
    <w:p w14:paraId="0E7A69FA">
      <w:pPr>
        <w:spacing w:before="166" w:line="290" w:lineRule="auto"/>
        <w:ind w:right="142" w:firstLine="44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（4）监理人负责按照最新《公路工程施工监</w:t>
      </w:r>
      <w:r>
        <w:rPr>
          <w:rFonts w:ascii="宋体" w:hAnsi="宋体" w:eastAsia="宋体" w:cs="宋体"/>
          <w:color w:val="auto"/>
          <w:spacing w:val="3"/>
          <w:sz w:val="22"/>
          <w:szCs w:val="22"/>
          <w:highlight w:val="none"/>
        </w:rPr>
        <w:t>理规范》及最新《水运工程施工监理规范》</w:t>
      </w:r>
      <w:r>
        <w:rPr>
          <w:rFonts w:ascii="宋体" w:hAnsi="宋体" w:eastAsia="宋体" w:cs="宋体"/>
          <w:color w:val="auto"/>
          <w:sz w:val="22"/>
          <w:szCs w:val="22"/>
          <w:highlight w:val="none"/>
        </w:rPr>
        <w:t>抽检频率范围内的试验检测质量评定、归档</w:t>
      </w:r>
      <w:r>
        <w:rPr>
          <w:rFonts w:ascii="宋体" w:hAnsi="宋体" w:eastAsia="宋体" w:cs="宋体"/>
          <w:color w:val="auto"/>
          <w:spacing w:val="-1"/>
          <w:sz w:val="22"/>
          <w:szCs w:val="22"/>
          <w:highlight w:val="none"/>
        </w:rPr>
        <w:t>及竣工资料编制。</w:t>
      </w:r>
    </w:p>
    <w:p w14:paraId="5BB708CC">
      <w:pPr>
        <w:spacing w:before="166" w:line="289" w:lineRule="auto"/>
        <w:ind w:left="1" w:right="142" w:firstLine="447"/>
        <w:rPr>
          <w:rFonts w:ascii="宋体" w:hAnsi="宋体" w:eastAsia="宋体" w:cs="宋体"/>
          <w:color w:val="auto"/>
          <w:spacing w:val="-1"/>
          <w:sz w:val="22"/>
          <w:szCs w:val="22"/>
          <w:highlight w:val="none"/>
        </w:rPr>
      </w:pPr>
      <w:r>
        <w:rPr>
          <w:rFonts w:ascii="宋体" w:hAnsi="宋体" w:eastAsia="宋体" w:cs="宋体"/>
          <w:color w:val="auto"/>
          <w:spacing w:val="4"/>
          <w:sz w:val="22"/>
          <w:szCs w:val="22"/>
          <w:highlight w:val="none"/>
        </w:rPr>
        <w:t>（5）监理人应根据《广东省公路工程造价标</w:t>
      </w:r>
      <w:r>
        <w:rPr>
          <w:rFonts w:ascii="宋体" w:hAnsi="宋体" w:eastAsia="宋体" w:cs="宋体"/>
          <w:color w:val="auto"/>
          <w:spacing w:val="3"/>
          <w:sz w:val="22"/>
          <w:szCs w:val="22"/>
          <w:highlight w:val="none"/>
        </w:rPr>
        <w:t>准化管理指南》《公路工程造价管理指南》</w:t>
      </w:r>
      <w:r>
        <w:rPr>
          <w:rFonts w:ascii="宋体" w:hAnsi="宋体" w:eastAsia="宋体" w:cs="宋体"/>
          <w:color w:val="auto"/>
          <w:spacing w:val="-1"/>
          <w:sz w:val="22"/>
          <w:szCs w:val="22"/>
          <w:highlight w:val="none"/>
        </w:rPr>
        <w:t>和合同履行监理责任。</w:t>
      </w:r>
    </w:p>
    <w:p w14:paraId="69B2602F">
      <w:pPr>
        <w:spacing w:before="166" w:line="289" w:lineRule="auto"/>
        <w:ind w:left="1" w:right="142" w:firstLine="447"/>
        <w:rPr>
          <w:rFonts w:ascii="宋体" w:hAnsi="宋体" w:eastAsia="宋体" w:cs="宋体"/>
          <w:color w:val="auto"/>
          <w:spacing w:val="-1"/>
          <w:sz w:val="22"/>
          <w:szCs w:val="22"/>
          <w:highlight w:val="none"/>
        </w:rPr>
      </w:pPr>
      <w:r>
        <w:rPr>
          <w:rFonts w:ascii="宋体" w:hAnsi="宋体" w:eastAsia="宋体" w:cs="宋体"/>
          <w:color w:val="auto"/>
          <w:spacing w:val="4"/>
          <w:sz w:val="22"/>
          <w:szCs w:val="22"/>
          <w:highlight w:val="none"/>
        </w:rPr>
        <w:t>（</w:t>
      </w:r>
      <w:r>
        <w:rPr>
          <w:rFonts w:hint="eastAsia" w:ascii="宋体" w:hAnsi="宋体" w:eastAsia="宋体" w:cs="宋体"/>
          <w:color w:val="auto"/>
          <w:spacing w:val="4"/>
          <w:sz w:val="22"/>
          <w:szCs w:val="22"/>
          <w:highlight w:val="none"/>
          <w:lang w:val="en-US" w:eastAsia="zh-CN"/>
        </w:rPr>
        <w:t>6</w:t>
      </w:r>
      <w:r>
        <w:rPr>
          <w:rFonts w:ascii="宋体" w:hAnsi="宋体" w:eastAsia="宋体" w:cs="宋体"/>
          <w:color w:val="auto"/>
          <w:spacing w:val="4"/>
          <w:sz w:val="22"/>
          <w:szCs w:val="22"/>
          <w:highlight w:val="none"/>
        </w:rPr>
        <w:t>）</w:t>
      </w:r>
      <w:r>
        <w:rPr>
          <w:rFonts w:ascii="宋体" w:hAnsi="宋体" w:eastAsia="宋体" w:cs="宋体"/>
          <w:color w:val="auto"/>
          <w:spacing w:val="-1"/>
          <w:sz w:val="22"/>
          <w:szCs w:val="22"/>
          <w:highlight w:val="none"/>
        </w:rPr>
        <w:t>监理人对外委检测工作的全过程负监督管理责任，包括但不限于：检测机构的选择与考 察、见证取样送检、检测过程的监督、检测报告的审核与确认。</w:t>
      </w:r>
    </w:p>
    <w:p w14:paraId="3182FA34">
      <w:pPr>
        <w:spacing w:before="166" w:line="289" w:lineRule="auto"/>
        <w:ind w:left="1" w:right="142" w:firstLine="447"/>
        <w:rPr>
          <w:rFonts w:ascii="宋体" w:hAnsi="宋体" w:eastAsia="宋体" w:cs="宋体"/>
          <w:color w:val="auto"/>
          <w:spacing w:val="-1"/>
          <w:sz w:val="22"/>
          <w:szCs w:val="22"/>
          <w:highlight w:val="none"/>
        </w:rPr>
      </w:pPr>
      <w:r>
        <w:rPr>
          <w:rFonts w:ascii="宋体" w:hAnsi="宋体" w:eastAsia="宋体" w:cs="宋体"/>
          <w:color w:val="auto"/>
          <w:spacing w:val="4"/>
          <w:sz w:val="22"/>
          <w:szCs w:val="22"/>
          <w:highlight w:val="none"/>
        </w:rPr>
        <w:t>（</w:t>
      </w:r>
      <w:r>
        <w:rPr>
          <w:rFonts w:hint="eastAsia" w:ascii="宋体" w:hAnsi="宋体" w:eastAsia="宋体" w:cs="宋体"/>
          <w:color w:val="auto"/>
          <w:spacing w:val="4"/>
          <w:sz w:val="22"/>
          <w:szCs w:val="22"/>
          <w:highlight w:val="none"/>
          <w:lang w:val="en-US" w:eastAsia="zh-CN"/>
        </w:rPr>
        <w:t>7</w:t>
      </w:r>
      <w:r>
        <w:rPr>
          <w:rFonts w:ascii="宋体" w:hAnsi="宋体" w:eastAsia="宋体" w:cs="宋体"/>
          <w:color w:val="auto"/>
          <w:spacing w:val="4"/>
          <w:sz w:val="22"/>
          <w:szCs w:val="22"/>
          <w:highlight w:val="none"/>
        </w:rPr>
        <w:t>）</w:t>
      </w:r>
      <w:r>
        <w:rPr>
          <w:rFonts w:ascii="宋体" w:hAnsi="宋体" w:eastAsia="宋体" w:cs="宋体"/>
          <w:color w:val="auto"/>
          <w:spacing w:val="-1"/>
          <w:sz w:val="22"/>
          <w:szCs w:val="22"/>
          <w:highlight w:val="none"/>
        </w:rPr>
        <w:t xml:space="preserve"> 监理人应建立外委试验管理台账，并定期向建设单位报送外委检测工作情况。</w:t>
      </w:r>
    </w:p>
    <w:p w14:paraId="7290A62E">
      <w:pPr>
        <w:spacing w:before="166" w:line="289" w:lineRule="auto"/>
        <w:ind w:left="1" w:right="142" w:firstLine="447"/>
        <w:rPr>
          <w:rFonts w:ascii="宋体" w:hAnsi="宋体" w:eastAsia="宋体" w:cs="宋体"/>
          <w:color w:val="auto"/>
          <w:spacing w:val="-1"/>
          <w:sz w:val="22"/>
          <w:szCs w:val="22"/>
          <w:highlight w:val="none"/>
        </w:rPr>
      </w:pPr>
      <w:r>
        <w:rPr>
          <w:rFonts w:ascii="宋体" w:hAnsi="宋体" w:eastAsia="宋体" w:cs="宋体"/>
          <w:color w:val="auto"/>
          <w:spacing w:val="4"/>
          <w:sz w:val="22"/>
          <w:szCs w:val="22"/>
          <w:highlight w:val="none"/>
        </w:rPr>
        <w:t>（</w:t>
      </w:r>
      <w:r>
        <w:rPr>
          <w:rFonts w:hint="eastAsia" w:ascii="宋体" w:hAnsi="宋体" w:eastAsia="宋体" w:cs="宋体"/>
          <w:color w:val="auto"/>
          <w:spacing w:val="4"/>
          <w:sz w:val="22"/>
          <w:szCs w:val="22"/>
          <w:highlight w:val="none"/>
          <w:lang w:val="en-US" w:eastAsia="zh-CN"/>
        </w:rPr>
        <w:t>8</w:t>
      </w:r>
      <w:r>
        <w:rPr>
          <w:rFonts w:ascii="宋体" w:hAnsi="宋体" w:eastAsia="宋体" w:cs="宋体"/>
          <w:color w:val="auto"/>
          <w:spacing w:val="4"/>
          <w:sz w:val="22"/>
          <w:szCs w:val="22"/>
          <w:highlight w:val="none"/>
        </w:rPr>
        <w:t>）</w:t>
      </w:r>
      <w:r>
        <w:rPr>
          <w:rFonts w:ascii="宋体" w:hAnsi="宋体" w:eastAsia="宋体" w:cs="宋体"/>
          <w:color w:val="auto"/>
          <w:spacing w:val="-1"/>
          <w:sz w:val="22"/>
          <w:szCs w:val="22"/>
          <w:highlight w:val="none"/>
        </w:rPr>
        <w:t>因外委检测机构的数据失实、弄虚作假等原因导致工程质量问题或损失的，监理人应首 先向建设单位承担责任，再依据其与检测机构的合同进行追偿。</w:t>
      </w:r>
    </w:p>
    <w:p w14:paraId="20A350D1">
      <w:pPr>
        <w:spacing w:before="167" w:line="220" w:lineRule="auto"/>
        <w:ind w:left="44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5.3.4.3 试验检测数据</w:t>
      </w:r>
    </w:p>
    <w:p w14:paraId="0ADAE9B0">
      <w:pPr>
        <w:spacing w:before="165" w:line="359" w:lineRule="auto"/>
        <w:ind w:right="133" w:firstLine="462"/>
        <w:rPr>
          <w:rFonts w:ascii="宋体" w:hAnsi="宋体" w:eastAsia="宋体" w:cs="宋体"/>
          <w:color w:val="auto"/>
          <w:sz w:val="22"/>
          <w:szCs w:val="22"/>
          <w:highlight w:val="none"/>
        </w:rPr>
      </w:pPr>
      <w:r>
        <w:rPr>
          <w:rFonts w:ascii="宋体" w:hAnsi="宋体" w:eastAsia="宋体" w:cs="宋体"/>
          <w:color w:val="auto"/>
          <w:sz w:val="22"/>
          <w:szCs w:val="22"/>
          <w:highlight w:val="none"/>
        </w:rPr>
        <w:t>中心试验室的试验检测结果（包括监理人抽样送检和中心试</w:t>
      </w:r>
      <w:r>
        <w:rPr>
          <w:rFonts w:ascii="宋体" w:hAnsi="宋体" w:eastAsia="宋体" w:cs="宋体"/>
          <w:color w:val="auto"/>
          <w:spacing w:val="-1"/>
          <w:sz w:val="22"/>
          <w:szCs w:val="22"/>
          <w:highlight w:val="none"/>
        </w:rPr>
        <w:t>验室代表委托人抽检</w:t>
      </w:r>
      <w:r>
        <w:rPr>
          <w:rFonts w:ascii="宋体" w:hAnsi="宋体" w:eastAsia="宋体" w:cs="宋体"/>
          <w:color w:val="auto"/>
          <w:spacing w:val="16"/>
          <w:sz w:val="22"/>
          <w:szCs w:val="22"/>
          <w:highlight w:val="none"/>
        </w:rPr>
        <w:t>），</w:t>
      </w:r>
      <w:r>
        <w:rPr>
          <w:rFonts w:ascii="宋体" w:hAnsi="宋体" w:eastAsia="宋体" w:cs="宋体"/>
          <w:color w:val="auto"/>
          <w:spacing w:val="-1"/>
          <w:sz w:val="22"/>
          <w:szCs w:val="22"/>
          <w:highlight w:val="none"/>
        </w:rPr>
        <w:t>中心</w:t>
      </w:r>
      <w:r>
        <w:rPr>
          <w:rFonts w:ascii="宋体" w:hAnsi="宋体" w:eastAsia="宋体" w:cs="宋体"/>
          <w:color w:val="auto"/>
          <w:spacing w:val="1"/>
          <w:sz w:val="22"/>
          <w:szCs w:val="22"/>
          <w:highlight w:val="none"/>
        </w:rPr>
        <w:t>试验室应及时反馈监理人和上报委托人；如存在异常数据，应及时会同监理人按规范要求抽样</w:t>
      </w:r>
      <w:r>
        <w:rPr>
          <w:rFonts w:ascii="宋体" w:hAnsi="宋体" w:eastAsia="宋体" w:cs="宋体"/>
          <w:color w:val="auto"/>
          <w:spacing w:val="-1"/>
          <w:sz w:val="22"/>
          <w:szCs w:val="22"/>
          <w:highlight w:val="none"/>
        </w:rPr>
        <w:t>复检，并由监理人负责督办不合格品的处理与闭合。</w:t>
      </w:r>
    </w:p>
    <w:p w14:paraId="7FB3038C">
      <w:pPr>
        <w:spacing w:before="1" w:line="290" w:lineRule="auto"/>
        <w:ind w:left="1" w:right="133" w:firstLine="445"/>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5.3.4.4 监理人和中心试验室关于试验检测工作的工作界面划分详见合同专用条款</w:t>
      </w:r>
      <w:r>
        <w:rPr>
          <w:rFonts w:ascii="宋体" w:hAnsi="宋体" w:eastAsia="宋体" w:cs="宋体"/>
          <w:color w:val="auto"/>
          <w:spacing w:val="-25"/>
          <w:sz w:val="22"/>
          <w:szCs w:val="22"/>
          <w:highlight w:val="none"/>
        </w:rPr>
        <w:t xml:space="preserve"> </w:t>
      </w:r>
      <w:r>
        <w:rPr>
          <w:rFonts w:ascii="宋体" w:hAnsi="宋体" w:eastAsia="宋体" w:cs="宋体"/>
          <w:color w:val="auto"/>
          <w:spacing w:val="4"/>
          <w:sz w:val="22"/>
          <w:szCs w:val="22"/>
          <w:highlight w:val="none"/>
        </w:rPr>
        <w:t>1</w:t>
      </w:r>
      <w:r>
        <w:rPr>
          <w:rFonts w:ascii="宋体" w:hAnsi="宋体" w:eastAsia="宋体" w:cs="宋体"/>
          <w:color w:val="auto"/>
          <w:spacing w:val="3"/>
          <w:sz w:val="22"/>
          <w:szCs w:val="22"/>
          <w:highlight w:val="none"/>
        </w:rPr>
        <w:t>3.6</w:t>
      </w:r>
      <w:r>
        <w:rPr>
          <w:rFonts w:ascii="宋体" w:hAnsi="宋体" w:eastAsia="宋体" w:cs="宋体"/>
          <w:color w:val="auto"/>
          <w:sz w:val="22"/>
          <w:szCs w:val="22"/>
          <w:highlight w:val="none"/>
        </w:rPr>
        <w:t>款</w:t>
      </w:r>
    </w:p>
    <w:p w14:paraId="62FD8F15">
      <w:pPr>
        <w:spacing w:before="165" w:line="313" w:lineRule="auto"/>
        <w:ind w:left="2" w:right="133" w:firstLine="444"/>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5.3.4.5 如监理人与中心试验室在试验检测工作界面存在冲突或模糊时，委托</w:t>
      </w:r>
      <w:r>
        <w:rPr>
          <w:rFonts w:ascii="宋体" w:hAnsi="宋体" w:eastAsia="宋体" w:cs="宋体"/>
          <w:color w:val="auto"/>
          <w:sz w:val="22"/>
          <w:szCs w:val="22"/>
          <w:highlight w:val="none"/>
        </w:rPr>
        <w:t>人将予以进</w:t>
      </w:r>
      <w:r>
        <w:rPr>
          <w:rFonts w:ascii="宋体" w:hAnsi="宋体" w:eastAsia="宋体" w:cs="宋体"/>
          <w:color w:val="auto"/>
          <w:spacing w:val="1"/>
          <w:sz w:val="22"/>
          <w:szCs w:val="22"/>
          <w:highlight w:val="none"/>
        </w:rPr>
        <w:t>一步明确或重新调整工作界面划分，监理人与中心试验室均须无条件服从委托人（业主）的协</w:t>
      </w:r>
      <w:r>
        <w:rPr>
          <w:rFonts w:ascii="宋体" w:hAnsi="宋体" w:eastAsia="宋体" w:cs="宋体"/>
          <w:color w:val="auto"/>
          <w:spacing w:val="-2"/>
          <w:sz w:val="22"/>
          <w:szCs w:val="22"/>
          <w:highlight w:val="none"/>
        </w:rPr>
        <w:t>调和安排。</w:t>
      </w:r>
    </w:p>
    <w:p w14:paraId="3A7BBA74">
      <w:pPr>
        <w:spacing w:line="328" w:lineRule="auto"/>
        <w:rPr>
          <w:rFonts w:ascii="Arial"/>
          <w:color w:val="auto"/>
          <w:sz w:val="21"/>
          <w:highlight w:val="none"/>
        </w:rPr>
      </w:pPr>
    </w:p>
    <w:p w14:paraId="17D04F3E">
      <w:pPr>
        <w:spacing w:before="78" w:line="219" w:lineRule="auto"/>
        <w:ind w:left="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5.5</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监理服务形式</w:t>
      </w:r>
    </w:p>
    <w:p w14:paraId="1D9C1E15">
      <w:pPr>
        <w:spacing w:before="179" w:line="219" w:lineRule="auto"/>
        <w:ind w:left="443"/>
        <w:rPr>
          <w:rFonts w:ascii="宋体" w:hAnsi="宋体" w:eastAsia="宋体" w:cs="宋体"/>
          <w:color w:val="auto"/>
          <w:sz w:val="22"/>
          <w:szCs w:val="22"/>
          <w:highlight w:val="none"/>
        </w:rPr>
      </w:pPr>
      <w:r>
        <w:rPr>
          <w:rFonts w:ascii="宋体" w:hAnsi="宋体" w:eastAsia="宋体" w:cs="宋体"/>
          <w:color w:val="auto"/>
          <w:sz w:val="22"/>
          <w:szCs w:val="22"/>
          <w:highlight w:val="none"/>
        </w:rPr>
        <w:t>监理服务机构设置：</w:t>
      </w:r>
      <w:r>
        <w:rPr>
          <w:rFonts w:hint="eastAsia" w:ascii="宋体" w:hAnsi="宋体" w:eastAsia="宋体" w:cs="宋体"/>
          <w:color w:val="auto"/>
          <w:kern w:val="0"/>
          <w:sz w:val="24"/>
          <w:szCs w:val="24"/>
          <w:highlight w:val="none"/>
          <w:u w:val="single"/>
          <w:lang w:val="en-US" w:eastAsia="zh-CN"/>
        </w:rPr>
        <w:t>一</w:t>
      </w:r>
      <w:r>
        <w:rPr>
          <w:rFonts w:hint="eastAsia" w:ascii="宋体" w:hAnsi="宋体" w:eastAsia="宋体" w:cs="宋体"/>
          <w:color w:val="auto"/>
          <w:kern w:val="0"/>
          <w:sz w:val="24"/>
          <w:szCs w:val="24"/>
          <w:highlight w:val="none"/>
          <w:u w:val="single"/>
        </w:rPr>
        <w:t>级监理机构</w:t>
      </w:r>
      <w:r>
        <w:rPr>
          <w:rFonts w:ascii="宋体" w:hAnsi="宋体" w:eastAsia="宋体" w:cs="宋体"/>
          <w:color w:val="auto"/>
          <w:spacing w:val="-1"/>
          <w:sz w:val="22"/>
          <w:szCs w:val="22"/>
          <w:highlight w:val="none"/>
        </w:rPr>
        <w:t>。</w:t>
      </w:r>
    </w:p>
    <w:p w14:paraId="11C5D9ED">
      <w:pPr>
        <w:spacing w:before="168" w:line="220" w:lineRule="auto"/>
        <w:jc w:val="right"/>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总监理工程师办公室按</w:t>
      </w:r>
      <w:r>
        <w:rPr>
          <w:rFonts w:ascii="宋体" w:hAnsi="宋体" w:eastAsia="宋体" w:cs="宋体"/>
          <w:color w:val="auto"/>
          <w:spacing w:val="-1"/>
          <w:sz w:val="22"/>
          <w:szCs w:val="22"/>
          <w:highlight w:val="none"/>
          <w:u w:val="single" w:color="auto"/>
        </w:rPr>
        <w:t>（组建原则、设立方式）</w:t>
      </w:r>
      <w:r>
        <w:rPr>
          <w:rFonts w:ascii="宋体" w:hAnsi="宋体" w:eastAsia="宋体" w:cs="宋体"/>
          <w:color w:val="auto"/>
          <w:spacing w:val="-2"/>
          <w:sz w:val="22"/>
          <w:szCs w:val="22"/>
          <w:highlight w:val="none"/>
        </w:rPr>
        <w:t>组建，下设</w:t>
      </w:r>
      <w:r>
        <w:rPr>
          <w:rFonts w:ascii="宋体" w:hAnsi="宋体" w:eastAsia="宋体" w:cs="宋体"/>
          <w:color w:val="auto"/>
          <w:spacing w:val="35"/>
          <w:sz w:val="22"/>
          <w:szCs w:val="22"/>
          <w:highlight w:val="none"/>
          <w:u w:val="single" w:color="auto"/>
        </w:rPr>
        <w:t xml:space="preserve"> </w:t>
      </w:r>
      <w:r>
        <w:rPr>
          <w:rFonts w:hint="eastAsia" w:ascii="宋体" w:hAnsi="宋体" w:eastAsia="宋体" w:cs="宋体"/>
          <w:color w:val="auto"/>
          <w:spacing w:val="35"/>
          <w:sz w:val="22"/>
          <w:szCs w:val="22"/>
          <w:highlight w:val="none"/>
          <w:u w:val="single" w:color="auto"/>
          <w:lang w:val="en-US" w:eastAsia="zh-CN"/>
        </w:rPr>
        <w:t>/</w:t>
      </w:r>
      <w:r>
        <w:rPr>
          <w:rFonts w:ascii="宋体" w:hAnsi="宋体" w:eastAsia="宋体" w:cs="宋体"/>
          <w:color w:val="auto"/>
          <w:spacing w:val="35"/>
          <w:sz w:val="22"/>
          <w:szCs w:val="22"/>
          <w:highlight w:val="none"/>
          <w:u w:val="single" w:color="auto"/>
        </w:rPr>
        <w:t xml:space="preserve"> </w:t>
      </w:r>
      <w:r>
        <w:rPr>
          <w:rFonts w:ascii="宋体" w:hAnsi="宋体" w:eastAsia="宋体" w:cs="宋体"/>
          <w:color w:val="auto"/>
          <w:spacing w:val="-100"/>
          <w:sz w:val="22"/>
          <w:szCs w:val="22"/>
          <w:highlight w:val="none"/>
        </w:rPr>
        <w:t xml:space="preserve"> </w:t>
      </w:r>
      <w:r>
        <w:rPr>
          <w:rFonts w:ascii="宋体" w:hAnsi="宋体" w:eastAsia="宋体" w:cs="宋体"/>
          <w:color w:val="auto"/>
          <w:spacing w:val="-2"/>
          <w:sz w:val="22"/>
          <w:szCs w:val="22"/>
          <w:highlight w:val="none"/>
        </w:rPr>
        <w:t>个驻地监理工程师办公室。</w:t>
      </w:r>
    </w:p>
    <w:p w14:paraId="5F081898">
      <w:pPr>
        <w:spacing w:line="328" w:lineRule="auto"/>
        <w:rPr>
          <w:rFonts w:ascii="Arial"/>
          <w:color w:val="auto"/>
          <w:sz w:val="21"/>
          <w:highlight w:val="none"/>
        </w:rPr>
      </w:pPr>
    </w:p>
    <w:p w14:paraId="515EED9E">
      <w:pPr>
        <w:spacing w:before="78" w:line="219" w:lineRule="auto"/>
        <w:ind w:left="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5.6</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监理服务目标</w:t>
      </w:r>
    </w:p>
    <w:p w14:paraId="12F462E3">
      <w:pPr>
        <w:spacing w:before="178" w:line="360" w:lineRule="auto"/>
        <w:ind w:left="6" w:leftChars="0" w:firstLine="440" w:firstLineChars="200"/>
        <w:rPr>
          <w:rFonts w:ascii="宋体" w:hAnsi="宋体" w:eastAsia="宋体" w:cs="宋体"/>
          <w:color w:val="auto"/>
          <w:sz w:val="22"/>
          <w:szCs w:val="22"/>
          <w:highlight w:val="none"/>
        </w:rPr>
      </w:pPr>
      <w:r>
        <w:rPr>
          <w:rFonts w:ascii="宋体" w:hAnsi="宋体" w:eastAsia="宋体" w:cs="宋体"/>
          <w:color w:val="auto"/>
          <w:sz w:val="22"/>
          <w:szCs w:val="22"/>
          <w:highlight w:val="none"/>
        </w:rPr>
        <w:t>5.6.2 对第三方履约管理的服务目标：</w:t>
      </w:r>
      <w:r>
        <w:rPr>
          <w:rFonts w:hint="eastAsia" w:ascii="宋体" w:hAnsi="宋体" w:eastAsia="宋体" w:cs="宋体"/>
          <w:color w:val="auto"/>
          <w:sz w:val="22"/>
          <w:szCs w:val="22"/>
          <w:highlight w:val="none"/>
          <w:u w:val="single"/>
        </w:rPr>
        <w:t>确保工期，节省投资，保证安全，工程质量达到交工验收合格、竣工验收合格</w:t>
      </w:r>
      <w:r>
        <w:rPr>
          <w:rFonts w:ascii="宋体" w:hAnsi="宋体" w:eastAsia="宋体" w:cs="宋体"/>
          <w:color w:val="auto"/>
          <w:spacing w:val="-1"/>
          <w:sz w:val="22"/>
          <w:szCs w:val="22"/>
          <w:highlight w:val="none"/>
        </w:rPr>
        <w:t>。</w:t>
      </w:r>
    </w:p>
    <w:p w14:paraId="345EEBDD">
      <w:pPr>
        <w:spacing w:before="165" w:line="360" w:lineRule="auto"/>
        <w:ind w:left="22" w:right="133" w:firstLine="42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5.6.3</w:t>
      </w:r>
      <w:r>
        <w:rPr>
          <w:rFonts w:ascii="宋体" w:hAnsi="宋体" w:eastAsia="宋体" w:cs="宋体"/>
          <w:color w:val="auto"/>
          <w:spacing w:val="-44"/>
          <w:sz w:val="22"/>
          <w:szCs w:val="22"/>
          <w:highlight w:val="none"/>
        </w:rPr>
        <w:t xml:space="preserve"> </w:t>
      </w:r>
      <w:r>
        <w:rPr>
          <w:rFonts w:ascii="宋体" w:hAnsi="宋体" w:eastAsia="宋体" w:cs="宋体"/>
          <w:color w:val="auto"/>
          <w:spacing w:val="2"/>
          <w:sz w:val="22"/>
          <w:szCs w:val="22"/>
          <w:highlight w:val="none"/>
        </w:rPr>
        <w:t>监理人应根据《公路工程施工监理规范》、广东省《公路工程造价管理指南》、合</w:t>
      </w:r>
      <w:r>
        <w:rPr>
          <w:rFonts w:ascii="宋体" w:hAnsi="宋体" w:eastAsia="宋体" w:cs="宋体"/>
          <w:color w:val="auto"/>
          <w:spacing w:val="-2"/>
          <w:sz w:val="22"/>
          <w:szCs w:val="22"/>
          <w:highlight w:val="none"/>
        </w:rPr>
        <w:t>同约定及工程设计要求和合同履行监理责任。</w:t>
      </w:r>
    </w:p>
    <w:p w14:paraId="2FD96E5F">
      <w:pPr>
        <w:spacing w:line="328" w:lineRule="auto"/>
        <w:rPr>
          <w:rFonts w:ascii="Arial"/>
          <w:color w:val="auto"/>
          <w:sz w:val="21"/>
          <w:highlight w:val="none"/>
        </w:rPr>
      </w:pPr>
    </w:p>
    <w:p w14:paraId="03858B66">
      <w:pPr>
        <w:spacing w:before="79" w:line="219" w:lineRule="auto"/>
        <w:ind w:left="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5.7</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委托人对监理人的授权</w:t>
      </w:r>
    </w:p>
    <w:p w14:paraId="6D8B9DB6">
      <w:pPr>
        <w:spacing w:before="45" w:line="359" w:lineRule="auto"/>
        <w:ind w:left="32" w:right="280" w:firstLine="421"/>
        <w:rPr>
          <w:rFonts w:ascii="宋体" w:hAnsi="宋体" w:eastAsia="宋体" w:cs="宋体"/>
          <w:color w:val="auto"/>
          <w:spacing w:val="1"/>
          <w:sz w:val="22"/>
          <w:szCs w:val="22"/>
          <w:highlight w:val="none"/>
        </w:rPr>
      </w:pPr>
    </w:p>
    <w:p w14:paraId="0645CA38">
      <w:pPr>
        <w:spacing w:before="45" w:line="359" w:lineRule="auto"/>
        <w:ind w:left="32" w:right="280" w:firstLine="42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5.7.1 委托人对监理人的授权：监理人在行使以下规定的职权之前，应先取</w:t>
      </w:r>
      <w:r>
        <w:rPr>
          <w:rFonts w:ascii="宋体" w:hAnsi="宋体" w:eastAsia="宋体" w:cs="宋体"/>
          <w:color w:val="auto"/>
          <w:sz w:val="22"/>
          <w:szCs w:val="22"/>
          <w:highlight w:val="none"/>
        </w:rPr>
        <w:t>得委托人的专</w:t>
      </w:r>
      <w:r>
        <w:rPr>
          <w:rFonts w:ascii="宋体" w:hAnsi="宋体" w:eastAsia="宋体" w:cs="宋体"/>
          <w:color w:val="auto"/>
          <w:spacing w:val="-9"/>
          <w:sz w:val="22"/>
          <w:szCs w:val="22"/>
          <w:highlight w:val="none"/>
        </w:rPr>
        <w:t>门批准：</w:t>
      </w:r>
    </w:p>
    <w:p w14:paraId="6A6F7481">
      <w:pPr>
        <w:spacing w:line="219" w:lineRule="auto"/>
        <w:ind w:left="45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（1）审核分包本工程的某非主体部分；</w:t>
      </w:r>
    </w:p>
    <w:p w14:paraId="321E5D24">
      <w:pPr>
        <w:spacing w:before="165" w:line="289" w:lineRule="auto"/>
        <w:ind w:left="8" w:right="278" w:firstLine="44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（2）核对施工队伍、人员和设备的进场情况是否与承包人投标文</w:t>
      </w:r>
      <w:r>
        <w:rPr>
          <w:rFonts w:ascii="宋体" w:hAnsi="宋体" w:eastAsia="宋体" w:cs="宋体"/>
          <w:color w:val="auto"/>
          <w:spacing w:val="3"/>
          <w:sz w:val="22"/>
          <w:szCs w:val="22"/>
          <w:highlight w:val="none"/>
        </w:rPr>
        <w:t>件承诺一致，发布开工</w:t>
      </w:r>
      <w:r>
        <w:rPr>
          <w:rFonts w:ascii="宋体" w:hAnsi="宋体" w:eastAsia="宋体" w:cs="宋体"/>
          <w:color w:val="auto"/>
          <w:spacing w:val="-1"/>
          <w:sz w:val="22"/>
          <w:szCs w:val="22"/>
          <w:highlight w:val="none"/>
        </w:rPr>
        <w:t>令、暂时停工或复工令；</w:t>
      </w:r>
    </w:p>
    <w:p w14:paraId="76C53B64">
      <w:pPr>
        <w:spacing w:before="168" w:line="220" w:lineRule="auto"/>
        <w:ind w:left="45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（3）决定承包人有权得到的工程延期；</w:t>
      </w:r>
    </w:p>
    <w:p w14:paraId="694050C5">
      <w:pPr>
        <w:spacing w:before="165" w:line="220" w:lineRule="auto"/>
        <w:ind w:left="45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（4）审查批准技术规范(规格)或设计的变更；</w:t>
      </w:r>
    </w:p>
    <w:p w14:paraId="3658FEF9">
      <w:pPr>
        <w:spacing w:before="165" w:line="219" w:lineRule="auto"/>
        <w:ind w:left="45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（5）下达变更指令；</w:t>
      </w:r>
    </w:p>
    <w:p w14:paraId="477AFB15">
      <w:pPr>
        <w:spacing w:before="167" w:line="219" w:lineRule="auto"/>
        <w:ind w:left="45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（6）对新增施工细目的单价进行估价；</w:t>
      </w:r>
    </w:p>
    <w:p w14:paraId="66AF2054">
      <w:pPr>
        <w:spacing w:before="167" w:line="220" w:lineRule="auto"/>
        <w:ind w:left="45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（7）审核有关暂列金额的使用；</w:t>
      </w:r>
    </w:p>
    <w:p w14:paraId="47AA8433">
      <w:pPr>
        <w:spacing w:before="165" w:line="355" w:lineRule="auto"/>
        <w:ind w:left="5" w:right="145" w:firstLine="441"/>
        <w:jc w:val="both"/>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但如果发生紧急情况，监理人认为将造成人员伤亡，或危及本工程或邻近的财产需立即采</w:t>
      </w:r>
      <w:r>
        <w:rPr>
          <w:rFonts w:ascii="宋体" w:hAnsi="宋体" w:eastAsia="宋体" w:cs="宋体"/>
          <w:color w:val="auto"/>
          <w:spacing w:val="-1"/>
          <w:sz w:val="22"/>
          <w:szCs w:val="22"/>
          <w:highlight w:val="none"/>
        </w:rPr>
        <w:t>取行动，监理人有权在未征得委托人的批准的情况下向承包人发布处理紧急情况所必需的指令。</w:t>
      </w:r>
      <w:r>
        <w:rPr>
          <w:rFonts w:ascii="宋体" w:hAnsi="宋体" w:eastAsia="宋体" w:cs="宋体"/>
          <w:color w:val="auto"/>
          <w:sz w:val="22"/>
          <w:szCs w:val="22"/>
          <w:highlight w:val="none"/>
        </w:rPr>
        <w:t>但监理人随后应及时向委托人报告情况，并与委托人协商进一</w:t>
      </w:r>
      <w:r>
        <w:rPr>
          <w:rFonts w:ascii="宋体" w:hAnsi="宋体" w:eastAsia="宋体" w:cs="宋体"/>
          <w:color w:val="auto"/>
          <w:spacing w:val="-1"/>
          <w:sz w:val="22"/>
          <w:szCs w:val="22"/>
          <w:highlight w:val="none"/>
        </w:rPr>
        <w:t>步应采取的措施。</w:t>
      </w:r>
    </w:p>
    <w:p w14:paraId="1E918827">
      <w:pPr>
        <w:spacing w:line="226" w:lineRule="auto"/>
        <w:ind w:left="450"/>
        <w:rPr>
          <w:rFonts w:ascii="宋体" w:hAnsi="宋体" w:eastAsia="宋体" w:cs="宋体"/>
          <w:color w:val="auto"/>
          <w:sz w:val="10"/>
          <w:szCs w:val="10"/>
          <w:highlight w:val="none"/>
        </w:rPr>
      </w:pPr>
      <w:r>
        <w:rPr>
          <w:rFonts w:ascii="宋体" w:hAnsi="宋体" w:eastAsia="宋体" w:cs="宋体"/>
          <w:color w:val="auto"/>
          <w:spacing w:val="-3"/>
          <w:sz w:val="22"/>
          <w:szCs w:val="22"/>
          <w:highlight w:val="none"/>
        </w:rPr>
        <w:t>增加第</w:t>
      </w:r>
      <w:r>
        <w:rPr>
          <w:rFonts w:ascii="宋体" w:hAnsi="宋体" w:eastAsia="宋体" w:cs="宋体"/>
          <w:color w:val="auto"/>
          <w:spacing w:val="-35"/>
          <w:sz w:val="22"/>
          <w:szCs w:val="22"/>
          <w:highlight w:val="none"/>
        </w:rPr>
        <w:t xml:space="preserve"> </w:t>
      </w:r>
      <w:r>
        <w:rPr>
          <w:rFonts w:ascii="宋体" w:hAnsi="宋体" w:eastAsia="宋体" w:cs="宋体"/>
          <w:color w:val="auto"/>
          <w:spacing w:val="-3"/>
          <w:sz w:val="22"/>
          <w:szCs w:val="22"/>
          <w:highlight w:val="none"/>
        </w:rPr>
        <w:t>5.8</w:t>
      </w:r>
      <w:r>
        <w:rPr>
          <w:rFonts w:ascii="宋体" w:hAnsi="宋体" w:eastAsia="宋体" w:cs="宋体"/>
          <w:color w:val="auto"/>
          <w:spacing w:val="-45"/>
          <w:sz w:val="22"/>
          <w:szCs w:val="22"/>
          <w:highlight w:val="none"/>
        </w:rPr>
        <w:t xml:space="preserve"> </w:t>
      </w:r>
      <w:r>
        <w:rPr>
          <w:rFonts w:ascii="宋体" w:hAnsi="宋体" w:eastAsia="宋体" w:cs="宋体"/>
          <w:color w:val="auto"/>
          <w:spacing w:val="-3"/>
          <w:sz w:val="22"/>
          <w:szCs w:val="22"/>
          <w:highlight w:val="none"/>
        </w:rPr>
        <w:t>项-5.12</w:t>
      </w:r>
      <w:r>
        <w:rPr>
          <w:rFonts w:ascii="宋体" w:hAnsi="宋体" w:eastAsia="宋体" w:cs="宋体"/>
          <w:color w:val="auto"/>
          <w:spacing w:val="-46"/>
          <w:sz w:val="22"/>
          <w:szCs w:val="22"/>
          <w:highlight w:val="none"/>
        </w:rPr>
        <w:t xml:space="preserve"> </w:t>
      </w:r>
      <w:r>
        <w:rPr>
          <w:rFonts w:ascii="宋体" w:hAnsi="宋体" w:eastAsia="宋体" w:cs="宋体"/>
          <w:color w:val="auto"/>
          <w:spacing w:val="-3"/>
          <w:sz w:val="22"/>
          <w:szCs w:val="22"/>
          <w:highlight w:val="none"/>
        </w:rPr>
        <w:t>款</w:t>
      </w:r>
      <w:r>
        <w:rPr>
          <w:color w:val="auto"/>
          <w:highlight w:val="none"/>
        </w:rPr>
        <w:fldChar w:fldCharType="begin"/>
      </w:r>
      <w:r>
        <w:rPr>
          <w:color w:val="auto"/>
          <w:highlight w:val="none"/>
        </w:rPr>
        <w:instrText xml:space="preserve"> HYPERLINK \l "bookmark145" </w:instrText>
      </w:r>
      <w:r>
        <w:rPr>
          <w:color w:val="auto"/>
          <w:highlight w:val="none"/>
        </w:rPr>
        <w:fldChar w:fldCharType="separate"/>
      </w:r>
      <w:r>
        <w:rPr>
          <w:rFonts w:ascii="宋体" w:hAnsi="宋体" w:eastAsia="宋体" w:cs="宋体"/>
          <w:color w:val="auto"/>
          <w:spacing w:val="-3"/>
          <w:position w:val="10"/>
          <w:sz w:val="10"/>
          <w:szCs w:val="10"/>
          <w:highlight w:val="none"/>
        </w:rPr>
        <w:t>①</w:t>
      </w:r>
      <w:r>
        <w:rPr>
          <w:rFonts w:ascii="宋体" w:hAnsi="宋体" w:eastAsia="宋体" w:cs="宋体"/>
          <w:color w:val="auto"/>
          <w:spacing w:val="-3"/>
          <w:position w:val="10"/>
          <w:sz w:val="10"/>
          <w:szCs w:val="10"/>
          <w:highlight w:val="none"/>
        </w:rPr>
        <w:fldChar w:fldCharType="end"/>
      </w:r>
    </w:p>
    <w:p w14:paraId="4F0ABF50">
      <w:pPr>
        <w:spacing w:before="175" w:line="221" w:lineRule="auto"/>
        <w:ind w:left="45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5.8 监理驻地建设标准化</w:t>
      </w:r>
    </w:p>
    <w:p w14:paraId="54649C8D">
      <w:pPr>
        <w:spacing w:before="165" w:line="359" w:lineRule="auto"/>
        <w:ind w:left="11" w:right="280" w:firstLine="76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招标人对本项目采用标准化管理，监理人必须执行国家、广东省有关高速公路工程建</w:t>
      </w:r>
      <w:r>
        <w:rPr>
          <w:rFonts w:ascii="宋体" w:hAnsi="宋体" w:eastAsia="宋体" w:cs="宋体"/>
          <w:color w:val="auto"/>
          <w:sz w:val="22"/>
          <w:szCs w:val="22"/>
          <w:highlight w:val="none"/>
        </w:rPr>
        <w:t>设“双标</w:t>
      </w:r>
      <w:r>
        <w:rPr>
          <w:rFonts w:ascii="宋体" w:hAnsi="宋体" w:eastAsia="宋体" w:cs="宋体"/>
          <w:color w:val="auto"/>
          <w:spacing w:val="-81"/>
          <w:sz w:val="22"/>
          <w:szCs w:val="22"/>
          <w:highlight w:val="none"/>
        </w:rPr>
        <w:t xml:space="preserve"> </w:t>
      </w:r>
      <w:r>
        <w:rPr>
          <w:rFonts w:ascii="宋体" w:hAnsi="宋体" w:eastAsia="宋体" w:cs="宋体"/>
          <w:color w:val="auto"/>
          <w:sz w:val="22"/>
          <w:szCs w:val="22"/>
          <w:highlight w:val="none"/>
        </w:rPr>
        <w:t>”管理、品质公路、绿色公路的规定和要求。其相关文件资料有（包括但不限于</w:t>
      </w:r>
      <w:r>
        <w:rPr>
          <w:rFonts w:ascii="宋体" w:hAnsi="宋体" w:eastAsia="宋体" w:cs="宋体"/>
          <w:color w:val="auto"/>
          <w:spacing w:val="4"/>
          <w:sz w:val="22"/>
          <w:szCs w:val="22"/>
          <w:highlight w:val="none"/>
        </w:rPr>
        <w:t>）：</w:t>
      </w:r>
    </w:p>
    <w:p w14:paraId="56F07243">
      <w:pPr>
        <w:spacing w:line="286" w:lineRule="auto"/>
        <w:ind w:left="9" w:right="280" w:hanging="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①广东省公路工程施工标准化指南；②广东省高速公路优质工程管理办法；③广东省高速公路</w:t>
      </w:r>
      <w:r>
        <w:rPr>
          <w:rFonts w:ascii="宋体" w:hAnsi="宋体" w:eastAsia="宋体" w:cs="宋体"/>
          <w:color w:val="auto"/>
          <w:spacing w:val="-1"/>
          <w:sz w:val="22"/>
          <w:szCs w:val="22"/>
          <w:highlight w:val="none"/>
        </w:rPr>
        <w:t>工程优质优价和施工监理优监优酬实施意见</w:t>
      </w:r>
      <w:r>
        <w:rPr>
          <w:rFonts w:ascii="宋体" w:hAnsi="宋体" w:eastAsia="宋体" w:cs="宋体"/>
          <w:color w:val="auto"/>
          <w:spacing w:val="-1"/>
          <w:sz w:val="24"/>
          <w:szCs w:val="24"/>
          <w:highlight w:val="none"/>
        </w:rPr>
        <w:t>。</w:t>
      </w:r>
      <w:r>
        <w:rPr>
          <w:rFonts w:ascii="宋体" w:hAnsi="宋体" w:eastAsia="宋体" w:cs="宋体"/>
          <w:color w:val="auto"/>
          <w:spacing w:val="-1"/>
          <w:sz w:val="22"/>
          <w:szCs w:val="22"/>
          <w:highlight w:val="none"/>
        </w:rPr>
        <w:t>和招标人的要求。</w:t>
      </w:r>
    </w:p>
    <w:p w14:paraId="333C45DD">
      <w:pPr>
        <w:spacing w:before="182" w:line="222" w:lineRule="auto"/>
        <w:ind w:left="453"/>
        <w:rPr>
          <w:rFonts w:ascii="宋体" w:hAnsi="宋体" w:eastAsia="宋体" w:cs="宋体"/>
          <w:color w:val="auto"/>
          <w:spacing w:val="-2"/>
          <w:sz w:val="22"/>
          <w:szCs w:val="22"/>
          <w:highlight w:val="none"/>
        </w:rPr>
      </w:pPr>
      <w:r>
        <w:rPr>
          <w:rFonts w:ascii="宋体" w:hAnsi="宋体" w:eastAsia="宋体" w:cs="宋体"/>
          <w:color w:val="auto"/>
          <w:spacing w:val="-2"/>
          <w:sz w:val="22"/>
          <w:szCs w:val="22"/>
          <w:highlight w:val="none"/>
        </w:rPr>
        <w:t>5.9 平安工地建设要求</w:t>
      </w:r>
    </w:p>
    <w:p w14:paraId="50FFAB23">
      <w:pPr>
        <w:spacing w:before="182" w:line="222" w:lineRule="auto"/>
        <w:ind w:left="453"/>
        <w:rPr>
          <w:rFonts w:ascii="宋体" w:hAnsi="宋体" w:eastAsia="宋体" w:cs="宋体"/>
          <w:color w:val="auto"/>
          <w:spacing w:val="-2"/>
          <w:sz w:val="22"/>
          <w:szCs w:val="22"/>
          <w:highlight w:val="none"/>
        </w:rPr>
      </w:pPr>
    </w:p>
    <w:p w14:paraId="6973B88F">
      <w:pPr>
        <w:spacing w:before="165" w:line="359" w:lineRule="auto"/>
        <w:ind w:left="14" w:firstLine="43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本项目执行广东省交通运输厅“关于开展公路水运工程‘平安工地</w:t>
      </w:r>
      <w:r>
        <w:rPr>
          <w:rFonts w:ascii="宋体" w:hAnsi="宋体" w:eastAsia="宋体" w:cs="宋体"/>
          <w:color w:val="auto"/>
          <w:spacing w:val="-79"/>
          <w:sz w:val="22"/>
          <w:szCs w:val="22"/>
          <w:highlight w:val="none"/>
        </w:rPr>
        <w:t xml:space="preserve"> </w:t>
      </w:r>
      <w:r>
        <w:rPr>
          <w:rFonts w:ascii="宋体" w:hAnsi="宋体" w:eastAsia="宋体" w:cs="宋体"/>
          <w:color w:val="auto"/>
          <w:spacing w:val="1"/>
          <w:sz w:val="22"/>
          <w:szCs w:val="22"/>
          <w:highlight w:val="none"/>
        </w:rPr>
        <w:t>’考核评价工作的通知</w:t>
      </w:r>
      <w:r>
        <w:rPr>
          <w:rFonts w:ascii="宋体" w:hAnsi="宋体" w:eastAsia="宋体" w:cs="宋体"/>
          <w:color w:val="auto"/>
          <w:spacing w:val="-81"/>
          <w:sz w:val="22"/>
          <w:szCs w:val="22"/>
          <w:highlight w:val="none"/>
        </w:rPr>
        <w:t xml:space="preserve"> </w:t>
      </w:r>
      <w:r>
        <w:rPr>
          <w:rFonts w:ascii="宋体" w:hAnsi="宋体" w:eastAsia="宋体" w:cs="宋体"/>
          <w:color w:val="auto"/>
          <w:spacing w:val="1"/>
          <w:sz w:val="22"/>
          <w:szCs w:val="22"/>
          <w:highlight w:val="none"/>
        </w:rPr>
        <w:t>”</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（交质监发〔2012〕679 号）等文件有关施工监理的要求。</w:t>
      </w:r>
    </w:p>
    <w:p w14:paraId="087BF9E5">
      <w:pPr>
        <w:spacing w:line="219" w:lineRule="auto"/>
        <w:ind w:left="45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5.10 精细化管理</w:t>
      </w:r>
    </w:p>
    <w:p w14:paraId="73F58013">
      <w:pPr>
        <w:spacing w:before="166" w:line="359" w:lineRule="auto"/>
        <w:ind w:left="9" w:right="330" w:firstLine="440"/>
        <w:rPr>
          <w:rFonts w:ascii="宋体" w:hAnsi="宋体" w:eastAsia="宋体" w:cs="宋体"/>
          <w:color w:val="auto"/>
          <w:sz w:val="22"/>
          <w:szCs w:val="22"/>
          <w:highlight w:val="none"/>
        </w:rPr>
      </w:pPr>
      <w:r>
        <w:rPr>
          <w:rFonts w:ascii="宋体" w:hAnsi="宋体" w:eastAsia="宋体" w:cs="宋体"/>
          <w:color w:val="auto"/>
          <w:sz w:val="22"/>
          <w:szCs w:val="22"/>
          <w:highlight w:val="none"/>
        </w:rPr>
        <w:t>本项目执行《广东省公路工程施工标准化指南》《广东省公路工</w:t>
      </w:r>
      <w:r>
        <w:rPr>
          <w:rFonts w:ascii="宋体" w:hAnsi="宋体" w:eastAsia="宋体" w:cs="宋体"/>
          <w:color w:val="auto"/>
          <w:spacing w:val="-1"/>
          <w:sz w:val="22"/>
          <w:szCs w:val="22"/>
          <w:highlight w:val="none"/>
        </w:rPr>
        <w:t>程施工监理规范》和广东省交通运输厅发放的“广东省高速公路建设施工精细化管理规定</w:t>
      </w:r>
      <w:r>
        <w:rPr>
          <w:rFonts w:ascii="宋体" w:hAnsi="宋体" w:eastAsia="宋体" w:cs="宋体"/>
          <w:color w:val="auto"/>
          <w:spacing w:val="-79"/>
          <w:sz w:val="22"/>
          <w:szCs w:val="22"/>
          <w:highlight w:val="none"/>
        </w:rPr>
        <w:t xml:space="preserve"> </w:t>
      </w:r>
      <w:r>
        <w:rPr>
          <w:rFonts w:ascii="宋体" w:hAnsi="宋体" w:eastAsia="宋体" w:cs="宋体"/>
          <w:color w:val="auto"/>
          <w:spacing w:val="-1"/>
          <w:sz w:val="22"/>
          <w:szCs w:val="22"/>
          <w:highlight w:val="none"/>
        </w:rPr>
        <w:t>”的有关规定及委托人根据以</w:t>
      </w:r>
      <w:r>
        <w:rPr>
          <w:rFonts w:ascii="宋体" w:hAnsi="宋体" w:eastAsia="宋体" w:cs="宋体"/>
          <w:color w:val="auto"/>
          <w:sz w:val="22"/>
          <w:szCs w:val="22"/>
          <w:highlight w:val="none"/>
        </w:rPr>
        <w:t>上规定制定的相关精细化管理指南，在项目建设过程中实行精细化管理</w:t>
      </w:r>
      <w:r>
        <w:rPr>
          <w:rFonts w:ascii="宋体" w:hAnsi="宋体" w:eastAsia="宋体" w:cs="宋体"/>
          <w:color w:val="auto"/>
          <w:spacing w:val="-1"/>
          <w:sz w:val="22"/>
          <w:szCs w:val="22"/>
          <w:highlight w:val="none"/>
        </w:rPr>
        <w:t>。相关规定如有更新，</w:t>
      </w:r>
      <w:r>
        <w:rPr>
          <w:rFonts w:ascii="宋体" w:hAnsi="宋体" w:eastAsia="宋体" w:cs="宋体"/>
          <w:color w:val="auto"/>
          <w:spacing w:val="-2"/>
          <w:sz w:val="22"/>
          <w:szCs w:val="22"/>
          <w:highlight w:val="none"/>
        </w:rPr>
        <w:t>以新颁布的为准。</w:t>
      </w:r>
    </w:p>
    <w:p w14:paraId="3433F4AA">
      <w:pPr>
        <w:spacing w:line="220" w:lineRule="auto"/>
        <w:ind w:left="45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5.11 建设“双标</w:t>
      </w:r>
      <w:r>
        <w:rPr>
          <w:rFonts w:ascii="宋体" w:hAnsi="宋体" w:eastAsia="宋体" w:cs="宋体"/>
          <w:color w:val="auto"/>
          <w:spacing w:val="-79"/>
          <w:sz w:val="22"/>
          <w:szCs w:val="22"/>
          <w:highlight w:val="none"/>
        </w:rPr>
        <w:t xml:space="preserve"> </w:t>
      </w:r>
      <w:r>
        <w:rPr>
          <w:rFonts w:ascii="宋体" w:hAnsi="宋体" w:eastAsia="宋体" w:cs="宋体"/>
          <w:color w:val="auto"/>
          <w:spacing w:val="-3"/>
          <w:sz w:val="22"/>
          <w:szCs w:val="22"/>
          <w:highlight w:val="none"/>
        </w:rPr>
        <w:t>”管理活动</w:t>
      </w:r>
    </w:p>
    <w:p w14:paraId="22F59502">
      <w:pPr>
        <w:spacing w:before="168" w:line="358" w:lineRule="auto"/>
        <w:ind w:left="12" w:right="438" w:firstLine="43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委托人将在项目建设全过程中，全面推行高速公路建设“双标管理</w:t>
      </w:r>
      <w:r>
        <w:rPr>
          <w:rFonts w:ascii="宋体" w:hAnsi="宋体" w:eastAsia="宋体" w:cs="宋体"/>
          <w:color w:val="auto"/>
          <w:spacing w:val="-78"/>
          <w:sz w:val="22"/>
          <w:szCs w:val="22"/>
          <w:highlight w:val="none"/>
        </w:rPr>
        <w:t xml:space="preserve"> </w:t>
      </w:r>
      <w:r>
        <w:rPr>
          <w:rFonts w:ascii="宋体" w:hAnsi="宋体" w:eastAsia="宋体" w:cs="宋体"/>
          <w:color w:val="auto"/>
          <w:spacing w:val="-1"/>
          <w:sz w:val="22"/>
          <w:szCs w:val="22"/>
          <w:highlight w:val="none"/>
        </w:rPr>
        <w:t>”(标准化管理、标杆管理)。监理人应配合委托人力争本项目实现</w:t>
      </w:r>
      <w:r>
        <w:rPr>
          <w:rFonts w:ascii="宋体" w:hAnsi="宋体" w:eastAsia="宋体" w:cs="宋体"/>
          <w:color w:val="auto"/>
          <w:spacing w:val="-2"/>
          <w:sz w:val="22"/>
          <w:szCs w:val="22"/>
          <w:highlight w:val="none"/>
        </w:rPr>
        <w:t>“优质精品工程</w:t>
      </w:r>
      <w:r>
        <w:rPr>
          <w:rFonts w:ascii="宋体" w:hAnsi="宋体" w:eastAsia="宋体" w:cs="宋体"/>
          <w:color w:val="auto"/>
          <w:spacing w:val="-81"/>
          <w:sz w:val="22"/>
          <w:szCs w:val="22"/>
          <w:highlight w:val="none"/>
        </w:rPr>
        <w:t xml:space="preserve"> </w:t>
      </w:r>
      <w:r>
        <w:rPr>
          <w:rFonts w:ascii="宋体" w:hAnsi="宋体" w:eastAsia="宋体" w:cs="宋体"/>
          <w:color w:val="auto"/>
          <w:spacing w:val="-2"/>
          <w:sz w:val="22"/>
          <w:szCs w:val="22"/>
          <w:highlight w:val="none"/>
        </w:rPr>
        <w:t>”的目标。</w:t>
      </w:r>
    </w:p>
    <w:p w14:paraId="54BFF0CB">
      <w:pPr>
        <w:spacing w:before="168" w:line="358" w:lineRule="auto"/>
        <w:ind w:left="12" w:right="438" w:firstLine="435"/>
        <w:rPr>
          <w:rFonts w:ascii="宋体" w:hAnsi="宋体" w:eastAsia="宋体" w:cs="宋体"/>
          <w:color w:val="auto"/>
          <w:spacing w:val="-1"/>
          <w:sz w:val="22"/>
          <w:szCs w:val="22"/>
          <w:highlight w:val="none"/>
        </w:rPr>
      </w:pPr>
      <w:bookmarkStart w:id="241" w:name="bookmark145"/>
      <w:bookmarkEnd w:id="241"/>
      <w:r>
        <w:rPr>
          <w:rFonts w:ascii="宋体" w:hAnsi="宋体" w:eastAsia="宋体" w:cs="宋体"/>
          <w:color w:val="auto"/>
          <w:spacing w:val="-1"/>
          <w:sz w:val="22"/>
          <w:szCs w:val="22"/>
          <w:highlight w:val="none"/>
        </w:rPr>
        <w:t>本项目严格广东省交通运输厅印发《广东省公路工程施工标准化指南》（粤交基[2021]239号），投标人应无条件支持配合。</w:t>
      </w:r>
    </w:p>
    <w:p w14:paraId="40BD174D">
      <w:pPr>
        <w:spacing w:before="165" w:line="220" w:lineRule="auto"/>
        <w:ind w:left="44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5.12 质量安全综合检查</w:t>
      </w:r>
    </w:p>
    <w:p w14:paraId="568D14EA">
      <w:pPr>
        <w:spacing w:before="165" w:line="360" w:lineRule="auto"/>
        <w:ind w:right="19" w:firstLine="445"/>
        <w:jc w:val="both"/>
        <w:rPr>
          <w:rFonts w:ascii="宋体" w:hAnsi="宋体" w:eastAsia="宋体" w:cs="宋体"/>
          <w:color w:val="auto"/>
          <w:sz w:val="22"/>
          <w:szCs w:val="22"/>
          <w:highlight w:val="none"/>
        </w:rPr>
      </w:pPr>
      <w:r>
        <w:rPr>
          <w:rFonts w:ascii="宋体" w:hAnsi="宋体" w:eastAsia="宋体" w:cs="宋体"/>
          <w:color w:val="auto"/>
          <w:sz w:val="22"/>
          <w:szCs w:val="22"/>
          <w:highlight w:val="none"/>
        </w:rPr>
        <w:t>为进一步加强高速公路工程质量监督力度，调动参建各方的</w:t>
      </w:r>
      <w:r>
        <w:rPr>
          <w:rFonts w:ascii="宋体" w:hAnsi="宋体" w:eastAsia="宋体" w:cs="宋体"/>
          <w:color w:val="auto"/>
          <w:spacing w:val="-1"/>
          <w:sz w:val="22"/>
          <w:szCs w:val="22"/>
          <w:highlight w:val="none"/>
        </w:rPr>
        <w:t>主观能动性，提高高速公路工</w:t>
      </w:r>
      <w:r>
        <w:rPr>
          <w:rFonts w:ascii="宋体" w:hAnsi="宋体" w:eastAsia="宋体" w:cs="宋体"/>
          <w:color w:val="auto"/>
          <w:spacing w:val="-2"/>
          <w:sz w:val="22"/>
          <w:szCs w:val="22"/>
          <w:highlight w:val="none"/>
        </w:rPr>
        <w:t>程质量精细化管理水平，监理人应积极参与委托人组织开展的“质量监督综合检查评比</w:t>
      </w:r>
      <w:r>
        <w:rPr>
          <w:rFonts w:ascii="宋体" w:hAnsi="宋体" w:eastAsia="宋体" w:cs="宋体"/>
          <w:color w:val="auto"/>
          <w:spacing w:val="-81"/>
          <w:sz w:val="22"/>
          <w:szCs w:val="22"/>
          <w:highlight w:val="none"/>
        </w:rPr>
        <w:t xml:space="preserve"> </w:t>
      </w:r>
      <w:r>
        <w:rPr>
          <w:rFonts w:ascii="宋体" w:hAnsi="宋体" w:eastAsia="宋体" w:cs="宋体"/>
          <w:color w:val="auto"/>
          <w:spacing w:val="-3"/>
          <w:sz w:val="22"/>
          <w:szCs w:val="22"/>
          <w:highlight w:val="none"/>
        </w:rPr>
        <w:t>”活动，</w:t>
      </w:r>
      <w:r>
        <w:rPr>
          <w:rFonts w:ascii="宋体" w:hAnsi="宋体" w:eastAsia="宋体" w:cs="宋体"/>
          <w:color w:val="auto"/>
          <w:sz w:val="22"/>
          <w:szCs w:val="22"/>
          <w:highlight w:val="none"/>
        </w:rPr>
        <w:t>具体活动方案委托人将根据交通主管部门的有关</w:t>
      </w:r>
      <w:r>
        <w:rPr>
          <w:rFonts w:ascii="宋体" w:hAnsi="宋体" w:eastAsia="宋体" w:cs="宋体"/>
          <w:color w:val="auto"/>
          <w:spacing w:val="-1"/>
          <w:sz w:val="22"/>
          <w:szCs w:val="22"/>
          <w:highlight w:val="none"/>
        </w:rPr>
        <w:t>规定制订后发布。</w:t>
      </w:r>
    </w:p>
    <w:p w14:paraId="203976A7">
      <w:pPr>
        <w:spacing w:line="324" w:lineRule="auto"/>
        <w:rPr>
          <w:rFonts w:ascii="Arial"/>
          <w:color w:val="auto"/>
          <w:sz w:val="21"/>
          <w:highlight w:val="none"/>
        </w:rPr>
      </w:pPr>
    </w:p>
    <w:p w14:paraId="04B89FC5">
      <w:pPr>
        <w:spacing w:before="78" w:line="219" w:lineRule="auto"/>
        <w:ind w:left="3"/>
        <w:outlineLvl w:val="1"/>
        <w:rPr>
          <w:rFonts w:ascii="宋体" w:hAnsi="宋体" w:eastAsia="宋体" w:cs="宋体"/>
          <w:color w:val="auto"/>
          <w:sz w:val="24"/>
          <w:szCs w:val="24"/>
          <w:highlight w:val="none"/>
        </w:rPr>
      </w:pPr>
      <w:bookmarkStart w:id="242" w:name="_Toc26248"/>
      <w:bookmarkStart w:id="243" w:name="_Toc10088"/>
      <w:r>
        <w:rPr>
          <w:rFonts w:ascii="宋体" w:hAnsi="宋体" w:eastAsia="宋体" w:cs="宋体"/>
          <w:b/>
          <w:bCs/>
          <w:color w:val="auto"/>
          <w:spacing w:val="-3"/>
          <w:sz w:val="24"/>
          <w:szCs w:val="24"/>
          <w:highlight w:val="none"/>
        </w:rPr>
        <w:t>6.</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开始监理和完成监理</w:t>
      </w:r>
      <w:bookmarkEnd w:id="242"/>
      <w:bookmarkEnd w:id="243"/>
    </w:p>
    <w:p w14:paraId="45F1DF49">
      <w:pPr>
        <w:spacing w:before="290" w:line="221" w:lineRule="auto"/>
        <w:ind w:left="3"/>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6.1</w:t>
      </w:r>
      <w:r>
        <w:rPr>
          <w:rFonts w:ascii="宋体" w:hAnsi="宋体" w:eastAsia="宋体" w:cs="宋体"/>
          <w:color w:val="auto"/>
          <w:spacing w:val="12"/>
          <w:sz w:val="24"/>
          <w:szCs w:val="24"/>
          <w:highlight w:val="none"/>
        </w:rPr>
        <w:t xml:space="preserve"> </w:t>
      </w:r>
      <w:r>
        <w:rPr>
          <w:rFonts w:ascii="宋体" w:hAnsi="宋体" w:eastAsia="宋体" w:cs="宋体"/>
          <w:b/>
          <w:bCs/>
          <w:color w:val="auto"/>
          <w:spacing w:val="-5"/>
          <w:sz w:val="24"/>
          <w:szCs w:val="24"/>
          <w:highlight w:val="none"/>
        </w:rPr>
        <w:t>开始监理</w:t>
      </w:r>
    </w:p>
    <w:p w14:paraId="61058CB3">
      <w:pPr>
        <w:spacing w:before="179" w:line="219" w:lineRule="auto"/>
        <w:jc w:val="right"/>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6.1.1 满足以下条件时，监理人应开始监理工作：</w:t>
      </w:r>
      <w:r>
        <w:rPr>
          <w:rFonts w:ascii="宋体" w:hAnsi="宋体" w:eastAsia="宋体" w:cs="宋体"/>
          <w:color w:val="auto"/>
          <w:spacing w:val="-1"/>
          <w:sz w:val="22"/>
          <w:szCs w:val="22"/>
          <w:highlight w:val="none"/>
          <w:u w:val="single" w:color="auto"/>
        </w:rPr>
        <w:t>以委托人发出开始监理的书面通知为准</w:t>
      </w:r>
      <w:r>
        <w:rPr>
          <w:rFonts w:ascii="宋体" w:hAnsi="宋体" w:eastAsia="宋体" w:cs="宋体"/>
          <w:color w:val="auto"/>
          <w:spacing w:val="-1"/>
          <w:sz w:val="22"/>
          <w:szCs w:val="22"/>
          <w:highlight w:val="none"/>
        </w:rPr>
        <w:t>。</w:t>
      </w:r>
    </w:p>
    <w:p w14:paraId="667D4FA6">
      <w:pPr>
        <w:spacing w:line="328" w:lineRule="auto"/>
        <w:rPr>
          <w:rFonts w:ascii="Arial"/>
          <w:color w:val="auto"/>
          <w:sz w:val="21"/>
          <w:highlight w:val="none"/>
        </w:rPr>
      </w:pPr>
    </w:p>
    <w:p w14:paraId="1FE213AF">
      <w:pPr>
        <w:spacing w:before="78" w:line="220" w:lineRule="auto"/>
        <w:ind w:left="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6.2</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监理周期延误</w:t>
      </w:r>
    </w:p>
    <w:p w14:paraId="73E4D720">
      <w:pPr>
        <w:spacing w:before="161" w:line="302" w:lineRule="auto"/>
        <w:ind w:left="2" w:right="138" w:firstLine="427"/>
        <w:rPr>
          <w:rFonts w:ascii="宋体" w:hAnsi="宋体" w:eastAsia="宋体" w:cs="宋体"/>
          <w:color w:val="auto"/>
          <w:sz w:val="20"/>
          <w:szCs w:val="20"/>
          <w:highlight w:val="none"/>
        </w:rPr>
      </w:pPr>
      <w:r>
        <w:rPr>
          <w:rFonts w:ascii="宋体" w:hAnsi="宋体" w:eastAsia="宋体" w:cs="宋体"/>
          <w:color w:val="auto"/>
          <w:sz w:val="22"/>
          <w:szCs w:val="22"/>
          <w:highlight w:val="none"/>
        </w:rPr>
        <w:t>由于非监理人责任造成监理服务期限延误的，延长监理服务期限的计算方法：</w:t>
      </w:r>
      <w:r>
        <w:rPr>
          <w:rFonts w:hint="eastAsia" w:ascii="宋体" w:hAnsi="宋体" w:eastAsia="宋体" w:cs="宋体"/>
          <w:b/>
          <w:bCs/>
          <w:color w:val="auto"/>
          <w:spacing w:val="10"/>
          <w:sz w:val="24"/>
          <w:szCs w:val="24"/>
          <w:highlight w:val="none"/>
          <w:u w:val="single"/>
          <w:lang w:val="en-US" w:eastAsia="zh-CN"/>
        </w:rPr>
        <w:t>不设延期费用</w:t>
      </w:r>
      <w:r>
        <w:rPr>
          <w:rFonts w:ascii="宋体" w:hAnsi="宋体" w:eastAsia="宋体" w:cs="宋体"/>
          <w:color w:val="auto"/>
          <w:spacing w:val="5"/>
          <w:sz w:val="20"/>
          <w:szCs w:val="20"/>
          <w:highlight w:val="none"/>
        </w:rPr>
        <w:t>。</w:t>
      </w:r>
    </w:p>
    <w:p w14:paraId="0DAEB042">
      <w:pPr>
        <w:spacing w:line="243" w:lineRule="auto"/>
        <w:rPr>
          <w:rFonts w:ascii="Arial"/>
          <w:color w:val="auto"/>
          <w:sz w:val="21"/>
          <w:highlight w:val="none"/>
        </w:rPr>
      </w:pPr>
    </w:p>
    <w:p w14:paraId="0E62867B">
      <w:pPr>
        <w:spacing w:line="244" w:lineRule="auto"/>
        <w:rPr>
          <w:rFonts w:ascii="Arial"/>
          <w:color w:val="auto"/>
          <w:sz w:val="21"/>
          <w:highlight w:val="none"/>
        </w:rPr>
      </w:pPr>
    </w:p>
    <w:p w14:paraId="58765353">
      <w:pPr>
        <w:spacing w:before="79" w:line="221" w:lineRule="auto"/>
        <w:ind w:left="2"/>
        <w:outlineLvl w:val="1"/>
        <w:rPr>
          <w:rFonts w:ascii="宋体" w:hAnsi="宋体" w:eastAsia="宋体" w:cs="宋体"/>
          <w:color w:val="auto"/>
          <w:sz w:val="24"/>
          <w:szCs w:val="24"/>
          <w:highlight w:val="none"/>
        </w:rPr>
      </w:pPr>
      <w:bookmarkStart w:id="244" w:name="_Toc23868"/>
      <w:bookmarkStart w:id="245" w:name="_Toc22038"/>
      <w:r>
        <w:rPr>
          <w:rFonts w:ascii="宋体" w:hAnsi="宋体" w:eastAsia="宋体" w:cs="宋体"/>
          <w:b/>
          <w:bCs/>
          <w:color w:val="auto"/>
          <w:spacing w:val="-6"/>
          <w:sz w:val="24"/>
          <w:szCs w:val="24"/>
          <w:highlight w:val="none"/>
        </w:rPr>
        <w:t>8.</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6"/>
          <w:sz w:val="24"/>
          <w:szCs w:val="24"/>
          <w:highlight w:val="none"/>
        </w:rPr>
        <w:t>合同变更</w:t>
      </w:r>
      <w:bookmarkEnd w:id="244"/>
      <w:bookmarkEnd w:id="245"/>
    </w:p>
    <w:p w14:paraId="3D86E32E">
      <w:pPr>
        <w:spacing w:before="289" w:line="220" w:lineRule="auto"/>
        <w:ind w:left="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8.1</w:t>
      </w:r>
      <w:r>
        <w:rPr>
          <w:rFonts w:ascii="宋体" w:hAnsi="宋体" w:eastAsia="宋体" w:cs="宋体"/>
          <w:color w:val="auto"/>
          <w:spacing w:val="13"/>
          <w:sz w:val="24"/>
          <w:szCs w:val="24"/>
          <w:highlight w:val="none"/>
        </w:rPr>
        <w:t xml:space="preserve"> </w:t>
      </w:r>
      <w:r>
        <w:rPr>
          <w:rFonts w:ascii="宋体" w:hAnsi="宋体" w:eastAsia="宋体" w:cs="宋体"/>
          <w:b/>
          <w:bCs/>
          <w:color w:val="auto"/>
          <w:spacing w:val="-5"/>
          <w:sz w:val="24"/>
          <w:szCs w:val="24"/>
          <w:highlight w:val="none"/>
        </w:rPr>
        <w:t>变更情形</w:t>
      </w:r>
    </w:p>
    <w:p w14:paraId="58B926E3">
      <w:pPr>
        <w:spacing w:before="180" w:line="360" w:lineRule="auto"/>
        <w:ind w:left="1" w:right="19" w:firstLine="441"/>
        <w:rPr>
          <w:rFonts w:ascii="宋体" w:hAnsi="宋体" w:eastAsia="宋体" w:cs="宋体"/>
          <w:color w:val="auto"/>
          <w:sz w:val="22"/>
          <w:szCs w:val="22"/>
          <w:highlight w:val="none"/>
        </w:rPr>
      </w:pPr>
      <w:r>
        <w:rPr>
          <w:rFonts w:ascii="宋体" w:hAnsi="宋体" w:eastAsia="宋体" w:cs="宋体"/>
          <w:color w:val="auto"/>
          <w:sz w:val="22"/>
          <w:szCs w:val="22"/>
          <w:highlight w:val="none"/>
        </w:rPr>
        <w:t>8.1.1 合同变更时，监理服务期限的调整方法：</w:t>
      </w:r>
      <w:r>
        <w:rPr>
          <w:rFonts w:ascii="宋体" w:hAnsi="宋体" w:eastAsia="宋体" w:cs="宋体"/>
          <w:color w:val="auto"/>
          <w:sz w:val="22"/>
          <w:szCs w:val="22"/>
          <w:highlight w:val="none"/>
          <w:u w:val="single" w:color="auto"/>
        </w:rPr>
        <w:t>增加的监理服</w:t>
      </w:r>
      <w:r>
        <w:rPr>
          <w:rFonts w:ascii="宋体" w:hAnsi="宋体" w:eastAsia="宋体" w:cs="宋体"/>
          <w:color w:val="auto"/>
          <w:spacing w:val="-1"/>
          <w:sz w:val="22"/>
          <w:szCs w:val="22"/>
          <w:highlight w:val="none"/>
          <w:u w:val="single" w:color="auto"/>
        </w:rPr>
        <w:t>务期按6.2</w:t>
      </w:r>
      <w:r>
        <w:rPr>
          <w:rFonts w:ascii="宋体" w:hAnsi="宋体" w:eastAsia="宋体" w:cs="宋体"/>
          <w:color w:val="auto"/>
          <w:spacing w:val="-48"/>
          <w:sz w:val="22"/>
          <w:szCs w:val="22"/>
          <w:highlight w:val="none"/>
          <w:u w:val="single" w:color="auto"/>
        </w:rPr>
        <w:t xml:space="preserve"> </w:t>
      </w:r>
      <w:r>
        <w:rPr>
          <w:rFonts w:ascii="宋体" w:hAnsi="宋体" w:eastAsia="宋体" w:cs="宋体"/>
          <w:color w:val="auto"/>
          <w:spacing w:val="-1"/>
          <w:sz w:val="22"/>
          <w:szCs w:val="22"/>
          <w:highlight w:val="none"/>
          <w:u w:val="single" w:color="auto"/>
        </w:rPr>
        <w:t>款约定进行计算</w:t>
      </w:r>
      <w:r>
        <w:rPr>
          <w:rFonts w:ascii="宋体" w:hAnsi="宋体" w:eastAsia="宋体" w:cs="宋体"/>
          <w:color w:val="auto"/>
          <w:spacing w:val="-1"/>
          <w:sz w:val="22"/>
          <w:szCs w:val="22"/>
          <w:highlight w:val="none"/>
        </w:rPr>
        <w:t>；</w:t>
      </w:r>
      <w:r>
        <w:rPr>
          <w:rFonts w:ascii="宋体" w:hAnsi="宋体" w:eastAsia="宋体" w:cs="宋体"/>
          <w:color w:val="auto"/>
          <w:spacing w:val="2"/>
          <w:sz w:val="22"/>
          <w:szCs w:val="22"/>
          <w:highlight w:val="none"/>
        </w:rPr>
        <w:t>监理服务费用的调整方法：</w:t>
      </w:r>
      <w:r>
        <w:rPr>
          <w:rFonts w:ascii="宋体" w:hAnsi="宋体" w:eastAsia="宋体" w:cs="宋体"/>
          <w:color w:val="auto"/>
          <w:spacing w:val="2"/>
          <w:sz w:val="22"/>
          <w:szCs w:val="22"/>
          <w:highlight w:val="none"/>
          <w:u w:val="single" w:color="auto"/>
        </w:rPr>
        <w:t>增加的监理服务期内的费用按6.2</w:t>
      </w:r>
      <w:r>
        <w:rPr>
          <w:rFonts w:ascii="宋体" w:hAnsi="宋体" w:eastAsia="宋体" w:cs="宋体"/>
          <w:color w:val="auto"/>
          <w:spacing w:val="-48"/>
          <w:sz w:val="22"/>
          <w:szCs w:val="22"/>
          <w:highlight w:val="none"/>
          <w:u w:val="single" w:color="auto"/>
        </w:rPr>
        <w:t xml:space="preserve"> </w:t>
      </w:r>
      <w:r>
        <w:rPr>
          <w:rFonts w:ascii="宋体" w:hAnsi="宋体" w:eastAsia="宋体" w:cs="宋体"/>
          <w:color w:val="auto"/>
          <w:spacing w:val="2"/>
          <w:sz w:val="22"/>
          <w:szCs w:val="22"/>
          <w:highlight w:val="none"/>
          <w:u w:val="single" w:color="auto"/>
        </w:rPr>
        <w:t>款约定进</w:t>
      </w:r>
      <w:r>
        <w:rPr>
          <w:rFonts w:ascii="宋体" w:hAnsi="宋体" w:eastAsia="宋体" w:cs="宋体"/>
          <w:color w:val="auto"/>
          <w:spacing w:val="1"/>
          <w:sz w:val="22"/>
          <w:szCs w:val="22"/>
          <w:highlight w:val="none"/>
          <w:u w:val="single" w:color="auto"/>
        </w:rPr>
        <w:t>行计算。</w:t>
      </w:r>
    </w:p>
    <w:p w14:paraId="76650DD4">
      <w:pPr>
        <w:spacing w:before="241" w:line="220" w:lineRule="auto"/>
        <w:ind w:left="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8.2.2</w:t>
      </w:r>
      <w:r>
        <w:rPr>
          <w:rFonts w:ascii="宋体" w:hAnsi="宋体" w:eastAsia="宋体" w:cs="宋体"/>
          <w:color w:val="auto"/>
          <w:spacing w:val="-47"/>
          <w:sz w:val="24"/>
          <w:szCs w:val="24"/>
          <w:highlight w:val="none"/>
        </w:rPr>
        <w:t xml:space="preserve"> </w:t>
      </w:r>
      <w:r>
        <w:rPr>
          <w:rFonts w:ascii="宋体" w:hAnsi="宋体" w:eastAsia="宋体" w:cs="宋体"/>
          <w:b/>
          <w:bCs/>
          <w:color w:val="auto"/>
          <w:spacing w:val="-4"/>
          <w:sz w:val="24"/>
          <w:szCs w:val="24"/>
          <w:highlight w:val="none"/>
        </w:rPr>
        <w:t>合理化建议</w:t>
      </w:r>
    </w:p>
    <w:p w14:paraId="1BBDAD24">
      <w:pPr>
        <w:spacing w:before="177" w:line="289" w:lineRule="auto"/>
        <w:ind w:left="2" w:right="138" w:firstLine="44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8.2.2 监理人提出的合理化建议降低了工程投资、缩短了施工期限或者提高了工程</w:t>
      </w:r>
      <w:r>
        <w:rPr>
          <w:rFonts w:ascii="宋体" w:hAnsi="宋体" w:eastAsia="宋体" w:cs="宋体"/>
          <w:color w:val="auto"/>
          <w:sz w:val="22"/>
          <w:szCs w:val="22"/>
          <w:highlight w:val="none"/>
        </w:rPr>
        <w:t>经济效益的，委托人给予监理人如下奖励：</w:t>
      </w:r>
      <w:r>
        <w:rPr>
          <w:rFonts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1"/>
          <w:sz w:val="22"/>
          <w:szCs w:val="22"/>
          <w:highlight w:val="none"/>
        </w:rPr>
        <w:t>。</w:t>
      </w:r>
    </w:p>
    <w:p w14:paraId="74B5ED75">
      <w:pPr>
        <w:spacing w:line="300" w:lineRule="auto"/>
        <w:rPr>
          <w:rFonts w:ascii="Arial"/>
          <w:color w:val="auto"/>
          <w:sz w:val="21"/>
          <w:highlight w:val="none"/>
        </w:rPr>
      </w:pPr>
    </w:p>
    <w:p w14:paraId="1DA82D34">
      <w:pPr>
        <w:spacing w:before="79" w:line="219" w:lineRule="auto"/>
        <w:ind w:left="2"/>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增加</w:t>
      </w:r>
      <w:r>
        <w:rPr>
          <w:rFonts w:ascii="宋体" w:hAnsi="宋体" w:eastAsia="宋体" w:cs="宋体"/>
          <w:color w:val="auto"/>
          <w:spacing w:val="-35"/>
          <w:sz w:val="24"/>
          <w:szCs w:val="24"/>
          <w:highlight w:val="none"/>
        </w:rPr>
        <w:t xml:space="preserve"> </w:t>
      </w:r>
      <w:r>
        <w:rPr>
          <w:rFonts w:ascii="宋体" w:hAnsi="宋体" w:eastAsia="宋体" w:cs="宋体"/>
          <w:b/>
          <w:bCs/>
          <w:color w:val="auto"/>
          <w:spacing w:val="-5"/>
          <w:sz w:val="24"/>
          <w:szCs w:val="24"/>
          <w:highlight w:val="none"/>
        </w:rPr>
        <w:t>8.3</w:t>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5"/>
          <w:sz w:val="24"/>
          <w:szCs w:val="24"/>
          <w:highlight w:val="none"/>
        </w:rPr>
        <w:t>监理奖励和优监优酬</w:t>
      </w:r>
    </w:p>
    <w:p w14:paraId="1E159B6E">
      <w:pPr>
        <w:spacing w:before="79" w:line="219" w:lineRule="auto"/>
        <w:ind w:left="2"/>
        <w:rPr>
          <w:rFonts w:ascii="宋体" w:hAnsi="宋体" w:eastAsia="宋体" w:cs="宋体"/>
          <w:b/>
          <w:bCs/>
          <w:color w:val="auto"/>
          <w:spacing w:val="-5"/>
          <w:sz w:val="24"/>
          <w:szCs w:val="24"/>
          <w:highlight w:val="none"/>
        </w:rPr>
      </w:pPr>
    </w:p>
    <w:p w14:paraId="277A07B4">
      <w:pPr>
        <w:spacing w:before="48" w:line="219" w:lineRule="auto"/>
        <w:ind w:left="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8.3</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工程监理奖励和优监优酬</w:t>
      </w:r>
    </w:p>
    <w:p w14:paraId="7826DA18">
      <w:pPr>
        <w:spacing w:before="177" w:line="220" w:lineRule="auto"/>
        <w:ind w:left="442"/>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8.3.</w:t>
      </w:r>
      <w:r>
        <w:rPr>
          <w:rFonts w:ascii="宋体" w:hAnsi="宋体" w:eastAsia="宋体" w:cs="宋体"/>
          <w:color w:val="auto"/>
          <w:spacing w:val="35"/>
          <w:sz w:val="22"/>
          <w:szCs w:val="22"/>
          <w:highlight w:val="none"/>
        </w:rPr>
        <w:t xml:space="preserve"> </w:t>
      </w:r>
      <w:r>
        <w:rPr>
          <w:rFonts w:ascii="宋体" w:hAnsi="宋体" w:eastAsia="宋体" w:cs="宋体"/>
          <w:color w:val="auto"/>
          <w:spacing w:val="-5"/>
          <w:sz w:val="22"/>
          <w:szCs w:val="22"/>
          <w:highlight w:val="none"/>
        </w:rPr>
        <w:t>1</w:t>
      </w:r>
      <w:r>
        <w:rPr>
          <w:rFonts w:ascii="宋体" w:hAnsi="宋体" w:eastAsia="宋体" w:cs="宋体"/>
          <w:color w:val="auto"/>
          <w:spacing w:val="-44"/>
          <w:sz w:val="22"/>
          <w:szCs w:val="22"/>
          <w:highlight w:val="none"/>
        </w:rPr>
        <w:t xml:space="preserve"> </w:t>
      </w:r>
      <w:r>
        <w:rPr>
          <w:rFonts w:ascii="宋体" w:hAnsi="宋体" w:eastAsia="宋体" w:cs="宋体"/>
          <w:color w:val="auto"/>
          <w:spacing w:val="-5"/>
          <w:sz w:val="22"/>
          <w:szCs w:val="22"/>
          <w:highlight w:val="none"/>
        </w:rPr>
        <w:t>工程监理奖励</w:t>
      </w:r>
    </w:p>
    <w:p w14:paraId="4D911D02">
      <w:pPr>
        <w:spacing w:before="164" w:line="359" w:lineRule="auto"/>
        <w:ind w:right="2" w:firstLine="44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工程监理奖励在“报价文件表</w:t>
      </w:r>
      <w:r>
        <w:rPr>
          <w:rFonts w:ascii="宋体" w:hAnsi="宋体" w:eastAsia="宋体" w:cs="宋体"/>
          <w:color w:val="auto"/>
          <w:spacing w:val="-23"/>
          <w:sz w:val="22"/>
          <w:szCs w:val="22"/>
          <w:highlight w:val="none"/>
        </w:rPr>
        <w:t xml:space="preserve"> </w:t>
      </w:r>
      <w:r>
        <w:rPr>
          <w:rFonts w:ascii="宋体" w:hAnsi="宋体" w:eastAsia="宋体" w:cs="宋体"/>
          <w:color w:val="auto"/>
          <w:spacing w:val="4"/>
          <w:sz w:val="22"/>
          <w:szCs w:val="22"/>
          <w:highlight w:val="none"/>
        </w:rPr>
        <w:t>1 监理服务费</w:t>
      </w:r>
      <w:r>
        <w:rPr>
          <w:rFonts w:ascii="宋体" w:hAnsi="宋体" w:eastAsia="宋体" w:cs="宋体"/>
          <w:color w:val="auto"/>
          <w:spacing w:val="3"/>
          <w:sz w:val="22"/>
          <w:szCs w:val="22"/>
          <w:highlight w:val="none"/>
        </w:rPr>
        <w:t>报价汇总表</w:t>
      </w:r>
      <w:r>
        <w:rPr>
          <w:rFonts w:ascii="宋体" w:hAnsi="宋体" w:eastAsia="宋体" w:cs="宋体"/>
          <w:color w:val="auto"/>
          <w:spacing w:val="-76"/>
          <w:sz w:val="22"/>
          <w:szCs w:val="22"/>
          <w:highlight w:val="none"/>
        </w:rPr>
        <w:t xml:space="preserve"> </w:t>
      </w:r>
      <w:r>
        <w:rPr>
          <w:rFonts w:ascii="宋体" w:hAnsi="宋体" w:eastAsia="宋体" w:cs="宋体"/>
          <w:color w:val="auto"/>
          <w:spacing w:val="3"/>
          <w:sz w:val="22"/>
          <w:szCs w:val="22"/>
          <w:highlight w:val="none"/>
        </w:rPr>
        <w:t>”中单列，该部分费用仅限于本</w:t>
      </w:r>
      <w:r>
        <w:rPr>
          <w:rFonts w:ascii="宋体" w:hAnsi="宋体" w:eastAsia="宋体" w:cs="宋体"/>
          <w:color w:val="auto"/>
          <w:spacing w:val="1"/>
          <w:sz w:val="22"/>
          <w:szCs w:val="22"/>
          <w:highlight w:val="none"/>
        </w:rPr>
        <w:t>合同段使用（或整个项目统筹使用，具体以评比方案为准</w:t>
      </w:r>
      <w:r>
        <w:rPr>
          <w:rFonts w:ascii="宋体" w:hAnsi="宋体" w:eastAsia="宋体" w:cs="宋体"/>
          <w:color w:val="auto"/>
          <w:spacing w:val="7"/>
          <w:sz w:val="22"/>
          <w:szCs w:val="22"/>
          <w:highlight w:val="none"/>
        </w:rPr>
        <w:t>），</w:t>
      </w:r>
      <w:r>
        <w:rPr>
          <w:rFonts w:ascii="宋体" w:hAnsi="宋体" w:eastAsia="宋体" w:cs="宋体"/>
          <w:color w:val="auto"/>
          <w:spacing w:val="1"/>
          <w:sz w:val="22"/>
          <w:szCs w:val="22"/>
          <w:highlight w:val="none"/>
        </w:rPr>
        <w:t>主要</w:t>
      </w:r>
      <w:r>
        <w:rPr>
          <w:rFonts w:ascii="宋体" w:hAnsi="宋体" w:eastAsia="宋体" w:cs="宋体"/>
          <w:color w:val="auto"/>
          <w:sz w:val="22"/>
          <w:szCs w:val="22"/>
          <w:highlight w:val="none"/>
        </w:rPr>
        <w:t>用于工程建设期间委托人对</w:t>
      </w:r>
      <w:r>
        <w:rPr>
          <w:rFonts w:ascii="宋体" w:hAnsi="宋体" w:eastAsia="宋体" w:cs="宋体"/>
          <w:color w:val="auto"/>
          <w:spacing w:val="1"/>
          <w:sz w:val="22"/>
          <w:szCs w:val="22"/>
          <w:highlight w:val="none"/>
        </w:rPr>
        <w:t>现场监理人员的奖励。监理人获得支付的额度取决于其所监理标段对应施工承包人完成进度的</w:t>
      </w:r>
      <w:r>
        <w:rPr>
          <w:rFonts w:ascii="宋体" w:hAnsi="宋体" w:eastAsia="宋体" w:cs="宋体"/>
          <w:color w:val="auto"/>
          <w:sz w:val="22"/>
          <w:szCs w:val="22"/>
          <w:highlight w:val="none"/>
        </w:rPr>
        <w:t>情况及在评比中的名次。有关评比方案委托人将在监理</w:t>
      </w:r>
      <w:r>
        <w:rPr>
          <w:rFonts w:ascii="宋体" w:hAnsi="宋体" w:eastAsia="宋体" w:cs="宋体"/>
          <w:color w:val="auto"/>
          <w:spacing w:val="-1"/>
          <w:sz w:val="22"/>
          <w:szCs w:val="22"/>
          <w:highlight w:val="none"/>
        </w:rPr>
        <w:t>人进场后予以制定。</w:t>
      </w:r>
    </w:p>
    <w:p w14:paraId="59411B10">
      <w:pPr>
        <w:spacing w:before="1" w:line="359" w:lineRule="auto"/>
        <w:ind w:left="1" w:firstLine="43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委托人对监理人的工程监理奖励，监理人除代扣缴法律法规规定的税金外，应全额落实到</w:t>
      </w:r>
      <w:r>
        <w:rPr>
          <w:rFonts w:ascii="宋体" w:hAnsi="宋体" w:eastAsia="宋体" w:cs="宋体"/>
          <w:color w:val="auto"/>
          <w:spacing w:val="-2"/>
          <w:sz w:val="22"/>
          <w:szCs w:val="22"/>
          <w:highlight w:val="none"/>
        </w:rPr>
        <w:t>现场监理人员中。</w:t>
      </w:r>
    </w:p>
    <w:p w14:paraId="6BCC8568">
      <w:pPr>
        <w:spacing w:before="1" w:line="218" w:lineRule="auto"/>
        <w:ind w:left="44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8.3.2</w:t>
      </w:r>
      <w:r>
        <w:rPr>
          <w:rFonts w:ascii="宋体" w:hAnsi="宋体" w:eastAsia="宋体" w:cs="宋体"/>
          <w:color w:val="auto"/>
          <w:spacing w:val="-42"/>
          <w:sz w:val="22"/>
          <w:szCs w:val="22"/>
          <w:highlight w:val="none"/>
        </w:rPr>
        <w:t xml:space="preserve"> </w:t>
      </w:r>
      <w:r>
        <w:rPr>
          <w:rFonts w:ascii="宋体" w:hAnsi="宋体" w:eastAsia="宋体" w:cs="宋体"/>
          <w:color w:val="auto"/>
          <w:spacing w:val="-2"/>
          <w:sz w:val="22"/>
          <w:szCs w:val="22"/>
          <w:highlight w:val="none"/>
        </w:rPr>
        <w:t>优监优酬价款</w:t>
      </w:r>
    </w:p>
    <w:p w14:paraId="6AA3B580">
      <w:pPr>
        <w:spacing w:before="164" w:line="360" w:lineRule="auto"/>
        <w:ind w:left="3" w:firstLine="438"/>
        <w:rPr>
          <w:rFonts w:ascii="宋体" w:hAnsi="宋体" w:eastAsia="宋体" w:cs="宋体"/>
          <w:color w:val="auto"/>
          <w:sz w:val="22"/>
          <w:szCs w:val="22"/>
          <w:highlight w:val="none"/>
        </w:rPr>
      </w:pPr>
      <w:r>
        <w:rPr>
          <w:rFonts w:ascii="宋体" w:hAnsi="宋体" w:eastAsia="宋体" w:cs="宋体"/>
          <w:color w:val="auto"/>
          <w:sz w:val="22"/>
          <w:szCs w:val="22"/>
          <w:highlight w:val="none"/>
        </w:rPr>
        <w:t>全面推行“双标管理</w:t>
      </w:r>
      <w:r>
        <w:rPr>
          <w:rFonts w:ascii="宋体" w:hAnsi="宋体" w:eastAsia="宋体" w:cs="宋体"/>
          <w:color w:val="auto"/>
          <w:spacing w:val="-81"/>
          <w:sz w:val="22"/>
          <w:szCs w:val="22"/>
          <w:highlight w:val="none"/>
        </w:rPr>
        <w:t xml:space="preserve"> </w:t>
      </w:r>
      <w:r>
        <w:rPr>
          <w:rFonts w:ascii="宋体" w:hAnsi="宋体" w:eastAsia="宋体" w:cs="宋体"/>
          <w:color w:val="auto"/>
          <w:sz w:val="22"/>
          <w:szCs w:val="22"/>
          <w:highlight w:val="none"/>
        </w:rPr>
        <w:t>”（标准化管理、标杆管理</w:t>
      </w:r>
      <w:r>
        <w:rPr>
          <w:rFonts w:ascii="宋体" w:hAnsi="宋体" w:eastAsia="宋体" w:cs="宋体"/>
          <w:color w:val="auto"/>
          <w:spacing w:val="8"/>
          <w:sz w:val="22"/>
          <w:szCs w:val="22"/>
          <w:highlight w:val="none"/>
        </w:rPr>
        <w:t>），</w:t>
      </w:r>
      <w:r>
        <w:rPr>
          <w:rFonts w:ascii="宋体" w:hAnsi="宋体" w:eastAsia="宋体" w:cs="宋体"/>
          <w:color w:val="auto"/>
          <w:sz w:val="22"/>
          <w:szCs w:val="22"/>
          <w:highlight w:val="none"/>
        </w:rPr>
        <w:t>建立工程施工监理优监优酬制度</w:t>
      </w:r>
      <w:r>
        <w:rPr>
          <w:rFonts w:ascii="宋体" w:hAnsi="宋体" w:eastAsia="宋体" w:cs="宋体"/>
          <w:color w:val="auto"/>
          <w:spacing w:val="-1"/>
          <w:sz w:val="22"/>
          <w:szCs w:val="22"/>
          <w:highlight w:val="none"/>
        </w:rPr>
        <w:t>，提</w:t>
      </w:r>
      <w:r>
        <w:rPr>
          <w:rFonts w:ascii="宋体" w:hAnsi="宋体" w:eastAsia="宋体" w:cs="宋体"/>
          <w:color w:val="auto"/>
          <w:spacing w:val="1"/>
          <w:sz w:val="22"/>
          <w:szCs w:val="22"/>
          <w:highlight w:val="none"/>
        </w:rPr>
        <w:t>高工程施工监理质量管理水平，本合同设立优监优酬价款，具体由委托人参照广东省交</w:t>
      </w:r>
      <w:r>
        <w:rPr>
          <w:rFonts w:ascii="宋体" w:hAnsi="宋体" w:eastAsia="宋体" w:cs="宋体"/>
          <w:color w:val="auto"/>
          <w:sz w:val="22"/>
          <w:szCs w:val="22"/>
          <w:highlight w:val="none"/>
        </w:rPr>
        <w:t>通运输</w:t>
      </w:r>
      <w:r>
        <w:rPr>
          <w:rFonts w:ascii="宋体" w:hAnsi="宋体" w:eastAsia="宋体" w:cs="宋体"/>
          <w:color w:val="auto"/>
          <w:spacing w:val="6"/>
          <w:sz w:val="22"/>
          <w:szCs w:val="22"/>
          <w:highlight w:val="none"/>
        </w:rPr>
        <w:t>厅《关于印发广东省高速公路工程优质优价和施工监理优监优酬实施意见的通知》（粤交基</w:t>
      </w:r>
      <w:r>
        <w:rPr>
          <w:rFonts w:ascii="宋体" w:hAnsi="宋体" w:eastAsia="宋体" w:cs="宋体"/>
          <w:color w:val="auto"/>
          <w:spacing w:val="-1"/>
          <w:sz w:val="22"/>
          <w:szCs w:val="22"/>
          <w:highlight w:val="none"/>
        </w:rPr>
        <w:t>〔2010〕1893</w:t>
      </w:r>
      <w:r>
        <w:rPr>
          <w:rFonts w:ascii="宋体" w:hAnsi="宋体" w:eastAsia="宋体" w:cs="宋体"/>
          <w:color w:val="auto"/>
          <w:spacing w:val="-36"/>
          <w:sz w:val="22"/>
          <w:szCs w:val="22"/>
          <w:highlight w:val="none"/>
        </w:rPr>
        <w:t xml:space="preserve"> </w:t>
      </w:r>
      <w:r>
        <w:rPr>
          <w:rFonts w:ascii="宋体" w:hAnsi="宋体" w:eastAsia="宋体" w:cs="宋体"/>
          <w:color w:val="auto"/>
          <w:spacing w:val="-1"/>
          <w:sz w:val="22"/>
          <w:szCs w:val="22"/>
          <w:highlight w:val="none"/>
        </w:rPr>
        <w:t>号）等文件的规定制订的本项目实施细则执行。</w:t>
      </w:r>
    </w:p>
    <w:p w14:paraId="6AB606B2">
      <w:pPr>
        <w:spacing w:before="1" w:line="359" w:lineRule="auto"/>
        <w:ind w:firstLine="439"/>
        <w:jc w:val="both"/>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委托人将根据工程实际开展各项工程的质量评比和奖罚，项目（如项目采用分段管理，则按项目段计列）用于奖励的金额原则上不超过项目（或项目段）各监理合同段投标报价（中标</w:t>
      </w:r>
      <w:r>
        <w:rPr>
          <w:rFonts w:ascii="宋体" w:hAnsi="宋体" w:eastAsia="宋体" w:cs="宋体"/>
          <w:color w:val="auto"/>
          <w:spacing w:val="-1"/>
          <w:sz w:val="22"/>
          <w:szCs w:val="22"/>
          <w:highlight w:val="none"/>
        </w:rPr>
        <w:t>价）合计金额的</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lang w:val="en-US" w:eastAsia="zh-CN"/>
        </w:rPr>
        <w:t>/</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102"/>
          <w:sz w:val="22"/>
          <w:szCs w:val="22"/>
          <w:highlight w:val="none"/>
        </w:rPr>
        <w:t xml:space="preserve"> </w:t>
      </w:r>
      <w:r>
        <w:rPr>
          <w:rFonts w:ascii="宋体" w:hAnsi="宋体" w:eastAsia="宋体" w:cs="宋体"/>
          <w:color w:val="auto"/>
          <w:spacing w:val="-1"/>
          <w:sz w:val="22"/>
          <w:szCs w:val="22"/>
          <w:highlight w:val="none"/>
        </w:rPr>
        <w:t>%（含税金）。</w:t>
      </w:r>
    </w:p>
    <w:p w14:paraId="386A64BB">
      <w:pPr>
        <w:spacing w:line="325" w:lineRule="auto"/>
        <w:rPr>
          <w:rFonts w:ascii="Arial"/>
          <w:color w:val="auto"/>
          <w:sz w:val="21"/>
          <w:highlight w:val="none"/>
        </w:rPr>
      </w:pPr>
    </w:p>
    <w:p w14:paraId="0FEA7EA0">
      <w:pPr>
        <w:spacing w:before="78" w:line="218" w:lineRule="auto"/>
        <w:ind w:left="1"/>
        <w:outlineLvl w:val="1"/>
        <w:rPr>
          <w:rFonts w:ascii="宋体" w:hAnsi="宋体" w:eastAsia="宋体" w:cs="宋体"/>
          <w:color w:val="auto"/>
          <w:sz w:val="24"/>
          <w:szCs w:val="24"/>
          <w:highlight w:val="none"/>
        </w:rPr>
      </w:pPr>
      <w:bookmarkStart w:id="246" w:name="_Toc967"/>
      <w:bookmarkStart w:id="247" w:name="_Toc28219"/>
      <w:r>
        <w:rPr>
          <w:rFonts w:ascii="宋体" w:hAnsi="宋体" w:eastAsia="宋体" w:cs="宋体"/>
          <w:b/>
          <w:bCs/>
          <w:color w:val="auto"/>
          <w:spacing w:val="-3"/>
          <w:sz w:val="24"/>
          <w:szCs w:val="24"/>
          <w:highlight w:val="none"/>
        </w:rPr>
        <w:t>9.</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合同价格与支付</w:t>
      </w:r>
      <w:bookmarkEnd w:id="246"/>
      <w:bookmarkEnd w:id="247"/>
    </w:p>
    <w:p w14:paraId="67A1002A">
      <w:pPr>
        <w:spacing w:before="293" w:line="218" w:lineRule="auto"/>
        <w:ind w:left="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9.1</w:t>
      </w:r>
      <w:r>
        <w:rPr>
          <w:rFonts w:ascii="宋体" w:hAnsi="宋体" w:eastAsia="宋体" w:cs="宋体"/>
          <w:color w:val="auto"/>
          <w:spacing w:val="13"/>
          <w:sz w:val="24"/>
          <w:szCs w:val="24"/>
          <w:highlight w:val="none"/>
        </w:rPr>
        <w:t xml:space="preserve"> </w:t>
      </w:r>
      <w:r>
        <w:rPr>
          <w:rFonts w:ascii="宋体" w:hAnsi="宋体" w:eastAsia="宋体" w:cs="宋体"/>
          <w:b/>
          <w:bCs/>
          <w:color w:val="auto"/>
          <w:spacing w:val="-5"/>
          <w:sz w:val="24"/>
          <w:szCs w:val="24"/>
          <w:highlight w:val="none"/>
        </w:rPr>
        <w:t>合同价格</w:t>
      </w:r>
    </w:p>
    <w:p w14:paraId="67705EE5">
      <w:pPr>
        <w:spacing w:before="181" w:line="219" w:lineRule="auto"/>
        <w:ind w:left="44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9.1.1 本合同的价款确定方式：</w:t>
      </w:r>
      <w:r>
        <w:rPr>
          <w:rFonts w:ascii="宋体" w:hAnsi="宋体" w:eastAsia="宋体" w:cs="宋体"/>
          <w:color w:val="auto"/>
          <w:spacing w:val="-1"/>
          <w:sz w:val="22"/>
          <w:szCs w:val="22"/>
          <w:highlight w:val="none"/>
          <w:u w:val="single" w:color="auto"/>
        </w:rPr>
        <w:t xml:space="preserve">  总价  </w:t>
      </w:r>
      <w:r>
        <w:rPr>
          <w:rFonts w:ascii="宋体" w:hAnsi="宋体" w:eastAsia="宋体" w:cs="宋体"/>
          <w:color w:val="auto"/>
          <w:spacing w:val="-1"/>
          <w:sz w:val="22"/>
          <w:szCs w:val="22"/>
          <w:highlight w:val="none"/>
        </w:rPr>
        <w:t>。</w:t>
      </w:r>
    </w:p>
    <w:p w14:paraId="731A900E">
      <w:pPr>
        <w:spacing w:before="166" w:line="360" w:lineRule="auto"/>
        <w:ind w:firstLine="440"/>
        <w:rPr>
          <w:rFonts w:ascii="宋体" w:hAnsi="宋体" w:eastAsia="宋体" w:cs="宋体"/>
          <w:color w:val="auto"/>
          <w:spacing w:val="1"/>
          <w:sz w:val="22"/>
          <w:szCs w:val="22"/>
          <w:highlight w:val="none"/>
        </w:rPr>
      </w:pPr>
      <w:r>
        <w:rPr>
          <w:rFonts w:ascii="宋体" w:hAnsi="宋体" w:eastAsia="宋体" w:cs="宋体"/>
          <w:color w:val="auto"/>
          <w:spacing w:val="1"/>
          <w:sz w:val="22"/>
          <w:szCs w:val="22"/>
          <w:highlight w:val="none"/>
        </w:rPr>
        <w:t>本合同总价已包含监理人完成全部试验检测工作(含外委检测)所需的一切费用，监理人应 负责与选定的第三方检测机构结算并支付相关费用。</w:t>
      </w:r>
    </w:p>
    <w:p w14:paraId="1621CB7C">
      <w:pPr>
        <w:spacing w:before="166" w:line="360" w:lineRule="auto"/>
        <w:ind w:firstLine="44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在合同实施期间，由于人工、材料、设备等因素的市场价格变化导致本项目监理服务费用</w:t>
      </w:r>
      <w:r>
        <w:rPr>
          <w:rFonts w:ascii="宋体" w:hAnsi="宋体" w:eastAsia="宋体" w:cs="宋体"/>
          <w:color w:val="auto"/>
          <w:sz w:val="22"/>
          <w:szCs w:val="22"/>
          <w:highlight w:val="none"/>
        </w:rPr>
        <w:t>变化，合同价格的调整方式和风险范围划分：</w:t>
      </w:r>
      <w:r>
        <w:rPr>
          <w:rFonts w:ascii="宋体" w:hAnsi="宋体" w:eastAsia="宋体" w:cs="宋体"/>
          <w:color w:val="auto"/>
          <w:sz w:val="22"/>
          <w:szCs w:val="22"/>
          <w:highlight w:val="none"/>
          <w:u w:val="single" w:color="auto"/>
        </w:rPr>
        <w:t>监理服</w:t>
      </w:r>
      <w:r>
        <w:rPr>
          <w:rFonts w:ascii="宋体" w:hAnsi="宋体" w:eastAsia="宋体" w:cs="宋体"/>
          <w:color w:val="auto"/>
          <w:spacing w:val="-1"/>
          <w:sz w:val="22"/>
          <w:szCs w:val="22"/>
          <w:highlight w:val="none"/>
          <w:u w:val="single" w:color="auto"/>
        </w:rPr>
        <w:t>务费不进行调整</w:t>
      </w:r>
      <w:r>
        <w:rPr>
          <w:rFonts w:ascii="宋体" w:hAnsi="宋体" w:eastAsia="宋体" w:cs="宋体"/>
          <w:color w:val="auto"/>
          <w:spacing w:val="-1"/>
          <w:sz w:val="22"/>
          <w:szCs w:val="22"/>
          <w:highlight w:val="none"/>
        </w:rPr>
        <w:t>。</w:t>
      </w:r>
    </w:p>
    <w:p w14:paraId="535786B4">
      <w:pPr>
        <w:spacing w:before="243" w:line="219" w:lineRule="auto"/>
        <w:ind w:left="1"/>
        <w:rPr>
          <w:rFonts w:hint="eastAsia" w:ascii="宋体" w:hAnsi="宋体" w:eastAsia="宋体" w:cs="宋体"/>
          <w:b/>
          <w:bCs/>
          <w:color w:val="auto"/>
          <w:spacing w:val="-8"/>
          <w:sz w:val="24"/>
          <w:szCs w:val="24"/>
          <w:highlight w:val="none"/>
          <w:lang w:val="en-US" w:eastAsia="zh-CN"/>
        </w:rPr>
      </w:pPr>
      <w:r>
        <w:rPr>
          <w:rFonts w:ascii="宋体" w:hAnsi="宋体" w:eastAsia="宋体" w:cs="宋体"/>
          <w:b/>
          <w:bCs/>
          <w:color w:val="auto"/>
          <w:spacing w:val="-8"/>
          <w:sz w:val="24"/>
          <w:szCs w:val="24"/>
          <w:highlight w:val="none"/>
        </w:rPr>
        <w:t>9.</w:t>
      </w:r>
      <w:r>
        <w:rPr>
          <w:rFonts w:hint="eastAsia" w:ascii="宋体" w:hAnsi="宋体" w:eastAsia="宋体" w:cs="宋体"/>
          <w:b/>
          <w:bCs/>
          <w:color w:val="auto"/>
          <w:spacing w:val="-8"/>
          <w:sz w:val="24"/>
          <w:szCs w:val="24"/>
          <w:highlight w:val="none"/>
          <w:lang w:val="en-US" w:eastAsia="zh-CN"/>
        </w:rPr>
        <w:t>2</w:t>
      </w:r>
      <w:r>
        <w:rPr>
          <w:rFonts w:ascii="宋体" w:hAnsi="宋体" w:eastAsia="宋体" w:cs="宋体"/>
          <w:b/>
          <w:bCs/>
          <w:color w:val="auto"/>
          <w:spacing w:val="-8"/>
          <w:sz w:val="24"/>
          <w:szCs w:val="24"/>
          <w:highlight w:val="none"/>
        </w:rPr>
        <w:t xml:space="preserve"> </w:t>
      </w:r>
      <w:r>
        <w:rPr>
          <w:rFonts w:hint="eastAsia" w:ascii="宋体" w:hAnsi="宋体" w:eastAsia="宋体" w:cs="宋体"/>
          <w:b/>
          <w:bCs/>
          <w:color w:val="auto"/>
          <w:spacing w:val="-8"/>
          <w:sz w:val="24"/>
          <w:szCs w:val="24"/>
          <w:highlight w:val="none"/>
          <w:lang w:val="en-US" w:eastAsia="zh-CN"/>
        </w:rPr>
        <w:t>预付款</w:t>
      </w:r>
    </w:p>
    <w:p w14:paraId="71A49FA9">
      <w:pPr>
        <w:spacing w:before="166" w:line="360" w:lineRule="auto"/>
        <w:ind w:firstLine="44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为使监理服务能够及时开展，</w:t>
      </w:r>
      <w:r>
        <w:rPr>
          <w:rFonts w:hint="eastAsia" w:ascii="宋体" w:hAnsi="宋体" w:cs="Times New Roman"/>
          <w:color w:val="auto"/>
          <w:sz w:val="24"/>
          <w:highlight w:val="none"/>
          <w:lang w:val="en-US" w:eastAsia="zh-CN"/>
        </w:rPr>
        <w:t>合同签订后支付合同金额的30%作为监理的预付款，上述预付款支付以上级财政专项资金到位为前提。</w:t>
      </w:r>
    </w:p>
    <w:p w14:paraId="58E7C972">
      <w:pPr>
        <w:spacing w:before="166" w:line="360" w:lineRule="auto"/>
        <w:ind w:firstLine="440"/>
        <w:rPr>
          <w:rFonts w:hint="default"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eastAsia="zh-CN"/>
        </w:rPr>
        <w:t>预付款在</w:t>
      </w:r>
      <w:r>
        <w:rPr>
          <w:rFonts w:hint="eastAsia" w:ascii="宋体" w:hAnsi="宋体" w:eastAsia="宋体" w:cs="宋体"/>
          <w:color w:val="auto"/>
          <w:spacing w:val="1"/>
          <w:sz w:val="22"/>
          <w:szCs w:val="22"/>
          <w:highlight w:val="none"/>
          <w:lang w:val="en-US" w:eastAsia="zh-CN"/>
        </w:rPr>
        <w:t>第一期</w:t>
      </w:r>
      <w:r>
        <w:rPr>
          <w:rFonts w:hint="eastAsia" w:ascii="宋体" w:hAnsi="宋体" w:eastAsia="宋体" w:cs="宋体"/>
          <w:color w:val="auto"/>
          <w:spacing w:val="1"/>
          <w:sz w:val="22"/>
          <w:szCs w:val="22"/>
          <w:highlight w:val="none"/>
          <w:lang w:eastAsia="zh-CN"/>
        </w:rPr>
        <w:t>监理服务费</w:t>
      </w:r>
      <w:r>
        <w:rPr>
          <w:rFonts w:hint="eastAsia" w:ascii="宋体" w:hAnsi="宋体" w:eastAsia="宋体" w:cs="宋体"/>
          <w:color w:val="auto"/>
          <w:spacing w:val="1"/>
          <w:sz w:val="22"/>
          <w:szCs w:val="22"/>
          <w:highlight w:val="none"/>
          <w:lang w:val="en-US" w:eastAsia="zh-CN"/>
        </w:rPr>
        <w:t>进度款中一次性扣回。</w:t>
      </w:r>
    </w:p>
    <w:p w14:paraId="085F27E2">
      <w:pPr>
        <w:spacing w:before="166" w:line="360" w:lineRule="auto"/>
        <w:ind w:firstLine="44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预付款应专用于本工程的监理。监理人无须向委托人提交预付款保函，但监理人提交的履约保证金对预付款的正常使用承担保证责任。</w:t>
      </w:r>
    </w:p>
    <w:p w14:paraId="78FE0EF2">
      <w:pPr>
        <w:spacing w:before="243" w:line="219" w:lineRule="auto"/>
        <w:ind w:left="1"/>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9.3</w:t>
      </w:r>
      <w:r>
        <w:rPr>
          <w:rFonts w:ascii="宋体" w:hAnsi="宋体" w:eastAsia="宋体" w:cs="宋体"/>
          <w:color w:val="auto"/>
          <w:spacing w:val="34"/>
          <w:sz w:val="24"/>
          <w:szCs w:val="24"/>
          <w:highlight w:val="none"/>
        </w:rPr>
        <w:t xml:space="preserve"> </w:t>
      </w:r>
      <w:r>
        <w:rPr>
          <w:rFonts w:ascii="宋体" w:hAnsi="宋体" w:eastAsia="宋体" w:cs="宋体"/>
          <w:b/>
          <w:bCs/>
          <w:color w:val="auto"/>
          <w:spacing w:val="-8"/>
          <w:sz w:val="24"/>
          <w:szCs w:val="24"/>
          <w:highlight w:val="none"/>
        </w:rPr>
        <w:t>中期支付</w:t>
      </w:r>
    </w:p>
    <w:p w14:paraId="1BA651AC">
      <w:pPr>
        <w:spacing w:before="178" w:line="220" w:lineRule="auto"/>
        <w:ind w:left="44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（在9.3.2</w:t>
      </w:r>
      <w:r>
        <w:rPr>
          <w:rFonts w:ascii="宋体" w:hAnsi="宋体" w:eastAsia="宋体" w:cs="宋体"/>
          <w:color w:val="auto"/>
          <w:spacing w:val="-48"/>
          <w:sz w:val="22"/>
          <w:szCs w:val="22"/>
          <w:highlight w:val="none"/>
        </w:rPr>
        <w:t xml:space="preserve"> </w:t>
      </w:r>
      <w:r>
        <w:rPr>
          <w:rFonts w:ascii="宋体" w:hAnsi="宋体" w:eastAsia="宋体" w:cs="宋体"/>
          <w:color w:val="auto"/>
          <w:spacing w:val="1"/>
          <w:sz w:val="22"/>
          <w:szCs w:val="22"/>
          <w:highlight w:val="none"/>
        </w:rPr>
        <w:t>款中增加多一种中期支付方式由招标人根据自身的管理</w:t>
      </w:r>
      <w:r>
        <w:rPr>
          <w:rFonts w:ascii="宋体" w:hAnsi="宋体" w:eastAsia="宋体" w:cs="宋体"/>
          <w:color w:val="auto"/>
          <w:sz w:val="22"/>
          <w:szCs w:val="22"/>
          <w:highlight w:val="none"/>
        </w:rPr>
        <w:t>模式选择）</w:t>
      </w:r>
    </w:p>
    <w:p w14:paraId="76813EE0">
      <w:pPr>
        <w:spacing w:before="170" w:line="219" w:lineRule="auto"/>
        <w:ind w:left="47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将通用条款9.3.2</w:t>
      </w:r>
      <w:r>
        <w:rPr>
          <w:rFonts w:ascii="宋体" w:hAnsi="宋体" w:eastAsia="宋体" w:cs="宋体"/>
          <w:color w:val="auto"/>
          <w:spacing w:val="-43"/>
          <w:sz w:val="22"/>
          <w:szCs w:val="22"/>
          <w:highlight w:val="none"/>
        </w:rPr>
        <w:t xml:space="preserve"> </w:t>
      </w:r>
      <w:r>
        <w:rPr>
          <w:rFonts w:ascii="宋体" w:hAnsi="宋体" w:eastAsia="宋体" w:cs="宋体"/>
          <w:color w:val="auto"/>
          <w:spacing w:val="2"/>
          <w:sz w:val="22"/>
          <w:szCs w:val="22"/>
          <w:highlight w:val="none"/>
        </w:rPr>
        <w:t>项内容修改为：</w:t>
      </w:r>
    </w:p>
    <w:p w14:paraId="601F2541">
      <w:pPr>
        <w:spacing w:before="181" w:line="359" w:lineRule="auto"/>
        <w:ind w:left="8" w:right="2" w:firstLine="47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9.3.2</w:t>
      </w:r>
      <w:r>
        <w:rPr>
          <w:rFonts w:ascii="宋体" w:hAnsi="宋体" w:eastAsia="宋体" w:cs="宋体"/>
          <w:color w:val="auto"/>
          <w:spacing w:val="-47"/>
          <w:sz w:val="22"/>
          <w:szCs w:val="22"/>
          <w:highlight w:val="none"/>
        </w:rPr>
        <w:t xml:space="preserve"> </w:t>
      </w:r>
      <w:r>
        <w:rPr>
          <w:rFonts w:ascii="宋体" w:hAnsi="宋体" w:eastAsia="宋体" w:cs="宋体"/>
          <w:color w:val="auto"/>
          <w:spacing w:val="1"/>
          <w:sz w:val="22"/>
          <w:szCs w:val="22"/>
          <w:highlight w:val="none"/>
        </w:rPr>
        <w:t>委托人将在收到监理人提交的监理服务费付款申请单后</w:t>
      </w:r>
      <w:r>
        <w:rPr>
          <w:rFonts w:ascii="宋体" w:hAnsi="宋体" w:eastAsia="宋体" w:cs="宋体"/>
          <w:color w:val="auto"/>
          <w:spacing w:val="-45"/>
          <w:sz w:val="22"/>
          <w:szCs w:val="22"/>
          <w:highlight w:val="none"/>
        </w:rPr>
        <w:t xml:space="preserve"> </w:t>
      </w:r>
      <w:r>
        <w:rPr>
          <w:rFonts w:ascii="宋体" w:hAnsi="宋体" w:eastAsia="宋体" w:cs="宋体"/>
          <w:color w:val="auto"/>
          <w:spacing w:val="1"/>
          <w:sz w:val="22"/>
          <w:szCs w:val="22"/>
          <w:highlight w:val="none"/>
        </w:rPr>
        <w:t xml:space="preserve">28 </w:t>
      </w:r>
      <w:r>
        <w:rPr>
          <w:rFonts w:ascii="宋体" w:hAnsi="宋体" w:eastAsia="宋体" w:cs="宋体"/>
          <w:color w:val="auto"/>
          <w:sz w:val="22"/>
          <w:szCs w:val="22"/>
          <w:highlight w:val="none"/>
        </w:rPr>
        <w:t>日内进行审核并</w:t>
      </w:r>
      <w:r>
        <w:rPr>
          <w:rFonts w:ascii="宋体" w:hAnsi="宋体" w:eastAsia="宋体" w:cs="宋体"/>
          <w:color w:val="auto"/>
          <w:spacing w:val="-2"/>
          <w:sz w:val="22"/>
          <w:szCs w:val="22"/>
          <w:highlight w:val="none"/>
        </w:rPr>
        <w:t>予以支付，支付原则如下：</w:t>
      </w:r>
    </w:p>
    <w:p w14:paraId="616D4A29">
      <w:pPr>
        <w:spacing w:line="219" w:lineRule="auto"/>
        <w:ind w:left="49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（1）施工阶段（含施工准备阶段）监理服务费的计量支付方法如下：</w:t>
      </w:r>
    </w:p>
    <w:p w14:paraId="3FD033C0">
      <w:pPr>
        <w:spacing w:before="185" w:line="360" w:lineRule="auto"/>
        <w:ind w:left="1" w:right="2" w:firstLine="480"/>
        <w:rPr>
          <w:rFonts w:ascii="宋体" w:hAnsi="宋体" w:eastAsia="宋体" w:cs="宋体"/>
          <w:color w:val="auto"/>
          <w:spacing w:val="-1"/>
          <w:sz w:val="22"/>
          <w:szCs w:val="22"/>
          <w:highlight w:val="none"/>
        </w:rPr>
      </w:pPr>
      <w:r>
        <w:rPr>
          <w:rFonts w:ascii="宋体" w:hAnsi="宋体" w:eastAsia="宋体" w:cs="宋体"/>
          <w:color w:val="auto"/>
          <w:spacing w:val="5"/>
          <w:sz w:val="22"/>
          <w:szCs w:val="22"/>
          <w:highlight w:val="none"/>
        </w:rPr>
        <w:t>上一季度的监理服务费将在下一季度的第一个月中旬内支付，监理人应在每季度最后一个月的28日前向委托人提交支付申请，委托人将根据支</w:t>
      </w:r>
      <w:r>
        <w:rPr>
          <w:rFonts w:ascii="宋体" w:hAnsi="宋体" w:eastAsia="宋体" w:cs="宋体"/>
          <w:color w:val="auto"/>
          <w:spacing w:val="4"/>
          <w:sz w:val="22"/>
          <w:szCs w:val="22"/>
          <w:highlight w:val="none"/>
        </w:rPr>
        <w:t>付申请进行审批支付，</w:t>
      </w:r>
      <w:r>
        <w:rPr>
          <w:rFonts w:ascii="宋体" w:hAnsi="宋体" w:eastAsia="宋体" w:cs="宋体"/>
          <w:color w:val="auto"/>
          <w:spacing w:val="-1"/>
          <w:sz w:val="22"/>
          <w:szCs w:val="22"/>
          <w:highlight w:val="none"/>
        </w:rPr>
        <w:t>支付申请包括以下栏目：</w:t>
      </w:r>
    </w:p>
    <w:p w14:paraId="2B2CE322">
      <w:pPr>
        <w:spacing w:before="185" w:line="360" w:lineRule="auto"/>
        <w:ind w:left="1" w:right="2" w:firstLine="48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a.正常服务的费用</w:t>
      </w:r>
    </w:p>
    <w:p w14:paraId="4567391D">
      <w:pPr>
        <w:spacing w:before="181" w:line="359" w:lineRule="auto"/>
        <w:ind w:left="8" w:right="2" w:firstLine="48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计算式：“施工阶段（含施工准备阶段）监理服</w:t>
      </w:r>
      <w:r>
        <w:rPr>
          <w:rFonts w:ascii="宋体" w:hAnsi="宋体" w:eastAsia="宋体" w:cs="宋体"/>
          <w:color w:val="auto"/>
          <w:spacing w:val="3"/>
          <w:sz w:val="22"/>
          <w:szCs w:val="22"/>
          <w:highlight w:val="none"/>
        </w:rPr>
        <w:t>务费总额（扣除其他费用）</w:t>
      </w:r>
      <w:r>
        <w:rPr>
          <w:rFonts w:ascii="宋体" w:hAnsi="宋体" w:eastAsia="宋体" w:cs="宋体"/>
          <w:color w:val="auto"/>
          <w:spacing w:val="-65"/>
          <w:sz w:val="22"/>
          <w:szCs w:val="22"/>
          <w:highlight w:val="none"/>
        </w:rPr>
        <w:t xml:space="preserve"> </w:t>
      </w:r>
      <w:r>
        <w:rPr>
          <w:rFonts w:ascii="宋体" w:hAnsi="宋体" w:eastAsia="宋体" w:cs="宋体"/>
          <w:color w:val="auto"/>
          <w:spacing w:val="3"/>
          <w:sz w:val="22"/>
          <w:szCs w:val="22"/>
          <w:highlight w:val="none"/>
        </w:rPr>
        <w:t>×该</w:t>
      </w:r>
      <w:r>
        <w:rPr>
          <w:rFonts w:ascii="宋体" w:hAnsi="宋体" w:eastAsia="宋体" w:cs="宋体"/>
          <w:color w:val="auto"/>
          <w:sz w:val="22"/>
          <w:szCs w:val="22"/>
          <w:highlight w:val="none"/>
        </w:rPr>
        <w:t>季度承包人完成工作量费用总额（</w:t>
      </w:r>
      <w:r>
        <w:rPr>
          <w:rFonts w:ascii="宋体" w:hAnsi="宋体" w:eastAsia="宋体" w:cs="宋体"/>
          <w:color w:val="auto"/>
          <w:spacing w:val="-59"/>
          <w:sz w:val="22"/>
          <w:szCs w:val="22"/>
          <w:highlight w:val="none"/>
        </w:rPr>
        <w:t xml:space="preserve"> </w:t>
      </w:r>
      <w:r>
        <w:rPr>
          <w:rFonts w:ascii="宋体" w:hAnsi="宋体" w:eastAsia="宋体" w:cs="宋体"/>
          <w:color w:val="auto"/>
          <w:sz w:val="22"/>
          <w:szCs w:val="22"/>
          <w:highlight w:val="none"/>
          <w:u w:val="single" w:color="auto"/>
        </w:rPr>
        <w:t>扣除工程变更设计增减的费用和材料调差等费用</w:t>
      </w:r>
      <w:r>
        <w:rPr>
          <w:rFonts w:ascii="宋体" w:hAnsi="宋体" w:eastAsia="宋体" w:cs="宋体"/>
          <w:color w:val="auto"/>
          <w:sz w:val="22"/>
          <w:szCs w:val="22"/>
          <w:highlight w:val="none"/>
        </w:rPr>
        <w:t>）/</w:t>
      </w:r>
      <w:r>
        <w:rPr>
          <w:rFonts w:ascii="宋体" w:hAnsi="宋体" w:eastAsia="宋体" w:cs="宋体"/>
          <w:color w:val="auto"/>
          <w:spacing w:val="-1"/>
          <w:sz w:val="22"/>
          <w:szCs w:val="22"/>
          <w:highlight w:val="none"/>
        </w:rPr>
        <w:t>承包人合同价总额（不包括暂列金</w:t>
      </w:r>
      <w:r>
        <w:rPr>
          <w:rFonts w:ascii="宋体" w:hAnsi="宋体" w:eastAsia="宋体" w:cs="宋体"/>
          <w:color w:val="auto"/>
          <w:spacing w:val="2"/>
          <w:sz w:val="22"/>
          <w:szCs w:val="22"/>
          <w:highlight w:val="none"/>
        </w:rPr>
        <w:t>）；</w:t>
      </w:r>
    </w:p>
    <w:p w14:paraId="784E8036">
      <w:pPr>
        <w:spacing w:line="218" w:lineRule="auto"/>
        <w:ind w:left="484"/>
        <w:rPr>
          <w:rFonts w:ascii="宋体" w:hAnsi="宋体" w:eastAsia="宋体" w:cs="宋体"/>
          <w:color w:val="auto"/>
          <w:sz w:val="22"/>
          <w:szCs w:val="22"/>
          <w:highlight w:val="none"/>
        </w:rPr>
      </w:pPr>
      <w:r>
        <w:rPr>
          <w:rFonts w:ascii="宋体" w:hAnsi="宋体" w:eastAsia="宋体" w:cs="宋体"/>
          <w:color w:val="auto"/>
          <w:sz w:val="22"/>
          <w:szCs w:val="22"/>
          <w:highlight w:val="none"/>
        </w:rPr>
        <w:t>b.按本项目专用合同条款的规定本季应得的奖</w:t>
      </w:r>
      <w:r>
        <w:rPr>
          <w:rFonts w:ascii="宋体" w:hAnsi="宋体" w:eastAsia="宋体" w:cs="宋体"/>
          <w:color w:val="auto"/>
          <w:spacing w:val="-1"/>
          <w:sz w:val="22"/>
          <w:szCs w:val="22"/>
          <w:highlight w:val="none"/>
        </w:rPr>
        <w:t>励及证明资料；</w:t>
      </w:r>
    </w:p>
    <w:p w14:paraId="0B0C85EE">
      <w:pPr>
        <w:spacing w:before="181" w:line="219" w:lineRule="auto"/>
        <w:ind w:left="49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c.按本项目专用合同条款规定本季应得的其他费用；</w:t>
      </w:r>
    </w:p>
    <w:p w14:paraId="7F3A8EB3">
      <w:pPr>
        <w:spacing w:before="183" w:line="219" w:lineRule="auto"/>
        <w:ind w:left="493"/>
        <w:rPr>
          <w:rFonts w:ascii="宋体" w:hAnsi="宋体" w:eastAsia="宋体" w:cs="宋体"/>
          <w:color w:val="auto"/>
          <w:spacing w:val="-1"/>
          <w:sz w:val="22"/>
          <w:szCs w:val="22"/>
          <w:highlight w:val="none"/>
        </w:rPr>
      </w:pPr>
      <w:r>
        <w:rPr>
          <w:rFonts w:ascii="宋体" w:hAnsi="宋体" w:eastAsia="宋体" w:cs="宋体"/>
          <w:color w:val="auto"/>
          <w:spacing w:val="-1"/>
          <w:sz w:val="22"/>
          <w:szCs w:val="22"/>
          <w:highlight w:val="none"/>
        </w:rPr>
        <w:t>d.按本项目专用合同条款的规定本季应扣除的罚款；</w:t>
      </w:r>
    </w:p>
    <w:p w14:paraId="55ECF852">
      <w:pPr>
        <w:spacing w:before="44" w:line="360" w:lineRule="auto"/>
        <w:ind w:left="10" w:leftChars="0" w:firstLine="440" w:firstLineChars="200"/>
        <w:rPr>
          <w:rFonts w:ascii="宋体" w:hAnsi="宋体" w:eastAsia="宋体" w:cs="宋体"/>
          <w:color w:val="auto"/>
          <w:sz w:val="18"/>
          <w:szCs w:val="18"/>
          <w:highlight w:val="none"/>
        </w:rPr>
      </w:pPr>
      <w:r>
        <w:rPr>
          <w:rFonts w:hint="eastAsia" w:ascii="宋体" w:hAnsi="宋体" w:eastAsia="宋体" w:cs="宋体"/>
          <w:color w:val="auto"/>
          <w:sz w:val="22"/>
          <w:szCs w:val="22"/>
          <w:highlight w:val="none"/>
          <w:lang w:val="en-US" w:eastAsia="zh-CN"/>
        </w:rPr>
        <w:t xml:space="preserve">9.3.4 </w:t>
      </w:r>
      <w:r>
        <w:rPr>
          <w:rFonts w:hint="eastAsia" w:ascii="宋体" w:hAnsi="宋体" w:eastAsia="宋体" w:cs="宋体"/>
          <w:color w:val="auto"/>
          <w:sz w:val="22"/>
          <w:szCs w:val="22"/>
          <w:highlight w:val="none"/>
        </w:rPr>
        <w:t>施工期间，按照施工完成的形象进度所占比例，</w:t>
      </w:r>
      <w:r>
        <w:rPr>
          <w:rFonts w:hint="eastAsia" w:ascii="宋体" w:hAnsi="宋体" w:eastAsia="宋体" w:cs="宋体"/>
          <w:color w:val="auto"/>
          <w:sz w:val="22"/>
          <w:szCs w:val="22"/>
          <w:highlight w:val="none"/>
          <w:lang w:val="en-US" w:eastAsia="zh-CN"/>
        </w:rPr>
        <w:t>委托人</w:t>
      </w:r>
      <w:r>
        <w:rPr>
          <w:rFonts w:hint="eastAsia" w:ascii="宋体" w:hAnsi="宋体" w:eastAsia="宋体" w:cs="宋体"/>
          <w:color w:val="auto"/>
          <w:sz w:val="22"/>
          <w:szCs w:val="22"/>
          <w:highlight w:val="none"/>
        </w:rPr>
        <w:t>应支付相应比例的监理费，但未交工验收前不得超过合同价的80%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lang w:val="en-US" w:eastAsia="zh-CN"/>
        </w:rPr>
        <w:t>交（竣）工</w:t>
      </w:r>
      <w:r>
        <w:rPr>
          <w:rFonts w:hint="eastAsia" w:ascii="宋体" w:hAnsi="宋体" w:eastAsia="宋体" w:cs="宋体"/>
          <w:color w:val="auto"/>
          <w:sz w:val="22"/>
          <w:szCs w:val="22"/>
          <w:highlight w:val="none"/>
        </w:rPr>
        <w:t>验收合格后，</w:t>
      </w:r>
      <w:r>
        <w:rPr>
          <w:rFonts w:hint="eastAsia" w:ascii="宋体" w:hAnsi="宋体" w:eastAsia="宋体" w:cs="宋体"/>
          <w:color w:val="auto"/>
          <w:sz w:val="22"/>
          <w:szCs w:val="22"/>
          <w:highlight w:val="none"/>
          <w:lang w:val="en-US" w:eastAsia="zh-CN"/>
        </w:rPr>
        <w:t>委托人</w:t>
      </w:r>
      <w:r>
        <w:rPr>
          <w:rFonts w:hint="eastAsia" w:ascii="宋体" w:hAnsi="宋体" w:eastAsia="宋体" w:cs="宋体"/>
          <w:color w:val="auto"/>
          <w:sz w:val="22"/>
          <w:szCs w:val="22"/>
          <w:highlight w:val="none"/>
        </w:rPr>
        <w:t>应支付监理费用至合同价的100%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委托人</w:t>
      </w:r>
      <w:r>
        <w:rPr>
          <w:rFonts w:hint="eastAsia" w:ascii="宋体" w:hAnsi="宋体" w:eastAsia="宋体" w:cs="宋体"/>
          <w:color w:val="auto"/>
          <w:sz w:val="22"/>
          <w:szCs w:val="22"/>
          <w:highlight w:val="none"/>
          <w:lang w:eastAsia="zh-CN"/>
        </w:rPr>
        <w:t>及监理人</w:t>
      </w:r>
      <w:r>
        <w:rPr>
          <w:rFonts w:hint="eastAsia" w:ascii="宋体" w:hAnsi="宋体" w:eastAsia="宋体" w:cs="宋体"/>
          <w:color w:val="auto"/>
          <w:sz w:val="22"/>
          <w:szCs w:val="22"/>
          <w:highlight w:val="none"/>
        </w:rPr>
        <w:t>双方一致确认，本合同项下的款项的支付均以县财政资金落实到位为前提。</w:t>
      </w:r>
      <w:r>
        <w:rPr>
          <w:rFonts w:hint="eastAsia" w:ascii="宋体" w:hAnsi="宋体" w:eastAsia="宋体" w:cs="宋体"/>
          <w:color w:val="auto"/>
          <w:sz w:val="22"/>
          <w:szCs w:val="22"/>
          <w:highlight w:val="none"/>
          <w:lang w:val="en-US" w:eastAsia="zh-CN"/>
        </w:rPr>
        <w:t>委托人</w:t>
      </w:r>
      <w:r>
        <w:rPr>
          <w:rFonts w:hint="eastAsia" w:ascii="宋体" w:hAnsi="宋体" w:eastAsia="宋体" w:cs="宋体"/>
          <w:color w:val="auto"/>
          <w:sz w:val="22"/>
          <w:szCs w:val="22"/>
          <w:highlight w:val="none"/>
        </w:rPr>
        <w:t>在县财政资金落实到位，并收到</w:t>
      </w:r>
      <w:r>
        <w:rPr>
          <w:rFonts w:hint="eastAsia" w:ascii="宋体" w:hAnsi="宋体" w:eastAsia="宋体" w:cs="宋体"/>
          <w:color w:val="auto"/>
          <w:sz w:val="22"/>
          <w:szCs w:val="22"/>
          <w:highlight w:val="none"/>
          <w:lang w:eastAsia="zh-CN"/>
        </w:rPr>
        <w:t>监理人</w:t>
      </w:r>
      <w:r>
        <w:rPr>
          <w:rFonts w:hint="eastAsia" w:ascii="宋体" w:hAnsi="宋体" w:eastAsia="宋体" w:cs="宋体"/>
          <w:color w:val="auto"/>
          <w:sz w:val="22"/>
          <w:szCs w:val="22"/>
          <w:highlight w:val="none"/>
        </w:rPr>
        <w:t>请款资料后，60日内完成财务审核并支付当期合同价款，</w:t>
      </w:r>
      <w:r>
        <w:rPr>
          <w:rFonts w:hint="eastAsia" w:ascii="宋体" w:hAnsi="宋体" w:eastAsia="宋体" w:cs="宋体"/>
          <w:color w:val="auto"/>
          <w:sz w:val="22"/>
          <w:szCs w:val="22"/>
          <w:highlight w:val="none"/>
          <w:lang w:eastAsia="zh-CN"/>
        </w:rPr>
        <w:t>监理人</w:t>
      </w:r>
      <w:r>
        <w:rPr>
          <w:rFonts w:hint="eastAsia" w:ascii="宋体" w:hAnsi="宋体" w:eastAsia="宋体" w:cs="宋体"/>
          <w:color w:val="auto"/>
          <w:sz w:val="22"/>
          <w:szCs w:val="22"/>
          <w:highlight w:val="none"/>
        </w:rPr>
        <w:t>需提供等额合规发票，且符合国家税务监管要求。因县财政资金拨付延迟导致</w:t>
      </w:r>
      <w:r>
        <w:rPr>
          <w:rFonts w:hint="eastAsia" w:ascii="宋体" w:hAnsi="宋体" w:eastAsia="宋体" w:cs="宋体"/>
          <w:color w:val="auto"/>
          <w:sz w:val="22"/>
          <w:szCs w:val="22"/>
          <w:highlight w:val="none"/>
          <w:lang w:val="en-US" w:eastAsia="zh-CN"/>
        </w:rPr>
        <w:t>委托人</w:t>
      </w:r>
      <w:r>
        <w:rPr>
          <w:rFonts w:hint="eastAsia" w:ascii="宋体" w:hAnsi="宋体" w:eastAsia="宋体" w:cs="宋体"/>
          <w:color w:val="auto"/>
          <w:sz w:val="22"/>
          <w:szCs w:val="22"/>
          <w:highlight w:val="none"/>
        </w:rPr>
        <w:t>未能按约定期限完成支付的，该情形视为不可抗力因素，</w:t>
      </w:r>
      <w:r>
        <w:rPr>
          <w:rFonts w:hint="eastAsia" w:ascii="宋体" w:hAnsi="宋体" w:eastAsia="宋体" w:cs="宋体"/>
          <w:color w:val="auto"/>
          <w:sz w:val="22"/>
          <w:szCs w:val="22"/>
          <w:highlight w:val="none"/>
          <w:lang w:eastAsia="zh-CN"/>
        </w:rPr>
        <w:t>发包人</w:t>
      </w:r>
      <w:r>
        <w:rPr>
          <w:rFonts w:hint="eastAsia" w:ascii="宋体" w:hAnsi="宋体" w:eastAsia="宋体" w:cs="宋体"/>
          <w:color w:val="auto"/>
          <w:sz w:val="22"/>
          <w:szCs w:val="22"/>
          <w:highlight w:val="none"/>
        </w:rPr>
        <w:t>无需承担逾期违约责任</w:t>
      </w:r>
      <w:r>
        <w:rPr>
          <w:rFonts w:hint="eastAsia" w:ascii="宋体" w:hAnsi="宋体" w:eastAsia="宋体" w:cs="宋体"/>
          <w:color w:val="auto"/>
          <w:sz w:val="22"/>
          <w:szCs w:val="22"/>
          <w:highlight w:val="none"/>
          <w:lang w:eastAsia="zh-CN"/>
        </w:rPr>
        <w:t>。</w:t>
      </w:r>
    </w:p>
    <w:p w14:paraId="7A4DBA2A">
      <w:pPr>
        <w:spacing w:before="44" w:line="360" w:lineRule="auto"/>
        <w:ind w:left="10" w:leftChars="0" w:firstLine="440" w:firstLineChars="200"/>
        <w:rPr>
          <w:rFonts w:ascii="宋体" w:hAnsi="宋体" w:eastAsia="宋体" w:cs="宋体"/>
          <w:color w:val="auto"/>
          <w:sz w:val="22"/>
          <w:szCs w:val="22"/>
          <w:highlight w:val="none"/>
        </w:rPr>
      </w:pPr>
      <w:r>
        <w:rPr>
          <w:rFonts w:ascii="宋体" w:hAnsi="宋体" w:eastAsia="宋体" w:cs="宋体"/>
          <w:color w:val="auto"/>
          <w:sz w:val="22"/>
          <w:szCs w:val="22"/>
          <w:highlight w:val="none"/>
        </w:rPr>
        <w:t>9.3.5 最终结清付款涉及政府投资资金的，支付规定如下：</w:t>
      </w:r>
      <w:r>
        <w:rPr>
          <w:rFonts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eastAsia="zh-CN"/>
        </w:rPr>
        <w:t>按本专业条款缺陷责任期满及竣工验收支付规定执行</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1"/>
          <w:sz w:val="22"/>
          <w:szCs w:val="22"/>
          <w:highlight w:val="none"/>
        </w:rPr>
        <w:t>。</w:t>
      </w:r>
    </w:p>
    <w:p w14:paraId="56679E9A">
      <w:pPr>
        <w:spacing w:line="331" w:lineRule="auto"/>
        <w:rPr>
          <w:rFonts w:ascii="Arial"/>
          <w:color w:val="auto"/>
          <w:sz w:val="21"/>
          <w:highlight w:val="none"/>
        </w:rPr>
      </w:pPr>
    </w:p>
    <w:p w14:paraId="27A9664F">
      <w:pPr>
        <w:spacing w:before="78" w:line="219" w:lineRule="auto"/>
        <w:ind w:left="9"/>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9.5</w:t>
      </w:r>
      <w:r>
        <w:rPr>
          <w:rFonts w:ascii="宋体" w:hAnsi="宋体" w:eastAsia="宋体" w:cs="宋体"/>
          <w:color w:val="auto"/>
          <w:spacing w:val="20"/>
          <w:sz w:val="24"/>
          <w:szCs w:val="24"/>
          <w:highlight w:val="none"/>
        </w:rPr>
        <w:t xml:space="preserve"> </w:t>
      </w:r>
      <w:r>
        <w:rPr>
          <w:rFonts w:ascii="宋体" w:hAnsi="宋体" w:eastAsia="宋体" w:cs="宋体"/>
          <w:b/>
          <w:bCs/>
          <w:color w:val="auto"/>
          <w:spacing w:val="-6"/>
          <w:sz w:val="24"/>
          <w:szCs w:val="24"/>
          <w:highlight w:val="none"/>
        </w:rPr>
        <w:t>暂列金额</w:t>
      </w:r>
    </w:p>
    <w:p w14:paraId="3C9A0195">
      <w:pPr>
        <w:spacing w:before="144" w:line="393" w:lineRule="auto"/>
        <w:ind w:left="450"/>
        <w:rPr>
          <w:rFonts w:ascii="宋体" w:hAnsi="宋体" w:eastAsia="宋体" w:cs="宋体"/>
          <w:b/>
          <w:bCs/>
          <w:color w:val="auto"/>
          <w:spacing w:val="-10"/>
          <w:sz w:val="24"/>
          <w:szCs w:val="24"/>
          <w:highlight w:val="none"/>
        </w:rPr>
      </w:pPr>
      <w:r>
        <w:rPr>
          <w:rFonts w:ascii="宋体" w:hAnsi="宋体" w:eastAsia="宋体" w:cs="宋体"/>
          <w:color w:val="auto"/>
          <w:spacing w:val="-2"/>
          <w:sz w:val="22"/>
          <w:szCs w:val="22"/>
          <w:highlight w:val="none"/>
        </w:rPr>
        <w:t>本合同的暂列金额为监理服务费的</w:t>
      </w:r>
      <w:r>
        <w:rPr>
          <w:rFonts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lang w:val="en-US" w:eastAsia="zh-CN"/>
        </w:rPr>
        <w:t>/</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69"/>
          <w:sz w:val="22"/>
          <w:szCs w:val="22"/>
          <w:highlight w:val="none"/>
        </w:rPr>
        <w:t xml:space="preserve"> </w:t>
      </w:r>
      <w:r>
        <w:rPr>
          <w:rFonts w:ascii="宋体" w:hAnsi="宋体" w:eastAsia="宋体" w:cs="宋体"/>
          <w:color w:val="auto"/>
          <w:spacing w:val="-2"/>
          <w:sz w:val="22"/>
          <w:szCs w:val="22"/>
          <w:highlight w:val="none"/>
        </w:rPr>
        <w:t>％。</w:t>
      </w:r>
      <w:r>
        <w:rPr>
          <w:rFonts w:ascii="宋体" w:hAnsi="宋体" w:eastAsia="宋体" w:cs="宋体"/>
          <w:b/>
          <w:bCs/>
          <w:color w:val="auto"/>
          <w:spacing w:val="-10"/>
          <w:sz w:val="24"/>
          <w:szCs w:val="24"/>
          <w:highlight w:val="none"/>
        </w:rPr>
        <w:br w:type="page"/>
      </w:r>
    </w:p>
    <w:p w14:paraId="38B2E965">
      <w:pPr>
        <w:spacing w:before="78" w:line="224" w:lineRule="auto"/>
        <w:ind w:left="26"/>
        <w:outlineLvl w:val="1"/>
        <w:rPr>
          <w:rFonts w:ascii="宋体" w:hAnsi="宋体" w:eastAsia="宋体" w:cs="宋体"/>
          <w:color w:val="auto"/>
          <w:sz w:val="24"/>
          <w:szCs w:val="24"/>
          <w:highlight w:val="none"/>
        </w:rPr>
      </w:pPr>
      <w:bookmarkStart w:id="248" w:name="_Toc1793"/>
      <w:bookmarkStart w:id="249" w:name="_Toc8594"/>
      <w:r>
        <w:rPr>
          <w:rFonts w:ascii="宋体" w:hAnsi="宋体" w:eastAsia="宋体" w:cs="宋体"/>
          <w:b/>
          <w:bCs/>
          <w:color w:val="auto"/>
          <w:spacing w:val="-10"/>
          <w:sz w:val="24"/>
          <w:szCs w:val="24"/>
          <w:highlight w:val="none"/>
        </w:rPr>
        <w:t>11.</w:t>
      </w:r>
      <w:r>
        <w:rPr>
          <w:rFonts w:ascii="宋体" w:hAnsi="宋体" w:eastAsia="宋体" w:cs="宋体"/>
          <w:color w:val="auto"/>
          <w:spacing w:val="14"/>
          <w:sz w:val="24"/>
          <w:szCs w:val="24"/>
          <w:highlight w:val="none"/>
        </w:rPr>
        <w:t xml:space="preserve"> </w:t>
      </w:r>
      <w:r>
        <w:rPr>
          <w:rFonts w:ascii="宋体" w:hAnsi="宋体" w:eastAsia="宋体" w:cs="宋体"/>
          <w:b/>
          <w:bCs/>
          <w:color w:val="auto"/>
          <w:spacing w:val="-10"/>
          <w:sz w:val="24"/>
          <w:szCs w:val="24"/>
          <w:highlight w:val="none"/>
        </w:rPr>
        <w:t>违约</w:t>
      </w:r>
      <w:bookmarkEnd w:id="248"/>
      <w:bookmarkEnd w:id="249"/>
    </w:p>
    <w:p w14:paraId="1D8A7679">
      <w:pPr>
        <w:spacing w:before="285" w:line="222" w:lineRule="auto"/>
        <w:ind w:left="2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11.1</w:t>
      </w:r>
      <w:r>
        <w:rPr>
          <w:rFonts w:ascii="宋体" w:hAnsi="宋体" w:eastAsia="宋体" w:cs="宋体"/>
          <w:color w:val="auto"/>
          <w:spacing w:val="-5"/>
          <w:sz w:val="24"/>
          <w:szCs w:val="24"/>
          <w:highlight w:val="none"/>
        </w:rPr>
        <w:t xml:space="preserve"> </w:t>
      </w:r>
      <w:r>
        <w:rPr>
          <w:rFonts w:ascii="宋体" w:hAnsi="宋体" w:eastAsia="宋体" w:cs="宋体"/>
          <w:b/>
          <w:bCs/>
          <w:color w:val="auto"/>
          <w:spacing w:val="-5"/>
          <w:sz w:val="24"/>
          <w:szCs w:val="24"/>
          <w:highlight w:val="none"/>
        </w:rPr>
        <w:t>监理人违约</w:t>
      </w:r>
    </w:p>
    <w:p w14:paraId="2BF3E0ED">
      <w:pPr>
        <w:spacing w:before="173" w:line="221" w:lineRule="auto"/>
        <w:ind w:left="465"/>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11.1.2</w:t>
      </w:r>
      <w:r>
        <w:rPr>
          <w:rFonts w:ascii="宋体" w:hAnsi="宋体" w:eastAsia="宋体" w:cs="宋体"/>
          <w:color w:val="auto"/>
          <w:spacing w:val="-43"/>
          <w:sz w:val="22"/>
          <w:szCs w:val="22"/>
          <w:highlight w:val="none"/>
        </w:rPr>
        <w:t xml:space="preserve"> </w:t>
      </w:r>
      <w:r>
        <w:rPr>
          <w:rFonts w:ascii="宋体" w:hAnsi="宋体" w:eastAsia="宋体" w:cs="宋体"/>
          <w:color w:val="auto"/>
          <w:spacing w:val="-3"/>
          <w:sz w:val="22"/>
          <w:szCs w:val="22"/>
          <w:highlight w:val="none"/>
        </w:rPr>
        <w:t>款细化如下：</w:t>
      </w:r>
    </w:p>
    <w:p w14:paraId="4542B9F8">
      <w:pPr>
        <w:spacing w:before="167" w:line="220" w:lineRule="auto"/>
        <w:ind w:left="46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11.1.2 监理人发生违约情况时，委托人有权向监理人课以违约金，具体约定如下：</w:t>
      </w:r>
    </w:p>
    <w:p w14:paraId="74293906">
      <w:pPr>
        <w:rPr>
          <w:rFonts w:ascii="Arial"/>
          <w:color w:val="auto"/>
          <w:sz w:val="21"/>
          <w:highlight w:val="none"/>
        </w:rPr>
      </w:pPr>
    </w:p>
    <w:p w14:paraId="602F4A16">
      <w:pPr>
        <w:spacing w:before="92" w:line="234" w:lineRule="auto"/>
        <w:ind w:left="3212"/>
        <w:rPr>
          <w:rFonts w:ascii="宋体" w:hAnsi="宋体" w:eastAsia="宋体" w:cs="宋体"/>
          <w:color w:val="auto"/>
          <w:sz w:val="13"/>
          <w:szCs w:val="13"/>
          <w:highlight w:val="none"/>
        </w:rPr>
      </w:pPr>
      <w:r>
        <w:rPr>
          <w:rFonts w:ascii="宋体" w:hAnsi="宋体" w:eastAsia="宋体" w:cs="宋体"/>
          <w:b/>
          <w:bCs/>
          <w:color w:val="auto"/>
          <w:spacing w:val="-3"/>
          <w:sz w:val="28"/>
          <w:szCs w:val="28"/>
          <w:highlight w:val="none"/>
        </w:rPr>
        <w:t>监理人违约金一览表</w:t>
      </w:r>
      <w:r>
        <w:rPr>
          <w:color w:val="auto"/>
          <w:highlight w:val="none"/>
        </w:rPr>
        <w:fldChar w:fldCharType="begin"/>
      </w:r>
      <w:r>
        <w:rPr>
          <w:color w:val="auto"/>
          <w:highlight w:val="none"/>
        </w:rPr>
        <w:instrText xml:space="preserve"> HYPERLINK \l "bookmark148" </w:instrText>
      </w:r>
      <w:r>
        <w:rPr>
          <w:color w:val="auto"/>
          <w:highlight w:val="none"/>
        </w:rPr>
        <w:fldChar w:fldCharType="separate"/>
      </w:r>
      <w:r>
        <w:rPr>
          <w:rFonts w:ascii="宋体" w:hAnsi="宋体" w:eastAsia="宋体" w:cs="宋体"/>
          <w:b/>
          <w:bCs/>
          <w:color w:val="auto"/>
          <w:spacing w:val="-3"/>
          <w:position w:val="13"/>
          <w:sz w:val="13"/>
          <w:szCs w:val="13"/>
          <w:highlight w:val="none"/>
        </w:rPr>
        <w:t>②</w:t>
      </w:r>
      <w:r>
        <w:rPr>
          <w:rFonts w:ascii="宋体" w:hAnsi="宋体" w:eastAsia="宋体" w:cs="宋体"/>
          <w:b/>
          <w:bCs/>
          <w:color w:val="auto"/>
          <w:spacing w:val="-3"/>
          <w:position w:val="13"/>
          <w:sz w:val="13"/>
          <w:szCs w:val="13"/>
          <w:highlight w:val="none"/>
        </w:rPr>
        <w:fldChar w:fldCharType="end"/>
      </w:r>
    </w:p>
    <w:p w14:paraId="573EDE8F">
      <w:pPr>
        <w:spacing w:line="229" w:lineRule="exact"/>
        <w:rPr>
          <w:color w:val="auto"/>
          <w:highlight w:val="none"/>
        </w:rPr>
      </w:pPr>
    </w:p>
    <w:tbl>
      <w:tblPr>
        <w:tblStyle w:val="16"/>
        <w:tblW w:w="889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845"/>
        <w:gridCol w:w="7440"/>
      </w:tblGrid>
      <w:tr w14:paraId="276D7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10" w:type="dxa"/>
            <w:textDirection w:val="tbRlV"/>
            <w:vAlign w:val="top"/>
          </w:tcPr>
          <w:p w14:paraId="612C4D17">
            <w:pPr>
              <w:pStyle w:val="17"/>
              <w:spacing w:before="193" w:line="216" w:lineRule="auto"/>
              <w:ind w:left="193"/>
              <w:rPr>
                <w:color w:val="auto"/>
                <w:highlight w:val="none"/>
              </w:rPr>
            </w:pPr>
            <w:r>
              <w:rPr>
                <w:b/>
                <w:bCs/>
                <w:color w:val="auto"/>
                <w:spacing w:val="6"/>
                <w:highlight w:val="none"/>
              </w:rPr>
              <w:t>类</w:t>
            </w:r>
            <w:r>
              <w:rPr>
                <w:color w:val="auto"/>
                <w:spacing w:val="-7"/>
                <w:highlight w:val="none"/>
              </w:rPr>
              <w:t xml:space="preserve"> </w:t>
            </w:r>
            <w:r>
              <w:rPr>
                <w:b/>
                <w:bCs/>
                <w:color w:val="auto"/>
                <w:spacing w:val="6"/>
                <w:highlight w:val="none"/>
              </w:rPr>
              <w:t>别</w:t>
            </w:r>
          </w:p>
        </w:tc>
        <w:tc>
          <w:tcPr>
            <w:tcW w:w="845" w:type="dxa"/>
            <w:vAlign w:val="top"/>
          </w:tcPr>
          <w:p w14:paraId="2E875ED0">
            <w:pPr>
              <w:spacing w:line="249" w:lineRule="auto"/>
              <w:rPr>
                <w:rFonts w:ascii="Arial"/>
                <w:color w:val="auto"/>
                <w:sz w:val="21"/>
                <w:highlight w:val="none"/>
              </w:rPr>
            </w:pPr>
          </w:p>
          <w:p w14:paraId="309ADC49">
            <w:pPr>
              <w:pStyle w:val="17"/>
              <w:spacing w:before="65" w:line="229" w:lineRule="auto"/>
              <w:ind w:left="222"/>
              <w:rPr>
                <w:color w:val="auto"/>
                <w:highlight w:val="none"/>
              </w:rPr>
            </w:pPr>
            <w:r>
              <w:rPr>
                <w:b/>
                <w:bCs/>
                <w:color w:val="auto"/>
                <w:spacing w:val="4"/>
                <w:highlight w:val="none"/>
              </w:rPr>
              <w:t>序号</w:t>
            </w:r>
          </w:p>
        </w:tc>
        <w:tc>
          <w:tcPr>
            <w:tcW w:w="7440" w:type="dxa"/>
            <w:vAlign w:val="top"/>
          </w:tcPr>
          <w:p w14:paraId="090E58DC">
            <w:pPr>
              <w:spacing w:line="249" w:lineRule="auto"/>
              <w:rPr>
                <w:rFonts w:ascii="Arial"/>
                <w:color w:val="auto"/>
                <w:sz w:val="21"/>
                <w:highlight w:val="none"/>
              </w:rPr>
            </w:pPr>
          </w:p>
          <w:p w14:paraId="6A40DCD6">
            <w:pPr>
              <w:pStyle w:val="17"/>
              <w:spacing w:before="65" w:line="228" w:lineRule="auto"/>
              <w:ind w:left="3033"/>
              <w:rPr>
                <w:color w:val="auto"/>
                <w:highlight w:val="none"/>
              </w:rPr>
            </w:pPr>
            <w:r>
              <w:rPr>
                <w:b/>
                <w:bCs/>
                <w:color w:val="auto"/>
                <w:spacing w:val="6"/>
                <w:highlight w:val="none"/>
              </w:rPr>
              <w:t>违约项目</w:t>
            </w:r>
          </w:p>
        </w:tc>
      </w:tr>
      <w:tr w14:paraId="249EC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2" w:hRule="atLeast"/>
        </w:trPr>
        <w:tc>
          <w:tcPr>
            <w:tcW w:w="610" w:type="dxa"/>
            <w:vMerge w:val="restart"/>
            <w:tcBorders>
              <w:bottom w:val="nil"/>
            </w:tcBorders>
            <w:textDirection w:val="tbRlV"/>
            <w:vAlign w:val="top"/>
          </w:tcPr>
          <w:p w14:paraId="53CF3883">
            <w:pPr>
              <w:pStyle w:val="17"/>
              <w:spacing w:before="194" w:line="216" w:lineRule="auto"/>
              <w:ind w:left="2473"/>
              <w:rPr>
                <w:color w:val="auto"/>
                <w:highlight w:val="none"/>
              </w:rPr>
            </w:pPr>
            <w:r>
              <w:rPr>
                <w:b/>
                <w:bCs/>
                <w:color w:val="auto"/>
                <w:spacing w:val="6"/>
                <w:highlight w:val="none"/>
              </w:rPr>
              <w:t>职</w:t>
            </w:r>
            <w:r>
              <w:rPr>
                <w:color w:val="auto"/>
                <w:spacing w:val="-5"/>
                <w:highlight w:val="none"/>
              </w:rPr>
              <w:t xml:space="preserve"> </w:t>
            </w:r>
            <w:r>
              <w:rPr>
                <w:b/>
                <w:bCs/>
                <w:color w:val="auto"/>
                <w:spacing w:val="6"/>
                <w:highlight w:val="none"/>
              </w:rPr>
              <w:t>业</w:t>
            </w:r>
            <w:r>
              <w:rPr>
                <w:color w:val="auto"/>
                <w:spacing w:val="-6"/>
                <w:highlight w:val="none"/>
              </w:rPr>
              <w:t xml:space="preserve"> </w:t>
            </w:r>
            <w:r>
              <w:rPr>
                <w:b/>
                <w:bCs/>
                <w:color w:val="auto"/>
                <w:spacing w:val="6"/>
                <w:highlight w:val="none"/>
              </w:rPr>
              <w:t>操</w:t>
            </w:r>
            <w:r>
              <w:rPr>
                <w:color w:val="auto"/>
                <w:spacing w:val="-9"/>
                <w:highlight w:val="none"/>
              </w:rPr>
              <w:t xml:space="preserve"> </w:t>
            </w:r>
            <w:r>
              <w:rPr>
                <w:b/>
                <w:bCs/>
                <w:color w:val="auto"/>
                <w:spacing w:val="6"/>
                <w:highlight w:val="none"/>
              </w:rPr>
              <w:t>守</w:t>
            </w:r>
          </w:p>
        </w:tc>
        <w:tc>
          <w:tcPr>
            <w:tcW w:w="845" w:type="dxa"/>
            <w:vAlign w:val="top"/>
          </w:tcPr>
          <w:p w14:paraId="666108B2">
            <w:pPr>
              <w:spacing w:line="243" w:lineRule="auto"/>
              <w:rPr>
                <w:rFonts w:ascii="Arial"/>
                <w:color w:val="auto"/>
                <w:sz w:val="21"/>
                <w:highlight w:val="none"/>
              </w:rPr>
            </w:pPr>
          </w:p>
          <w:p w14:paraId="5FC967B2">
            <w:pPr>
              <w:spacing w:line="244" w:lineRule="auto"/>
              <w:rPr>
                <w:rFonts w:ascii="Arial"/>
                <w:color w:val="auto"/>
                <w:sz w:val="21"/>
                <w:highlight w:val="none"/>
              </w:rPr>
            </w:pPr>
          </w:p>
          <w:p w14:paraId="0FD43352">
            <w:pPr>
              <w:spacing w:line="244" w:lineRule="auto"/>
              <w:rPr>
                <w:rFonts w:ascii="Arial"/>
                <w:color w:val="auto"/>
                <w:sz w:val="21"/>
                <w:highlight w:val="none"/>
              </w:rPr>
            </w:pPr>
          </w:p>
          <w:p w14:paraId="7A7AC0AD">
            <w:pPr>
              <w:spacing w:before="58" w:line="195" w:lineRule="auto"/>
              <w:ind w:left="395"/>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1</w:t>
            </w:r>
          </w:p>
        </w:tc>
        <w:tc>
          <w:tcPr>
            <w:tcW w:w="7440" w:type="dxa"/>
            <w:vAlign w:val="top"/>
          </w:tcPr>
          <w:p w14:paraId="582981CC">
            <w:pPr>
              <w:pStyle w:val="17"/>
              <w:spacing w:before="116" w:line="279" w:lineRule="auto"/>
              <w:ind w:left="116" w:right="101" w:firstLine="2"/>
              <w:jc w:val="both"/>
              <w:rPr>
                <w:color w:val="auto"/>
                <w:highlight w:val="none"/>
              </w:rPr>
            </w:pPr>
            <w:r>
              <w:rPr>
                <w:color w:val="auto"/>
                <w:spacing w:val="12"/>
                <w:highlight w:val="none"/>
              </w:rPr>
              <w:t>监理工程师如在质量及安全管理、计量和变更设计工作中弄虚作假，包括但不仅限于存在质量不合格项目或承包人未实施的项目进入月度计量的情况，每发</w:t>
            </w:r>
            <w:r>
              <w:rPr>
                <w:color w:val="auto"/>
                <w:spacing w:val="5"/>
                <w:highlight w:val="none"/>
              </w:rPr>
              <w:t>现一次：</w:t>
            </w:r>
          </w:p>
          <w:p w14:paraId="64691D93">
            <w:pPr>
              <w:pStyle w:val="17"/>
              <w:spacing w:before="2" w:line="228" w:lineRule="auto"/>
              <w:ind w:left="122"/>
              <w:rPr>
                <w:color w:val="auto"/>
                <w:highlight w:val="none"/>
              </w:rPr>
            </w:pPr>
            <w:r>
              <w:rPr>
                <w:color w:val="auto"/>
                <w:sz w:val="18"/>
                <w:szCs w:val="18"/>
                <w:highlight w:val="none"/>
              </w:rPr>
              <w:t xml:space="preserve">（1） </w:t>
            </w:r>
            <w:r>
              <w:rPr>
                <w:color w:val="auto"/>
                <w:highlight w:val="none"/>
              </w:rPr>
              <w:t>扣除监理服务费</w:t>
            </w:r>
            <w:r>
              <w:rPr>
                <w:color w:val="auto"/>
                <w:spacing w:val="-43"/>
                <w:highlight w:val="none"/>
              </w:rPr>
              <w:t xml:space="preserve"> </w:t>
            </w:r>
            <w:r>
              <w:rPr>
                <w:rFonts w:ascii="Times New Roman" w:hAnsi="Times New Roman" w:eastAsia="Times New Roman" w:cs="Times New Roman"/>
                <w:color w:val="auto"/>
                <w:highlight w:val="none"/>
                <w:u w:val="single" w:color="auto"/>
              </w:rPr>
              <w:t>5</w:t>
            </w:r>
            <w:r>
              <w:rPr>
                <w:rFonts w:ascii="Times New Roman" w:hAnsi="Times New Roman" w:eastAsia="Times New Roman" w:cs="Times New Roman"/>
                <w:color w:val="auto"/>
                <w:highlight w:val="none"/>
              </w:rPr>
              <w:t xml:space="preserve"> </w:t>
            </w:r>
            <w:r>
              <w:rPr>
                <w:color w:val="auto"/>
                <w:highlight w:val="none"/>
              </w:rPr>
              <w:t>万元，同时替换该监理工程师；</w:t>
            </w:r>
          </w:p>
          <w:p w14:paraId="50F29561">
            <w:pPr>
              <w:pStyle w:val="17"/>
              <w:spacing w:before="55" w:line="227" w:lineRule="auto"/>
              <w:ind w:left="122"/>
              <w:rPr>
                <w:color w:val="auto"/>
                <w:highlight w:val="none"/>
              </w:rPr>
            </w:pPr>
            <w:r>
              <w:rPr>
                <w:color w:val="auto"/>
                <w:spacing w:val="8"/>
                <w:sz w:val="18"/>
                <w:szCs w:val="18"/>
                <w:highlight w:val="none"/>
              </w:rPr>
              <w:t>（2）</w:t>
            </w:r>
            <w:r>
              <w:rPr>
                <w:color w:val="auto"/>
                <w:spacing w:val="-11"/>
                <w:sz w:val="18"/>
                <w:szCs w:val="18"/>
                <w:highlight w:val="none"/>
              </w:rPr>
              <w:t xml:space="preserve"> </w:t>
            </w:r>
            <w:r>
              <w:rPr>
                <w:color w:val="auto"/>
                <w:spacing w:val="8"/>
                <w:highlight w:val="none"/>
              </w:rPr>
              <w:t>如给委托人造成重大损失、情节严重的将移交司法机关处理。</w:t>
            </w:r>
          </w:p>
        </w:tc>
      </w:tr>
      <w:tr w14:paraId="1EE73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610" w:type="dxa"/>
            <w:vMerge w:val="continue"/>
            <w:tcBorders>
              <w:top w:val="nil"/>
              <w:bottom w:val="nil"/>
            </w:tcBorders>
            <w:textDirection w:val="tbRlV"/>
            <w:vAlign w:val="top"/>
          </w:tcPr>
          <w:p w14:paraId="5DEBA515">
            <w:pPr>
              <w:rPr>
                <w:rFonts w:ascii="Arial"/>
                <w:color w:val="auto"/>
                <w:sz w:val="21"/>
                <w:highlight w:val="none"/>
              </w:rPr>
            </w:pPr>
          </w:p>
        </w:tc>
        <w:tc>
          <w:tcPr>
            <w:tcW w:w="845" w:type="dxa"/>
            <w:vAlign w:val="top"/>
          </w:tcPr>
          <w:p w14:paraId="60958B91">
            <w:pPr>
              <w:spacing w:line="328" w:lineRule="auto"/>
              <w:rPr>
                <w:rFonts w:ascii="Arial"/>
                <w:color w:val="auto"/>
                <w:sz w:val="21"/>
                <w:highlight w:val="none"/>
              </w:rPr>
            </w:pPr>
          </w:p>
          <w:p w14:paraId="51FBC2A1">
            <w:pPr>
              <w:spacing w:line="328" w:lineRule="auto"/>
              <w:rPr>
                <w:rFonts w:ascii="Arial"/>
                <w:color w:val="auto"/>
                <w:sz w:val="21"/>
                <w:highlight w:val="none"/>
              </w:rPr>
            </w:pPr>
          </w:p>
          <w:p w14:paraId="6B93A7E2">
            <w:pPr>
              <w:spacing w:before="58" w:line="195" w:lineRule="auto"/>
              <w:ind w:left="375"/>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2</w:t>
            </w:r>
          </w:p>
        </w:tc>
        <w:tc>
          <w:tcPr>
            <w:tcW w:w="7440" w:type="dxa"/>
            <w:vAlign w:val="top"/>
          </w:tcPr>
          <w:p w14:paraId="7D3D4B66">
            <w:pPr>
              <w:pStyle w:val="17"/>
              <w:spacing w:before="118" w:line="280" w:lineRule="auto"/>
              <w:ind w:left="119" w:right="187" w:hanging="1"/>
              <w:rPr>
                <w:color w:val="auto"/>
                <w:highlight w:val="none"/>
              </w:rPr>
            </w:pPr>
            <w:r>
              <w:rPr>
                <w:color w:val="auto"/>
                <w:spacing w:val="10"/>
                <w:highlight w:val="none"/>
              </w:rPr>
              <w:t>监理工程师不得借职务之便违规向承包人介绍分</w:t>
            </w:r>
            <w:r>
              <w:rPr>
                <w:color w:val="auto"/>
                <w:spacing w:val="9"/>
                <w:highlight w:val="none"/>
              </w:rPr>
              <w:t>包队伍、推销原材料、介绍务</w:t>
            </w:r>
            <w:r>
              <w:rPr>
                <w:color w:val="auto"/>
                <w:spacing w:val="7"/>
                <w:highlight w:val="none"/>
              </w:rPr>
              <w:t>工人员，如有发生：</w:t>
            </w:r>
          </w:p>
          <w:p w14:paraId="7181591B">
            <w:pPr>
              <w:pStyle w:val="17"/>
              <w:spacing w:line="227" w:lineRule="auto"/>
              <w:ind w:left="122"/>
              <w:rPr>
                <w:color w:val="auto"/>
                <w:highlight w:val="none"/>
              </w:rPr>
            </w:pPr>
            <w:r>
              <w:rPr>
                <w:color w:val="auto"/>
                <w:spacing w:val="-2"/>
                <w:sz w:val="18"/>
                <w:szCs w:val="18"/>
                <w:highlight w:val="none"/>
              </w:rPr>
              <w:t xml:space="preserve">（1） </w:t>
            </w:r>
            <w:r>
              <w:rPr>
                <w:color w:val="auto"/>
                <w:spacing w:val="-2"/>
                <w:highlight w:val="none"/>
              </w:rPr>
              <w:t>扣除监理服务费</w:t>
            </w:r>
            <w:r>
              <w:rPr>
                <w:color w:val="auto"/>
                <w:spacing w:val="-43"/>
                <w:highlight w:val="none"/>
              </w:rPr>
              <w:t xml:space="preserve"> </w:t>
            </w:r>
            <w:r>
              <w:rPr>
                <w:rFonts w:ascii="Times New Roman" w:hAnsi="Times New Roman" w:eastAsia="Times New Roman" w:cs="Times New Roman"/>
                <w:color w:val="auto"/>
                <w:spacing w:val="-2"/>
                <w:highlight w:val="none"/>
                <w:u w:val="single" w:color="auto"/>
              </w:rPr>
              <w:t>5</w:t>
            </w:r>
            <w:r>
              <w:rPr>
                <w:rFonts w:ascii="Times New Roman" w:hAnsi="Times New Roman" w:eastAsia="Times New Roman" w:cs="Times New Roman"/>
                <w:color w:val="auto"/>
                <w:spacing w:val="-2"/>
                <w:highlight w:val="none"/>
              </w:rPr>
              <w:t xml:space="preserve"> </w:t>
            </w:r>
            <w:r>
              <w:rPr>
                <w:color w:val="auto"/>
                <w:spacing w:val="-2"/>
                <w:highlight w:val="none"/>
              </w:rPr>
              <w:t>万元；</w:t>
            </w:r>
          </w:p>
          <w:p w14:paraId="1C26558D">
            <w:pPr>
              <w:pStyle w:val="17"/>
              <w:spacing w:before="58" w:line="227" w:lineRule="auto"/>
              <w:ind w:left="122"/>
              <w:rPr>
                <w:color w:val="auto"/>
                <w:highlight w:val="none"/>
              </w:rPr>
            </w:pPr>
            <w:r>
              <w:rPr>
                <w:color w:val="auto"/>
                <w:spacing w:val="8"/>
                <w:sz w:val="18"/>
                <w:szCs w:val="18"/>
                <w:highlight w:val="none"/>
              </w:rPr>
              <w:t>（2）</w:t>
            </w:r>
            <w:r>
              <w:rPr>
                <w:color w:val="auto"/>
                <w:spacing w:val="-7"/>
                <w:sz w:val="18"/>
                <w:szCs w:val="18"/>
                <w:highlight w:val="none"/>
              </w:rPr>
              <w:t xml:space="preserve"> </w:t>
            </w:r>
            <w:r>
              <w:rPr>
                <w:color w:val="auto"/>
                <w:spacing w:val="8"/>
                <w:highlight w:val="none"/>
              </w:rPr>
              <w:t>撤换该监理工程师并将分包队伍、材料供应商及有关人员清除出场。</w:t>
            </w:r>
          </w:p>
        </w:tc>
      </w:tr>
      <w:tr w14:paraId="68A4F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610" w:type="dxa"/>
            <w:vMerge w:val="continue"/>
            <w:tcBorders>
              <w:top w:val="nil"/>
              <w:bottom w:val="nil"/>
            </w:tcBorders>
            <w:textDirection w:val="tbRlV"/>
            <w:vAlign w:val="top"/>
          </w:tcPr>
          <w:p w14:paraId="3DE2683E">
            <w:pPr>
              <w:rPr>
                <w:rFonts w:ascii="Arial"/>
                <w:color w:val="auto"/>
                <w:sz w:val="21"/>
                <w:highlight w:val="none"/>
              </w:rPr>
            </w:pPr>
          </w:p>
        </w:tc>
        <w:tc>
          <w:tcPr>
            <w:tcW w:w="845" w:type="dxa"/>
            <w:vAlign w:val="top"/>
          </w:tcPr>
          <w:p w14:paraId="5C6FC6C3">
            <w:pPr>
              <w:spacing w:line="330" w:lineRule="auto"/>
              <w:rPr>
                <w:rFonts w:ascii="Arial"/>
                <w:color w:val="auto"/>
                <w:sz w:val="21"/>
                <w:highlight w:val="none"/>
              </w:rPr>
            </w:pPr>
          </w:p>
          <w:p w14:paraId="73BFC00D">
            <w:pPr>
              <w:spacing w:line="330" w:lineRule="auto"/>
              <w:rPr>
                <w:rFonts w:ascii="Arial"/>
                <w:color w:val="auto"/>
                <w:sz w:val="21"/>
                <w:highlight w:val="none"/>
              </w:rPr>
            </w:pPr>
          </w:p>
          <w:p w14:paraId="4D8483CE">
            <w:pPr>
              <w:spacing w:before="57" w:line="195" w:lineRule="auto"/>
              <w:ind w:left="379"/>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3</w:t>
            </w:r>
          </w:p>
        </w:tc>
        <w:tc>
          <w:tcPr>
            <w:tcW w:w="7440" w:type="dxa"/>
            <w:vAlign w:val="top"/>
          </w:tcPr>
          <w:p w14:paraId="120052A3">
            <w:pPr>
              <w:pStyle w:val="17"/>
              <w:spacing w:before="135" w:line="280" w:lineRule="auto"/>
              <w:ind w:left="117" w:right="91" w:firstLine="1"/>
              <w:jc w:val="both"/>
              <w:rPr>
                <w:color w:val="auto"/>
                <w:highlight w:val="none"/>
              </w:rPr>
            </w:pPr>
            <w:r>
              <w:rPr>
                <w:color w:val="auto"/>
                <w:spacing w:val="19"/>
                <w:highlight w:val="none"/>
              </w:rPr>
              <w:t>监理工程师在监理工作中发生越权审批或肢解变更</w:t>
            </w:r>
            <w:r>
              <w:rPr>
                <w:color w:val="auto"/>
                <w:spacing w:val="18"/>
                <w:highlight w:val="none"/>
              </w:rPr>
              <w:t>项目、变相越权审批等行</w:t>
            </w:r>
            <w:r>
              <w:rPr>
                <w:color w:val="auto"/>
                <w:spacing w:val="6"/>
                <w:highlight w:val="none"/>
              </w:rPr>
              <w:t>为，每次处以</w:t>
            </w:r>
            <w:r>
              <w:rPr>
                <w:color w:val="auto"/>
                <w:spacing w:val="-63"/>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6"/>
                <w:highlight w:val="none"/>
                <w:u w:val="single" w:color="auto"/>
              </w:rPr>
              <w:t>1</w:t>
            </w:r>
            <w:r>
              <w:rPr>
                <w:rFonts w:ascii="Times New Roman" w:hAnsi="Times New Roman" w:eastAsia="Times New Roman" w:cs="Times New Roman"/>
                <w:color w:val="auto"/>
                <w:spacing w:val="6"/>
                <w:highlight w:val="none"/>
              </w:rPr>
              <w:t xml:space="preserve"> </w:t>
            </w:r>
            <w:r>
              <w:rPr>
                <w:color w:val="auto"/>
                <w:spacing w:val="6"/>
                <w:highlight w:val="none"/>
              </w:rPr>
              <w:t>万元的违约金，情节特别严重的处以</w:t>
            </w:r>
            <w:r>
              <w:rPr>
                <w:color w:val="auto"/>
                <w:spacing w:val="-50"/>
                <w:highlight w:val="none"/>
              </w:rPr>
              <w:t xml:space="preserve"> </w:t>
            </w:r>
            <w:r>
              <w:rPr>
                <w:rFonts w:ascii="Times New Roman" w:hAnsi="Times New Roman" w:eastAsia="Times New Roman" w:cs="Times New Roman"/>
                <w:color w:val="auto"/>
                <w:spacing w:val="6"/>
                <w:highlight w:val="none"/>
                <w:u w:val="single" w:color="auto"/>
              </w:rPr>
              <w:t>3</w:t>
            </w:r>
            <w:r>
              <w:rPr>
                <w:rFonts w:ascii="Times New Roman" w:hAnsi="Times New Roman" w:eastAsia="Times New Roman" w:cs="Times New Roman"/>
                <w:color w:val="auto"/>
                <w:spacing w:val="6"/>
                <w:highlight w:val="none"/>
              </w:rPr>
              <w:t xml:space="preserve"> </w:t>
            </w:r>
            <w:r>
              <w:rPr>
                <w:color w:val="auto"/>
                <w:spacing w:val="5"/>
                <w:highlight w:val="none"/>
              </w:rPr>
              <w:t>万元的违约金，给委托人</w:t>
            </w:r>
            <w:r>
              <w:rPr>
                <w:color w:val="auto"/>
                <w:spacing w:val="4"/>
                <w:highlight w:val="none"/>
              </w:rPr>
              <w:t>造成经济损失的，监理人应以损失额的</w:t>
            </w:r>
            <w:r>
              <w:rPr>
                <w:color w:val="auto"/>
                <w:spacing w:val="-40"/>
                <w:highlight w:val="none"/>
              </w:rPr>
              <w:t xml:space="preserve"> </w:t>
            </w:r>
            <w:r>
              <w:rPr>
                <w:rFonts w:ascii="Times New Roman" w:hAnsi="Times New Roman" w:eastAsia="Times New Roman" w:cs="Times New Roman"/>
                <w:color w:val="auto"/>
                <w:spacing w:val="4"/>
                <w:highlight w:val="none"/>
                <w:u w:val="single" w:color="auto"/>
              </w:rPr>
              <w:t>30</w:t>
            </w:r>
            <w:r>
              <w:rPr>
                <w:rFonts w:ascii="Calibri" w:hAnsi="Calibri" w:eastAsia="Calibri" w:cs="Calibri"/>
                <w:color w:val="auto"/>
                <w:spacing w:val="4"/>
                <w:highlight w:val="none"/>
              </w:rPr>
              <w:t>%</w:t>
            </w:r>
            <w:r>
              <w:rPr>
                <w:color w:val="auto"/>
                <w:spacing w:val="4"/>
                <w:highlight w:val="none"/>
              </w:rPr>
              <w:t>（在合同条款</w:t>
            </w:r>
            <w:r>
              <w:rPr>
                <w:color w:val="auto"/>
                <w:spacing w:val="-35"/>
                <w:highlight w:val="none"/>
              </w:rPr>
              <w:t xml:space="preserve"> </w:t>
            </w:r>
            <w:r>
              <w:rPr>
                <w:rFonts w:ascii="Times New Roman" w:hAnsi="Times New Roman" w:eastAsia="Times New Roman" w:cs="Times New Roman"/>
                <w:color w:val="auto"/>
                <w:spacing w:val="4"/>
                <w:highlight w:val="none"/>
              </w:rPr>
              <w:t>11</w:t>
            </w:r>
            <w:r>
              <w:rPr>
                <w:rFonts w:ascii="Calibri" w:hAnsi="Calibri" w:eastAsia="Calibri" w:cs="Calibri"/>
                <w:color w:val="auto"/>
                <w:spacing w:val="4"/>
                <w:highlight w:val="none"/>
              </w:rPr>
              <w:t>.</w:t>
            </w:r>
            <w:r>
              <w:rPr>
                <w:rFonts w:ascii="Times New Roman" w:hAnsi="Times New Roman" w:eastAsia="Times New Roman" w:cs="Times New Roman"/>
                <w:color w:val="auto"/>
                <w:spacing w:val="4"/>
                <w:highlight w:val="none"/>
              </w:rPr>
              <w:t xml:space="preserve">5 </w:t>
            </w:r>
            <w:r>
              <w:rPr>
                <w:color w:val="auto"/>
                <w:spacing w:val="4"/>
                <w:highlight w:val="none"/>
              </w:rPr>
              <w:t>款规定的赔偿限额</w:t>
            </w:r>
            <w:r>
              <w:rPr>
                <w:color w:val="auto"/>
                <w:spacing w:val="1"/>
                <w:highlight w:val="none"/>
              </w:rPr>
              <w:t>内）赔付给委托人，同</w:t>
            </w:r>
            <w:r>
              <w:rPr>
                <w:color w:val="auto"/>
                <w:spacing w:val="-48"/>
                <w:highlight w:val="none"/>
              </w:rPr>
              <w:t xml:space="preserve"> </w:t>
            </w:r>
            <w:r>
              <w:rPr>
                <w:color w:val="auto"/>
                <w:spacing w:val="1"/>
                <w:highlight w:val="none"/>
              </w:rPr>
              <w:t>时该人员必须被撤换。</w:t>
            </w:r>
          </w:p>
        </w:tc>
      </w:tr>
      <w:tr w14:paraId="007D9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610" w:type="dxa"/>
            <w:vMerge w:val="continue"/>
            <w:tcBorders>
              <w:top w:val="nil"/>
              <w:bottom w:val="nil"/>
            </w:tcBorders>
            <w:textDirection w:val="tbRlV"/>
            <w:vAlign w:val="top"/>
          </w:tcPr>
          <w:p w14:paraId="57A75990">
            <w:pPr>
              <w:rPr>
                <w:rFonts w:ascii="Arial"/>
                <w:color w:val="auto"/>
                <w:sz w:val="21"/>
                <w:highlight w:val="none"/>
              </w:rPr>
            </w:pPr>
          </w:p>
        </w:tc>
        <w:tc>
          <w:tcPr>
            <w:tcW w:w="845" w:type="dxa"/>
            <w:vAlign w:val="top"/>
          </w:tcPr>
          <w:p w14:paraId="171F378D">
            <w:pPr>
              <w:spacing w:line="278" w:lineRule="auto"/>
              <w:rPr>
                <w:rFonts w:ascii="Arial"/>
                <w:color w:val="auto"/>
                <w:sz w:val="21"/>
                <w:highlight w:val="none"/>
              </w:rPr>
            </w:pPr>
          </w:p>
          <w:p w14:paraId="5F07468D">
            <w:pPr>
              <w:spacing w:line="279" w:lineRule="auto"/>
              <w:rPr>
                <w:rFonts w:ascii="Arial"/>
                <w:color w:val="auto"/>
                <w:sz w:val="21"/>
                <w:highlight w:val="none"/>
              </w:rPr>
            </w:pPr>
          </w:p>
          <w:p w14:paraId="390A0EC4">
            <w:pPr>
              <w:spacing w:before="58" w:line="195" w:lineRule="auto"/>
              <w:ind w:left="374"/>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4</w:t>
            </w:r>
          </w:p>
        </w:tc>
        <w:tc>
          <w:tcPr>
            <w:tcW w:w="7440" w:type="dxa"/>
            <w:vAlign w:val="top"/>
          </w:tcPr>
          <w:p w14:paraId="46CE4094">
            <w:pPr>
              <w:pStyle w:val="17"/>
              <w:spacing w:before="35" w:line="227" w:lineRule="auto"/>
              <w:ind w:left="121"/>
              <w:rPr>
                <w:color w:val="auto"/>
                <w:highlight w:val="none"/>
              </w:rPr>
            </w:pPr>
            <w:r>
              <w:rPr>
                <w:color w:val="auto"/>
                <w:spacing w:val="9"/>
                <w:highlight w:val="none"/>
              </w:rPr>
              <w:t>如发现监理人的投标文件中所报业绩资料有弄虚作假的：</w:t>
            </w:r>
          </w:p>
          <w:p w14:paraId="3D56B171">
            <w:pPr>
              <w:pStyle w:val="17"/>
              <w:spacing w:before="53" w:line="228" w:lineRule="auto"/>
              <w:ind w:left="128"/>
              <w:rPr>
                <w:color w:val="auto"/>
                <w:highlight w:val="none"/>
              </w:rPr>
            </w:pPr>
            <w:r>
              <w:rPr>
                <w:color w:val="auto"/>
                <w:spacing w:val="7"/>
                <w:highlight w:val="none"/>
              </w:rPr>
              <w:t>（</w:t>
            </w:r>
            <w:r>
              <w:rPr>
                <w:rFonts w:ascii="Times New Roman" w:hAnsi="Times New Roman" w:eastAsia="Times New Roman" w:cs="Times New Roman"/>
                <w:color w:val="auto"/>
                <w:spacing w:val="7"/>
                <w:highlight w:val="none"/>
              </w:rPr>
              <w:t>1</w:t>
            </w:r>
            <w:r>
              <w:rPr>
                <w:color w:val="auto"/>
                <w:spacing w:val="7"/>
                <w:highlight w:val="none"/>
              </w:rPr>
              <w:t>）发现一项处以监理服务费</w:t>
            </w:r>
            <w:r>
              <w:rPr>
                <w:rFonts w:ascii="Times New Roman" w:hAnsi="Times New Roman" w:eastAsia="Times New Roman" w:cs="Times New Roman"/>
                <w:color w:val="auto"/>
                <w:spacing w:val="7"/>
                <w:highlight w:val="none"/>
                <w:u w:val="single" w:color="auto"/>
              </w:rPr>
              <w:t xml:space="preserve"> 5 </w:t>
            </w:r>
            <w:r>
              <w:rPr>
                <w:color w:val="auto"/>
                <w:spacing w:val="7"/>
                <w:highlight w:val="none"/>
              </w:rPr>
              <w:t>万元的违约金；</w:t>
            </w:r>
          </w:p>
          <w:p w14:paraId="189A175D">
            <w:pPr>
              <w:pStyle w:val="17"/>
              <w:spacing w:before="55" w:line="254" w:lineRule="auto"/>
              <w:ind w:left="118" w:right="98" w:firstLine="9"/>
              <w:rPr>
                <w:color w:val="auto"/>
                <w:highlight w:val="none"/>
              </w:rPr>
            </w:pPr>
            <w:r>
              <w:rPr>
                <w:color w:val="auto"/>
                <w:spacing w:val="15"/>
                <w:highlight w:val="none"/>
              </w:rPr>
              <w:t>（</w:t>
            </w:r>
            <w:r>
              <w:rPr>
                <w:rFonts w:ascii="Times New Roman" w:hAnsi="Times New Roman" w:eastAsia="Times New Roman" w:cs="Times New Roman"/>
                <w:color w:val="auto"/>
                <w:spacing w:val="15"/>
                <w:highlight w:val="none"/>
              </w:rPr>
              <w:t>2</w:t>
            </w:r>
            <w:r>
              <w:rPr>
                <w:color w:val="auto"/>
                <w:spacing w:val="15"/>
                <w:highlight w:val="none"/>
              </w:rPr>
              <w:t>）情况恶劣的，委托人有权单方面终止监理合同，并没收监理人的</w:t>
            </w:r>
            <w:r>
              <w:rPr>
                <w:color w:val="auto"/>
                <w:spacing w:val="14"/>
                <w:highlight w:val="none"/>
              </w:rPr>
              <w:t>履约担</w:t>
            </w:r>
            <w:r>
              <w:rPr>
                <w:color w:val="auto"/>
                <w:spacing w:val="2"/>
                <w:highlight w:val="none"/>
              </w:rPr>
              <w:t>保金。</w:t>
            </w:r>
          </w:p>
        </w:tc>
      </w:tr>
      <w:tr w14:paraId="3F576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610" w:type="dxa"/>
            <w:vMerge w:val="continue"/>
            <w:tcBorders>
              <w:top w:val="nil"/>
            </w:tcBorders>
            <w:textDirection w:val="tbRlV"/>
            <w:vAlign w:val="top"/>
          </w:tcPr>
          <w:p w14:paraId="53A6660B">
            <w:pPr>
              <w:rPr>
                <w:rFonts w:ascii="Arial"/>
                <w:color w:val="auto"/>
                <w:sz w:val="21"/>
                <w:highlight w:val="none"/>
              </w:rPr>
            </w:pPr>
          </w:p>
        </w:tc>
        <w:tc>
          <w:tcPr>
            <w:tcW w:w="845" w:type="dxa"/>
            <w:vAlign w:val="top"/>
          </w:tcPr>
          <w:p w14:paraId="4E16ECF2">
            <w:pPr>
              <w:spacing w:line="386" w:lineRule="auto"/>
              <w:rPr>
                <w:rFonts w:ascii="Arial"/>
                <w:color w:val="auto"/>
                <w:sz w:val="21"/>
                <w:highlight w:val="none"/>
              </w:rPr>
            </w:pPr>
          </w:p>
          <w:p w14:paraId="0747485B">
            <w:pPr>
              <w:spacing w:before="57" w:line="192" w:lineRule="auto"/>
              <w:ind w:left="381"/>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5</w:t>
            </w:r>
          </w:p>
        </w:tc>
        <w:tc>
          <w:tcPr>
            <w:tcW w:w="7440" w:type="dxa"/>
            <w:vAlign w:val="top"/>
          </w:tcPr>
          <w:p w14:paraId="5822D421">
            <w:pPr>
              <w:pStyle w:val="17"/>
              <w:spacing w:before="138" w:line="227" w:lineRule="auto"/>
              <w:ind w:left="120"/>
              <w:rPr>
                <w:color w:val="auto"/>
                <w:highlight w:val="none"/>
              </w:rPr>
            </w:pPr>
            <w:r>
              <w:rPr>
                <w:color w:val="auto"/>
                <w:spacing w:val="9"/>
                <w:highlight w:val="none"/>
              </w:rPr>
              <w:t>投标文件中所报主要监理人员中的工作经历或证件有弄虚作假的：</w:t>
            </w:r>
          </w:p>
          <w:p w14:paraId="27A4D09F">
            <w:pPr>
              <w:pStyle w:val="17"/>
              <w:spacing w:before="56" w:line="228" w:lineRule="auto"/>
              <w:ind w:left="122"/>
              <w:rPr>
                <w:color w:val="auto"/>
                <w:highlight w:val="none"/>
              </w:rPr>
            </w:pPr>
            <w:r>
              <w:rPr>
                <w:color w:val="auto"/>
                <w:spacing w:val="1"/>
                <w:sz w:val="18"/>
                <w:szCs w:val="18"/>
                <w:highlight w:val="none"/>
              </w:rPr>
              <w:t xml:space="preserve">（1） </w:t>
            </w:r>
            <w:r>
              <w:rPr>
                <w:color w:val="auto"/>
                <w:spacing w:val="1"/>
                <w:highlight w:val="none"/>
              </w:rPr>
              <w:t>发现一人处以监理服务费</w:t>
            </w:r>
            <w:r>
              <w:rPr>
                <w:color w:val="auto"/>
                <w:spacing w:val="-63"/>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1"/>
                <w:highlight w:val="none"/>
                <w:u w:val="single" w:color="auto"/>
              </w:rPr>
              <w:t>1</w:t>
            </w:r>
            <w:r>
              <w:rPr>
                <w:rFonts w:ascii="Times New Roman" w:hAnsi="Times New Roman" w:eastAsia="Times New Roman" w:cs="Times New Roman"/>
                <w:color w:val="auto"/>
                <w:spacing w:val="1"/>
                <w:highlight w:val="none"/>
              </w:rPr>
              <w:t xml:space="preserve"> </w:t>
            </w:r>
            <w:r>
              <w:rPr>
                <w:color w:val="auto"/>
                <w:spacing w:val="1"/>
                <w:highlight w:val="none"/>
              </w:rPr>
              <w:t>万元</w:t>
            </w:r>
            <w:r>
              <w:rPr>
                <w:color w:val="auto"/>
                <w:highlight w:val="none"/>
              </w:rPr>
              <w:t>的违约金；</w:t>
            </w:r>
          </w:p>
          <w:p w14:paraId="65DD081F">
            <w:pPr>
              <w:pStyle w:val="17"/>
              <w:spacing w:before="55" w:line="228" w:lineRule="auto"/>
              <w:ind w:left="122"/>
              <w:rPr>
                <w:color w:val="auto"/>
                <w:highlight w:val="none"/>
              </w:rPr>
            </w:pPr>
            <w:r>
              <w:rPr>
                <w:color w:val="auto"/>
                <w:spacing w:val="2"/>
                <w:sz w:val="18"/>
                <w:szCs w:val="18"/>
                <w:highlight w:val="none"/>
              </w:rPr>
              <w:t xml:space="preserve">（2） </w:t>
            </w:r>
            <w:r>
              <w:rPr>
                <w:color w:val="auto"/>
                <w:spacing w:val="2"/>
                <w:highlight w:val="none"/>
              </w:rPr>
              <w:t>情节恶劣的，委托人有权要求更换该人员。</w:t>
            </w:r>
          </w:p>
        </w:tc>
      </w:tr>
    </w:tbl>
    <w:p w14:paraId="4DD0D825">
      <w:pPr>
        <w:rPr>
          <w:rFonts w:ascii="Arial"/>
          <w:color w:val="auto"/>
          <w:sz w:val="21"/>
          <w:highlight w:val="none"/>
        </w:rPr>
      </w:pPr>
    </w:p>
    <w:p w14:paraId="5357560E">
      <w:pPr>
        <w:spacing w:line="241" w:lineRule="auto"/>
        <w:rPr>
          <w:rFonts w:ascii="Arial"/>
          <w:color w:val="auto"/>
          <w:sz w:val="21"/>
          <w:highlight w:val="none"/>
        </w:rPr>
      </w:pPr>
    </w:p>
    <w:p w14:paraId="1616C88B">
      <w:pPr>
        <w:spacing w:line="241" w:lineRule="auto"/>
        <w:rPr>
          <w:rFonts w:ascii="Arial"/>
          <w:color w:val="auto"/>
          <w:sz w:val="21"/>
          <w:highlight w:val="none"/>
        </w:rPr>
      </w:pPr>
      <w:r>
        <w:rPr>
          <w:color w:val="auto"/>
          <w:highlight w:val="none"/>
        </w:rPr>
        <w:pict>
          <v:shape id="_x0000_s1090" o:spid="_x0000_s1090" style="position:absolute;left:0pt;margin-left:0pt;margin-top:7.7pt;height:0pt;width:144pt;z-index:251698176;mso-width-relative:page;mso-height-relative:page;" filled="f" stroked="t" coordsize="2880,0" path="m0,0l2880,0e">
            <v:fill on="f" focussize="0,0"/>
            <v:stroke weight="0pt" color="#000000" miterlimit="0" joinstyle="bevel" endcap="square"/>
            <v:imagedata o:title=""/>
            <o:lock v:ext="edit"/>
          </v:shape>
        </w:pict>
      </w:r>
    </w:p>
    <w:p w14:paraId="248C0E58">
      <w:pPr>
        <w:spacing w:before="59" w:line="220" w:lineRule="auto"/>
        <w:ind w:left="5"/>
        <w:rPr>
          <w:rFonts w:ascii="宋体" w:hAnsi="宋体" w:eastAsia="宋体" w:cs="宋体"/>
          <w:color w:val="auto"/>
          <w:sz w:val="18"/>
          <w:szCs w:val="18"/>
          <w:highlight w:val="none"/>
        </w:rPr>
      </w:pPr>
      <w:bookmarkStart w:id="250" w:name="bookmark148"/>
      <w:bookmarkEnd w:id="250"/>
      <w:bookmarkStart w:id="251" w:name="bookmark147"/>
      <w:bookmarkEnd w:id="251"/>
      <w:r>
        <w:rPr>
          <w:rFonts w:ascii="宋体" w:hAnsi="宋体" w:eastAsia="宋体" w:cs="宋体"/>
          <w:color w:val="auto"/>
          <w:spacing w:val="-1"/>
          <w:sz w:val="18"/>
          <w:szCs w:val="18"/>
          <w:highlight w:val="none"/>
        </w:rPr>
        <w:t>① 暂列金额最高不超过监理服务费用总额的</w:t>
      </w:r>
      <w:r>
        <w:rPr>
          <w:rFonts w:ascii="宋体" w:hAnsi="宋体" w:eastAsia="宋体" w:cs="宋体"/>
          <w:color w:val="auto"/>
          <w:spacing w:val="-29"/>
          <w:sz w:val="18"/>
          <w:szCs w:val="18"/>
          <w:highlight w:val="none"/>
        </w:rPr>
        <w:t xml:space="preserve"> </w:t>
      </w:r>
      <w:r>
        <w:rPr>
          <w:rFonts w:ascii="宋体" w:hAnsi="宋体" w:eastAsia="宋体" w:cs="宋体"/>
          <w:color w:val="auto"/>
          <w:spacing w:val="-1"/>
          <w:sz w:val="18"/>
          <w:szCs w:val="18"/>
          <w:highlight w:val="none"/>
        </w:rPr>
        <w:t>3％。</w:t>
      </w:r>
    </w:p>
    <w:p w14:paraId="6D8A73C4">
      <w:pPr>
        <w:spacing w:before="19" w:line="220" w:lineRule="auto"/>
        <w:ind w:left="4"/>
        <w:rPr>
          <w:rFonts w:ascii="宋体" w:hAnsi="宋体" w:eastAsia="宋体" w:cs="宋体"/>
          <w:color w:val="auto"/>
          <w:sz w:val="18"/>
          <w:szCs w:val="18"/>
          <w:highlight w:val="none"/>
        </w:rPr>
      </w:pPr>
      <w:r>
        <w:rPr>
          <w:rFonts w:ascii="宋体" w:hAnsi="宋体" w:eastAsia="宋体" w:cs="宋体"/>
          <w:color w:val="auto"/>
          <w:sz w:val="18"/>
          <w:szCs w:val="18"/>
          <w:highlight w:val="none"/>
        </w:rPr>
        <w:t>② 本表可由招标人根据实际情况予以调整，或以委托人制定的管</w:t>
      </w:r>
      <w:r>
        <w:rPr>
          <w:rFonts w:ascii="宋体" w:hAnsi="宋体" w:eastAsia="宋体" w:cs="宋体"/>
          <w:color w:val="auto"/>
          <w:spacing w:val="-1"/>
          <w:sz w:val="18"/>
          <w:szCs w:val="18"/>
          <w:highlight w:val="none"/>
        </w:rPr>
        <w:t>理办法为准。</w:t>
      </w:r>
    </w:p>
    <w:p w14:paraId="7F9A6E26">
      <w:pPr>
        <w:spacing w:line="220" w:lineRule="auto"/>
        <w:rPr>
          <w:rFonts w:ascii="宋体" w:hAnsi="宋体" w:eastAsia="宋体" w:cs="宋体"/>
          <w:color w:val="auto"/>
          <w:sz w:val="18"/>
          <w:szCs w:val="18"/>
          <w:highlight w:val="none"/>
        </w:rPr>
        <w:sectPr>
          <w:footerReference r:id="rId66" w:type="default"/>
          <w:pgSz w:w="11906" w:h="16839"/>
          <w:pgMar w:top="1403" w:right="1503" w:bottom="1297" w:left="1417" w:header="0" w:footer="1069" w:gutter="0"/>
          <w:pgNumType w:fmt="decimal"/>
          <w:cols w:space="720" w:num="1"/>
        </w:sectPr>
      </w:pPr>
    </w:p>
    <w:tbl>
      <w:tblPr>
        <w:tblStyle w:val="16"/>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845"/>
        <w:gridCol w:w="7440"/>
      </w:tblGrid>
      <w:tr w14:paraId="0A8EC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10" w:type="dxa"/>
            <w:textDirection w:val="tbRlV"/>
            <w:vAlign w:val="top"/>
          </w:tcPr>
          <w:p w14:paraId="52748B5B">
            <w:pPr>
              <w:pStyle w:val="17"/>
              <w:spacing w:before="193" w:line="216" w:lineRule="auto"/>
              <w:ind w:left="194"/>
              <w:rPr>
                <w:color w:val="auto"/>
                <w:highlight w:val="none"/>
              </w:rPr>
            </w:pPr>
            <w:r>
              <w:rPr>
                <w:b/>
                <w:bCs/>
                <w:color w:val="auto"/>
                <w:spacing w:val="6"/>
                <w:highlight w:val="none"/>
              </w:rPr>
              <w:t>类</w:t>
            </w:r>
            <w:r>
              <w:rPr>
                <w:color w:val="auto"/>
                <w:spacing w:val="-9"/>
                <w:highlight w:val="none"/>
              </w:rPr>
              <w:t xml:space="preserve"> </w:t>
            </w:r>
            <w:r>
              <w:rPr>
                <w:b/>
                <w:bCs/>
                <w:color w:val="auto"/>
                <w:spacing w:val="6"/>
                <w:highlight w:val="none"/>
              </w:rPr>
              <w:t>别</w:t>
            </w:r>
          </w:p>
        </w:tc>
        <w:tc>
          <w:tcPr>
            <w:tcW w:w="845" w:type="dxa"/>
            <w:vAlign w:val="top"/>
          </w:tcPr>
          <w:p w14:paraId="2B2D2B29">
            <w:pPr>
              <w:spacing w:line="250" w:lineRule="auto"/>
              <w:rPr>
                <w:rFonts w:ascii="Arial"/>
                <w:color w:val="auto"/>
                <w:sz w:val="21"/>
                <w:highlight w:val="none"/>
              </w:rPr>
            </w:pPr>
          </w:p>
          <w:p w14:paraId="34FEBAC4">
            <w:pPr>
              <w:pStyle w:val="17"/>
              <w:spacing w:before="65" w:line="229" w:lineRule="auto"/>
              <w:ind w:left="222"/>
              <w:rPr>
                <w:color w:val="auto"/>
                <w:highlight w:val="none"/>
              </w:rPr>
            </w:pPr>
            <w:r>
              <w:rPr>
                <w:b/>
                <w:bCs/>
                <w:color w:val="auto"/>
                <w:spacing w:val="4"/>
                <w:highlight w:val="none"/>
              </w:rPr>
              <w:t>序号</w:t>
            </w:r>
          </w:p>
        </w:tc>
        <w:tc>
          <w:tcPr>
            <w:tcW w:w="7440" w:type="dxa"/>
            <w:vAlign w:val="top"/>
          </w:tcPr>
          <w:p w14:paraId="6CD34F5B">
            <w:pPr>
              <w:spacing w:line="250" w:lineRule="auto"/>
              <w:rPr>
                <w:rFonts w:ascii="Arial"/>
                <w:color w:val="auto"/>
                <w:sz w:val="21"/>
                <w:highlight w:val="none"/>
              </w:rPr>
            </w:pPr>
          </w:p>
          <w:p w14:paraId="4275342C">
            <w:pPr>
              <w:pStyle w:val="17"/>
              <w:spacing w:before="65" w:line="228" w:lineRule="auto"/>
              <w:ind w:left="3033"/>
              <w:rPr>
                <w:color w:val="auto"/>
                <w:highlight w:val="none"/>
              </w:rPr>
            </w:pPr>
            <w:r>
              <w:rPr>
                <w:b/>
                <w:bCs/>
                <w:color w:val="auto"/>
                <w:spacing w:val="6"/>
                <w:highlight w:val="none"/>
              </w:rPr>
              <w:t>违约项目</w:t>
            </w:r>
          </w:p>
        </w:tc>
      </w:tr>
      <w:tr w14:paraId="44D49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610" w:type="dxa"/>
            <w:vMerge w:val="restart"/>
            <w:tcBorders>
              <w:bottom w:val="nil"/>
            </w:tcBorders>
            <w:vAlign w:val="top"/>
          </w:tcPr>
          <w:p w14:paraId="31F31DB8">
            <w:pPr>
              <w:rPr>
                <w:rFonts w:ascii="Arial"/>
                <w:color w:val="auto"/>
                <w:sz w:val="21"/>
                <w:highlight w:val="none"/>
              </w:rPr>
            </w:pPr>
          </w:p>
        </w:tc>
        <w:tc>
          <w:tcPr>
            <w:tcW w:w="845" w:type="dxa"/>
            <w:vAlign w:val="top"/>
          </w:tcPr>
          <w:p w14:paraId="0CDE9CD0">
            <w:pPr>
              <w:spacing w:line="245" w:lineRule="auto"/>
              <w:rPr>
                <w:rFonts w:ascii="Arial"/>
                <w:color w:val="auto"/>
                <w:sz w:val="21"/>
                <w:highlight w:val="none"/>
              </w:rPr>
            </w:pPr>
          </w:p>
          <w:p w14:paraId="56C934BE">
            <w:pPr>
              <w:spacing w:line="245" w:lineRule="auto"/>
              <w:rPr>
                <w:rFonts w:ascii="Arial"/>
                <w:color w:val="auto"/>
                <w:sz w:val="21"/>
                <w:highlight w:val="none"/>
              </w:rPr>
            </w:pPr>
          </w:p>
          <w:p w14:paraId="2378F795">
            <w:pPr>
              <w:spacing w:line="245" w:lineRule="auto"/>
              <w:rPr>
                <w:rFonts w:ascii="Arial"/>
                <w:color w:val="auto"/>
                <w:sz w:val="21"/>
                <w:highlight w:val="none"/>
              </w:rPr>
            </w:pPr>
          </w:p>
          <w:p w14:paraId="1CF6FE48">
            <w:pPr>
              <w:spacing w:before="57" w:line="195" w:lineRule="auto"/>
              <w:ind w:left="380"/>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6</w:t>
            </w:r>
          </w:p>
        </w:tc>
        <w:tc>
          <w:tcPr>
            <w:tcW w:w="7440" w:type="dxa"/>
            <w:vAlign w:val="top"/>
          </w:tcPr>
          <w:p w14:paraId="04921DB6">
            <w:pPr>
              <w:pStyle w:val="17"/>
              <w:spacing w:before="190" w:line="279" w:lineRule="auto"/>
              <w:ind w:left="117" w:right="177" w:firstLine="2"/>
              <w:rPr>
                <w:color w:val="auto"/>
                <w:highlight w:val="none"/>
              </w:rPr>
            </w:pPr>
            <w:r>
              <w:rPr>
                <w:color w:val="auto"/>
                <w:spacing w:val="7"/>
                <w:highlight w:val="none"/>
              </w:rPr>
              <w:t>投标时列报的人员不能满足</w:t>
            </w:r>
            <w:r>
              <w:rPr>
                <w:color w:val="auto"/>
                <w:spacing w:val="-33"/>
                <w:highlight w:val="none"/>
              </w:rPr>
              <w:t xml:space="preserve"> </w:t>
            </w:r>
            <w:r>
              <w:rPr>
                <w:rFonts w:ascii="Times New Roman" w:hAnsi="Times New Roman" w:eastAsia="Times New Roman" w:cs="Times New Roman"/>
                <w:color w:val="auto"/>
                <w:spacing w:val="7"/>
                <w:highlight w:val="none"/>
              </w:rPr>
              <w:t>5</w:t>
            </w:r>
            <w:r>
              <w:rPr>
                <w:rFonts w:ascii="Times New Roman" w:hAnsi="Times New Roman" w:eastAsia="Times New Roman" w:cs="Times New Roman"/>
                <w:color w:val="auto"/>
                <w:spacing w:val="7"/>
                <w:highlight w:val="none"/>
                <w:u w:val="single" w:color="auto"/>
              </w:rPr>
              <w:t>0</w:t>
            </w:r>
            <w:r>
              <w:rPr>
                <w:rFonts w:ascii="Calibri" w:hAnsi="Calibri" w:eastAsia="Calibri" w:cs="Calibri"/>
                <w:color w:val="auto"/>
                <w:spacing w:val="7"/>
                <w:highlight w:val="none"/>
              </w:rPr>
              <w:t>%</w:t>
            </w:r>
            <w:r>
              <w:rPr>
                <w:color w:val="auto"/>
                <w:spacing w:val="7"/>
                <w:highlight w:val="none"/>
              </w:rPr>
              <w:t>为本单位自有人员的（</w:t>
            </w:r>
            <w:r>
              <w:rPr>
                <w:color w:val="auto"/>
                <w:spacing w:val="-20"/>
                <w:highlight w:val="none"/>
              </w:rPr>
              <w:t xml:space="preserve"> </w:t>
            </w:r>
            <w:r>
              <w:rPr>
                <w:color w:val="auto"/>
                <w:spacing w:val="7"/>
                <w:highlight w:val="none"/>
              </w:rPr>
              <w:t>自有人员是指为监理人</w:t>
            </w:r>
            <w:r>
              <w:rPr>
                <w:color w:val="auto"/>
                <w:spacing w:val="4"/>
                <w:highlight w:val="none"/>
              </w:rPr>
              <w:t>服务年限不少于</w:t>
            </w:r>
            <w:r>
              <w:rPr>
                <w:color w:val="auto"/>
                <w:spacing w:val="-48"/>
                <w:highlight w:val="none"/>
              </w:rPr>
              <w:t xml:space="preserve"> </w:t>
            </w:r>
            <w:r>
              <w:rPr>
                <w:rFonts w:ascii="Times New Roman" w:hAnsi="Times New Roman" w:eastAsia="Times New Roman" w:cs="Times New Roman"/>
                <w:color w:val="auto"/>
                <w:spacing w:val="4"/>
                <w:highlight w:val="none"/>
              </w:rPr>
              <w:t xml:space="preserve">3 </w:t>
            </w:r>
            <w:r>
              <w:rPr>
                <w:color w:val="auto"/>
                <w:spacing w:val="4"/>
                <w:highlight w:val="none"/>
              </w:rPr>
              <w:t>年的人员</w:t>
            </w:r>
            <w:r>
              <w:rPr>
                <w:color w:val="auto"/>
                <w:spacing w:val="17"/>
                <w:highlight w:val="none"/>
              </w:rPr>
              <w:t>），</w:t>
            </w:r>
            <w:r>
              <w:rPr>
                <w:color w:val="auto"/>
                <w:spacing w:val="4"/>
                <w:highlight w:val="none"/>
              </w:rPr>
              <w:t>按下列条款处理：</w:t>
            </w:r>
          </w:p>
          <w:p w14:paraId="58CEAB92">
            <w:pPr>
              <w:pStyle w:val="17"/>
              <w:spacing w:line="228" w:lineRule="auto"/>
              <w:ind w:left="122"/>
              <w:rPr>
                <w:color w:val="auto"/>
                <w:highlight w:val="none"/>
              </w:rPr>
            </w:pPr>
            <w:r>
              <w:rPr>
                <w:color w:val="auto"/>
                <w:spacing w:val="-1"/>
                <w:sz w:val="18"/>
                <w:szCs w:val="18"/>
                <w:highlight w:val="none"/>
              </w:rPr>
              <w:t xml:space="preserve">（1） </w:t>
            </w:r>
            <w:r>
              <w:rPr>
                <w:color w:val="auto"/>
                <w:spacing w:val="-1"/>
                <w:highlight w:val="none"/>
              </w:rPr>
              <w:t>处以</w:t>
            </w:r>
            <w:r>
              <w:rPr>
                <w:rFonts w:ascii="Times New Roman" w:hAnsi="Times New Roman" w:eastAsia="Times New Roman" w:cs="Times New Roman"/>
                <w:color w:val="auto"/>
                <w:spacing w:val="-1"/>
                <w:highlight w:val="none"/>
                <w:u w:val="single" w:color="auto"/>
              </w:rPr>
              <w:t>5</w:t>
            </w:r>
            <w:r>
              <w:rPr>
                <w:rFonts w:ascii="Times New Roman" w:hAnsi="Times New Roman" w:eastAsia="Times New Roman" w:cs="Times New Roman"/>
                <w:color w:val="auto"/>
                <w:spacing w:val="-1"/>
                <w:highlight w:val="none"/>
              </w:rPr>
              <w:t xml:space="preserve"> </w:t>
            </w:r>
            <w:r>
              <w:rPr>
                <w:color w:val="auto"/>
                <w:spacing w:val="-1"/>
                <w:highlight w:val="none"/>
              </w:rPr>
              <w:t>万元的违约金；</w:t>
            </w:r>
          </w:p>
          <w:p w14:paraId="7744126E">
            <w:pPr>
              <w:pStyle w:val="17"/>
              <w:spacing w:before="22" w:line="284" w:lineRule="auto"/>
              <w:ind w:left="109" w:right="317" w:firstLine="12"/>
              <w:rPr>
                <w:color w:val="auto"/>
                <w:highlight w:val="none"/>
              </w:rPr>
            </w:pPr>
            <w:r>
              <w:rPr>
                <w:color w:val="auto"/>
                <w:spacing w:val="6"/>
                <w:sz w:val="18"/>
                <w:szCs w:val="18"/>
                <w:highlight w:val="none"/>
              </w:rPr>
              <w:t xml:space="preserve">（2） </w:t>
            </w:r>
            <w:r>
              <w:rPr>
                <w:color w:val="auto"/>
                <w:spacing w:val="6"/>
                <w:highlight w:val="none"/>
              </w:rPr>
              <w:t>同时须按要求补足至最低限度要求，如不执行，委托人将处以</w:t>
            </w:r>
            <w:r>
              <w:rPr>
                <w:color w:val="auto"/>
                <w:spacing w:val="-46"/>
                <w:highlight w:val="none"/>
              </w:rPr>
              <w:t xml:space="preserve"> </w:t>
            </w:r>
            <w:r>
              <w:rPr>
                <w:rFonts w:ascii="Times New Roman" w:hAnsi="Times New Roman" w:eastAsia="Times New Roman" w:cs="Times New Roman"/>
                <w:color w:val="auto"/>
                <w:spacing w:val="6"/>
                <w:highlight w:val="none"/>
                <w:u w:val="single" w:color="auto"/>
              </w:rPr>
              <w:t>500</w:t>
            </w:r>
            <w:r>
              <w:rPr>
                <w:color w:val="auto"/>
                <w:spacing w:val="6"/>
                <w:highlight w:val="none"/>
              </w:rPr>
              <w:t>元</w:t>
            </w:r>
            <w:r>
              <w:rPr>
                <w:rFonts w:ascii="Calibri" w:hAnsi="Calibri" w:eastAsia="Calibri" w:cs="Calibri"/>
                <w:color w:val="auto"/>
                <w:spacing w:val="6"/>
                <w:highlight w:val="none"/>
              </w:rPr>
              <w:t>/</w:t>
            </w:r>
            <w:r>
              <w:rPr>
                <w:color w:val="auto"/>
                <w:spacing w:val="6"/>
                <w:highlight w:val="none"/>
              </w:rPr>
              <w:t>天</w:t>
            </w:r>
            <w:r>
              <w:rPr>
                <w:rFonts w:ascii="Calibri" w:hAnsi="Calibri" w:eastAsia="Calibri" w:cs="Calibri"/>
                <w:color w:val="auto"/>
                <w:spacing w:val="9"/>
                <w:highlight w:val="none"/>
              </w:rPr>
              <w:t>/</w:t>
            </w:r>
            <w:r>
              <w:rPr>
                <w:color w:val="auto"/>
                <w:spacing w:val="9"/>
                <w:highlight w:val="none"/>
              </w:rPr>
              <w:t>人的违约金直至监理人纠正至满足要求为止。</w:t>
            </w:r>
          </w:p>
        </w:tc>
      </w:tr>
      <w:tr w14:paraId="74885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10" w:type="dxa"/>
            <w:vMerge w:val="continue"/>
            <w:tcBorders>
              <w:top w:val="nil"/>
              <w:bottom w:val="nil"/>
            </w:tcBorders>
            <w:vAlign w:val="top"/>
          </w:tcPr>
          <w:p w14:paraId="13559E47">
            <w:pPr>
              <w:rPr>
                <w:rFonts w:ascii="Arial"/>
                <w:color w:val="auto"/>
                <w:sz w:val="21"/>
                <w:highlight w:val="none"/>
              </w:rPr>
            </w:pPr>
          </w:p>
        </w:tc>
        <w:tc>
          <w:tcPr>
            <w:tcW w:w="845" w:type="dxa"/>
            <w:vAlign w:val="top"/>
          </w:tcPr>
          <w:p w14:paraId="2A1C4DEA">
            <w:pPr>
              <w:spacing w:line="260" w:lineRule="auto"/>
              <w:rPr>
                <w:rFonts w:ascii="Arial"/>
                <w:color w:val="auto"/>
                <w:sz w:val="21"/>
                <w:highlight w:val="none"/>
              </w:rPr>
            </w:pPr>
          </w:p>
          <w:p w14:paraId="57FD2CCE">
            <w:pPr>
              <w:spacing w:before="58" w:line="192" w:lineRule="auto"/>
              <w:ind w:left="379"/>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7</w:t>
            </w:r>
          </w:p>
        </w:tc>
        <w:tc>
          <w:tcPr>
            <w:tcW w:w="7440" w:type="dxa"/>
            <w:vAlign w:val="top"/>
          </w:tcPr>
          <w:p w14:paraId="76AF75A9">
            <w:pPr>
              <w:pStyle w:val="17"/>
              <w:spacing w:before="130" w:line="267" w:lineRule="auto"/>
              <w:ind w:left="120" w:right="187" w:hanging="2"/>
              <w:rPr>
                <w:color w:val="auto"/>
                <w:highlight w:val="none"/>
              </w:rPr>
            </w:pPr>
            <w:r>
              <w:rPr>
                <w:color w:val="auto"/>
                <w:spacing w:val="10"/>
                <w:highlight w:val="none"/>
              </w:rPr>
              <w:t>监理人或监理人员不得以任何名义向承包人索要</w:t>
            </w:r>
            <w:r>
              <w:rPr>
                <w:color w:val="auto"/>
                <w:spacing w:val="9"/>
                <w:highlight w:val="none"/>
              </w:rPr>
              <w:t>各种费用、物品或器具等，每</w:t>
            </w:r>
            <w:r>
              <w:rPr>
                <w:color w:val="auto"/>
                <w:spacing w:val="7"/>
                <w:highlight w:val="none"/>
              </w:rPr>
              <w:t>发现一次处以监理服务费</w:t>
            </w:r>
            <w:r>
              <w:rPr>
                <w:color w:val="auto"/>
                <w:spacing w:val="-42"/>
                <w:highlight w:val="none"/>
              </w:rPr>
              <w:t xml:space="preserve"> </w:t>
            </w:r>
            <w:r>
              <w:rPr>
                <w:rFonts w:ascii="Times New Roman" w:hAnsi="Times New Roman" w:eastAsia="Times New Roman" w:cs="Times New Roman"/>
                <w:color w:val="auto"/>
                <w:spacing w:val="-24"/>
                <w:highlight w:val="none"/>
                <w:u w:val="single" w:color="auto"/>
              </w:rPr>
              <w:t xml:space="preserve"> </w:t>
            </w:r>
            <w:r>
              <w:rPr>
                <w:rFonts w:ascii="Times New Roman" w:hAnsi="Times New Roman" w:eastAsia="Times New Roman" w:cs="Times New Roman"/>
                <w:color w:val="auto"/>
                <w:spacing w:val="7"/>
                <w:highlight w:val="none"/>
                <w:u w:val="single" w:color="auto"/>
              </w:rPr>
              <w:t>10</w:t>
            </w:r>
            <w:r>
              <w:rPr>
                <w:rFonts w:ascii="Times New Roman" w:hAnsi="Times New Roman" w:eastAsia="Times New Roman" w:cs="Times New Roman"/>
                <w:color w:val="auto"/>
                <w:spacing w:val="7"/>
                <w:highlight w:val="none"/>
              </w:rPr>
              <w:t xml:space="preserve"> </w:t>
            </w:r>
            <w:r>
              <w:rPr>
                <w:color w:val="auto"/>
                <w:spacing w:val="7"/>
                <w:highlight w:val="none"/>
              </w:rPr>
              <w:t>万元的违约金，并撤换该人员。</w:t>
            </w:r>
          </w:p>
        </w:tc>
      </w:tr>
      <w:tr w14:paraId="68B5B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610" w:type="dxa"/>
            <w:vMerge w:val="continue"/>
            <w:tcBorders>
              <w:top w:val="nil"/>
              <w:bottom w:val="nil"/>
            </w:tcBorders>
            <w:vAlign w:val="top"/>
          </w:tcPr>
          <w:p w14:paraId="5B74DE60">
            <w:pPr>
              <w:rPr>
                <w:rFonts w:ascii="Arial"/>
                <w:color w:val="auto"/>
                <w:sz w:val="21"/>
                <w:highlight w:val="none"/>
              </w:rPr>
            </w:pPr>
          </w:p>
        </w:tc>
        <w:tc>
          <w:tcPr>
            <w:tcW w:w="845" w:type="dxa"/>
            <w:vAlign w:val="top"/>
          </w:tcPr>
          <w:p w14:paraId="7B00019A">
            <w:pPr>
              <w:spacing w:line="256" w:lineRule="auto"/>
              <w:rPr>
                <w:rFonts w:ascii="Arial"/>
                <w:color w:val="auto"/>
                <w:sz w:val="21"/>
                <w:highlight w:val="none"/>
              </w:rPr>
            </w:pPr>
          </w:p>
          <w:p w14:paraId="71F673F6">
            <w:pPr>
              <w:spacing w:before="57" w:line="195" w:lineRule="auto"/>
              <w:ind w:left="38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8</w:t>
            </w:r>
          </w:p>
        </w:tc>
        <w:tc>
          <w:tcPr>
            <w:tcW w:w="7440" w:type="dxa"/>
            <w:vAlign w:val="top"/>
          </w:tcPr>
          <w:p w14:paraId="15CB5DC5">
            <w:pPr>
              <w:pStyle w:val="17"/>
              <w:spacing w:before="129" w:line="267" w:lineRule="auto"/>
              <w:ind w:left="117" w:right="187" w:firstLine="1"/>
              <w:rPr>
                <w:color w:val="auto"/>
                <w:highlight w:val="none"/>
              </w:rPr>
            </w:pPr>
            <w:r>
              <w:rPr>
                <w:color w:val="auto"/>
                <w:spacing w:val="10"/>
                <w:highlight w:val="none"/>
              </w:rPr>
              <w:t>监理人违反监理合同的规定，将监理服务的任何</w:t>
            </w:r>
            <w:r>
              <w:rPr>
                <w:color w:val="auto"/>
                <w:spacing w:val="9"/>
                <w:highlight w:val="none"/>
              </w:rPr>
              <w:t>部分转让或分包的，委托人有权单方面终止监理合同，并没收监理人的履约担保金。</w:t>
            </w:r>
          </w:p>
        </w:tc>
      </w:tr>
      <w:tr w14:paraId="64110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5" w:hRule="atLeast"/>
        </w:trPr>
        <w:tc>
          <w:tcPr>
            <w:tcW w:w="610" w:type="dxa"/>
            <w:vMerge w:val="continue"/>
            <w:tcBorders>
              <w:top w:val="nil"/>
            </w:tcBorders>
            <w:vAlign w:val="top"/>
          </w:tcPr>
          <w:p w14:paraId="07021AF1">
            <w:pPr>
              <w:rPr>
                <w:rFonts w:ascii="Arial"/>
                <w:color w:val="auto"/>
                <w:sz w:val="21"/>
                <w:highlight w:val="none"/>
              </w:rPr>
            </w:pPr>
          </w:p>
        </w:tc>
        <w:tc>
          <w:tcPr>
            <w:tcW w:w="845" w:type="dxa"/>
            <w:vAlign w:val="top"/>
          </w:tcPr>
          <w:p w14:paraId="457CF19C">
            <w:pPr>
              <w:spacing w:before="216" w:line="195" w:lineRule="auto"/>
              <w:ind w:left="379"/>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9</w:t>
            </w:r>
          </w:p>
        </w:tc>
        <w:tc>
          <w:tcPr>
            <w:tcW w:w="7440" w:type="dxa"/>
            <w:vAlign w:val="top"/>
          </w:tcPr>
          <w:p w14:paraId="5013DF5F">
            <w:pPr>
              <w:pStyle w:val="17"/>
              <w:spacing w:before="118" w:line="279" w:lineRule="auto"/>
              <w:ind w:left="134" w:right="187" w:hanging="16"/>
              <w:rPr>
                <w:color w:val="auto"/>
                <w:highlight w:val="none"/>
              </w:rPr>
            </w:pPr>
            <w:r>
              <w:rPr>
                <w:color w:val="auto"/>
                <w:spacing w:val="10"/>
                <w:highlight w:val="none"/>
              </w:rPr>
              <w:t>监理人不履行职责，造成工程质量、安全事故或</w:t>
            </w:r>
            <w:r>
              <w:rPr>
                <w:color w:val="auto"/>
                <w:spacing w:val="9"/>
                <w:highlight w:val="none"/>
              </w:rPr>
              <w:t>与承包人串通损害委托人利益</w:t>
            </w:r>
            <w:r>
              <w:rPr>
                <w:color w:val="auto"/>
                <w:spacing w:val="7"/>
                <w:highlight w:val="none"/>
              </w:rPr>
              <w:t>的，委托人有权采取以下措施：</w:t>
            </w:r>
          </w:p>
          <w:p w14:paraId="064259F8">
            <w:pPr>
              <w:pStyle w:val="17"/>
              <w:spacing w:before="1" w:line="254" w:lineRule="auto"/>
              <w:ind w:left="118" w:right="391" w:firstLine="4"/>
              <w:rPr>
                <w:color w:val="auto"/>
                <w:highlight w:val="none"/>
              </w:rPr>
            </w:pPr>
            <w:r>
              <w:rPr>
                <w:color w:val="auto"/>
                <w:spacing w:val="6"/>
                <w:sz w:val="18"/>
                <w:szCs w:val="18"/>
                <w:highlight w:val="none"/>
              </w:rPr>
              <w:t xml:space="preserve">（1） </w:t>
            </w:r>
            <w:r>
              <w:rPr>
                <w:color w:val="auto"/>
                <w:spacing w:val="6"/>
                <w:highlight w:val="none"/>
              </w:rPr>
              <w:t>处以</w:t>
            </w:r>
            <w:r>
              <w:rPr>
                <w:rFonts w:ascii="Times New Roman" w:hAnsi="Times New Roman" w:eastAsia="Times New Roman" w:cs="Times New Roman"/>
                <w:color w:val="auto"/>
                <w:spacing w:val="6"/>
                <w:highlight w:val="none"/>
                <w:u w:val="single" w:color="auto"/>
              </w:rPr>
              <w:t>2</w:t>
            </w:r>
            <w:r>
              <w:rPr>
                <w:rFonts w:ascii="Times New Roman" w:hAnsi="Times New Roman" w:eastAsia="Times New Roman" w:cs="Times New Roman"/>
                <w:color w:val="auto"/>
                <w:spacing w:val="6"/>
                <w:highlight w:val="none"/>
              </w:rPr>
              <w:t xml:space="preserve"> </w:t>
            </w:r>
            <w:r>
              <w:rPr>
                <w:color w:val="auto"/>
                <w:spacing w:val="6"/>
                <w:highlight w:val="none"/>
              </w:rPr>
              <w:t>万元的违约金。给委托人造成经济损失的，监理人应以损失额的</w:t>
            </w:r>
            <w:r>
              <w:rPr>
                <w:rFonts w:ascii="Times New Roman" w:hAnsi="Times New Roman" w:eastAsia="Times New Roman" w:cs="Times New Roman"/>
                <w:color w:val="auto"/>
                <w:spacing w:val="7"/>
                <w:highlight w:val="none"/>
                <w:u w:val="single" w:color="auto"/>
              </w:rPr>
              <w:t>30</w:t>
            </w:r>
            <w:r>
              <w:rPr>
                <w:rFonts w:ascii="Calibri" w:hAnsi="Calibri" w:eastAsia="Calibri" w:cs="Calibri"/>
                <w:color w:val="auto"/>
                <w:spacing w:val="7"/>
                <w:highlight w:val="none"/>
              </w:rPr>
              <w:t>%</w:t>
            </w:r>
            <w:r>
              <w:rPr>
                <w:color w:val="auto"/>
                <w:spacing w:val="7"/>
                <w:highlight w:val="none"/>
              </w:rPr>
              <w:t>（在合同条款</w:t>
            </w:r>
            <w:r>
              <w:rPr>
                <w:color w:val="auto"/>
                <w:spacing w:val="-26"/>
                <w:highlight w:val="none"/>
              </w:rPr>
              <w:t xml:space="preserve"> </w:t>
            </w:r>
            <w:r>
              <w:rPr>
                <w:rFonts w:ascii="Calibri" w:hAnsi="Calibri" w:eastAsia="Calibri" w:cs="Calibri"/>
                <w:color w:val="auto"/>
                <w:spacing w:val="7"/>
                <w:highlight w:val="none"/>
              </w:rPr>
              <w:t>11.5</w:t>
            </w:r>
            <w:r>
              <w:rPr>
                <w:rFonts w:ascii="Calibri" w:hAnsi="Calibri" w:eastAsia="Calibri" w:cs="Calibri"/>
                <w:color w:val="auto"/>
                <w:spacing w:val="14"/>
                <w:highlight w:val="none"/>
              </w:rPr>
              <w:t xml:space="preserve"> </w:t>
            </w:r>
            <w:r>
              <w:rPr>
                <w:color w:val="auto"/>
                <w:spacing w:val="7"/>
                <w:highlight w:val="none"/>
              </w:rPr>
              <w:t>款规定的赔偿限额内）赔付给委托人。</w:t>
            </w:r>
          </w:p>
          <w:p w14:paraId="265B1940">
            <w:pPr>
              <w:pStyle w:val="17"/>
              <w:spacing w:before="55" w:line="254" w:lineRule="auto"/>
              <w:ind w:left="118" w:right="463" w:firstLine="6"/>
              <w:rPr>
                <w:color w:val="auto"/>
                <w:highlight w:val="none"/>
              </w:rPr>
            </w:pPr>
            <w:r>
              <w:rPr>
                <w:color w:val="auto"/>
                <w:spacing w:val="9"/>
                <w:sz w:val="18"/>
                <w:szCs w:val="18"/>
                <w:highlight w:val="none"/>
              </w:rPr>
              <w:t xml:space="preserve">（2） </w:t>
            </w:r>
            <w:r>
              <w:rPr>
                <w:color w:val="auto"/>
                <w:spacing w:val="9"/>
                <w:highlight w:val="none"/>
              </w:rPr>
              <w:t>情节严重的，委托人将单方面终止监理合同，并没收监理人的履约担</w:t>
            </w:r>
            <w:r>
              <w:rPr>
                <w:color w:val="auto"/>
                <w:highlight w:val="none"/>
              </w:rPr>
              <w:t>保。</w:t>
            </w:r>
          </w:p>
        </w:tc>
      </w:tr>
      <w:tr w14:paraId="1D316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610" w:type="dxa"/>
            <w:vMerge w:val="restart"/>
            <w:tcBorders>
              <w:bottom w:val="nil"/>
            </w:tcBorders>
            <w:textDirection w:val="tbRlV"/>
            <w:vAlign w:val="top"/>
          </w:tcPr>
          <w:p w14:paraId="3E4F7A49">
            <w:pPr>
              <w:pStyle w:val="17"/>
              <w:spacing w:before="194" w:line="217" w:lineRule="auto"/>
              <w:ind w:left="3274"/>
              <w:rPr>
                <w:color w:val="auto"/>
                <w:highlight w:val="none"/>
              </w:rPr>
            </w:pPr>
            <w:r>
              <w:rPr>
                <w:b/>
                <w:bCs/>
                <w:color w:val="auto"/>
                <w:spacing w:val="6"/>
                <w:highlight w:val="none"/>
              </w:rPr>
              <w:t>工</w:t>
            </w:r>
            <w:r>
              <w:rPr>
                <w:color w:val="auto"/>
                <w:spacing w:val="-8"/>
                <w:highlight w:val="none"/>
              </w:rPr>
              <w:t xml:space="preserve"> </w:t>
            </w:r>
            <w:r>
              <w:rPr>
                <w:b/>
                <w:bCs/>
                <w:color w:val="auto"/>
                <w:spacing w:val="6"/>
                <w:highlight w:val="none"/>
              </w:rPr>
              <w:t>作</w:t>
            </w:r>
            <w:r>
              <w:rPr>
                <w:color w:val="auto"/>
                <w:spacing w:val="-6"/>
                <w:highlight w:val="none"/>
              </w:rPr>
              <w:t xml:space="preserve"> </w:t>
            </w:r>
            <w:r>
              <w:rPr>
                <w:b/>
                <w:bCs/>
                <w:color w:val="auto"/>
                <w:spacing w:val="6"/>
                <w:highlight w:val="none"/>
              </w:rPr>
              <w:t>态</w:t>
            </w:r>
            <w:r>
              <w:rPr>
                <w:color w:val="auto"/>
                <w:spacing w:val="-6"/>
                <w:highlight w:val="none"/>
              </w:rPr>
              <w:t xml:space="preserve"> </w:t>
            </w:r>
            <w:r>
              <w:rPr>
                <w:b/>
                <w:bCs/>
                <w:color w:val="auto"/>
                <w:spacing w:val="6"/>
                <w:highlight w:val="none"/>
              </w:rPr>
              <w:t>度</w:t>
            </w:r>
          </w:p>
        </w:tc>
        <w:tc>
          <w:tcPr>
            <w:tcW w:w="845" w:type="dxa"/>
            <w:vAlign w:val="top"/>
          </w:tcPr>
          <w:p w14:paraId="25CBC5CB">
            <w:pPr>
              <w:spacing w:line="382" w:lineRule="auto"/>
              <w:rPr>
                <w:rFonts w:ascii="Arial"/>
                <w:color w:val="auto"/>
                <w:sz w:val="21"/>
                <w:highlight w:val="none"/>
              </w:rPr>
            </w:pPr>
          </w:p>
          <w:p w14:paraId="5D2AB9C4">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10</w:t>
            </w:r>
          </w:p>
        </w:tc>
        <w:tc>
          <w:tcPr>
            <w:tcW w:w="7440" w:type="dxa"/>
            <w:vAlign w:val="top"/>
          </w:tcPr>
          <w:p w14:paraId="74303692">
            <w:pPr>
              <w:pStyle w:val="17"/>
              <w:spacing w:before="131" w:line="270" w:lineRule="auto"/>
              <w:ind w:left="117" w:right="79" w:firstLine="2"/>
              <w:jc w:val="both"/>
              <w:rPr>
                <w:color w:val="auto"/>
                <w:highlight w:val="none"/>
              </w:rPr>
            </w:pPr>
            <w:r>
              <w:rPr>
                <w:color w:val="auto"/>
                <w:spacing w:val="7"/>
                <w:highlight w:val="none"/>
              </w:rPr>
              <w:t>最新《公路工程施工监理规范》</w:t>
            </w:r>
            <w:r>
              <w:rPr>
                <w:color w:val="auto"/>
                <w:spacing w:val="4"/>
                <w:highlight w:val="none"/>
              </w:rPr>
              <w:t xml:space="preserve"> </w:t>
            </w:r>
            <w:r>
              <w:rPr>
                <w:color w:val="auto"/>
                <w:spacing w:val="7"/>
                <w:highlight w:val="none"/>
              </w:rPr>
              <w:t>附录</w:t>
            </w:r>
            <w:r>
              <w:rPr>
                <w:color w:val="auto"/>
                <w:spacing w:val="-48"/>
                <w:highlight w:val="none"/>
              </w:rPr>
              <w:t xml:space="preserve"> </w:t>
            </w:r>
            <w:r>
              <w:rPr>
                <w:rFonts w:ascii="Times New Roman" w:hAnsi="Times New Roman" w:eastAsia="Times New Roman" w:cs="Times New Roman"/>
                <w:color w:val="auto"/>
                <w:spacing w:val="7"/>
                <w:highlight w:val="none"/>
              </w:rPr>
              <w:t>A</w:t>
            </w:r>
            <w:r>
              <w:rPr>
                <w:rFonts w:ascii="Times New Roman" w:hAnsi="Times New Roman" w:eastAsia="Times New Roman" w:cs="Times New Roman"/>
                <w:color w:val="auto"/>
                <w:spacing w:val="26"/>
                <w:highlight w:val="none"/>
              </w:rPr>
              <w:t xml:space="preserve"> </w:t>
            </w:r>
            <w:r>
              <w:rPr>
                <w:color w:val="auto"/>
                <w:spacing w:val="7"/>
                <w:highlight w:val="none"/>
              </w:rPr>
              <w:t>中规定的工序、部位必须进行旁站，隐</w:t>
            </w:r>
            <w:r>
              <w:rPr>
                <w:color w:val="auto"/>
                <w:spacing w:val="16"/>
                <w:highlight w:val="none"/>
              </w:rPr>
              <w:t>蔽工程必须全过程旁站。若发现无旁站时，每发现一次给予监理人</w:t>
            </w:r>
            <w:r>
              <w:rPr>
                <w:color w:val="auto"/>
                <w:spacing w:val="-24"/>
                <w:highlight w:val="none"/>
              </w:rPr>
              <w:t xml:space="preserve"> </w:t>
            </w:r>
            <w:r>
              <w:rPr>
                <w:rFonts w:ascii="Times New Roman" w:hAnsi="Times New Roman" w:eastAsia="Times New Roman" w:cs="Times New Roman"/>
                <w:color w:val="auto"/>
                <w:spacing w:val="16"/>
                <w:highlight w:val="none"/>
                <w:u w:val="single" w:color="auto"/>
              </w:rPr>
              <w:t>3000</w:t>
            </w:r>
            <w:r>
              <w:rPr>
                <w:color w:val="auto"/>
                <w:spacing w:val="16"/>
                <w:highlight w:val="none"/>
              </w:rPr>
              <w:t>元的</w:t>
            </w:r>
            <w:r>
              <w:rPr>
                <w:color w:val="auto"/>
                <w:spacing w:val="5"/>
                <w:highlight w:val="none"/>
              </w:rPr>
              <w:t>违约金。</w:t>
            </w:r>
          </w:p>
        </w:tc>
      </w:tr>
      <w:tr w14:paraId="6A06E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610" w:type="dxa"/>
            <w:vMerge w:val="continue"/>
            <w:tcBorders>
              <w:top w:val="nil"/>
              <w:bottom w:val="nil"/>
            </w:tcBorders>
            <w:textDirection w:val="tbRlV"/>
            <w:vAlign w:val="top"/>
          </w:tcPr>
          <w:p w14:paraId="45AFC66D">
            <w:pPr>
              <w:rPr>
                <w:rFonts w:ascii="Arial"/>
                <w:color w:val="auto"/>
                <w:sz w:val="21"/>
                <w:highlight w:val="none"/>
              </w:rPr>
            </w:pPr>
          </w:p>
        </w:tc>
        <w:tc>
          <w:tcPr>
            <w:tcW w:w="845" w:type="dxa"/>
            <w:vAlign w:val="top"/>
          </w:tcPr>
          <w:p w14:paraId="4CEF7330">
            <w:pPr>
              <w:spacing w:line="259" w:lineRule="auto"/>
              <w:rPr>
                <w:rFonts w:ascii="Arial"/>
                <w:color w:val="auto"/>
                <w:sz w:val="21"/>
                <w:highlight w:val="none"/>
              </w:rPr>
            </w:pPr>
          </w:p>
          <w:p w14:paraId="3F4ED751">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11</w:t>
            </w:r>
          </w:p>
        </w:tc>
        <w:tc>
          <w:tcPr>
            <w:tcW w:w="7440" w:type="dxa"/>
            <w:vAlign w:val="top"/>
          </w:tcPr>
          <w:p w14:paraId="5E8C1669">
            <w:pPr>
              <w:pStyle w:val="17"/>
              <w:spacing w:before="187" w:line="286" w:lineRule="auto"/>
              <w:ind w:left="118"/>
              <w:rPr>
                <w:color w:val="auto"/>
                <w:highlight w:val="none"/>
              </w:rPr>
            </w:pPr>
            <w:r>
              <w:rPr>
                <w:color w:val="auto"/>
                <w:spacing w:val="8"/>
                <w:highlight w:val="none"/>
              </w:rPr>
              <w:t>监理人员必须及时检查和签认现场资料，如违反处以</w:t>
            </w:r>
            <w:r>
              <w:rPr>
                <w:color w:val="auto"/>
                <w:spacing w:val="-44"/>
                <w:highlight w:val="none"/>
              </w:rPr>
              <w:t xml:space="preserve"> </w:t>
            </w:r>
            <w:r>
              <w:rPr>
                <w:rFonts w:ascii="Times New Roman" w:hAnsi="Times New Roman" w:eastAsia="Times New Roman" w:cs="Times New Roman"/>
                <w:color w:val="auto"/>
                <w:spacing w:val="8"/>
                <w:highlight w:val="none"/>
                <w:u w:val="single" w:color="auto"/>
              </w:rPr>
              <w:t>3000</w:t>
            </w:r>
            <w:r>
              <w:rPr>
                <w:rFonts w:ascii="Times New Roman" w:hAnsi="Times New Roman" w:eastAsia="Times New Roman" w:cs="Times New Roman"/>
                <w:color w:val="auto"/>
                <w:spacing w:val="8"/>
                <w:highlight w:val="none"/>
              </w:rPr>
              <w:t xml:space="preserve"> </w:t>
            </w:r>
            <w:r>
              <w:rPr>
                <w:color w:val="auto"/>
                <w:spacing w:val="8"/>
                <w:highlight w:val="none"/>
              </w:rPr>
              <w:t>元</w:t>
            </w:r>
            <w:r>
              <w:rPr>
                <w:rFonts w:ascii="Calibri" w:hAnsi="Calibri" w:eastAsia="Calibri" w:cs="Calibri"/>
                <w:color w:val="auto"/>
                <w:spacing w:val="8"/>
                <w:highlight w:val="none"/>
              </w:rPr>
              <w:t>/</w:t>
            </w:r>
            <w:r>
              <w:rPr>
                <w:color w:val="auto"/>
                <w:spacing w:val="8"/>
                <w:highlight w:val="none"/>
              </w:rPr>
              <w:t>项</w:t>
            </w:r>
            <w:r>
              <w:rPr>
                <w:rFonts w:ascii="Calibri" w:hAnsi="Calibri" w:eastAsia="Calibri" w:cs="Calibri"/>
                <w:color w:val="auto"/>
                <w:spacing w:val="8"/>
                <w:highlight w:val="none"/>
              </w:rPr>
              <w:t>/</w:t>
            </w:r>
            <w:r>
              <w:rPr>
                <w:color w:val="auto"/>
                <w:spacing w:val="8"/>
                <w:highlight w:val="none"/>
              </w:rPr>
              <w:t>次的违约金。</w:t>
            </w:r>
          </w:p>
        </w:tc>
      </w:tr>
      <w:tr w14:paraId="098C5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10" w:type="dxa"/>
            <w:vMerge w:val="continue"/>
            <w:tcBorders>
              <w:top w:val="nil"/>
              <w:bottom w:val="nil"/>
            </w:tcBorders>
            <w:textDirection w:val="tbRlV"/>
            <w:vAlign w:val="top"/>
          </w:tcPr>
          <w:p w14:paraId="4FC6D4A3">
            <w:pPr>
              <w:rPr>
                <w:rFonts w:ascii="Arial"/>
                <w:color w:val="auto"/>
                <w:sz w:val="21"/>
                <w:highlight w:val="none"/>
              </w:rPr>
            </w:pPr>
          </w:p>
        </w:tc>
        <w:tc>
          <w:tcPr>
            <w:tcW w:w="845" w:type="dxa"/>
            <w:vAlign w:val="top"/>
          </w:tcPr>
          <w:p w14:paraId="3C859C02">
            <w:pPr>
              <w:spacing w:line="256" w:lineRule="auto"/>
              <w:rPr>
                <w:rFonts w:ascii="Arial"/>
                <w:color w:val="auto"/>
                <w:sz w:val="21"/>
                <w:highlight w:val="none"/>
              </w:rPr>
            </w:pPr>
          </w:p>
          <w:p w14:paraId="08B61A51">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12</w:t>
            </w:r>
          </w:p>
        </w:tc>
        <w:tc>
          <w:tcPr>
            <w:tcW w:w="7440" w:type="dxa"/>
            <w:vAlign w:val="top"/>
          </w:tcPr>
          <w:p w14:paraId="4CB8D9BB">
            <w:pPr>
              <w:pStyle w:val="17"/>
              <w:spacing w:before="132" w:line="266" w:lineRule="auto"/>
              <w:ind w:left="140" w:right="187" w:hanging="22"/>
              <w:rPr>
                <w:color w:val="auto"/>
                <w:highlight w:val="none"/>
              </w:rPr>
            </w:pPr>
            <w:r>
              <w:rPr>
                <w:color w:val="auto"/>
                <w:spacing w:val="10"/>
                <w:highlight w:val="none"/>
              </w:rPr>
              <w:t>监理人员未发现施工现场严重违规作业或发现但</w:t>
            </w:r>
            <w:r>
              <w:rPr>
                <w:color w:val="auto"/>
                <w:spacing w:val="9"/>
                <w:highlight w:val="none"/>
              </w:rPr>
              <w:t>没有采取有效措施制止的，处</w:t>
            </w:r>
            <w:r>
              <w:rPr>
                <w:color w:val="auto"/>
                <w:spacing w:val="5"/>
                <w:highlight w:val="none"/>
              </w:rPr>
              <w:t>以</w:t>
            </w:r>
            <w:r>
              <w:rPr>
                <w:color w:val="auto"/>
                <w:spacing w:val="-33"/>
                <w:highlight w:val="none"/>
              </w:rPr>
              <w:t xml:space="preserve"> </w:t>
            </w:r>
            <w:r>
              <w:rPr>
                <w:rFonts w:ascii="Times New Roman" w:hAnsi="Times New Roman" w:eastAsia="Times New Roman" w:cs="Times New Roman"/>
                <w:color w:val="auto"/>
                <w:spacing w:val="5"/>
                <w:highlight w:val="none"/>
                <w:u w:val="single" w:color="auto"/>
              </w:rPr>
              <w:t>5000</w:t>
            </w:r>
            <w:r>
              <w:rPr>
                <w:rFonts w:ascii="Times New Roman" w:hAnsi="Times New Roman" w:eastAsia="Times New Roman" w:cs="Times New Roman"/>
                <w:color w:val="auto"/>
                <w:spacing w:val="5"/>
                <w:highlight w:val="none"/>
              </w:rPr>
              <w:t xml:space="preserve"> </w:t>
            </w:r>
            <w:r>
              <w:rPr>
                <w:color w:val="auto"/>
                <w:spacing w:val="5"/>
                <w:highlight w:val="none"/>
              </w:rPr>
              <w:t>元</w:t>
            </w:r>
            <w:r>
              <w:rPr>
                <w:rFonts w:ascii="Calibri" w:hAnsi="Calibri" w:eastAsia="Calibri" w:cs="Calibri"/>
                <w:color w:val="auto"/>
                <w:spacing w:val="5"/>
                <w:highlight w:val="none"/>
              </w:rPr>
              <w:t>/</w:t>
            </w:r>
            <w:r>
              <w:rPr>
                <w:color w:val="auto"/>
                <w:spacing w:val="5"/>
                <w:highlight w:val="none"/>
              </w:rPr>
              <w:t>次的违约金，撤换有关人员。</w:t>
            </w:r>
          </w:p>
        </w:tc>
      </w:tr>
      <w:tr w14:paraId="01F9C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10" w:type="dxa"/>
            <w:vMerge w:val="continue"/>
            <w:tcBorders>
              <w:top w:val="nil"/>
              <w:bottom w:val="nil"/>
            </w:tcBorders>
            <w:textDirection w:val="tbRlV"/>
            <w:vAlign w:val="top"/>
          </w:tcPr>
          <w:p w14:paraId="7773576E">
            <w:pPr>
              <w:rPr>
                <w:rFonts w:ascii="Arial"/>
                <w:color w:val="auto"/>
                <w:sz w:val="21"/>
                <w:highlight w:val="none"/>
              </w:rPr>
            </w:pPr>
          </w:p>
        </w:tc>
        <w:tc>
          <w:tcPr>
            <w:tcW w:w="845" w:type="dxa"/>
            <w:vAlign w:val="top"/>
          </w:tcPr>
          <w:p w14:paraId="3B0BE73A">
            <w:pPr>
              <w:spacing w:line="445" w:lineRule="auto"/>
              <w:rPr>
                <w:rFonts w:ascii="Arial"/>
                <w:color w:val="auto"/>
                <w:sz w:val="21"/>
                <w:highlight w:val="none"/>
              </w:rPr>
            </w:pPr>
          </w:p>
          <w:p w14:paraId="16BE7255">
            <w:pPr>
              <w:spacing w:before="58"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13</w:t>
            </w:r>
          </w:p>
        </w:tc>
        <w:tc>
          <w:tcPr>
            <w:tcW w:w="7440" w:type="dxa"/>
            <w:vAlign w:val="top"/>
          </w:tcPr>
          <w:p w14:paraId="5B18D8D8">
            <w:pPr>
              <w:pStyle w:val="17"/>
              <w:spacing w:before="134" w:line="265" w:lineRule="auto"/>
              <w:ind w:left="117" w:right="201"/>
              <w:rPr>
                <w:color w:val="auto"/>
                <w:highlight w:val="none"/>
              </w:rPr>
            </w:pPr>
            <w:r>
              <w:rPr>
                <w:color w:val="auto"/>
                <w:spacing w:val="9"/>
                <w:highlight w:val="none"/>
              </w:rPr>
              <w:t>监理工程师抽验频率达不到</w:t>
            </w:r>
            <w:r>
              <w:rPr>
                <w:color w:val="auto"/>
                <w:spacing w:val="-45"/>
                <w:highlight w:val="none"/>
              </w:rPr>
              <w:t xml:space="preserve"> </w:t>
            </w:r>
            <w:r>
              <w:rPr>
                <w:rFonts w:ascii="Times New Roman" w:hAnsi="Times New Roman" w:eastAsia="Times New Roman" w:cs="Times New Roman"/>
                <w:color w:val="auto"/>
                <w:spacing w:val="9"/>
                <w:highlight w:val="none"/>
              </w:rPr>
              <w:t>20</w:t>
            </w:r>
            <w:r>
              <w:rPr>
                <w:rFonts w:ascii="Calibri" w:hAnsi="Calibri" w:eastAsia="Calibri" w:cs="Calibri"/>
                <w:color w:val="auto"/>
                <w:spacing w:val="9"/>
                <w:highlight w:val="none"/>
              </w:rPr>
              <w:t>%</w:t>
            </w:r>
            <w:r>
              <w:rPr>
                <w:color w:val="auto"/>
                <w:spacing w:val="9"/>
                <w:highlight w:val="none"/>
              </w:rPr>
              <w:t>或规范规定的频率的：按被检项目单元每少一</w:t>
            </w:r>
            <w:r>
              <w:rPr>
                <w:color w:val="auto"/>
                <w:spacing w:val="8"/>
                <w:highlight w:val="none"/>
              </w:rPr>
              <w:t>个百分点给予</w:t>
            </w:r>
            <w:r>
              <w:rPr>
                <w:color w:val="auto"/>
                <w:spacing w:val="-43"/>
                <w:highlight w:val="none"/>
              </w:rPr>
              <w:t xml:space="preserve"> </w:t>
            </w:r>
            <w:r>
              <w:rPr>
                <w:rFonts w:ascii="Times New Roman" w:hAnsi="Times New Roman" w:eastAsia="Times New Roman" w:cs="Times New Roman"/>
                <w:color w:val="auto"/>
                <w:spacing w:val="8"/>
                <w:highlight w:val="none"/>
                <w:u w:val="single" w:color="auto"/>
              </w:rPr>
              <w:t>3000</w:t>
            </w:r>
            <w:r>
              <w:rPr>
                <w:rFonts w:ascii="Times New Roman" w:hAnsi="Times New Roman" w:eastAsia="Times New Roman" w:cs="Times New Roman"/>
                <w:color w:val="auto"/>
                <w:spacing w:val="8"/>
                <w:highlight w:val="none"/>
              </w:rPr>
              <w:t xml:space="preserve"> </w:t>
            </w:r>
            <w:r>
              <w:rPr>
                <w:color w:val="auto"/>
                <w:spacing w:val="8"/>
                <w:highlight w:val="none"/>
              </w:rPr>
              <w:t>元的违约金，同时视实际情</w:t>
            </w:r>
            <w:r>
              <w:rPr>
                <w:color w:val="auto"/>
                <w:spacing w:val="7"/>
                <w:highlight w:val="none"/>
              </w:rPr>
              <w:t>况进行补检；</w:t>
            </w:r>
          </w:p>
        </w:tc>
      </w:tr>
      <w:tr w14:paraId="436D2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10" w:type="dxa"/>
            <w:vMerge w:val="continue"/>
            <w:tcBorders>
              <w:top w:val="nil"/>
              <w:bottom w:val="nil"/>
            </w:tcBorders>
            <w:textDirection w:val="tbRlV"/>
            <w:vAlign w:val="top"/>
          </w:tcPr>
          <w:p w14:paraId="2CBF15BE">
            <w:pPr>
              <w:rPr>
                <w:rFonts w:ascii="Arial"/>
                <w:color w:val="auto"/>
                <w:sz w:val="21"/>
                <w:highlight w:val="none"/>
              </w:rPr>
            </w:pPr>
          </w:p>
        </w:tc>
        <w:tc>
          <w:tcPr>
            <w:tcW w:w="845" w:type="dxa"/>
            <w:vAlign w:val="top"/>
          </w:tcPr>
          <w:p w14:paraId="4DB32090">
            <w:pPr>
              <w:spacing w:before="233"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14</w:t>
            </w:r>
          </w:p>
        </w:tc>
        <w:tc>
          <w:tcPr>
            <w:tcW w:w="7440" w:type="dxa"/>
            <w:vAlign w:val="top"/>
          </w:tcPr>
          <w:p w14:paraId="0B104E83">
            <w:pPr>
              <w:pStyle w:val="17"/>
              <w:spacing w:before="132" w:line="266" w:lineRule="auto"/>
              <w:ind w:left="118" w:right="187"/>
              <w:rPr>
                <w:color w:val="auto"/>
                <w:highlight w:val="none"/>
              </w:rPr>
            </w:pPr>
            <w:r>
              <w:rPr>
                <w:color w:val="auto"/>
                <w:spacing w:val="10"/>
                <w:highlight w:val="none"/>
              </w:rPr>
              <w:t>监理工程师不得利用承包人的试验室和不得使用</w:t>
            </w:r>
            <w:r>
              <w:rPr>
                <w:color w:val="auto"/>
                <w:spacing w:val="9"/>
                <w:highlight w:val="none"/>
              </w:rPr>
              <w:t>承包人仪器设备或采取旁站的</w:t>
            </w:r>
            <w:r>
              <w:rPr>
                <w:color w:val="auto"/>
                <w:spacing w:val="7"/>
                <w:highlight w:val="none"/>
              </w:rPr>
              <w:t>方式采集抽验数据，发现一次给予</w:t>
            </w:r>
            <w:r>
              <w:rPr>
                <w:color w:val="auto"/>
                <w:spacing w:val="-53"/>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7"/>
                <w:highlight w:val="none"/>
                <w:u w:val="single" w:color="auto"/>
              </w:rPr>
              <w:t>1000</w:t>
            </w:r>
            <w:r>
              <w:rPr>
                <w:rFonts w:ascii="Times New Roman" w:hAnsi="Times New Roman" w:eastAsia="Times New Roman" w:cs="Times New Roman"/>
                <w:color w:val="auto"/>
                <w:spacing w:val="7"/>
                <w:highlight w:val="none"/>
              </w:rPr>
              <w:t xml:space="preserve"> </w:t>
            </w:r>
            <w:r>
              <w:rPr>
                <w:color w:val="auto"/>
                <w:spacing w:val="7"/>
                <w:highlight w:val="none"/>
              </w:rPr>
              <w:t>元的违</w:t>
            </w:r>
            <w:r>
              <w:rPr>
                <w:color w:val="auto"/>
                <w:spacing w:val="6"/>
                <w:highlight w:val="none"/>
              </w:rPr>
              <w:t>约金。</w:t>
            </w:r>
          </w:p>
        </w:tc>
      </w:tr>
      <w:tr w14:paraId="1F45D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610" w:type="dxa"/>
            <w:vMerge w:val="continue"/>
            <w:tcBorders>
              <w:top w:val="nil"/>
              <w:bottom w:val="nil"/>
            </w:tcBorders>
            <w:textDirection w:val="tbRlV"/>
            <w:vAlign w:val="top"/>
          </w:tcPr>
          <w:p w14:paraId="0828FF17">
            <w:pPr>
              <w:rPr>
                <w:rFonts w:ascii="Arial"/>
                <w:color w:val="auto"/>
                <w:sz w:val="21"/>
                <w:highlight w:val="none"/>
              </w:rPr>
            </w:pPr>
          </w:p>
        </w:tc>
        <w:tc>
          <w:tcPr>
            <w:tcW w:w="845" w:type="dxa"/>
            <w:vAlign w:val="top"/>
          </w:tcPr>
          <w:p w14:paraId="2E49820D">
            <w:pPr>
              <w:spacing w:line="292" w:lineRule="auto"/>
              <w:rPr>
                <w:rFonts w:ascii="Arial"/>
                <w:color w:val="auto"/>
                <w:sz w:val="21"/>
                <w:highlight w:val="none"/>
              </w:rPr>
            </w:pPr>
          </w:p>
          <w:p w14:paraId="0EB8D9CD">
            <w:pPr>
              <w:spacing w:line="292" w:lineRule="auto"/>
              <w:rPr>
                <w:rFonts w:ascii="Arial"/>
                <w:color w:val="auto"/>
                <w:sz w:val="21"/>
                <w:highlight w:val="none"/>
              </w:rPr>
            </w:pPr>
          </w:p>
          <w:p w14:paraId="6E928DAC">
            <w:pPr>
              <w:spacing w:line="292" w:lineRule="auto"/>
              <w:rPr>
                <w:rFonts w:ascii="Arial"/>
                <w:color w:val="auto"/>
                <w:sz w:val="21"/>
                <w:highlight w:val="none"/>
              </w:rPr>
            </w:pPr>
          </w:p>
          <w:p w14:paraId="61488FF6">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15</w:t>
            </w:r>
          </w:p>
        </w:tc>
        <w:tc>
          <w:tcPr>
            <w:tcW w:w="7440" w:type="dxa"/>
            <w:vAlign w:val="top"/>
          </w:tcPr>
          <w:p w14:paraId="2CB6A6F6">
            <w:pPr>
              <w:pStyle w:val="17"/>
              <w:spacing w:before="189" w:line="274" w:lineRule="auto"/>
              <w:ind w:left="149" w:right="101"/>
              <w:jc w:val="both"/>
              <w:rPr>
                <w:color w:val="auto"/>
                <w:highlight w:val="none"/>
              </w:rPr>
            </w:pPr>
            <w:r>
              <w:rPr>
                <w:color w:val="auto"/>
                <w:spacing w:val="11"/>
                <w:highlight w:val="none"/>
              </w:rPr>
              <w:t>经监理工程师审核后上报的计划统计报表、计量支付报表及工程变更资料，如</w:t>
            </w:r>
            <w:r>
              <w:rPr>
                <w:color w:val="auto"/>
                <w:spacing w:val="8"/>
                <w:highlight w:val="none"/>
              </w:rPr>
              <w:t>出现未按规定时间报送</w:t>
            </w:r>
            <w:r>
              <w:rPr>
                <w:rFonts w:ascii="Calibri" w:hAnsi="Calibri" w:eastAsia="Calibri" w:cs="Calibri"/>
                <w:color w:val="auto"/>
                <w:spacing w:val="8"/>
                <w:highlight w:val="none"/>
              </w:rPr>
              <w:t>,</w:t>
            </w:r>
            <w:r>
              <w:rPr>
                <w:color w:val="auto"/>
                <w:spacing w:val="8"/>
                <w:highlight w:val="none"/>
              </w:rPr>
              <w:t>处以</w:t>
            </w:r>
            <w:r>
              <w:rPr>
                <w:color w:val="auto"/>
                <w:spacing w:val="-58"/>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8"/>
                <w:highlight w:val="none"/>
                <w:u w:val="single" w:color="auto"/>
              </w:rPr>
              <w:t>1000</w:t>
            </w:r>
            <w:r>
              <w:rPr>
                <w:color w:val="auto"/>
                <w:spacing w:val="8"/>
                <w:highlight w:val="none"/>
              </w:rPr>
              <w:t>元</w:t>
            </w:r>
            <w:r>
              <w:rPr>
                <w:rFonts w:ascii="Calibri" w:hAnsi="Calibri" w:eastAsia="Calibri" w:cs="Calibri"/>
                <w:color w:val="auto"/>
                <w:spacing w:val="8"/>
                <w:highlight w:val="none"/>
              </w:rPr>
              <w:t>/</w:t>
            </w:r>
            <w:r>
              <w:rPr>
                <w:color w:val="auto"/>
                <w:spacing w:val="8"/>
                <w:highlight w:val="none"/>
              </w:rPr>
              <w:t>项</w:t>
            </w:r>
            <w:r>
              <w:rPr>
                <w:rFonts w:ascii="Calibri" w:hAnsi="Calibri" w:eastAsia="Calibri" w:cs="Calibri"/>
                <w:color w:val="auto"/>
                <w:spacing w:val="8"/>
                <w:highlight w:val="none"/>
              </w:rPr>
              <w:t>/</w:t>
            </w:r>
            <w:r>
              <w:rPr>
                <w:color w:val="auto"/>
                <w:spacing w:val="8"/>
                <w:highlight w:val="none"/>
              </w:rPr>
              <w:t>次的违约金；出现人为错漏、不负责任</w:t>
            </w:r>
            <w:r>
              <w:rPr>
                <w:color w:val="auto"/>
                <w:spacing w:val="23"/>
                <w:highlight w:val="none"/>
              </w:rPr>
              <w:t>乱签字、不按合同条款规定计量导致出现偏差且单项偏差</w:t>
            </w:r>
            <w:r>
              <w:rPr>
                <w:color w:val="auto"/>
                <w:spacing w:val="22"/>
                <w:highlight w:val="none"/>
              </w:rPr>
              <w:t>达到</w:t>
            </w:r>
            <w:r>
              <w:rPr>
                <w:color w:val="auto"/>
                <w:spacing w:val="-19"/>
                <w:highlight w:val="none"/>
              </w:rPr>
              <w:t xml:space="preserve"> </w:t>
            </w:r>
            <w:r>
              <w:rPr>
                <w:rFonts w:ascii="Times New Roman" w:hAnsi="Times New Roman" w:eastAsia="Times New Roman" w:cs="Times New Roman"/>
                <w:color w:val="auto"/>
                <w:spacing w:val="22"/>
                <w:highlight w:val="none"/>
              </w:rPr>
              <w:t>20</w:t>
            </w:r>
            <w:r>
              <w:rPr>
                <w:rFonts w:ascii="Calibri" w:hAnsi="Calibri" w:eastAsia="Calibri" w:cs="Calibri"/>
                <w:color w:val="auto"/>
                <w:spacing w:val="22"/>
                <w:highlight w:val="none"/>
              </w:rPr>
              <w:t>%</w:t>
            </w:r>
            <w:r>
              <w:rPr>
                <w:color w:val="auto"/>
                <w:spacing w:val="22"/>
                <w:highlight w:val="none"/>
              </w:rPr>
              <w:t>或以上</w:t>
            </w:r>
            <w:r>
              <w:rPr>
                <w:color w:val="auto"/>
                <w:spacing w:val="8"/>
                <w:highlight w:val="none"/>
              </w:rPr>
              <w:t>的，处以</w:t>
            </w:r>
            <w:r>
              <w:rPr>
                <w:rFonts w:ascii="Times New Roman" w:hAnsi="Times New Roman" w:eastAsia="Times New Roman" w:cs="Times New Roman"/>
                <w:color w:val="auto"/>
                <w:spacing w:val="8"/>
                <w:highlight w:val="none"/>
                <w:u w:val="single" w:color="auto"/>
              </w:rPr>
              <w:t>3000</w:t>
            </w:r>
            <w:r>
              <w:rPr>
                <w:color w:val="auto"/>
                <w:spacing w:val="8"/>
                <w:highlight w:val="none"/>
              </w:rPr>
              <w:t>元</w:t>
            </w:r>
            <w:r>
              <w:rPr>
                <w:rFonts w:ascii="Calibri" w:hAnsi="Calibri" w:eastAsia="Calibri" w:cs="Calibri"/>
                <w:color w:val="auto"/>
                <w:spacing w:val="8"/>
                <w:highlight w:val="none"/>
              </w:rPr>
              <w:t>/</w:t>
            </w:r>
            <w:r>
              <w:rPr>
                <w:color w:val="auto"/>
                <w:spacing w:val="8"/>
                <w:highlight w:val="none"/>
              </w:rPr>
              <w:t>项</w:t>
            </w:r>
            <w:r>
              <w:rPr>
                <w:rFonts w:ascii="Calibri" w:hAnsi="Calibri" w:eastAsia="Calibri" w:cs="Calibri"/>
                <w:color w:val="auto"/>
                <w:spacing w:val="8"/>
                <w:highlight w:val="none"/>
              </w:rPr>
              <w:t>/</w:t>
            </w:r>
            <w:r>
              <w:rPr>
                <w:color w:val="auto"/>
                <w:spacing w:val="8"/>
                <w:highlight w:val="none"/>
              </w:rPr>
              <w:t>次的违约金，撤换有关人员。</w:t>
            </w:r>
          </w:p>
        </w:tc>
      </w:tr>
      <w:tr w14:paraId="22033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610" w:type="dxa"/>
            <w:vMerge w:val="continue"/>
            <w:tcBorders>
              <w:top w:val="nil"/>
              <w:bottom w:val="nil"/>
            </w:tcBorders>
            <w:textDirection w:val="tbRlV"/>
            <w:vAlign w:val="top"/>
          </w:tcPr>
          <w:p w14:paraId="072C5538">
            <w:pPr>
              <w:rPr>
                <w:rFonts w:ascii="Arial"/>
                <w:color w:val="auto"/>
                <w:sz w:val="21"/>
                <w:highlight w:val="none"/>
              </w:rPr>
            </w:pPr>
          </w:p>
        </w:tc>
        <w:tc>
          <w:tcPr>
            <w:tcW w:w="845" w:type="dxa"/>
            <w:vAlign w:val="top"/>
          </w:tcPr>
          <w:p w14:paraId="3AE100B3">
            <w:pPr>
              <w:spacing w:line="257" w:lineRule="auto"/>
              <w:rPr>
                <w:rFonts w:ascii="Arial"/>
                <w:color w:val="auto"/>
                <w:sz w:val="21"/>
                <w:highlight w:val="none"/>
              </w:rPr>
            </w:pPr>
          </w:p>
          <w:p w14:paraId="5AD27C1E">
            <w:pPr>
              <w:spacing w:line="257" w:lineRule="auto"/>
              <w:rPr>
                <w:rFonts w:ascii="Arial"/>
                <w:color w:val="auto"/>
                <w:sz w:val="21"/>
                <w:highlight w:val="none"/>
              </w:rPr>
            </w:pPr>
          </w:p>
          <w:p w14:paraId="374A634D">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16</w:t>
            </w:r>
          </w:p>
        </w:tc>
        <w:tc>
          <w:tcPr>
            <w:tcW w:w="7440" w:type="dxa"/>
            <w:vAlign w:val="top"/>
          </w:tcPr>
          <w:p w14:paraId="11734671">
            <w:pPr>
              <w:pStyle w:val="17"/>
              <w:spacing w:before="191" w:line="281" w:lineRule="auto"/>
              <w:ind w:left="117" w:right="187"/>
              <w:rPr>
                <w:color w:val="auto"/>
                <w:highlight w:val="none"/>
              </w:rPr>
            </w:pPr>
            <w:r>
              <w:rPr>
                <w:color w:val="auto"/>
                <w:spacing w:val="10"/>
                <w:highlight w:val="none"/>
              </w:rPr>
              <w:t>监理人未按要求建立有关台账及整理有关资料的</w:t>
            </w:r>
            <w:r>
              <w:rPr>
                <w:color w:val="auto"/>
                <w:spacing w:val="9"/>
                <w:highlight w:val="none"/>
              </w:rPr>
              <w:t>，或台账及资料反映的内容与</w:t>
            </w:r>
            <w:r>
              <w:rPr>
                <w:color w:val="auto"/>
                <w:spacing w:val="8"/>
                <w:highlight w:val="none"/>
              </w:rPr>
              <w:t>工程实施进展脱节的，发现一次给予</w:t>
            </w:r>
            <w:r>
              <w:rPr>
                <w:color w:val="auto"/>
                <w:spacing w:val="-25"/>
                <w:highlight w:val="none"/>
              </w:rPr>
              <w:t xml:space="preserve"> </w:t>
            </w:r>
            <w:r>
              <w:rPr>
                <w:rFonts w:ascii="Times New Roman" w:hAnsi="Times New Roman" w:eastAsia="Times New Roman" w:cs="Times New Roman"/>
                <w:color w:val="auto"/>
                <w:spacing w:val="8"/>
                <w:highlight w:val="none"/>
                <w:u w:val="single" w:color="auto"/>
              </w:rPr>
              <w:t>3000</w:t>
            </w:r>
            <w:r>
              <w:rPr>
                <w:rFonts w:ascii="Times New Roman" w:hAnsi="Times New Roman" w:eastAsia="Times New Roman" w:cs="Times New Roman"/>
                <w:color w:val="auto"/>
                <w:spacing w:val="8"/>
                <w:highlight w:val="none"/>
              </w:rPr>
              <w:t xml:space="preserve"> </w:t>
            </w:r>
            <w:r>
              <w:rPr>
                <w:color w:val="auto"/>
                <w:spacing w:val="8"/>
                <w:highlight w:val="none"/>
              </w:rPr>
              <w:t>元的违约金；监理人未按委托人要求提供有关资料及工程汇报材料，或未及时提供的，发现一次处以</w:t>
            </w:r>
            <w:r>
              <w:rPr>
                <w:color w:val="auto"/>
                <w:spacing w:val="-27"/>
                <w:highlight w:val="none"/>
              </w:rPr>
              <w:t xml:space="preserve"> </w:t>
            </w:r>
            <w:r>
              <w:rPr>
                <w:rFonts w:ascii="Times New Roman" w:hAnsi="Times New Roman" w:eastAsia="Times New Roman" w:cs="Times New Roman"/>
                <w:color w:val="auto"/>
                <w:spacing w:val="8"/>
                <w:highlight w:val="none"/>
                <w:u w:val="single" w:color="auto"/>
              </w:rPr>
              <w:t>3000</w:t>
            </w:r>
            <w:r>
              <w:rPr>
                <w:rFonts w:ascii="Times New Roman" w:hAnsi="Times New Roman" w:eastAsia="Times New Roman" w:cs="Times New Roman"/>
                <w:color w:val="auto"/>
                <w:spacing w:val="8"/>
                <w:highlight w:val="none"/>
              </w:rPr>
              <w:t xml:space="preserve"> </w:t>
            </w:r>
            <w:r>
              <w:rPr>
                <w:color w:val="auto"/>
                <w:spacing w:val="8"/>
                <w:highlight w:val="none"/>
              </w:rPr>
              <w:t>元的</w:t>
            </w:r>
            <w:r>
              <w:rPr>
                <w:color w:val="auto"/>
                <w:spacing w:val="5"/>
                <w:highlight w:val="none"/>
              </w:rPr>
              <w:t>违约金。</w:t>
            </w:r>
          </w:p>
        </w:tc>
      </w:tr>
      <w:tr w14:paraId="674AE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610" w:type="dxa"/>
            <w:vMerge w:val="continue"/>
            <w:tcBorders>
              <w:top w:val="nil"/>
            </w:tcBorders>
            <w:textDirection w:val="tbRlV"/>
            <w:vAlign w:val="top"/>
          </w:tcPr>
          <w:p w14:paraId="75ACE302">
            <w:pPr>
              <w:rPr>
                <w:rFonts w:ascii="Arial"/>
                <w:color w:val="auto"/>
                <w:sz w:val="21"/>
                <w:highlight w:val="none"/>
              </w:rPr>
            </w:pPr>
          </w:p>
        </w:tc>
        <w:tc>
          <w:tcPr>
            <w:tcW w:w="845" w:type="dxa"/>
            <w:vAlign w:val="top"/>
          </w:tcPr>
          <w:p w14:paraId="07C27BDB">
            <w:pPr>
              <w:spacing w:line="259" w:lineRule="auto"/>
              <w:rPr>
                <w:rFonts w:ascii="Arial"/>
                <w:color w:val="auto"/>
                <w:sz w:val="21"/>
                <w:highlight w:val="none"/>
              </w:rPr>
            </w:pPr>
          </w:p>
          <w:p w14:paraId="1A26AEDC">
            <w:pPr>
              <w:spacing w:line="260" w:lineRule="auto"/>
              <w:rPr>
                <w:rFonts w:ascii="Arial"/>
                <w:color w:val="auto"/>
                <w:sz w:val="21"/>
                <w:highlight w:val="none"/>
              </w:rPr>
            </w:pPr>
          </w:p>
          <w:p w14:paraId="7F76A462">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17</w:t>
            </w:r>
          </w:p>
        </w:tc>
        <w:tc>
          <w:tcPr>
            <w:tcW w:w="7440" w:type="dxa"/>
            <w:vAlign w:val="top"/>
          </w:tcPr>
          <w:p w14:paraId="54ED627B">
            <w:pPr>
              <w:pStyle w:val="17"/>
              <w:spacing w:before="192" w:line="280" w:lineRule="auto"/>
              <w:ind w:left="118" w:right="101"/>
              <w:jc w:val="both"/>
              <w:rPr>
                <w:color w:val="auto"/>
                <w:highlight w:val="none"/>
              </w:rPr>
            </w:pPr>
            <w:r>
              <w:rPr>
                <w:color w:val="auto"/>
                <w:spacing w:val="12"/>
                <w:highlight w:val="none"/>
              </w:rPr>
              <w:t>监理人应负责编制竣工档案与结算文件的一致性，重点审查竣工图工程量与结算工程量的一致性，若发现竣工图工程量与结算工程量不一致，每发现一违约</w:t>
            </w:r>
            <w:r>
              <w:rPr>
                <w:color w:val="auto"/>
                <w:spacing w:val="2"/>
                <w:highlight w:val="none"/>
              </w:rPr>
              <w:t>金款</w:t>
            </w:r>
            <w:r>
              <w:rPr>
                <w:color w:val="auto"/>
                <w:spacing w:val="-40"/>
                <w:highlight w:val="none"/>
              </w:rPr>
              <w:t xml:space="preserve"> </w:t>
            </w:r>
            <w:r>
              <w:rPr>
                <w:rFonts w:ascii="Times New Roman" w:hAnsi="Times New Roman" w:eastAsia="Times New Roman" w:cs="Times New Roman"/>
                <w:color w:val="auto"/>
                <w:spacing w:val="2"/>
                <w:highlight w:val="none"/>
                <w:u w:val="single" w:color="auto"/>
              </w:rPr>
              <w:t>500</w:t>
            </w:r>
            <w:r>
              <w:rPr>
                <w:rFonts w:ascii="Times New Roman" w:hAnsi="Times New Roman" w:eastAsia="Times New Roman" w:cs="Times New Roman"/>
                <w:color w:val="auto"/>
                <w:spacing w:val="2"/>
                <w:highlight w:val="none"/>
              </w:rPr>
              <w:t xml:space="preserve"> </w:t>
            </w:r>
            <w:r>
              <w:rPr>
                <w:color w:val="auto"/>
                <w:spacing w:val="2"/>
                <w:highlight w:val="none"/>
              </w:rPr>
              <w:t>元。</w:t>
            </w:r>
          </w:p>
        </w:tc>
      </w:tr>
    </w:tbl>
    <w:p w14:paraId="6D770CBD">
      <w:pPr>
        <w:rPr>
          <w:rFonts w:ascii="Arial"/>
          <w:color w:val="auto"/>
          <w:sz w:val="21"/>
          <w:highlight w:val="none"/>
        </w:rPr>
      </w:pPr>
    </w:p>
    <w:p w14:paraId="7B7C3BE4">
      <w:pPr>
        <w:rPr>
          <w:rFonts w:ascii="Arial" w:hAnsi="Arial" w:eastAsia="Arial" w:cs="Arial"/>
          <w:color w:val="auto"/>
          <w:sz w:val="21"/>
          <w:szCs w:val="21"/>
          <w:highlight w:val="none"/>
        </w:rPr>
        <w:sectPr>
          <w:footerReference r:id="rId67" w:type="default"/>
          <w:pgSz w:w="11906" w:h="16839"/>
          <w:pgMar w:top="1416" w:right="1503" w:bottom="1297" w:left="1502" w:header="0" w:footer="1069" w:gutter="0"/>
          <w:pgNumType w:fmt="decimal"/>
          <w:cols w:space="720" w:num="1"/>
        </w:sectPr>
      </w:pPr>
    </w:p>
    <w:tbl>
      <w:tblPr>
        <w:tblStyle w:val="16"/>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845"/>
        <w:gridCol w:w="7440"/>
      </w:tblGrid>
      <w:tr w14:paraId="4BDAE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10" w:type="dxa"/>
            <w:textDirection w:val="tbRlV"/>
            <w:vAlign w:val="top"/>
          </w:tcPr>
          <w:p w14:paraId="3A5FF6EF">
            <w:pPr>
              <w:pStyle w:val="17"/>
              <w:spacing w:before="193" w:line="216" w:lineRule="auto"/>
              <w:ind w:left="194"/>
              <w:rPr>
                <w:color w:val="auto"/>
                <w:highlight w:val="none"/>
              </w:rPr>
            </w:pPr>
            <w:r>
              <w:rPr>
                <w:b/>
                <w:bCs/>
                <w:color w:val="auto"/>
                <w:spacing w:val="6"/>
                <w:highlight w:val="none"/>
              </w:rPr>
              <w:t>类</w:t>
            </w:r>
            <w:r>
              <w:rPr>
                <w:color w:val="auto"/>
                <w:spacing w:val="-9"/>
                <w:highlight w:val="none"/>
              </w:rPr>
              <w:t xml:space="preserve"> </w:t>
            </w:r>
            <w:r>
              <w:rPr>
                <w:b/>
                <w:bCs/>
                <w:color w:val="auto"/>
                <w:spacing w:val="6"/>
                <w:highlight w:val="none"/>
              </w:rPr>
              <w:t>别</w:t>
            </w:r>
          </w:p>
        </w:tc>
        <w:tc>
          <w:tcPr>
            <w:tcW w:w="845" w:type="dxa"/>
            <w:vAlign w:val="top"/>
          </w:tcPr>
          <w:p w14:paraId="693B1225">
            <w:pPr>
              <w:spacing w:line="250" w:lineRule="auto"/>
              <w:rPr>
                <w:rFonts w:ascii="Arial"/>
                <w:color w:val="auto"/>
                <w:sz w:val="21"/>
                <w:highlight w:val="none"/>
              </w:rPr>
            </w:pPr>
          </w:p>
          <w:p w14:paraId="33D69071">
            <w:pPr>
              <w:pStyle w:val="17"/>
              <w:spacing w:before="65" w:line="229" w:lineRule="auto"/>
              <w:ind w:left="222"/>
              <w:rPr>
                <w:color w:val="auto"/>
                <w:highlight w:val="none"/>
              </w:rPr>
            </w:pPr>
            <w:r>
              <w:rPr>
                <w:b/>
                <w:bCs/>
                <w:color w:val="auto"/>
                <w:spacing w:val="4"/>
                <w:highlight w:val="none"/>
              </w:rPr>
              <w:t>序号</w:t>
            </w:r>
          </w:p>
        </w:tc>
        <w:tc>
          <w:tcPr>
            <w:tcW w:w="7440" w:type="dxa"/>
            <w:vAlign w:val="top"/>
          </w:tcPr>
          <w:p w14:paraId="5B1302AE">
            <w:pPr>
              <w:spacing w:line="250" w:lineRule="auto"/>
              <w:rPr>
                <w:rFonts w:ascii="Arial"/>
                <w:color w:val="auto"/>
                <w:sz w:val="21"/>
                <w:highlight w:val="none"/>
              </w:rPr>
            </w:pPr>
          </w:p>
          <w:p w14:paraId="66052157">
            <w:pPr>
              <w:pStyle w:val="17"/>
              <w:spacing w:before="65" w:line="228" w:lineRule="auto"/>
              <w:ind w:left="3033"/>
              <w:rPr>
                <w:color w:val="auto"/>
                <w:highlight w:val="none"/>
              </w:rPr>
            </w:pPr>
            <w:r>
              <w:rPr>
                <w:b/>
                <w:bCs/>
                <w:color w:val="auto"/>
                <w:spacing w:val="6"/>
                <w:highlight w:val="none"/>
              </w:rPr>
              <w:t>违约项目</w:t>
            </w:r>
          </w:p>
        </w:tc>
      </w:tr>
      <w:tr w14:paraId="10675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610" w:type="dxa"/>
            <w:vMerge w:val="restart"/>
            <w:tcBorders>
              <w:bottom w:val="nil"/>
            </w:tcBorders>
            <w:textDirection w:val="tbRlV"/>
            <w:vAlign w:val="top"/>
          </w:tcPr>
          <w:p w14:paraId="42ED171B">
            <w:pPr>
              <w:pStyle w:val="17"/>
              <w:spacing w:before="194" w:line="215" w:lineRule="auto"/>
              <w:ind w:left="2114"/>
              <w:rPr>
                <w:color w:val="auto"/>
                <w:highlight w:val="none"/>
              </w:rPr>
            </w:pPr>
            <w:r>
              <w:rPr>
                <w:b/>
                <w:bCs/>
                <w:color w:val="auto"/>
                <w:spacing w:val="6"/>
                <w:highlight w:val="none"/>
              </w:rPr>
              <w:t>人</w:t>
            </w:r>
            <w:r>
              <w:rPr>
                <w:color w:val="auto"/>
                <w:spacing w:val="-7"/>
                <w:highlight w:val="none"/>
              </w:rPr>
              <w:t xml:space="preserve"> </w:t>
            </w:r>
            <w:r>
              <w:rPr>
                <w:b/>
                <w:bCs/>
                <w:color w:val="auto"/>
                <w:spacing w:val="6"/>
                <w:highlight w:val="none"/>
              </w:rPr>
              <w:t>员</w:t>
            </w:r>
          </w:p>
        </w:tc>
        <w:tc>
          <w:tcPr>
            <w:tcW w:w="845" w:type="dxa"/>
            <w:vAlign w:val="top"/>
          </w:tcPr>
          <w:p w14:paraId="5690FE7C">
            <w:pPr>
              <w:spacing w:line="253" w:lineRule="auto"/>
              <w:rPr>
                <w:rFonts w:ascii="Arial"/>
                <w:color w:val="auto"/>
                <w:sz w:val="21"/>
                <w:highlight w:val="none"/>
              </w:rPr>
            </w:pPr>
          </w:p>
          <w:p w14:paraId="47E599A0">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18</w:t>
            </w:r>
          </w:p>
        </w:tc>
        <w:tc>
          <w:tcPr>
            <w:tcW w:w="7440" w:type="dxa"/>
            <w:vAlign w:val="top"/>
          </w:tcPr>
          <w:p w14:paraId="4DE68C77">
            <w:pPr>
              <w:pStyle w:val="17"/>
              <w:spacing w:before="177" w:line="286" w:lineRule="auto"/>
              <w:ind w:left="118"/>
              <w:rPr>
                <w:color w:val="auto"/>
                <w:highlight w:val="none"/>
              </w:rPr>
            </w:pPr>
            <w:r>
              <w:rPr>
                <w:color w:val="auto"/>
                <w:spacing w:val="9"/>
                <w:highlight w:val="none"/>
              </w:rPr>
              <w:t>监理人未经委托人同意擅自更换档案管理人员</w:t>
            </w:r>
            <w:r>
              <w:rPr>
                <w:color w:val="auto"/>
                <w:spacing w:val="8"/>
                <w:highlight w:val="none"/>
              </w:rPr>
              <w:t>的，处以</w:t>
            </w:r>
            <w:r>
              <w:rPr>
                <w:color w:val="auto"/>
                <w:spacing w:val="-48"/>
                <w:highlight w:val="none"/>
              </w:rPr>
              <w:t xml:space="preserve"> </w:t>
            </w:r>
            <w:r>
              <w:rPr>
                <w:rFonts w:ascii="Times New Roman" w:hAnsi="Times New Roman" w:eastAsia="Times New Roman" w:cs="Times New Roman"/>
                <w:color w:val="auto"/>
                <w:spacing w:val="8"/>
                <w:highlight w:val="none"/>
                <w:u w:val="single" w:color="auto"/>
              </w:rPr>
              <w:t>2</w:t>
            </w:r>
            <w:r>
              <w:rPr>
                <w:rFonts w:ascii="Times New Roman" w:hAnsi="Times New Roman" w:eastAsia="Times New Roman" w:cs="Times New Roman"/>
                <w:color w:val="auto"/>
                <w:spacing w:val="8"/>
                <w:highlight w:val="none"/>
              </w:rPr>
              <w:t xml:space="preserve"> </w:t>
            </w:r>
            <w:r>
              <w:rPr>
                <w:color w:val="auto"/>
                <w:spacing w:val="8"/>
                <w:highlight w:val="none"/>
              </w:rPr>
              <w:t>万元</w:t>
            </w:r>
            <w:r>
              <w:rPr>
                <w:rFonts w:ascii="Calibri" w:hAnsi="Calibri" w:eastAsia="Calibri" w:cs="Calibri"/>
                <w:color w:val="auto"/>
                <w:spacing w:val="8"/>
                <w:highlight w:val="none"/>
              </w:rPr>
              <w:t>/</w:t>
            </w:r>
            <w:r>
              <w:rPr>
                <w:color w:val="auto"/>
                <w:spacing w:val="8"/>
                <w:highlight w:val="none"/>
              </w:rPr>
              <w:t>人的违约金。</w:t>
            </w:r>
          </w:p>
        </w:tc>
      </w:tr>
      <w:tr w14:paraId="55102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610" w:type="dxa"/>
            <w:vMerge w:val="continue"/>
            <w:tcBorders>
              <w:top w:val="nil"/>
              <w:bottom w:val="nil"/>
            </w:tcBorders>
            <w:textDirection w:val="tbRlV"/>
            <w:vAlign w:val="top"/>
          </w:tcPr>
          <w:p w14:paraId="04AC2D16">
            <w:pPr>
              <w:rPr>
                <w:rFonts w:ascii="Arial"/>
                <w:color w:val="auto"/>
                <w:sz w:val="21"/>
                <w:highlight w:val="none"/>
              </w:rPr>
            </w:pPr>
          </w:p>
        </w:tc>
        <w:tc>
          <w:tcPr>
            <w:tcW w:w="845" w:type="dxa"/>
            <w:vAlign w:val="top"/>
          </w:tcPr>
          <w:p w14:paraId="5FD58619">
            <w:pPr>
              <w:spacing w:line="338" w:lineRule="auto"/>
              <w:rPr>
                <w:rFonts w:ascii="Arial"/>
                <w:color w:val="auto"/>
                <w:sz w:val="21"/>
                <w:highlight w:val="none"/>
              </w:rPr>
            </w:pPr>
          </w:p>
          <w:p w14:paraId="323C66B1">
            <w:pPr>
              <w:spacing w:line="339" w:lineRule="auto"/>
              <w:rPr>
                <w:rFonts w:ascii="Arial"/>
                <w:color w:val="auto"/>
                <w:sz w:val="21"/>
                <w:highlight w:val="none"/>
              </w:rPr>
            </w:pPr>
          </w:p>
          <w:p w14:paraId="42911A1D">
            <w:pPr>
              <w:spacing w:before="58"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19</w:t>
            </w:r>
          </w:p>
        </w:tc>
        <w:tc>
          <w:tcPr>
            <w:tcW w:w="7440" w:type="dxa"/>
            <w:vAlign w:val="top"/>
          </w:tcPr>
          <w:p w14:paraId="029386A7">
            <w:pPr>
              <w:pStyle w:val="17"/>
              <w:spacing w:before="157" w:line="236" w:lineRule="auto"/>
              <w:ind w:left="121" w:right="187" w:hanging="4"/>
              <w:rPr>
                <w:color w:val="auto"/>
                <w:highlight w:val="none"/>
              </w:rPr>
            </w:pPr>
            <w:r>
              <w:rPr>
                <w:color w:val="auto"/>
                <w:spacing w:val="10"/>
                <w:highlight w:val="none"/>
              </w:rPr>
              <w:t>委托人要求核查的监理人员的证件原件（执业资格证</w:t>
            </w:r>
            <w:r>
              <w:rPr>
                <w:color w:val="auto"/>
                <w:spacing w:val="9"/>
                <w:highlight w:val="none"/>
              </w:rPr>
              <w:t>、职称证等）不能提供或</w:t>
            </w:r>
            <w:r>
              <w:rPr>
                <w:color w:val="auto"/>
                <w:spacing w:val="8"/>
                <w:highlight w:val="none"/>
              </w:rPr>
              <w:t>不能按时提供的，按下列条款处理：</w:t>
            </w:r>
          </w:p>
          <w:p w14:paraId="56BCE5FE">
            <w:pPr>
              <w:pStyle w:val="17"/>
              <w:spacing w:line="282" w:lineRule="auto"/>
              <w:ind w:left="128"/>
              <w:rPr>
                <w:color w:val="auto"/>
                <w:highlight w:val="none"/>
              </w:rPr>
            </w:pPr>
            <w:r>
              <w:rPr>
                <w:color w:val="auto"/>
                <w:spacing w:val="4"/>
                <w:highlight w:val="none"/>
              </w:rPr>
              <w:t>（</w:t>
            </w:r>
            <w:r>
              <w:rPr>
                <w:rFonts w:ascii="Times New Roman" w:hAnsi="Times New Roman" w:eastAsia="Times New Roman" w:cs="Times New Roman"/>
                <w:color w:val="auto"/>
                <w:spacing w:val="4"/>
                <w:highlight w:val="none"/>
              </w:rPr>
              <w:t>1</w:t>
            </w:r>
            <w:r>
              <w:rPr>
                <w:color w:val="auto"/>
                <w:spacing w:val="4"/>
                <w:highlight w:val="none"/>
              </w:rPr>
              <w:t>）处以</w:t>
            </w:r>
            <w:r>
              <w:rPr>
                <w:rFonts w:ascii="Times New Roman" w:hAnsi="Times New Roman" w:eastAsia="Times New Roman" w:cs="Times New Roman"/>
                <w:color w:val="auto"/>
                <w:spacing w:val="37"/>
                <w:highlight w:val="none"/>
                <w:u w:val="single" w:color="auto"/>
              </w:rPr>
              <w:t xml:space="preserve"> </w:t>
            </w:r>
            <w:r>
              <w:rPr>
                <w:rFonts w:ascii="Times New Roman" w:hAnsi="Times New Roman" w:eastAsia="Times New Roman" w:cs="Times New Roman"/>
                <w:color w:val="auto"/>
                <w:spacing w:val="4"/>
                <w:highlight w:val="none"/>
                <w:u w:val="single" w:color="auto"/>
              </w:rPr>
              <w:t xml:space="preserve">1 </w:t>
            </w:r>
            <w:r>
              <w:rPr>
                <w:color w:val="auto"/>
                <w:spacing w:val="4"/>
                <w:highlight w:val="none"/>
              </w:rPr>
              <w:t>万元</w:t>
            </w:r>
            <w:r>
              <w:rPr>
                <w:rFonts w:ascii="Calibri" w:hAnsi="Calibri" w:eastAsia="Calibri" w:cs="Calibri"/>
                <w:color w:val="auto"/>
                <w:spacing w:val="4"/>
                <w:highlight w:val="none"/>
              </w:rPr>
              <w:t>/</w:t>
            </w:r>
            <w:r>
              <w:rPr>
                <w:color w:val="auto"/>
                <w:spacing w:val="4"/>
                <w:highlight w:val="none"/>
              </w:rPr>
              <w:t>人次的违约金；</w:t>
            </w:r>
          </w:p>
          <w:p w14:paraId="34D73991">
            <w:pPr>
              <w:pStyle w:val="17"/>
              <w:spacing w:line="253" w:lineRule="auto"/>
              <w:ind w:left="119" w:right="27" w:firstLine="8"/>
              <w:rPr>
                <w:color w:val="auto"/>
                <w:highlight w:val="none"/>
              </w:rPr>
            </w:pPr>
            <w:r>
              <w:rPr>
                <w:color w:val="auto"/>
                <w:spacing w:val="8"/>
                <w:highlight w:val="none"/>
              </w:rPr>
              <w:t>（</w:t>
            </w:r>
            <w:r>
              <w:rPr>
                <w:rFonts w:ascii="Times New Roman" w:hAnsi="Times New Roman" w:eastAsia="Times New Roman" w:cs="Times New Roman"/>
                <w:color w:val="auto"/>
                <w:spacing w:val="8"/>
                <w:highlight w:val="none"/>
              </w:rPr>
              <w:t>2</w:t>
            </w:r>
            <w:r>
              <w:rPr>
                <w:color w:val="auto"/>
                <w:spacing w:val="8"/>
                <w:highlight w:val="none"/>
              </w:rPr>
              <w:t>）同时委托人有权要求监理人进行更换，如不按要求进行更换的，处以</w:t>
            </w:r>
            <w:r>
              <w:rPr>
                <w:color w:val="auto"/>
                <w:spacing w:val="-43"/>
                <w:highlight w:val="none"/>
              </w:rPr>
              <w:t xml:space="preserve"> </w:t>
            </w:r>
            <w:r>
              <w:rPr>
                <w:rFonts w:ascii="Times New Roman" w:hAnsi="Times New Roman" w:eastAsia="Times New Roman" w:cs="Times New Roman"/>
                <w:color w:val="auto"/>
                <w:spacing w:val="-26"/>
                <w:highlight w:val="none"/>
                <w:u w:val="single" w:color="auto"/>
              </w:rPr>
              <w:t xml:space="preserve"> </w:t>
            </w:r>
            <w:r>
              <w:rPr>
                <w:rFonts w:ascii="Times New Roman" w:hAnsi="Times New Roman" w:eastAsia="Times New Roman" w:cs="Times New Roman"/>
                <w:color w:val="auto"/>
                <w:spacing w:val="8"/>
                <w:highlight w:val="none"/>
                <w:u w:val="single" w:color="auto"/>
              </w:rPr>
              <w:t>1000</w:t>
            </w:r>
            <w:r>
              <w:rPr>
                <w:color w:val="auto"/>
                <w:spacing w:val="8"/>
                <w:highlight w:val="none"/>
              </w:rPr>
              <w:t>元</w:t>
            </w:r>
            <w:r>
              <w:rPr>
                <w:rFonts w:ascii="Calibri" w:hAnsi="Calibri" w:eastAsia="Calibri" w:cs="Calibri"/>
                <w:color w:val="auto"/>
                <w:spacing w:val="8"/>
                <w:highlight w:val="none"/>
              </w:rPr>
              <w:t>/</w:t>
            </w:r>
            <w:r>
              <w:rPr>
                <w:color w:val="auto"/>
                <w:spacing w:val="8"/>
                <w:highlight w:val="none"/>
              </w:rPr>
              <w:t>天的违约金直至监理人更换为止。</w:t>
            </w:r>
          </w:p>
        </w:tc>
      </w:tr>
      <w:tr w14:paraId="6E2CD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10" w:type="dxa"/>
            <w:vMerge w:val="continue"/>
            <w:tcBorders>
              <w:top w:val="nil"/>
              <w:bottom w:val="nil"/>
            </w:tcBorders>
            <w:textDirection w:val="tbRlV"/>
            <w:vAlign w:val="top"/>
          </w:tcPr>
          <w:p w14:paraId="6F878623">
            <w:pPr>
              <w:rPr>
                <w:rFonts w:ascii="Arial"/>
                <w:color w:val="auto"/>
                <w:sz w:val="21"/>
                <w:highlight w:val="none"/>
              </w:rPr>
            </w:pPr>
          </w:p>
        </w:tc>
        <w:tc>
          <w:tcPr>
            <w:tcW w:w="845" w:type="dxa"/>
            <w:vAlign w:val="top"/>
          </w:tcPr>
          <w:p w14:paraId="3060C7D4">
            <w:pPr>
              <w:spacing w:line="254" w:lineRule="auto"/>
              <w:rPr>
                <w:rFonts w:ascii="Arial"/>
                <w:color w:val="auto"/>
                <w:sz w:val="21"/>
                <w:highlight w:val="none"/>
              </w:rPr>
            </w:pPr>
          </w:p>
          <w:p w14:paraId="5429BCC0">
            <w:pPr>
              <w:spacing w:line="254" w:lineRule="auto"/>
              <w:rPr>
                <w:rFonts w:ascii="Arial"/>
                <w:color w:val="auto"/>
                <w:sz w:val="21"/>
                <w:highlight w:val="none"/>
              </w:rPr>
            </w:pPr>
          </w:p>
          <w:p w14:paraId="36FEEAF2">
            <w:pPr>
              <w:spacing w:line="255" w:lineRule="auto"/>
              <w:rPr>
                <w:rFonts w:ascii="Arial"/>
                <w:color w:val="auto"/>
                <w:sz w:val="21"/>
                <w:highlight w:val="none"/>
              </w:rPr>
            </w:pPr>
          </w:p>
          <w:p w14:paraId="546FB886">
            <w:pPr>
              <w:spacing w:before="58"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20</w:t>
            </w:r>
          </w:p>
        </w:tc>
        <w:tc>
          <w:tcPr>
            <w:tcW w:w="7440" w:type="dxa"/>
            <w:vAlign w:val="top"/>
          </w:tcPr>
          <w:p w14:paraId="775F057C">
            <w:pPr>
              <w:pStyle w:val="17"/>
              <w:spacing w:before="35"/>
              <w:ind w:left="120" w:right="187" w:hanging="3"/>
              <w:jc w:val="both"/>
              <w:rPr>
                <w:color w:val="auto"/>
                <w:highlight w:val="none"/>
              </w:rPr>
            </w:pPr>
            <w:r>
              <w:rPr>
                <w:color w:val="auto"/>
                <w:spacing w:val="10"/>
                <w:highlight w:val="none"/>
              </w:rPr>
              <w:t>委托人发现监理人在投标时列报的监理人员不完全满</w:t>
            </w:r>
            <w:r>
              <w:rPr>
                <w:color w:val="auto"/>
                <w:spacing w:val="9"/>
                <w:highlight w:val="none"/>
              </w:rPr>
              <w:t>足相应岗位资格要求（如</w:t>
            </w:r>
            <w:r>
              <w:rPr>
                <w:color w:val="auto"/>
                <w:spacing w:val="10"/>
                <w:highlight w:val="none"/>
              </w:rPr>
              <w:t>工作经验，工作能力、监理服务年限、年龄</w:t>
            </w:r>
            <w:r>
              <w:rPr>
                <w:color w:val="auto"/>
                <w:spacing w:val="9"/>
                <w:highlight w:val="none"/>
              </w:rPr>
              <w:t>、执业资格证等）的，按下列条款</w:t>
            </w:r>
            <w:r>
              <w:rPr>
                <w:color w:val="auto"/>
                <w:spacing w:val="2"/>
                <w:highlight w:val="none"/>
              </w:rPr>
              <w:t>处理：</w:t>
            </w:r>
          </w:p>
          <w:p w14:paraId="46C16365">
            <w:pPr>
              <w:pStyle w:val="17"/>
              <w:spacing w:line="282" w:lineRule="auto"/>
              <w:ind w:left="128"/>
              <w:rPr>
                <w:color w:val="auto"/>
                <w:highlight w:val="none"/>
              </w:rPr>
            </w:pPr>
            <w:r>
              <w:rPr>
                <w:color w:val="auto"/>
                <w:spacing w:val="5"/>
                <w:highlight w:val="none"/>
              </w:rPr>
              <w:t>（</w:t>
            </w:r>
            <w:r>
              <w:rPr>
                <w:rFonts w:ascii="Times New Roman" w:hAnsi="Times New Roman" w:eastAsia="Times New Roman" w:cs="Times New Roman"/>
                <w:color w:val="auto"/>
                <w:spacing w:val="5"/>
                <w:highlight w:val="none"/>
              </w:rPr>
              <w:t>1</w:t>
            </w:r>
            <w:r>
              <w:rPr>
                <w:color w:val="auto"/>
                <w:spacing w:val="5"/>
                <w:highlight w:val="none"/>
              </w:rPr>
              <w:t>）处以</w:t>
            </w:r>
            <w:r>
              <w:rPr>
                <w:rFonts w:ascii="Times New Roman" w:hAnsi="Times New Roman" w:eastAsia="Times New Roman" w:cs="Times New Roman"/>
                <w:color w:val="auto"/>
                <w:spacing w:val="5"/>
                <w:highlight w:val="none"/>
                <w:u w:val="single" w:color="auto"/>
              </w:rPr>
              <w:t xml:space="preserve"> 3 </w:t>
            </w:r>
            <w:r>
              <w:rPr>
                <w:color w:val="auto"/>
                <w:spacing w:val="5"/>
                <w:highlight w:val="none"/>
              </w:rPr>
              <w:t>万元</w:t>
            </w:r>
            <w:r>
              <w:rPr>
                <w:rFonts w:ascii="Calibri" w:hAnsi="Calibri" w:eastAsia="Calibri" w:cs="Calibri"/>
                <w:color w:val="auto"/>
                <w:spacing w:val="5"/>
                <w:highlight w:val="none"/>
              </w:rPr>
              <w:t>/</w:t>
            </w:r>
            <w:r>
              <w:rPr>
                <w:color w:val="auto"/>
                <w:spacing w:val="5"/>
                <w:highlight w:val="none"/>
              </w:rPr>
              <w:t>人的违约金；</w:t>
            </w:r>
          </w:p>
          <w:p w14:paraId="3FFFFFE1">
            <w:pPr>
              <w:pStyle w:val="17"/>
              <w:spacing w:before="1" w:line="233" w:lineRule="auto"/>
              <w:ind w:left="119" w:right="27" w:firstLine="8"/>
              <w:rPr>
                <w:color w:val="auto"/>
                <w:highlight w:val="none"/>
              </w:rPr>
            </w:pPr>
            <w:r>
              <w:rPr>
                <w:color w:val="auto"/>
                <w:spacing w:val="8"/>
                <w:highlight w:val="none"/>
              </w:rPr>
              <w:t>（</w:t>
            </w:r>
            <w:r>
              <w:rPr>
                <w:rFonts w:ascii="Times New Roman" w:hAnsi="Times New Roman" w:eastAsia="Times New Roman" w:cs="Times New Roman"/>
                <w:color w:val="auto"/>
                <w:spacing w:val="8"/>
                <w:highlight w:val="none"/>
              </w:rPr>
              <w:t>2</w:t>
            </w:r>
            <w:r>
              <w:rPr>
                <w:color w:val="auto"/>
                <w:spacing w:val="8"/>
                <w:highlight w:val="none"/>
              </w:rPr>
              <w:t>）同时委托人有权要求监理人进行更换，如不按要求进行更换的，处以</w:t>
            </w:r>
            <w:r>
              <w:rPr>
                <w:color w:val="auto"/>
                <w:spacing w:val="-43"/>
                <w:highlight w:val="none"/>
              </w:rPr>
              <w:t xml:space="preserve"> </w:t>
            </w:r>
            <w:r>
              <w:rPr>
                <w:rFonts w:ascii="Times New Roman" w:hAnsi="Times New Roman" w:eastAsia="Times New Roman" w:cs="Times New Roman"/>
                <w:color w:val="auto"/>
                <w:spacing w:val="-26"/>
                <w:highlight w:val="none"/>
                <w:u w:val="single" w:color="auto"/>
              </w:rPr>
              <w:t xml:space="preserve"> </w:t>
            </w:r>
            <w:r>
              <w:rPr>
                <w:rFonts w:ascii="Times New Roman" w:hAnsi="Times New Roman" w:eastAsia="Times New Roman" w:cs="Times New Roman"/>
                <w:color w:val="auto"/>
                <w:spacing w:val="8"/>
                <w:highlight w:val="none"/>
                <w:u w:val="single" w:color="auto"/>
              </w:rPr>
              <w:t>1000</w:t>
            </w:r>
            <w:r>
              <w:rPr>
                <w:color w:val="auto"/>
                <w:spacing w:val="8"/>
                <w:highlight w:val="none"/>
              </w:rPr>
              <w:t>元</w:t>
            </w:r>
            <w:r>
              <w:rPr>
                <w:rFonts w:ascii="Calibri" w:hAnsi="Calibri" w:eastAsia="Calibri" w:cs="Calibri"/>
                <w:color w:val="auto"/>
                <w:spacing w:val="8"/>
                <w:highlight w:val="none"/>
              </w:rPr>
              <w:t>/</w:t>
            </w:r>
            <w:r>
              <w:rPr>
                <w:color w:val="auto"/>
                <w:spacing w:val="8"/>
                <w:highlight w:val="none"/>
              </w:rPr>
              <w:t>天</w:t>
            </w:r>
            <w:r>
              <w:rPr>
                <w:rFonts w:ascii="Calibri" w:hAnsi="Calibri" w:eastAsia="Calibri" w:cs="Calibri"/>
                <w:color w:val="auto"/>
                <w:spacing w:val="8"/>
                <w:highlight w:val="none"/>
              </w:rPr>
              <w:t>/</w:t>
            </w:r>
            <w:r>
              <w:rPr>
                <w:color w:val="auto"/>
                <w:spacing w:val="8"/>
                <w:highlight w:val="none"/>
              </w:rPr>
              <w:t>人的违约金直至监理人更换为止。</w:t>
            </w:r>
          </w:p>
        </w:tc>
      </w:tr>
      <w:tr w14:paraId="5671B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610" w:type="dxa"/>
            <w:vMerge w:val="continue"/>
            <w:tcBorders>
              <w:top w:val="nil"/>
            </w:tcBorders>
            <w:textDirection w:val="tbRlV"/>
            <w:vAlign w:val="top"/>
          </w:tcPr>
          <w:p w14:paraId="2CDE9061">
            <w:pPr>
              <w:rPr>
                <w:rFonts w:ascii="Arial"/>
                <w:color w:val="auto"/>
                <w:sz w:val="21"/>
                <w:highlight w:val="none"/>
              </w:rPr>
            </w:pPr>
          </w:p>
        </w:tc>
        <w:tc>
          <w:tcPr>
            <w:tcW w:w="845" w:type="dxa"/>
            <w:vAlign w:val="top"/>
          </w:tcPr>
          <w:p w14:paraId="0BC8F07F">
            <w:pPr>
              <w:spacing w:line="259" w:lineRule="auto"/>
              <w:rPr>
                <w:rFonts w:ascii="Arial"/>
                <w:color w:val="auto"/>
                <w:sz w:val="21"/>
                <w:highlight w:val="none"/>
              </w:rPr>
            </w:pPr>
          </w:p>
          <w:p w14:paraId="7492708E">
            <w:pPr>
              <w:spacing w:before="57"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21</w:t>
            </w:r>
          </w:p>
        </w:tc>
        <w:tc>
          <w:tcPr>
            <w:tcW w:w="7440" w:type="dxa"/>
            <w:vAlign w:val="top"/>
          </w:tcPr>
          <w:p w14:paraId="5972BAB2">
            <w:pPr>
              <w:spacing w:line="241" w:lineRule="auto"/>
              <w:rPr>
                <w:rFonts w:ascii="Arial"/>
                <w:color w:val="auto"/>
                <w:sz w:val="21"/>
                <w:highlight w:val="none"/>
              </w:rPr>
            </w:pPr>
          </w:p>
          <w:p w14:paraId="332A717B">
            <w:pPr>
              <w:pStyle w:val="17"/>
              <w:spacing w:before="65" w:line="269" w:lineRule="auto"/>
              <w:ind w:left="124" w:right="238" w:hanging="7"/>
              <w:rPr>
                <w:color w:val="auto"/>
                <w:highlight w:val="none"/>
              </w:rPr>
            </w:pPr>
            <w:r>
              <w:rPr>
                <w:color w:val="auto"/>
                <w:spacing w:val="8"/>
                <w:highlight w:val="none"/>
              </w:rPr>
              <w:t>委托人有权根据工程进展和工程建设需要增加监理人员，监理人应配合解决，</w:t>
            </w:r>
            <w:r>
              <w:rPr>
                <w:color w:val="auto"/>
                <w:spacing w:val="7"/>
                <w:highlight w:val="none"/>
              </w:rPr>
              <w:t>否则处以</w:t>
            </w:r>
            <w:r>
              <w:rPr>
                <w:color w:val="auto"/>
                <w:spacing w:val="-53"/>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7"/>
                <w:highlight w:val="none"/>
                <w:u w:val="single" w:color="auto"/>
              </w:rPr>
              <w:t>1000</w:t>
            </w:r>
            <w:r>
              <w:rPr>
                <w:rFonts w:ascii="Times New Roman" w:hAnsi="Times New Roman" w:eastAsia="Times New Roman" w:cs="Times New Roman"/>
                <w:color w:val="auto"/>
                <w:spacing w:val="7"/>
                <w:highlight w:val="none"/>
              </w:rPr>
              <w:t xml:space="preserve"> </w:t>
            </w:r>
            <w:r>
              <w:rPr>
                <w:color w:val="auto"/>
                <w:spacing w:val="7"/>
                <w:highlight w:val="none"/>
              </w:rPr>
              <w:t>元</w:t>
            </w:r>
            <w:r>
              <w:rPr>
                <w:rFonts w:ascii="Calibri" w:hAnsi="Calibri" w:eastAsia="Calibri" w:cs="Calibri"/>
                <w:color w:val="auto"/>
                <w:spacing w:val="7"/>
                <w:highlight w:val="none"/>
              </w:rPr>
              <w:t>/</w:t>
            </w:r>
            <w:r>
              <w:rPr>
                <w:color w:val="auto"/>
                <w:spacing w:val="7"/>
                <w:highlight w:val="none"/>
              </w:rPr>
              <w:t>天</w:t>
            </w:r>
            <w:r>
              <w:rPr>
                <w:rFonts w:ascii="Calibri" w:hAnsi="Calibri" w:eastAsia="Calibri" w:cs="Calibri"/>
                <w:color w:val="auto"/>
                <w:spacing w:val="7"/>
                <w:highlight w:val="none"/>
              </w:rPr>
              <w:t>/</w:t>
            </w:r>
            <w:r>
              <w:rPr>
                <w:color w:val="auto"/>
                <w:spacing w:val="7"/>
                <w:highlight w:val="none"/>
              </w:rPr>
              <w:t>人的违约金直</w:t>
            </w:r>
            <w:r>
              <w:rPr>
                <w:color w:val="auto"/>
                <w:spacing w:val="6"/>
                <w:highlight w:val="none"/>
              </w:rPr>
              <w:t>至监理人员到位为止。</w:t>
            </w:r>
          </w:p>
        </w:tc>
      </w:tr>
      <w:tr w14:paraId="1F14F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8" w:hRule="atLeast"/>
        </w:trPr>
        <w:tc>
          <w:tcPr>
            <w:tcW w:w="610" w:type="dxa"/>
            <w:vMerge w:val="restart"/>
            <w:tcBorders>
              <w:bottom w:val="nil"/>
            </w:tcBorders>
            <w:vAlign w:val="top"/>
          </w:tcPr>
          <w:p w14:paraId="6B85A9AC">
            <w:pPr>
              <w:rPr>
                <w:rFonts w:ascii="Arial"/>
                <w:color w:val="auto"/>
                <w:sz w:val="21"/>
                <w:highlight w:val="none"/>
              </w:rPr>
            </w:pPr>
          </w:p>
        </w:tc>
        <w:tc>
          <w:tcPr>
            <w:tcW w:w="845" w:type="dxa"/>
            <w:vAlign w:val="top"/>
          </w:tcPr>
          <w:p w14:paraId="44A4F0E0">
            <w:pPr>
              <w:spacing w:line="256" w:lineRule="auto"/>
              <w:rPr>
                <w:rFonts w:ascii="Arial"/>
                <w:color w:val="auto"/>
                <w:sz w:val="21"/>
                <w:highlight w:val="none"/>
              </w:rPr>
            </w:pPr>
          </w:p>
          <w:p w14:paraId="32DF9526">
            <w:pPr>
              <w:spacing w:line="256" w:lineRule="auto"/>
              <w:rPr>
                <w:rFonts w:ascii="Arial"/>
                <w:color w:val="auto"/>
                <w:sz w:val="21"/>
                <w:highlight w:val="none"/>
              </w:rPr>
            </w:pPr>
          </w:p>
          <w:p w14:paraId="3493F8F6">
            <w:pPr>
              <w:spacing w:line="256" w:lineRule="auto"/>
              <w:rPr>
                <w:rFonts w:ascii="Arial"/>
                <w:color w:val="auto"/>
                <w:sz w:val="21"/>
                <w:highlight w:val="none"/>
              </w:rPr>
            </w:pPr>
          </w:p>
          <w:p w14:paraId="015B5C1B">
            <w:pPr>
              <w:spacing w:line="257" w:lineRule="auto"/>
              <w:rPr>
                <w:rFonts w:ascii="Arial"/>
                <w:color w:val="auto"/>
                <w:sz w:val="21"/>
                <w:highlight w:val="none"/>
              </w:rPr>
            </w:pPr>
          </w:p>
          <w:p w14:paraId="26B31804">
            <w:pPr>
              <w:spacing w:before="58"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22</w:t>
            </w:r>
          </w:p>
        </w:tc>
        <w:tc>
          <w:tcPr>
            <w:tcW w:w="7440" w:type="dxa"/>
            <w:vAlign w:val="top"/>
          </w:tcPr>
          <w:p w14:paraId="27C8B0E2">
            <w:pPr>
              <w:pStyle w:val="17"/>
              <w:spacing w:before="125" w:line="277" w:lineRule="auto"/>
              <w:ind w:left="118" w:right="120"/>
              <w:rPr>
                <w:color w:val="auto"/>
                <w:highlight w:val="none"/>
              </w:rPr>
            </w:pPr>
            <w:r>
              <w:rPr>
                <w:color w:val="auto"/>
                <w:spacing w:val="12"/>
                <w:highlight w:val="none"/>
              </w:rPr>
              <w:t>监理人拟投入本项目的总监（驻地）、专业监</w:t>
            </w:r>
            <w:r>
              <w:rPr>
                <w:color w:val="auto"/>
                <w:spacing w:val="11"/>
                <w:highlight w:val="none"/>
              </w:rPr>
              <w:t>理工程师等必须为本项目专职人</w:t>
            </w:r>
            <w:r>
              <w:rPr>
                <w:color w:val="auto"/>
                <w:spacing w:val="10"/>
                <w:highlight w:val="none"/>
              </w:rPr>
              <w:t>员，不得兼任其他项目监理职务；必须保证每月</w:t>
            </w:r>
            <w:r>
              <w:rPr>
                <w:rFonts w:ascii="Times New Roman" w:hAnsi="Times New Roman" w:eastAsia="Times New Roman" w:cs="Times New Roman"/>
                <w:color w:val="auto"/>
                <w:spacing w:val="10"/>
                <w:highlight w:val="none"/>
              </w:rPr>
              <w:t xml:space="preserve">22 </w:t>
            </w:r>
            <w:r>
              <w:rPr>
                <w:color w:val="auto"/>
                <w:spacing w:val="10"/>
                <w:highlight w:val="none"/>
              </w:rPr>
              <w:t>天以上留在施工现场；离</w:t>
            </w:r>
            <w:r>
              <w:rPr>
                <w:color w:val="auto"/>
                <w:spacing w:val="8"/>
                <w:highlight w:val="none"/>
              </w:rPr>
              <w:t>开施工现场超过</w:t>
            </w:r>
            <w:r>
              <w:rPr>
                <w:color w:val="auto"/>
                <w:spacing w:val="-47"/>
                <w:highlight w:val="none"/>
              </w:rPr>
              <w:t xml:space="preserve"> </w:t>
            </w:r>
            <w:r>
              <w:rPr>
                <w:rFonts w:ascii="Times New Roman" w:hAnsi="Times New Roman" w:eastAsia="Times New Roman" w:cs="Times New Roman"/>
                <w:color w:val="auto"/>
                <w:spacing w:val="8"/>
                <w:highlight w:val="none"/>
              </w:rPr>
              <w:t xml:space="preserve">2 </w:t>
            </w:r>
            <w:r>
              <w:rPr>
                <w:color w:val="auto"/>
                <w:spacing w:val="8"/>
                <w:highlight w:val="none"/>
              </w:rPr>
              <w:t>天（含</w:t>
            </w:r>
            <w:r>
              <w:rPr>
                <w:color w:val="auto"/>
                <w:spacing w:val="-48"/>
                <w:highlight w:val="none"/>
              </w:rPr>
              <w:t xml:space="preserve"> </w:t>
            </w:r>
            <w:r>
              <w:rPr>
                <w:rFonts w:ascii="Times New Roman" w:hAnsi="Times New Roman" w:eastAsia="Times New Roman" w:cs="Times New Roman"/>
                <w:color w:val="auto"/>
                <w:spacing w:val="8"/>
                <w:highlight w:val="none"/>
              </w:rPr>
              <w:t xml:space="preserve">2 </w:t>
            </w:r>
            <w:r>
              <w:rPr>
                <w:color w:val="auto"/>
                <w:spacing w:val="8"/>
                <w:highlight w:val="none"/>
              </w:rPr>
              <w:t>天）时间须经委托</w:t>
            </w:r>
            <w:r>
              <w:rPr>
                <w:color w:val="auto"/>
                <w:spacing w:val="7"/>
                <w:highlight w:val="none"/>
              </w:rPr>
              <w:t>人批准。如违反：</w:t>
            </w:r>
          </w:p>
          <w:p w14:paraId="682C5B6B">
            <w:pPr>
              <w:pStyle w:val="17"/>
              <w:spacing w:before="1" w:line="269" w:lineRule="auto"/>
              <w:ind w:left="119" w:right="142" w:firstLine="5"/>
              <w:rPr>
                <w:color w:val="auto"/>
                <w:highlight w:val="none"/>
              </w:rPr>
            </w:pPr>
            <w:r>
              <w:rPr>
                <w:color w:val="auto"/>
                <w:spacing w:val="4"/>
                <w:sz w:val="18"/>
                <w:szCs w:val="18"/>
                <w:highlight w:val="none"/>
              </w:rPr>
              <w:t xml:space="preserve">（1） </w:t>
            </w:r>
            <w:r>
              <w:rPr>
                <w:color w:val="auto"/>
                <w:spacing w:val="4"/>
                <w:highlight w:val="none"/>
              </w:rPr>
              <w:t>兼任其他项目监理职务的，处以</w:t>
            </w:r>
            <w:r>
              <w:rPr>
                <w:color w:val="auto"/>
                <w:spacing w:val="-50"/>
                <w:highlight w:val="none"/>
              </w:rPr>
              <w:t xml:space="preserve"> </w:t>
            </w:r>
            <w:r>
              <w:rPr>
                <w:rFonts w:ascii="Times New Roman" w:hAnsi="Times New Roman" w:eastAsia="Times New Roman" w:cs="Times New Roman"/>
                <w:color w:val="auto"/>
                <w:spacing w:val="4"/>
                <w:highlight w:val="none"/>
                <w:u w:val="single" w:color="auto"/>
              </w:rPr>
              <w:t>5</w:t>
            </w:r>
            <w:r>
              <w:rPr>
                <w:rFonts w:ascii="Times New Roman" w:hAnsi="Times New Roman" w:eastAsia="Times New Roman" w:cs="Times New Roman"/>
                <w:color w:val="auto"/>
                <w:spacing w:val="4"/>
                <w:highlight w:val="none"/>
              </w:rPr>
              <w:t xml:space="preserve"> </w:t>
            </w:r>
            <w:r>
              <w:rPr>
                <w:color w:val="auto"/>
                <w:spacing w:val="4"/>
                <w:highlight w:val="none"/>
              </w:rPr>
              <w:t>万元</w:t>
            </w:r>
            <w:r>
              <w:rPr>
                <w:rFonts w:ascii="Calibri" w:hAnsi="Calibri" w:eastAsia="Calibri" w:cs="Calibri"/>
                <w:color w:val="auto"/>
                <w:spacing w:val="3"/>
                <w:highlight w:val="none"/>
              </w:rPr>
              <w:t>/</w:t>
            </w:r>
            <w:r>
              <w:rPr>
                <w:color w:val="auto"/>
                <w:spacing w:val="3"/>
                <w:highlight w:val="none"/>
              </w:rPr>
              <w:t>人的违约金，同时处以</w:t>
            </w:r>
            <w:r>
              <w:rPr>
                <w:color w:val="auto"/>
                <w:spacing w:val="-51"/>
                <w:highlight w:val="none"/>
              </w:rPr>
              <w:t xml:space="preserve"> </w:t>
            </w:r>
            <w:r>
              <w:rPr>
                <w:rFonts w:ascii="Times New Roman" w:hAnsi="Times New Roman" w:eastAsia="Times New Roman" w:cs="Times New Roman"/>
                <w:color w:val="auto"/>
                <w:spacing w:val="3"/>
                <w:highlight w:val="none"/>
                <w:u w:val="single" w:color="auto"/>
              </w:rPr>
              <w:t>5000</w:t>
            </w:r>
            <w:r>
              <w:rPr>
                <w:color w:val="auto"/>
                <w:spacing w:val="3"/>
                <w:highlight w:val="none"/>
              </w:rPr>
              <w:t>元</w:t>
            </w:r>
            <w:r>
              <w:rPr>
                <w:rFonts w:ascii="Calibri" w:hAnsi="Calibri" w:eastAsia="Calibri" w:cs="Calibri"/>
                <w:color w:val="auto"/>
                <w:spacing w:val="3"/>
                <w:highlight w:val="none"/>
              </w:rPr>
              <w:t>/</w:t>
            </w:r>
            <w:r>
              <w:rPr>
                <w:color w:val="auto"/>
                <w:spacing w:val="3"/>
                <w:highlight w:val="none"/>
              </w:rPr>
              <w:t>天</w:t>
            </w:r>
            <w:r>
              <w:rPr>
                <w:rFonts w:ascii="Calibri" w:hAnsi="Calibri" w:eastAsia="Calibri" w:cs="Calibri"/>
                <w:color w:val="auto"/>
                <w:spacing w:val="3"/>
                <w:highlight w:val="none"/>
              </w:rPr>
              <w:t>/</w:t>
            </w:r>
            <w:r>
              <w:rPr>
                <w:color w:val="auto"/>
                <w:spacing w:val="8"/>
                <w:highlight w:val="none"/>
              </w:rPr>
              <w:t>人次的违约金直至监理人纠正为止；</w:t>
            </w:r>
          </w:p>
          <w:p w14:paraId="3FF2DCD8">
            <w:pPr>
              <w:pStyle w:val="17"/>
              <w:spacing w:before="23" w:line="286" w:lineRule="auto"/>
              <w:ind w:left="122"/>
              <w:rPr>
                <w:color w:val="auto"/>
                <w:highlight w:val="none"/>
              </w:rPr>
            </w:pPr>
            <w:r>
              <w:rPr>
                <w:color w:val="auto"/>
                <w:spacing w:val="6"/>
                <w:sz w:val="18"/>
                <w:szCs w:val="18"/>
                <w:highlight w:val="none"/>
              </w:rPr>
              <w:t>（2）</w:t>
            </w:r>
            <w:r>
              <w:rPr>
                <w:color w:val="auto"/>
                <w:spacing w:val="-2"/>
                <w:sz w:val="18"/>
                <w:szCs w:val="18"/>
                <w:highlight w:val="none"/>
              </w:rPr>
              <w:t xml:space="preserve"> </w:t>
            </w:r>
            <w:r>
              <w:rPr>
                <w:color w:val="auto"/>
                <w:spacing w:val="6"/>
                <w:highlight w:val="none"/>
              </w:rPr>
              <w:t>不足</w:t>
            </w:r>
            <w:r>
              <w:rPr>
                <w:rFonts w:ascii="Times New Roman" w:hAnsi="Times New Roman" w:eastAsia="Times New Roman" w:cs="Times New Roman"/>
                <w:color w:val="auto"/>
                <w:spacing w:val="6"/>
                <w:highlight w:val="none"/>
              </w:rPr>
              <w:t>22</w:t>
            </w:r>
            <w:r>
              <w:rPr>
                <w:rFonts w:ascii="Times New Roman" w:hAnsi="Times New Roman" w:eastAsia="Times New Roman" w:cs="Times New Roman"/>
                <w:color w:val="auto"/>
                <w:spacing w:val="-17"/>
                <w:highlight w:val="none"/>
              </w:rPr>
              <w:t xml:space="preserve"> </w:t>
            </w:r>
            <w:r>
              <w:rPr>
                <w:color w:val="auto"/>
                <w:spacing w:val="6"/>
                <w:highlight w:val="none"/>
              </w:rPr>
              <w:t>天</w:t>
            </w:r>
            <w:r>
              <w:rPr>
                <w:rFonts w:ascii="Calibri" w:hAnsi="Calibri" w:eastAsia="Calibri" w:cs="Calibri"/>
                <w:color w:val="auto"/>
                <w:spacing w:val="6"/>
                <w:highlight w:val="none"/>
              </w:rPr>
              <w:t>/</w:t>
            </w:r>
            <w:r>
              <w:rPr>
                <w:color w:val="auto"/>
                <w:spacing w:val="6"/>
                <w:highlight w:val="none"/>
              </w:rPr>
              <w:t>月留在现场的，同时处以不足天数的违约金：</w:t>
            </w:r>
            <w:r>
              <w:rPr>
                <w:rFonts w:ascii="Times New Roman" w:hAnsi="Times New Roman" w:eastAsia="Times New Roman" w:cs="Times New Roman"/>
                <w:color w:val="auto"/>
                <w:spacing w:val="6"/>
                <w:highlight w:val="none"/>
                <w:u w:val="single" w:color="auto"/>
              </w:rPr>
              <w:t>5000</w:t>
            </w:r>
            <w:r>
              <w:rPr>
                <w:color w:val="auto"/>
                <w:spacing w:val="6"/>
                <w:highlight w:val="none"/>
              </w:rPr>
              <w:t>元</w:t>
            </w:r>
            <w:r>
              <w:rPr>
                <w:rFonts w:ascii="Calibri" w:hAnsi="Calibri" w:eastAsia="Calibri" w:cs="Calibri"/>
                <w:color w:val="auto"/>
                <w:spacing w:val="6"/>
                <w:highlight w:val="none"/>
              </w:rPr>
              <w:t>/</w:t>
            </w:r>
            <w:r>
              <w:rPr>
                <w:color w:val="auto"/>
                <w:spacing w:val="6"/>
                <w:highlight w:val="none"/>
              </w:rPr>
              <w:t>天；</w:t>
            </w:r>
          </w:p>
          <w:p w14:paraId="46AB698F">
            <w:pPr>
              <w:pStyle w:val="17"/>
              <w:spacing w:before="24" w:line="249" w:lineRule="auto"/>
              <w:ind w:left="109" w:right="429" w:firstLine="12"/>
              <w:rPr>
                <w:color w:val="auto"/>
                <w:highlight w:val="none"/>
              </w:rPr>
            </w:pPr>
            <w:r>
              <w:rPr>
                <w:color w:val="auto"/>
                <w:spacing w:val="4"/>
                <w:sz w:val="18"/>
                <w:szCs w:val="18"/>
                <w:highlight w:val="none"/>
              </w:rPr>
              <w:t xml:space="preserve">（3） </w:t>
            </w:r>
            <w:r>
              <w:rPr>
                <w:color w:val="auto"/>
                <w:spacing w:val="4"/>
                <w:highlight w:val="none"/>
              </w:rPr>
              <w:t>未经委托人同意擅自离开现场超过</w:t>
            </w:r>
            <w:r>
              <w:rPr>
                <w:color w:val="auto"/>
                <w:spacing w:val="-55"/>
                <w:highlight w:val="none"/>
              </w:rPr>
              <w:t xml:space="preserve"> </w:t>
            </w:r>
            <w:r>
              <w:rPr>
                <w:rFonts w:ascii="Times New Roman" w:hAnsi="Times New Roman" w:eastAsia="Times New Roman" w:cs="Times New Roman"/>
                <w:color w:val="auto"/>
                <w:spacing w:val="4"/>
                <w:highlight w:val="none"/>
              </w:rPr>
              <w:t xml:space="preserve">2 </w:t>
            </w:r>
            <w:r>
              <w:rPr>
                <w:color w:val="auto"/>
                <w:spacing w:val="4"/>
                <w:highlight w:val="none"/>
              </w:rPr>
              <w:t>天时间的，按超过天数处</w:t>
            </w:r>
            <w:r>
              <w:rPr>
                <w:color w:val="auto"/>
                <w:spacing w:val="3"/>
                <w:highlight w:val="none"/>
              </w:rPr>
              <w:t>以</w:t>
            </w:r>
            <w:r>
              <w:rPr>
                <w:rFonts w:ascii="Times New Roman" w:hAnsi="Times New Roman" w:eastAsia="Times New Roman" w:cs="Times New Roman"/>
                <w:color w:val="auto"/>
                <w:spacing w:val="3"/>
                <w:highlight w:val="none"/>
                <w:u w:val="single" w:color="auto"/>
              </w:rPr>
              <w:t>5000</w:t>
            </w:r>
            <w:r>
              <w:rPr>
                <w:color w:val="auto"/>
                <w:spacing w:val="3"/>
                <w:highlight w:val="none"/>
              </w:rPr>
              <w:t>元</w:t>
            </w:r>
            <w:r>
              <w:rPr>
                <w:rFonts w:ascii="Calibri" w:hAnsi="Calibri" w:eastAsia="Calibri" w:cs="Calibri"/>
                <w:color w:val="auto"/>
                <w:spacing w:val="7"/>
                <w:highlight w:val="none"/>
              </w:rPr>
              <w:t>/</w:t>
            </w:r>
            <w:r>
              <w:rPr>
                <w:color w:val="auto"/>
                <w:spacing w:val="7"/>
                <w:highlight w:val="none"/>
              </w:rPr>
              <w:t>天的违约金。</w:t>
            </w:r>
          </w:p>
        </w:tc>
      </w:tr>
      <w:tr w14:paraId="15DE9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610" w:type="dxa"/>
            <w:vMerge w:val="continue"/>
            <w:tcBorders>
              <w:top w:val="nil"/>
            </w:tcBorders>
            <w:vAlign w:val="top"/>
          </w:tcPr>
          <w:p w14:paraId="6740D115">
            <w:pPr>
              <w:rPr>
                <w:rFonts w:ascii="Arial"/>
                <w:color w:val="auto"/>
                <w:sz w:val="21"/>
                <w:highlight w:val="none"/>
              </w:rPr>
            </w:pPr>
          </w:p>
        </w:tc>
        <w:tc>
          <w:tcPr>
            <w:tcW w:w="845" w:type="dxa"/>
            <w:vAlign w:val="top"/>
          </w:tcPr>
          <w:p w14:paraId="37C29341">
            <w:pPr>
              <w:spacing w:line="259" w:lineRule="auto"/>
              <w:rPr>
                <w:rFonts w:ascii="Arial"/>
                <w:color w:val="auto"/>
                <w:sz w:val="21"/>
                <w:highlight w:val="none"/>
              </w:rPr>
            </w:pPr>
          </w:p>
          <w:p w14:paraId="3514882C">
            <w:pPr>
              <w:spacing w:line="260" w:lineRule="auto"/>
              <w:rPr>
                <w:rFonts w:ascii="Arial"/>
                <w:color w:val="auto"/>
                <w:sz w:val="21"/>
                <w:highlight w:val="none"/>
              </w:rPr>
            </w:pPr>
          </w:p>
          <w:p w14:paraId="5275A3E5">
            <w:pPr>
              <w:spacing w:before="58"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23</w:t>
            </w:r>
          </w:p>
        </w:tc>
        <w:tc>
          <w:tcPr>
            <w:tcW w:w="7440" w:type="dxa"/>
            <w:vAlign w:val="top"/>
          </w:tcPr>
          <w:p w14:paraId="4C361A4C">
            <w:pPr>
              <w:pStyle w:val="17"/>
              <w:spacing w:before="128" w:line="272" w:lineRule="auto"/>
              <w:ind w:left="117" w:right="101"/>
              <w:jc w:val="both"/>
              <w:rPr>
                <w:color w:val="auto"/>
                <w:highlight w:val="none"/>
              </w:rPr>
            </w:pPr>
            <w:r>
              <w:rPr>
                <w:color w:val="auto"/>
                <w:spacing w:val="12"/>
                <w:highlight w:val="none"/>
              </w:rPr>
              <w:t>监理人应按合同规定自行配备试验、检测等必要设备并要按合同规定的规格保质保量按时到位投入使用，否则按不到位仪器设备清单价格或市场价格（如无</w:t>
            </w:r>
            <w:r>
              <w:rPr>
                <w:color w:val="auto"/>
                <w:spacing w:val="6"/>
                <w:highlight w:val="none"/>
              </w:rPr>
              <w:t>清单价格）</w:t>
            </w:r>
            <w:r>
              <w:rPr>
                <w:color w:val="auto"/>
                <w:spacing w:val="-55"/>
                <w:highlight w:val="none"/>
              </w:rPr>
              <w:t xml:space="preserve"> </w:t>
            </w:r>
            <w:r>
              <w:rPr>
                <w:color w:val="auto"/>
                <w:spacing w:val="6"/>
                <w:highlight w:val="none"/>
              </w:rPr>
              <w:t>的两倍从监理服务费总额中予以扣除，并处以</w:t>
            </w:r>
            <w:r>
              <w:rPr>
                <w:color w:val="auto"/>
                <w:spacing w:val="-57"/>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6"/>
                <w:highlight w:val="none"/>
                <w:u w:val="single" w:color="auto"/>
              </w:rPr>
              <w:t>1000</w:t>
            </w:r>
            <w:r>
              <w:rPr>
                <w:color w:val="auto"/>
                <w:spacing w:val="6"/>
                <w:highlight w:val="none"/>
              </w:rPr>
              <w:t>元</w:t>
            </w:r>
            <w:r>
              <w:rPr>
                <w:rFonts w:ascii="Calibri" w:hAnsi="Calibri" w:eastAsia="Calibri" w:cs="Calibri"/>
                <w:color w:val="auto"/>
                <w:spacing w:val="6"/>
                <w:highlight w:val="none"/>
              </w:rPr>
              <w:t>/</w:t>
            </w:r>
            <w:r>
              <w:rPr>
                <w:color w:val="auto"/>
                <w:spacing w:val="6"/>
                <w:highlight w:val="none"/>
              </w:rPr>
              <w:t>天的违约金直</w:t>
            </w:r>
            <w:r>
              <w:rPr>
                <w:color w:val="auto"/>
                <w:spacing w:val="9"/>
                <w:highlight w:val="none"/>
              </w:rPr>
              <w:t>至该仪器或设备到位为止</w:t>
            </w:r>
          </w:p>
        </w:tc>
      </w:tr>
      <w:tr w14:paraId="379FF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610" w:type="dxa"/>
            <w:textDirection w:val="tbRlV"/>
            <w:vAlign w:val="top"/>
          </w:tcPr>
          <w:p w14:paraId="50ED2A4D">
            <w:pPr>
              <w:pStyle w:val="17"/>
              <w:spacing w:before="194" w:line="215" w:lineRule="auto"/>
              <w:ind w:left="259"/>
              <w:rPr>
                <w:color w:val="auto"/>
                <w:highlight w:val="none"/>
              </w:rPr>
            </w:pPr>
            <w:r>
              <w:rPr>
                <w:b/>
                <w:bCs/>
                <w:color w:val="auto"/>
                <w:spacing w:val="6"/>
                <w:highlight w:val="none"/>
              </w:rPr>
              <w:t>设</w:t>
            </w:r>
            <w:r>
              <w:rPr>
                <w:color w:val="auto"/>
                <w:spacing w:val="-7"/>
                <w:highlight w:val="none"/>
              </w:rPr>
              <w:t xml:space="preserve"> </w:t>
            </w:r>
            <w:r>
              <w:rPr>
                <w:b/>
                <w:bCs/>
                <w:color w:val="auto"/>
                <w:spacing w:val="6"/>
                <w:highlight w:val="none"/>
              </w:rPr>
              <w:t>备</w:t>
            </w:r>
          </w:p>
        </w:tc>
        <w:tc>
          <w:tcPr>
            <w:tcW w:w="845" w:type="dxa"/>
            <w:vAlign w:val="top"/>
          </w:tcPr>
          <w:p w14:paraId="69F513BB">
            <w:pPr>
              <w:spacing w:line="384" w:lineRule="auto"/>
              <w:rPr>
                <w:rFonts w:ascii="Arial"/>
                <w:color w:val="auto"/>
                <w:sz w:val="21"/>
                <w:highlight w:val="none"/>
              </w:rPr>
            </w:pPr>
          </w:p>
          <w:p w14:paraId="427135F1">
            <w:pPr>
              <w:spacing w:before="57"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24</w:t>
            </w:r>
          </w:p>
        </w:tc>
        <w:tc>
          <w:tcPr>
            <w:tcW w:w="7440" w:type="dxa"/>
            <w:vAlign w:val="top"/>
          </w:tcPr>
          <w:p w14:paraId="6385B815">
            <w:pPr>
              <w:pStyle w:val="17"/>
              <w:spacing w:before="134" w:line="269" w:lineRule="auto"/>
              <w:ind w:left="117" w:right="101"/>
              <w:jc w:val="both"/>
              <w:rPr>
                <w:color w:val="auto"/>
                <w:highlight w:val="none"/>
              </w:rPr>
            </w:pPr>
            <w:r>
              <w:rPr>
                <w:color w:val="auto"/>
                <w:spacing w:val="12"/>
                <w:highlight w:val="none"/>
              </w:rPr>
              <w:t>根据工程实际需要，委托人有权要求监理人增加仪器、设备的数量或新增部分仪器或设备，如监理人拒绝执行，委托人将按书面通知要求到位的最后期限起</w:t>
            </w:r>
            <w:r>
              <w:rPr>
                <w:color w:val="auto"/>
                <w:spacing w:val="7"/>
                <w:highlight w:val="none"/>
              </w:rPr>
              <w:t>算，处以</w:t>
            </w:r>
            <w:r>
              <w:rPr>
                <w:color w:val="auto"/>
                <w:spacing w:val="-53"/>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7"/>
                <w:highlight w:val="none"/>
                <w:u w:val="single" w:color="auto"/>
              </w:rPr>
              <w:t>1000</w:t>
            </w:r>
            <w:r>
              <w:rPr>
                <w:rFonts w:ascii="Times New Roman" w:hAnsi="Times New Roman" w:eastAsia="Times New Roman" w:cs="Times New Roman"/>
                <w:color w:val="auto"/>
                <w:spacing w:val="7"/>
                <w:highlight w:val="none"/>
              </w:rPr>
              <w:t xml:space="preserve"> </w:t>
            </w:r>
            <w:r>
              <w:rPr>
                <w:color w:val="auto"/>
                <w:spacing w:val="7"/>
                <w:highlight w:val="none"/>
              </w:rPr>
              <w:t>元</w:t>
            </w:r>
            <w:r>
              <w:rPr>
                <w:rFonts w:ascii="Calibri" w:hAnsi="Calibri" w:eastAsia="Calibri" w:cs="Calibri"/>
                <w:color w:val="auto"/>
                <w:spacing w:val="7"/>
                <w:highlight w:val="none"/>
              </w:rPr>
              <w:t>/</w:t>
            </w:r>
            <w:r>
              <w:rPr>
                <w:color w:val="auto"/>
                <w:spacing w:val="7"/>
                <w:highlight w:val="none"/>
              </w:rPr>
              <w:t>天的违约金直至该仪器或设备到位为止。</w:t>
            </w:r>
          </w:p>
        </w:tc>
      </w:tr>
      <w:tr w14:paraId="5618B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610" w:type="dxa"/>
            <w:textDirection w:val="tbRlV"/>
            <w:vAlign w:val="top"/>
          </w:tcPr>
          <w:p w14:paraId="1ACFCC13">
            <w:pPr>
              <w:pStyle w:val="17"/>
              <w:spacing w:before="194" w:line="214" w:lineRule="auto"/>
              <w:ind w:left="262"/>
              <w:rPr>
                <w:color w:val="auto"/>
                <w:highlight w:val="none"/>
              </w:rPr>
            </w:pPr>
            <w:r>
              <w:rPr>
                <w:b/>
                <w:bCs/>
                <w:color w:val="auto"/>
                <w:spacing w:val="6"/>
                <w:highlight w:val="none"/>
              </w:rPr>
              <w:t>工</w:t>
            </w:r>
            <w:r>
              <w:rPr>
                <w:color w:val="auto"/>
                <w:spacing w:val="-9"/>
                <w:highlight w:val="none"/>
              </w:rPr>
              <w:t xml:space="preserve"> </w:t>
            </w:r>
            <w:r>
              <w:rPr>
                <w:b/>
                <w:bCs/>
                <w:color w:val="auto"/>
                <w:spacing w:val="6"/>
                <w:highlight w:val="none"/>
              </w:rPr>
              <w:t>期</w:t>
            </w:r>
          </w:p>
        </w:tc>
        <w:tc>
          <w:tcPr>
            <w:tcW w:w="845" w:type="dxa"/>
            <w:vAlign w:val="top"/>
          </w:tcPr>
          <w:p w14:paraId="399E3794">
            <w:pPr>
              <w:spacing w:line="384" w:lineRule="auto"/>
              <w:rPr>
                <w:rFonts w:ascii="Arial"/>
                <w:color w:val="auto"/>
                <w:sz w:val="21"/>
                <w:highlight w:val="none"/>
              </w:rPr>
            </w:pPr>
          </w:p>
          <w:p w14:paraId="4EF340DC">
            <w:pPr>
              <w:spacing w:before="58"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25</w:t>
            </w:r>
          </w:p>
        </w:tc>
        <w:tc>
          <w:tcPr>
            <w:tcW w:w="7440" w:type="dxa"/>
            <w:vAlign w:val="top"/>
          </w:tcPr>
          <w:p w14:paraId="197D238C">
            <w:pPr>
              <w:pStyle w:val="17"/>
              <w:spacing w:before="133" w:line="269" w:lineRule="auto"/>
              <w:ind w:left="119" w:right="101" w:firstLine="14"/>
              <w:jc w:val="both"/>
              <w:rPr>
                <w:color w:val="auto"/>
                <w:highlight w:val="none"/>
              </w:rPr>
            </w:pPr>
            <w:r>
              <w:rPr>
                <w:color w:val="auto"/>
                <w:spacing w:val="11"/>
                <w:highlight w:val="none"/>
              </w:rPr>
              <w:t>因监理原因整个工程未按期完工（包括任何一个合同段没有按期完工</w:t>
            </w:r>
            <w:r>
              <w:rPr>
                <w:color w:val="auto"/>
                <w:spacing w:val="2"/>
                <w:highlight w:val="none"/>
              </w:rPr>
              <w:t>）</w:t>
            </w:r>
            <w:r>
              <w:rPr>
                <w:color w:val="auto"/>
                <w:spacing w:val="-58"/>
                <w:highlight w:val="none"/>
              </w:rPr>
              <w:t xml:space="preserve"> </w:t>
            </w:r>
            <w:r>
              <w:rPr>
                <w:color w:val="auto"/>
                <w:spacing w:val="2"/>
                <w:highlight w:val="none"/>
              </w:rPr>
              <w:t>，</w:t>
            </w:r>
            <w:r>
              <w:rPr>
                <w:color w:val="auto"/>
                <w:spacing w:val="11"/>
                <w:highlight w:val="none"/>
              </w:rPr>
              <w:t>监理</w:t>
            </w:r>
            <w:r>
              <w:rPr>
                <w:color w:val="auto"/>
                <w:spacing w:val="12"/>
                <w:highlight w:val="none"/>
              </w:rPr>
              <w:t>人须承担以下责任：每拖延一天，委托人按未按期完工合同段承包人的拖期损</w:t>
            </w:r>
            <w:r>
              <w:rPr>
                <w:color w:val="auto"/>
                <w:spacing w:val="7"/>
                <w:highlight w:val="none"/>
              </w:rPr>
              <w:t>失赔偿金的</w:t>
            </w:r>
            <w:r>
              <w:rPr>
                <w:rFonts w:ascii="Times New Roman" w:hAnsi="Times New Roman" w:eastAsia="Times New Roman" w:cs="Times New Roman"/>
                <w:color w:val="auto"/>
                <w:spacing w:val="7"/>
                <w:highlight w:val="none"/>
                <w:u w:val="single" w:color="auto"/>
              </w:rPr>
              <w:t>5</w:t>
            </w:r>
            <w:r>
              <w:rPr>
                <w:rFonts w:ascii="Calibri" w:hAnsi="Calibri" w:eastAsia="Calibri" w:cs="Calibri"/>
                <w:color w:val="auto"/>
                <w:spacing w:val="7"/>
                <w:highlight w:val="none"/>
                <w:u w:val="single" w:color="auto"/>
              </w:rPr>
              <w:t>%</w:t>
            </w:r>
            <w:r>
              <w:rPr>
                <w:color w:val="auto"/>
                <w:spacing w:val="7"/>
                <w:highlight w:val="none"/>
              </w:rPr>
              <w:t>计罚。</w:t>
            </w:r>
          </w:p>
        </w:tc>
      </w:tr>
      <w:tr w14:paraId="715E9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610" w:type="dxa"/>
            <w:vMerge w:val="restart"/>
            <w:tcBorders>
              <w:bottom w:val="nil"/>
            </w:tcBorders>
            <w:textDirection w:val="tbRlV"/>
            <w:vAlign w:val="top"/>
          </w:tcPr>
          <w:p w14:paraId="0CE69C5F">
            <w:pPr>
              <w:pStyle w:val="17"/>
              <w:spacing w:before="194" w:line="216" w:lineRule="auto"/>
              <w:ind w:left="261"/>
              <w:rPr>
                <w:color w:val="auto"/>
                <w:highlight w:val="none"/>
              </w:rPr>
            </w:pPr>
            <w:r>
              <w:rPr>
                <w:b/>
                <w:bCs/>
                <w:color w:val="auto"/>
                <w:spacing w:val="6"/>
                <w:highlight w:val="none"/>
              </w:rPr>
              <w:t>其</w:t>
            </w:r>
            <w:r>
              <w:rPr>
                <w:color w:val="auto"/>
                <w:spacing w:val="-7"/>
                <w:highlight w:val="none"/>
              </w:rPr>
              <w:t xml:space="preserve"> </w:t>
            </w:r>
            <w:r>
              <w:rPr>
                <w:b/>
                <w:bCs/>
                <w:color w:val="auto"/>
                <w:spacing w:val="6"/>
                <w:highlight w:val="none"/>
              </w:rPr>
              <w:t>他</w:t>
            </w:r>
          </w:p>
        </w:tc>
        <w:tc>
          <w:tcPr>
            <w:tcW w:w="845" w:type="dxa"/>
            <w:vAlign w:val="top"/>
          </w:tcPr>
          <w:p w14:paraId="1F0D055D">
            <w:pPr>
              <w:spacing w:line="384" w:lineRule="auto"/>
              <w:rPr>
                <w:rFonts w:ascii="Arial"/>
                <w:color w:val="auto"/>
                <w:sz w:val="21"/>
                <w:highlight w:val="none"/>
              </w:rPr>
            </w:pPr>
          </w:p>
          <w:p w14:paraId="21879D1E">
            <w:pPr>
              <w:spacing w:before="57"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26</w:t>
            </w:r>
          </w:p>
        </w:tc>
        <w:tc>
          <w:tcPr>
            <w:tcW w:w="7440" w:type="dxa"/>
            <w:vAlign w:val="top"/>
          </w:tcPr>
          <w:p w14:paraId="5E08191A">
            <w:pPr>
              <w:pStyle w:val="17"/>
              <w:spacing w:before="131" w:line="270" w:lineRule="auto"/>
              <w:ind w:left="117" w:right="101" w:firstLine="3"/>
              <w:jc w:val="both"/>
              <w:rPr>
                <w:color w:val="auto"/>
                <w:highlight w:val="none"/>
              </w:rPr>
            </w:pPr>
            <w:r>
              <w:rPr>
                <w:color w:val="auto"/>
                <w:spacing w:val="12"/>
                <w:highlight w:val="none"/>
              </w:rPr>
              <w:t>未按照《广东省公路施工标准化指南》和《广东省高速公路工程施工组织设计和施工方案标准化管理指南》有关规定进行管理或开展监理工作的，每次处以</w:t>
            </w:r>
            <w:r>
              <w:rPr>
                <w:color w:val="auto"/>
                <w:spacing w:val="3"/>
                <w:highlight w:val="none"/>
              </w:rPr>
              <w:t>违约金</w:t>
            </w:r>
            <w:r>
              <w:rPr>
                <w:color w:val="auto"/>
                <w:spacing w:val="-53"/>
                <w:highlight w:val="none"/>
              </w:rPr>
              <w:t xml:space="preserve"> </w:t>
            </w:r>
            <w:r>
              <w:rPr>
                <w:rFonts w:ascii="Times New Roman" w:hAnsi="Times New Roman" w:eastAsia="Times New Roman" w:cs="Times New Roman"/>
                <w:color w:val="auto"/>
                <w:spacing w:val="-25"/>
                <w:highlight w:val="none"/>
                <w:u w:val="single" w:color="auto"/>
              </w:rPr>
              <w:t xml:space="preserve"> </w:t>
            </w:r>
            <w:r>
              <w:rPr>
                <w:rFonts w:ascii="Times New Roman" w:hAnsi="Times New Roman" w:eastAsia="Times New Roman" w:cs="Times New Roman"/>
                <w:color w:val="auto"/>
                <w:spacing w:val="3"/>
                <w:highlight w:val="none"/>
                <w:u w:val="single" w:color="auto"/>
              </w:rPr>
              <w:t>1</w:t>
            </w:r>
            <w:r>
              <w:rPr>
                <w:rFonts w:ascii="Calibri" w:hAnsi="Calibri" w:eastAsia="Calibri" w:cs="Calibri"/>
                <w:color w:val="auto"/>
                <w:spacing w:val="3"/>
                <w:highlight w:val="none"/>
                <w:u w:val="single" w:color="auto"/>
              </w:rPr>
              <w:t>,</w:t>
            </w:r>
            <w:r>
              <w:rPr>
                <w:rFonts w:ascii="Times New Roman" w:hAnsi="Times New Roman" w:eastAsia="Times New Roman" w:cs="Times New Roman"/>
                <w:color w:val="auto"/>
                <w:spacing w:val="3"/>
                <w:highlight w:val="none"/>
                <w:u w:val="single" w:color="auto"/>
              </w:rPr>
              <w:t>000</w:t>
            </w:r>
            <w:r>
              <w:rPr>
                <w:rFonts w:ascii="Calibri" w:hAnsi="Calibri" w:eastAsia="Calibri" w:cs="Calibri"/>
                <w:color w:val="auto"/>
                <w:spacing w:val="3"/>
                <w:highlight w:val="none"/>
                <w:u w:val="single" w:color="auto"/>
              </w:rPr>
              <w:t>--</w:t>
            </w:r>
            <w:r>
              <w:rPr>
                <w:rFonts w:ascii="Times New Roman" w:hAnsi="Times New Roman" w:eastAsia="Times New Roman" w:cs="Times New Roman"/>
                <w:color w:val="auto"/>
                <w:spacing w:val="3"/>
                <w:highlight w:val="none"/>
                <w:u w:val="single" w:color="auto"/>
              </w:rPr>
              <w:t>10</w:t>
            </w:r>
            <w:r>
              <w:rPr>
                <w:rFonts w:ascii="Calibri" w:hAnsi="Calibri" w:eastAsia="Calibri" w:cs="Calibri"/>
                <w:color w:val="auto"/>
                <w:spacing w:val="3"/>
                <w:highlight w:val="none"/>
                <w:u w:val="single" w:color="auto"/>
              </w:rPr>
              <w:t>,</w:t>
            </w:r>
            <w:r>
              <w:rPr>
                <w:rFonts w:ascii="Times New Roman" w:hAnsi="Times New Roman" w:eastAsia="Times New Roman" w:cs="Times New Roman"/>
                <w:color w:val="auto"/>
                <w:spacing w:val="3"/>
                <w:highlight w:val="none"/>
                <w:u w:val="single" w:color="auto"/>
              </w:rPr>
              <w:t>000</w:t>
            </w:r>
            <w:r>
              <w:rPr>
                <w:rFonts w:ascii="Times New Roman" w:hAnsi="Times New Roman" w:eastAsia="Times New Roman" w:cs="Times New Roman"/>
                <w:color w:val="auto"/>
                <w:spacing w:val="3"/>
                <w:highlight w:val="none"/>
              </w:rPr>
              <w:t xml:space="preserve"> </w:t>
            </w:r>
            <w:r>
              <w:rPr>
                <w:color w:val="auto"/>
                <w:spacing w:val="3"/>
                <w:highlight w:val="none"/>
              </w:rPr>
              <w:t>元。</w:t>
            </w:r>
          </w:p>
        </w:tc>
      </w:tr>
      <w:tr w14:paraId="29B41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610" w:type="dxa"/>
            <w:vMerge w:val="continue"/>
            <w:tcBorders>
              <w:top w:val="nil"/>
            </w:tcBorders>
            <w:textDirection w:val="tbRlV"/>
            <w:vAlign w:val="top"/>
          </w:tcPr>
          <w:p w14:paraId="7E0505A0">
            <w:pPr>
              <w:rPr>
                <w:rFonts w:ascii="Arial"/>
                <w:color w:val="auto"/>
                <w:sz w:val="21"/>
                <w:highlight w:val="none"/>
              </w:rPr>
            </w:pPr>
          </w:p>
        </w:tc>
        <w:tc>
          <w:tcPr>
            <w:tcW w:w="845" w:type="dxa"/>
            <w:vAlign w:val="top"/>
          </w:tcPr>
          <w:p w14:paraId="69DD4FF1">
            <w:pPr>
              <w:spacing w:line="447" w:lineRule="auto"/>
              <w:rPr>
                <w:rFonts w:ascii="Arial"/>
                <w:color w:val="auto"/>
                <w:sz w:val="21"/>
                <w:highlight w:val="none"/>
              </w:rPr>
            </w:pPr>
          </w:p>
          <w:p w14:paraId="44547C92">
            <w:pPr>
              <w:spacing w:before="57"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27</w:t>
            </w:r>
          </w:p>
        </w:tc>
        <w:tc>
          <w:tcPr>
            <w:tcW w:w="7440" w:type="dxa"/>
            <w:vAlign w:val="top"/>
          </w:tcPr>
          <w:p w14:paraId="32EC5636">
            <w:pPr>
              <w:pStyle w:val="17"/>
              <w:spacing w:before="284" w:line="278" w:lineRule="auto"/>
              <w:ind w:left="118" w:right="152"/>
              <w:rPr>
                <w:color w:val="auto"/>
                <w:highlight w:val="none"/>
              </w:rPr>
            </w:pPr>
            <w:r>
              <w:rPr>
                <w:color w:val="auto"/>
                <w:spacing w:val="11"/>
                <w:highlight w:val="none"/>
              </w:rPr>
              <w:t>监理人中标法人单位未按合同约定或发包人要求，</w:t>
            </w:r>
            <w:r>
              <w:rPr>
                <w:color w:val="auto"/>
                <w:spacing w:val="10"/>
                <w:highlight w:val="none"/>
              </w:rPr>
              <w:t>对总监办进行监管和支持，</w:t>
            </w:r>
            <w:r>
              <w:rPr>
                <w:color w:val="auto"/>
                <w:spacing w:val="7"/>
                <w:highlight w:val="none"/>
              </w:rPr>
              <w:t>重要事项未提级管理，每次处以违约金</w:t>
            </w:r>
            <w:r>
              <w:rPr>
                <w:color w:val="auto"/>
                <w:spacing w:val="-27"/>
                <w:highlight w:val="none"/>
              </w:rPr>
              <w:t xml:space="preserve"> </w:t>
            </w:r>
            <w:r>
              <w:rPr>
                <w:rFonts w:ascii="Calibri" w:hAnsi="Calibri" w:eastAsia="Calibri" w:cs="Calibri"/>
                <w:color w:val="auto"/>
                <w:spacing w:val="7"/>
                <w:highlight w:val="none"/>
                <w:u w:val="single" w:color="auto"/>
              </w:rPr>
              <w:t>5</w:t>
            </w:r>
            <w:r>
              <w:rPr>
                <w:rFonts w:ascii="Calibri" w:hAnsi="Calibri" w:eastAsia="Calibri" w:cs="Calibri"/>
                <w:color w:val="auto"/>
                <w:spacing w:val="23"/>
                <w:w w:val="101"/>
                <w:highlight w:val="none"/>
                <w:u w:val="single" w:color="auto"/>
              </w:rPr>
              <w:t xml:space="preserve"> </w:t>
            </w:r>
            <w:r>
              <w:rPr>
                <w:color w:val="auto"/>
                <w:spacing w:val="7"/>
                <w:highlight w:val="none"/>
              </w:rPr>
              <w:t>万元。</w:t>
            </w:r>
          </w:p>
        </w:tc>
      </w:tr>
    </w:tbl>
    <w:p w14:paraId="34442687">
      <w:pPr>
        <w:rPr>
          <w:rFonts w:ascii="Arial"/>
          <w:color w:val="auto"/>
          <w:sz w:val="21"/>
          <w:highlight w:val="none"/>
        </w:rPr>
      </w:pPr>
    </w:p>
    <w:p w14:paraId="28B8060E">
      <w:pPr>
        <w:rPr>
          <w:rFonts w:ascii="Arial" w:hAnsi="Arial" w:eastAsia="Arial" w:cs="Arial"/>
          <w:color w:val="auto"/>
          <w:sz w:val="21"/>
          <w:szCs w:val="21"/>
          <w:highlight w:val="none"/>
        </w:rPr>
        <w:sectPr>
          <w:footerReference r:id="rId68" w:type="default"/>
          <w:pgSz w:w="11906" w:h="16839"/>
          <w:pgMar w:top="1416" w:right="1503" w:bottom="1297" w:left="1502" w:header="0" w:footer="1069" w:gutter="0"/>
          <w:pgNumType w:fmt="decimal"/>
          <w:cols w:space="720" w:num="1"/>
        </w:sectPr>
      </w:pPr>
    </w:p>
    <w:tbl>
      <w:tblPr>
        <w:tblStyle w:val="16"/>
        <w:tblW w:w="89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3"/>
        <w:gridCol w:w="853"/>
        <w:gridCol w:w="7450"/>
      </w:tblGrid>
      <w:tr w14:paraId="4A24B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03" w:type="dxa"/>
            <w:textDirection w:val="tbRlV"/>
            <w:vAlign w:val="top"/>
          </w:tcPr>
          <w:p w14:paraId="4F71D6EE">
            <w:pPr>
              <w:pStyle w:val="17"/>
              <w:spacing w:before="186" w:line="216" w:lineRule="auto"/>
              <w:ind w:left="194"/>
              <w:rPr>
                <w:color w:val="auto"/>
                <w:highlight w:val="none"/>
              </w:rPr>
            </w:pPr>
            <w:r>
              <w:rPr>
                <w:b/>
                <w:bCs/>
                <w:color w:val="auto"/>
                <w:spacing w:val="6"/>
                <w:highlight w:val="none"/>
              </w:rPr>
              <w:t>类</w:t>
            </w:r>
            <w:r>
              <w:rPr>
                <w:color w:val="auto"/>
                <w:spacing w:val="-9"/>
                <w:highlight w:val="none"/>
              </w:rPr>
              <w:t xml:space="preserve"> </w:t>
            </w:r>
            <w:r>
              <w:rPr>
                <w:b/>
                <w:bCs/>
                <w:color w:val="auto"/>
                <w:spacing w:val="6"/>
                <w:highlight w:val="none"/>
              </w:rPr>
              <w:t>别</w:t>
            </w:r>
          </w:p>
        </w:tc>
        <w:tc>
          <w:tcPr>
            <w:tcW w:w="853" w:type="dxa"/>
            <w:vAlign w:val="top"/>
          </w:tcPr>
          <w:p w14:paraId="3D5491B0">
            <w:pPr>
              <w:spacing w:line="250" w:lineRule="auto"/>
              <w:rPr>
                <w:rFonts w:ascii="Arial"/>
                <w:color w:val="auto"/>
                <w:sz w:val="21"/>
                <w:highlight w:val="none"/>
              </w:rPr>
            </w:pPr>
          </w:p>
          <w:p w14:paraId="7A149B7D">
            <w:pPr>
              <w:pStyle w:val="17"/>
              <w:spacing w:before="65" w:line="229" w:lineRule="auto"/>
              <w:ind w:left="229"/>
              <w:rPr>
                <w:color w:val="auto"/>
                <w:highlight w:val="none"/>
              </w:rPr>
            </w:pPr>
            <w:r>
              <w:rPr>
                <w:b/>
                <w:bCs/>
                <w:color w:val="auto"/>
                <w:spacing w:val="4"/>
                <w:highlight w:val="none"/>
              </w:rPr>
              <w:t>序号</w:t>
            </w:r>
          </w:p>
        </w:tc>
        <w:tc>
          <w:tcPr>
            <w:tcW w:w="7450" w:type="dxa"/>
            <w:vAlign w:val="top"/>
          </w:tcPr>
          <w:p w14:paraId="062AA6FA">
            <w:pPr>
              <w:spacing w:line="250" w:lineRule="auto"/>
              <w:rPr>
                <w:rFonts w:ascii="Arial"/>
                <w:color w:val="auto"/>
                <w:sz w:val="21"/>
                <w:highlight w:val="none"/>
              </w:rPr>
            </w:pPr>
          </w:p>
          <w:p w14:paraId="27F10150">
            <w:pPr>
              <w:pStyle w:val="17"/>
              <w:spacing w:before="65" w:line="228" w:lineRule="auto"/>
              <w:ind w:left="3032"/>
              <w:rPr>
                <w:color w:val="auto"/>
                <w:highlight w:val="none"/>
              </w:rPr>
            </w:pPr>
            <w:r>
              <w:rPr>
                <w:b/>
                <w:bCs/>
                <w:color w:val="auto"/>
                <w:spacing w:val="6"/>
                <w:highlight w:val="none"/>
              </w:rPr>
              <w:t>违约项目</w:t>
            </w:r>
          </w:p>
        </w:tc>
      </w:tr>
      <w:tr w14:paraId="4B44F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603" w:type="dxa"/>
            <w:vMerge w:val="restart"/>
            <w:tcBorders>
              <w:bottom w:val="nil"/>
            </w:tcBorders>
            <w:vAlign w:val="top"/>
          </w:tcPr>
          <w:p w14:paraId="15C52DA6">
            <w:pPr>
              <w:rPr>
                <w:rFonts w:ascii="Arial"/>
                <w:color w:val="auto"/>
                <w:sz w:val="21"/>
                <w:highlight w:val="none"/>
              </w:rPr>
            </w:pPr>
          </w:p>
        </w:tc>
        <w:tc>
          <w:tcPr>
            <w:tcW w:w="853" w:type="dxa"/>
            <w:vAlign w:val="top"/>
          </w:tcPr>
          <w:p w14:paraId="2F69603E">
            <w:pPr>
              <w:spacing w:line="281" w:lineRule="auto"/>
              <w:rPr>
                <w:rFonts w:ascii="Arial"/>
                <w:color w:val="auto"/>
                <w:sz w:val="21"/>
                <w:highlight w:val="none"/>
              </w:rPr>
            </w:pPr>
          </w:p>
          <w:p w14:paraId="782DAE76">
            <w:pPr>
              <w:spacing w:before="58" w:line="195" w:lineRule="auto"/>
              <w:ind w:left="330"/>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28</w:t>
            </w:r>
          </w:p>
        </w:tc>
        <w:tc>
          <w:tcPr>
            <w:tcW w:w="7450" w:type="dxa"/>
            <w:vAlign w:val="top"/>
          </w:tcPr>
          <w:p w14:paraId="02002738">
            <w:pPr>
              <w:pStyle w:val="17"/>
              <w:spacing w:before="117" w:line="262" w:lineRule="auto"/>
              <w:ind w:left="121" w:right="114" w:hanging="4"/>
              <w:rPr>
                <w:color w:val="auto"/>
                <w:highlight w:val="none"/>
              </w:rPr>
            </w:pPr>
            <w:r>
              <w:rPr>
                <w:color w:val="auto"/>
                <w:spacing w:val="13"/>
                <w:highlight w:val="none"/>
              </w:rPr>
              <w:t>监理人未按合同约定或发包人要求组织监理人员适岗培训，每次处以违约金</w:t>
            </w:r>
            <w:r>
              <w:rPr>
                <w:color w:val="auto"/>
                <w:spacing w:val="-32"/>
                <w:highlight w:val="none"/>
              </w:rPr>
              <w:t xml:space="preserve"> </w:t>
            </w:r>
            <w:r>
              <w:rPr>
                <w:rFonts w:ascii="Calibri" w:hAnsi="Calibri" w:eastAsia="Calibri" w:cs="Calibri"/>
                <w:color w:val="auto"/>
                <w:spacing w:val="13"/>
                <w:highlight w:val="none"/>
                <w:u w:val="single" w:color="auto"/>
              </w:rPr>
              <w:t>5</w:t>
            </w:r>
            <w:r>
              <w:rPr>
                <w:color w:val="auto"/>
                <w:spacing w:val="1"/>
                <w:highlight w:val="none"/>
              </w:rPr>
              <w:t>万元。</w:t>
            </w:r>
          </w:p>
        </w:tc>
      </w:tr>
      <w:tr w14:paraId="54953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03" w:type="dxa"/>
            <w:vMerge w:val="continue"/>
            <w:tcBorders>
              <w:top w:val="nil"/>
            </w:tcBorders>
            <w:vAlign w:val="top"/>
          </w:tcPr>
          <w:p w14:paraId="0F0A051C">
            <w:pPr>
              <w:rPr>
                <w:rFonts w:ascii="Arial"/>
                <w:color w:val="auto"/>
                <w:sz w:val="21"/>
                <w:highlight w:val="none"/>
              </w:rPr>
            </w:pPr>
          </w:p>
        </w:tc>
        <w:tc>
          <w:tcPr>
            <w:tcW w:w="853" w:type="dxa"/>
            <w:vAlign w:val="top"/>
          </w:tcPr>
          <w:p w14:paraId="574DE658">
            <w:pPr>
              <w:spacing w:before="181" w:line="195" w:lineRule="auto"/>
              <w:ind w:left="330"/>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2"/>
                <w:sz w:val="20"/>
                <w:szCs w:val="20"/>
                <w:highlight w:val="none"/>
              </w:rPr>
              <w:t>29</w:t>
            </w:r>
          </w:p>
        </w:tc>
        <w:tc>
          <w:tcPr>
            <w:tcW w:w="7450" w:type="dxa"/>
            <w:vAlign w:val="top"/>
          </w:tcPr>
          <w:p w14:paraId="51228198">
            <w:pPr>
              <w:pStyle w:val="17"/>
              <w:spacing w:before="126" w:line="266" w:lineRule="auto"/>
              <w:ind w:left="121" w:right="114"/>
              <w:rPr>
                <w:color w:val="auto"/>
                <w:highlight w:val="none"/>
              </w:rPr>
            </w:pPr>
            <w:r>
              <w:rPr>
                <w:color w:val="auto"/>
                <w:spacing w:val="13"/>
                <w:highlight w:val="none"/>
              </w:rPr>
              <w:t>总监办未按合同约定工作内容，积极协助发包人进行管理，每次处</w:t>
            </w:r>
            <w:r>
              <w:rPr>
                <w:color w:val="auto"/>
                <w:spacing w:val="12"/>
                <w:highlight w:val="none"/>
              </w:rPr>
              <w:t>以违约金</w:t>
            </w:r>
            <w:r>
              <w:rPr>
                <w:color w:val="auto"/>
                <w:spacing w:val="-32"/>
                <w:highlight w:val="none"/>
              </w:rPr>
              <w:t xml:space="preserve"> </w:t>
            </w:r>
            <w:r>
              <w:rPr>
                <w:rFonts w:ascii="Calibri" w:hAnsi="Calibri" w:eastAsia="Calibri" w:cs="Calibri"/>
                <w:color w:val="auto"/>
                <w:spacing w:val="12"/>
                <w:highlight w:val="none"/>
              </w:rPr>
              <w:t>5</w:t>
            </w:r>
            <w:r>
              <w:rPr>
                <w:color w:val="auto"/>
                <w:spacing w:val="1"/>
                <w:highlight w:val="none"/>
              </w:rPr>
              <w:t>万元。</w:t>
            </w:r>
          </w:p>
        </w:tc>
      </w:tr>
      <w:tr w14:paraId="5FFD0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3" w:hRule="atLeast"/>
        </w:trPr>
        <w:tc>
          <w:tcPr>
            <w:tcW w:w="603" w:type="dxa"/>
            <w:vAlign w:val="top"/>
          </w:tcPr>
          <w:p w14:paraId="430CA671">
            <w:pPr>
              <w:rPr>
                <w:rFonts w:ascii="Arial"/>
                <w:color w:val="auto"/>
                <w:sz w:val="21"/>
                <w:highlight w:val="none"/>
              </w:rPr>
            </w:pPr>
          </w:p>
        </w:tc>
        <w:tc>
          <w:tcPr>
            <w:tcW w:w="853" w:type="dxa"/>
            <w:vAlign w:val="top"/>
          </w:tcPr>
          <w:p w14:paraId="3BE00D86">
            <w:pPr>
              <w:spacing w:line="336" w:lineRule="auto"/>
              <w:rPr>
                <w:rFonts w:ascii="Arial"/>
                <w:color w:val="auto"/>
                <w:sz w:val="21"/>
                <w:highlight w:val="none"/>
              </w:rPr>
            </w:pPr>
          </w:p>
          <w:p w14:paraId="60E6AB3F">
            <w:pPr>
              <w:spacing w:line="337" w:lineRule="auto"/>
              <w:rPr>
                <w:rFonts w:ascii="Arial"/>
                <w:color w:val="auto"/>
                <w:sz w:val="21"/>
                <w:highlight w:val="none"/>
              </w:rPr>
            </w:pPr>
          </w:p>
          <w:p w14:paraId="3B12D92E">
            <w:pPr>
              <w:spacing w:before="58" w:line="195" w:lineRule="auto"/>
              <w:ind w:left="334"/>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30</w:t>
            </w:r>
          </w:p>
        </w:tc>
        <w:tc>
          <w:tcPr>
            <w:tcW w:w="7450" w:type="dxa"/>
            <w:vAlign w:val="top"/>
          </w:tcPr>
          <w:p w14:paraId="0A07B5E5">
            <w:pPr>
              <w:pStyle w:val="17"/>
              <w:spacing w:before="117" w:line="282" w:lineRule="auto"/>
              <w:ind w:left="118" w:right="114" w:hanging="2"/>
              <w:rPr>
                <w:color w:val="auto"/>
                <w:highlight w:val="none"/>
              </w:rPr>
            </w:pPr>
            <w:r>
              <w:rPr>
                <w:color w:val="auto"/>
                <w:spacing w:val="11"/>
                <w:highlight w:val="none"/>
              </w:rPr>
              <w:t>对施工单位的《项目管理方案》审查不到位，视情况处每次</w:t>
            </w:r>
            <w:r>
              <w:rPr>
                <w:color w:val="auto"/>
                <w:spacing w:val="-10"/>
                <w:highlight w:val="none"/>
              </w:rPr>
              <w:t xml:space="preserve"> </w:t>
            </w:r>
            <w:r>
              <w:rPr>
                <w:rFonts w:ascii="Calibri" w:hAnsi="Calibri" w:eastAsia="Calibri" w:cs="Calibri"/>
                <w:color w:val="auto"/>
                <w:spacing w:val="11"/>
                <w:highlight w:val="none"/>
              </w:rPr>
              <w:t>1</w:t>
            </w:r>
            <w:r>
              <w:rPr>
                <w:rFonts w:ascii="Calibri" w:hAnsi="Calibri" w:eastAsia="Calibri" w:cs="Calibri"/>
                <w:color w:val="auto"/>
                <w:spacing w:val="28"/>
                <w:w w:val="101"/>
                <w:highlight w:val="none"/>
              </w:rPr>
              <w:t xml:space="preserve"> </w:t>
            </w:r>
            <w:r>
              <w:rPr>
                <w:color w:val="auto"/>
                <w:spacing w:val="11"/>
                <w:highlight w:val="none"/>
              </w:rPr>
              <w:t>万—</w:t>
            </w:r>
            <w:r>
              <w:rPr>
                <w:rFonts w:ascii="Calibri" w:hAnsi="Calibri" w:eastAsia="Calibri" w:cs="Calibri"/>
                <w:color w:val="auto"/>
                <w:spacing w:val="11"/>
                <w:highlight w:val="none"/>
              </w:rPr>
              <w:t>2</w:t>
            </w:r>
            <w:r>
              <w:rPr>
                <w:rFonts w:ascii="Calibri" w:hAnsi="Calibri" w:eastAsia="Calibri" w:cs="Calibri"/>
                <w:color w:val="auto"/>
                <w:spacing w:val="27"/>
                <w:w w:val="101"/>
                <w:highlight w:val="none"/>
              </w:rPr>
              <w:t xml:space="preserve"> </w:t>
            </w:r>
            <w:r>
              <w:rPr>
                <w:color w:val="auto"/>
                <w:spacing w:val="11"/>
                <w:highlight w:val="none"/>
              </w:rPr>
              <w:t>万元违约</w:t>
            </w:r>
            <w:r>
              <w:rPr>
                <w:color w:val="auto"/>
                <w:spacing w:val="-1"/>
                <w:highlight w:val="none"/>
              </w:rPr>
              <w:t>金。</w:t>
            </w:r>
          </w:p>
          <w:p w14:paraId="71477E9C">
            <w:pPr>
              <w:pStyle w:val="17"/>
              <w:spacing w:before="78" w:line="228" w:lineRule="auto"/>
              <w:ind w:left="120"/>
              <w:rPr>
                <w:color w:val="auto"/>
                <w:highlight w:val="none"/>
              </w:rPr>
            </w:pPr>
            <w:r>
              <w:rPr>
                <w:color w:val="auto"/>
                <w:spacing w:val="5"/>
                <w:highlight w:val="none"/>
              </w:rPr>
              <w:t>未按时检查处以违约金</w:t>
            </w:r>
            <w:r>
              <w:rPr>
                <w:color w:val="auto"/>
                <w:spacing w:val="-31"/>
                <w:highlight w:val="none"/>
              </w:rPr>
              <w:t xml:space="preserve"> </w:t>
            </w:r>
            <w:r>
              <w:rPr>
                <w:rFonts w:ascii="Calibri" w:hAnsi="Calibri" w:eastAsia="Calibri" w:cs="Calibri"/>
                <w:color w:val="auto"/>
                <w:spacing w:val="5"/>
                <w:highlight w:val="none"/>
              </w:rPr>
              <w:t>0.5</w:t>
            </w:r>
            <w:r>
              <w:rPr>
                <w:rFonts w:ascii="Calibri" w:hAnsi="Calibri" w:eastAsia="Calibri" w:cs="Calibri"/>
                <w:color w:val="auto"/>
                <w:spacing w:val="26"/>
                <w:highlight w:val="none"/>
              </w:rPr>
              <w:t xml:space="preserve"> </w:t>
            </w:r>
            <w:r>
              <w:rPr>
                <w:color w:val="auto"/>
                <w:spacing w:val="5"/>
                <w:highlight w:val="none"/>
              </w:rPr>
              <w:t>万—</w:t>
            </w:r>
            <w:r>
              <w:rPr>
                <w:rFonts w:ascii="Calibri" w:hAnsi="Calibri" w:eastAsia="Calibri" w:cs="Calibri"/>
                <w:color w:val="auto"/>
                <w:spacing w:val="5"/>
                <w:highlight w:val="none"/>
              </w:rPr>
              <w:t>1</w:t>
            </w:r>
            <w:r>
              <w:rPr>
                <w:rFonts w:ascii="Calibri" w:hAnsi="Calibri" w:eastAsia="Calibri" w:cs="Calibri"/>
                <w:color w:val="auto"/>
                <w:spacing w:val="23"/>
                <w:highlight w:val="none"/>
              </w:rPr>
              <w:t xml:space="preserve"> </w:t>
            </w:r>
            <w:r>
              <w:rPr>
                <w:color w:val="auto"/>
                <w:spacing w:val="5"/>
                <w:highlight w:val="none"/>
              </w:rPr>
              <w:t>万元。</w:t>
            </w:r>
          </w:p>
          <w:p w14:paraId="504E9555">
            <w:pPr>
              <w:pStyle w:val="17"/>
              <w:spacing w:before="149" w:line="211" w:lineRule="auto"/>
              <w:ind w:left="116"/>
              <w:rPr>
                <w:color w:val="auto"/>
                <w:sz w:val="22"/>
                <w:szCs w:val="22"/>
                <w:highlight w:val="none"/>
              </w:rPr>
            </w:pPr>
            <w:r>
              <w:rPr>
                <w:color w:val="auto"/>
                <w:spacing w:val="7"/>
                <w:highlight w:val="none"/>
              </w:rPr>
              <w:t>检查不到位，没有及时督促整改处以违约金</w:t>
            </w:r>
            <w:r>
              <w:rPr>
                <w:color w:val="auto"/>
                <w:spacing w:val="-37"/>
                <w:highlight w:val="none"/>
              </w:rPr>
              <w:t xml:space="preserve"> </w:t>
            </w:r>
            <w:r>
              <w:rPr>
                <w:rFonts w:ascii="Calibri" w:hAnsi="Calibri" w:eastAsia="Calibri" w:cs="Calibri"/>
                <w:color w:val="auto"/>
                <w:spacing w:val="7"/>
                <w:highlight w:val="none"/>
              </w:rPr>
              <w:t>0.5</w:t>
            </w:r>
            <w:r>
              <w:rPr>
                <w:rFonts w:ascii="Calibri" w:hAnsi="Calibri" w:eastAsia="Calibri" w:cs="Calibri"/>
                <w:color w:val="auto"/>
                <w:spacing w:val="23"/>
                <w:highlight w:val="none"/>
              </w:rPr>
              <w:t xml:space="preserve"> </w:t>
            </w:r>
            <w:r>
              <w:rPr>
                <w:color w:val="auto"/>
                <w:spacing w:val="7"/>
                <w:highlight w:val="none"/>
              </w:rPr>
              <w:t>万—</w:t>
            </w:r>
            <w:r>
              <w:rPr>
                <w:rFonts w:ascii="Calibri" w:hAnsi="Calibri" w:eastAsia="Calibri" w:cs="Calibri"/>
                <w:color w:val="auto"/>
                <w:spacing w:val="7"/>
                <w:highlight w:val="none"/>
              </w:rPr>
              <w:t>1</w:t>
            </w:r>
            <w:r>
              <w:rPr>
                <w:rFonts w:ascii="Calibri" w:hAnsi="Calibri" w:eastAsia="Calibri" w:cs="Calibri"/>
                <w:color w:val="auto"/>
                <w:spacing w:val="25"/>
                <w:w w:val="101"/>
                <w:highlight w:val="none"/>
              </w:rPr>
              <w:t xml:space="preserve"> </w:t>
            </w:r>
            <w:r>
              <w:rPr>
                <w:color w:val="auto"/>
                <w:spacing w:val="7"/>
                <w:highlight w:val="none"/>
              </w:rPr>
              <w:t>万元</w:t>
            </w:r>
            <w:r>
              <w:rPr>
                <w:color w:val="auto"/>
                <w:spacing w:val="7"/>
                <w:sz w:val="22"/>
                <w:szCs w:val="22"/>
                <w:highlight w:val="none"/>
              </w:rPr>
              <w:t>。</w:t>
            </w:r>
          </w:p>
        </w:tc>
      </w:tr>
      <w:tr w14:paraId="67228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603" w:type="dxa"/>
            <w:vMerge w:val="restart"/>
            <w:tcBorders>
              <w:bottom w:val="nil"/>
            </w:tcBorders>
            <w:textDirection w:val="tbRlV"/>
            <w:vAlign w:val="top"/>
          </w:tcPr>
          <w:p w14:paraId="71C4C742">
            <w:pPr>
              <w:pStyle w:val="17"/>
              <w:spacing w:before="192" w:line="217" w:lineRule="auto"/>
              <w:ind w:left="4412"/>
              <w:rPr>
                <w:color w:val="auto"/>
                <w:highlight w:val="none"/>
              </w:rPr>
            </w:pPr>
            <w:r>
              <w:rPr>
                <w:b/>
                <w:bCs/>
                <w:color w:val="auto"/>
                <w:spacing w:val="6"/>
                <w:highlight w:val="none"/>
              </w:rPr>
              <w:t>安</w:t>
            </w:r>
            <w:r>
              <w:rPr>
                <w:color w:val="auto"/>
                <w:spacing w:val="-8"/>
                <w:highlight w:val="none"/>
              </w:rPr>
              <w:t xml:space="preserve"> </w:t>
            </w:r>
            <w:r>
              <w:rPr>
                <w:b/>
                <w:bCs/>
                <w:color w:val="auto"/>
                <w:spacing w:val="6"/>
                <w:highlight w:val="none"/>
              </w:rPr>
              <w:t>全</w:t>
            </w:r>
            <w:r>
              <w:rPr>
                <w:color w:val="auto"/>
                <w:spacing w:val="-8"/>
                <w:highlight w:val="none"/>
              </w:rPr>
              <w:t xml:space="preserve"> </w:t>
            </w:r>
            <w:r>
              <w:rPr>
                <w:b/>
                <w:bCs/>
                <w:color w:val="auto"/>
                <w:spacing w:val="6"/>
                <w:highlight w:val="none"/>
              </w:rPr>
              <w:t>罚</w:t>
            </w:r>
            <w:r>
              <w:rPr>
                <w:color w:val="auto"/>
                <w:spacing w:val="-9"/>
                <w:highlight w:val="none"/>
              </w:rPr>
              <w:t xml:space="preserve"> </w:t>
            </w:r>
            <w:r>
              <w:rPr>
                <w:b/>
                <w:bCs/>
                <w:color w:val="auto"/>
                <w:spacing w:val="6"/>
                <w:highlight w:val="none"/>
              </w:rPr>
              <w:t>款</w:t>
            </w:r>
          </w:p>
        </w:tc>
        <w:tc>
          <w:tcPr>
            <w:tcW w:w="853" w:type="dxa"/>
            <w:vAlign w:val="top"/>
          </w:tcPr>
          <w:p w14:paraId="0C970A7E">
            <w:pPr>
              <w:spacing w:before="228" w:line="195" w:lineRule="auto"/>
              <w:ind w:left="39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1</w:t>
            </w:r>
          </w:p>
        </w:tc>
        <w:tc>
          <w:tcPr>
            <w:tcW w:w="7450" w:type="dxa"/>
            <w:vAlign w:val="top"/>
          </w:tcPr>
          <w:p w14:paraId="1B8CB87A">
            <w:pPr>
              <w:pStyle w:val="17"/>
              <w:spacing w:before="130" w:line="221" w:lineRule="auto"/>
              <w:ind w:left="223"/>
              <w:rPr>
                <w:rFonts w:ascii="Times New Roman" w:hAnsi="Times New Roman" w:eastAsia="Times New Roman" w:cs="Times New Roman"/>
                <w:color w:val="auto"/>
                <w:highlight w:val="none"/>
              </w:rPr>
            </w:pPr>
            <w:r>
              <w:rPr>
                <w:color w:val="auto"/>
                <w:spacing w:val="8"/>
                <w:highlight w:val="none"/>
              </w:rPr>
              <w:t>监理人员违反施工现场安全管理规定的，每人次罚款</w:t>
            </w:r>
            <w:r>
              <w:rPr>
                <w:color w:val="auto"/>
                <w:spacing w:val="-37"/>
                <w:highlight w:val="none"/>
              </w:rPr>
              <w:t xml:space="preserve"> </w:t>
            </w:r>
            <w:r>
              <w:rPr>
                <w:rFonts w:ascii="Times New Roman" w:hAnsi="Times New Roman" w:eastAsia="Times New Roman" w:cs="Times New Roman"/>
                <w:color w:val="auto"/>
                <w:spacing w:val="8"/>
                <w:highlight w:val="none"/>
              </w:rPr>
              <w:t>5</w:t>
            </w:r>
            <w:r>
              <w:rPr>
                <w:rFonts w:ascii="Times New Roman" w:hAnsi="Times New Roman" w:eastAsia="Times New Roman" w:cs="Times New Roman"/>
                <w:color w:val="auto"/>
                <w:spacing w:val="7"/>
                <w:highlight w:val="none"/>
              </w:rPr>
              <w:t xml:space="preserve">00 </w:t>
            </w:r>
            <w:r>
              <w:rPr>
                <w:color w:val="auto"/>
                <w:spacing w:val="7"/>
                <w:highlight w:val="none"/>
              </w:rPr>
              <w:t>元</w:t>
            </w:r>
            <w:r>
              <w:rPr>
                <w:rFonts w:ascii="Times New Roman" w:hAnsi="Times New Roman" w:eastAsia="Times New Roman" w:cs="Times New Roman"/>
                <w:color w:val="auto"/>
                <w:spacing w:val="7"/>
                <w:highlight w:val="none"/>
              </w:rPr>
              <w:t>;</w:t>
            </w:r>
          </w:p>
        </w:tc>
      </w:tr>
      <w:tr w14:paraId="0137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603" w:type="dxa"/>
            <w:vMerge w:val="continue"/>
            <w:tcBorders>
              <w:top w:val="nil"/>
              <w:bottom w:val="nil"/>
            </w:tcBorders>
            <w:textDirection w:val="tbRlV"/>
            <w:vAlign w:val="top"/>
          </w:tcPr>
          <w:p w14:paraId="5333817A">
            <w:pPr>
              <w:rPr>
                <w:rFonts w:ascii="Arial"/>
                <w:color w:val="auto"/>
                <w:sz w:val="21"/>
                <w:highlight w:val="none"/>
              </w:rPr>
            </w:pPr>
          </w:p>
        </w:tc>
        <w:tc>
          <w:tcPr>
            <w:tcW w:w="853" w:type="dxa"/>
            <w:vAlign w:val="top"/>
          </w:tcPr>
          <w:p w14:paraId="42D6DCAD">
            <w:pPr>
              <w:spacing w:line="293" w:lineRule="auto"/>
              <w:rPr>
                <w:rFonts w:ascii="Arial"/>
                <w:color w:val="auto"/>
                <w:sz w:val="21"/>
                <w:highlight w:val="none"/>
              </w:rPr>
            </w:pPr>
          </w:p>
          <w:p w14:paraId="33FBB85C">
            <w:pPr>
              <w:spacing w:before="57" w:line="195" w:lineRule="auto"/>
              <w:ind w:left="37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2</w:t>
            </w:r>
          </w:p>
        </w:tc>
        <w:tc>
          <w:tcPr>
            <w:tcW w:w="7450" w:type="dxa"/>
            <w:vAlign w:val="top"/>
          </w:tcPr>
          <w:p w14:paraId="4F8A9A41">
            <w:pPr>
              <w:pStyle w:val="17"/>
              <w:spacing w:before="121" w:line="261" w:lineRule="auto"/>
              <w:ind w:left="225" w:right="301" w:hanging="4"/>
              <w:rPr>
                <w:rFonts w:ascii="Times New Roman" w:hAnsi="Times New Roman" w:eastAsia="Times New Roman" w:cs="Times New Roman"/>
                <w:color w:val="auto"/>
                <w:highlight w:val="none"/>
              </w:rPr>
            </w:pPr>
            <w:r>
              <w:rPr>
                <w:color w:val="auto"/>
                <w:spacing w:val="10"/>
                <w:highlight w:val="none"/>
              </w:rPr>
              <w:t>施工现场存在严重安全隐患，监理人未及时发现或发</w:t>
            </w:r>
            <w:r>
              <w:rPr>
                <w:color w:val="auto"/>
                <w:spacing w:val="9"/>
                <w:highlight w:val="none"/>
              </w:rPr>
              <w:t>现后未采取措施的，每</w:t>
            </w:r>
            <w:r>
              <w:rPr>
                <w:color w:val="auto"/>
                <w:spacing w:val="3"/>
                <w:highlight w:val="none"/>
              </w:rPr>
              <w:t>项罚款</w:t>
            </w:r>
            <w:r>
              <w:rPr>
                <w:color w:val="auto"/>
                <w:spacing w:val="-37"/>
                <w:highlight w:val="none"/>
              </w:rPr>
              <w:t xml:space="preserve"> </w:t>
            </w:r>
            <w:r>
              <w:rPr>
                <w:rFonts w:ascii="Times New Roman" w:hAnsi="Times New Roman" w:eastAsia="Times New Roman" w:cs="Times New Roman"/>
                <w:color w:val="auto"/>
                <w:spacing w:val="3"/>
                <w:highlight w:val="none"/>
              </w:rPr>
              <w:t xml:space="preserve">3000 </w:t>
            </w:r>
            <w:r>
              <w:rPr>
                <w:color w:val="auto"/>
                <w:spacing w:val="3"/>
                <w:highlight w:val="none"/>
              </w:rPr>
              <w:t>元</w:t>
            </w:r>
            <w:r>
              <w:rPr>
                <w:rFonts w:ascii="Times New Roman" w:hAnsi="Times New Roman" w:eastAsia="Times New Roman" w:cs="Times New Roman"/>
                <w:color w:val="auto"/>
                <w:spacing w:val="3"/>
                <w:highlight w:val="none"/>
              </w:rPr>
              <w:t>;</w:t>
            </w:r>
          </w:p>
        </w:tc>
      </w:tr>
      <w:tr w14:paraId="34087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603" w:type="dxa"/>
            <w:vMerge w:val="continue"/>
            <w:tcBorders>
              <w:top w:val="nil"/>
              <w:bottom w:val="nil"/>
            </w:tcBorders>
            <w:textDirection w:val="tbRlV"/>
            <w:vAlign w:val="top"/>
          </w:tcPr>
          <w:p w14:paraId="7FC7FF52">
            <w:pPr>
              <w:rPr>
                <w:rFonts w:ascii="Arial"/>
                <w:color w:val="auto"/>
                <w:sz w:val="21"/>
                <w:highlight w:val="none"/>
              </w:rPr>
            </w:pPr>
          </w:p>
        </w:tc>
        <w:tc>
          <w:tcPr>
            <w:tcW w:w="853" w:type="dxa"/>
            <w:vAlign w:val="top"/>
          </w:tcPr>
          <w:p w14:paraId="4FAB28BF">
            <w:pPr>
              <w:spacing w:line="294" w:lineRule="auto"/>
              <w:rPr>
                <w:rFonts w:ascii="Arial"/>
                <w:color w:val="auto"/>
                <w:sz w:val="21"/>
                <w:highlight w:val="none"/>
              </w:rPr>
            </w:pPr>
          </w:p>
          <w:p w14:paraId="52A2E8B6">
            <w:pPr>
              <w:spacing w:before="58" w:line="195" w:lineRule="auto"/>
              <w:ind w:left="377"/>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3</w:t>
            </w:r>
          </w:p>
        </w:tc>
        <w:tc>
          <w:tcPr>
            <w:tcW w:w="7450" w:type="dxa"/>
            <w:vAlign w:val="top"/>
          </w:tcPr>
          <w:p w14:paraId="543F9708">
            <w:pPr>
              <w:pStyle w:val="17"/>
              <w:spacing w:before="121" w:line="261" w:lineRule="auto"/>
              <w:ind w:left="230" w:right="301" w:hanging="9"/>
              <w:rPr>
                <w:rFonts w:ascii="Times New Roman" w:hAnsi="Times New Roman" w:eastAsia="Times New Roman" w:cs="Times New Roman"/>
                <w:color w:val="auto"/>
                <w:highlight w:val="none"/>
              </w:rPr>
            </w:pPr>
            <w:r>
              <w:rPr>
                <w:color w:val="auto"/>
                <w:spacing w:val="10"/>
                <w:highlight w:val="none"/>
              </w:rPr>
              <w:t>施工单位未按规定整改期限及时整改安全隐患，监理</w:t>
            </w:r>
            <w:r>
              <w:rPr>
                <w:color w:val="auto"/>
                <w:spacing w:val="9"/>
                <w:highlight w:val="none"/>
              </w:rPr>
              <w:t>人未采取措施的，每项</w:t>
            </w:r>
            <w:r>
              <w:rPr>
                <w:color w:val="auto"/>
                <w:highlight w:val="none"/>
              </w:rPr>
              <w:t>罚款</w:t>
            </w:r>
            <w:r>
              <w:rPr>
                <w:color w:val="auto"/>
                <w:spacing w:val="-23"/>
                <w:highlight w:val="none"/>
              </w:rPr>
              <w:t xml:space="preserve"> </w:t>
            </w:r>
            <w:r>
              <w:rPr>
                <w:rFonts w:ascii="Times New Roman" w:hAnsi="Times New Roman" w:eastAsia="Times New Roman" w:cs="Times New Roman"/>
                <w:color w:val="auto"/>
                <w:highlight w:val="none"/>
              </w:rPr>
              <w:t xml:space="preserve">1000 </w:t>
            </w:r>
            <w:r>
              <w:rPr>
                <w:color w:val="auto"/>
                <w:highlight w:val="none"/>
              </w:rPr>
              <w:t>元</w:t>
            </w:r>
            <w:r>
              <w:rPr>
                <w:rFonts w:ascii="Times New Roman" w:hAnsi="Times New Roman" w:eastAsia="Times New Roman" w:cs="Times New Roman"/>
                <w:color w:val="auto"/>
                <w:highlight w:val="none"/>
              </w:rPr>
              <w:t>;</w:t>
            </w:r>
          </w:p>
        </w:tc>
      </w:tr>
      <w:tr w14:paraId="6DE6C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6" w:hRule="atLeast"/>
        </w:trPr>
        <w:tc>
          <w:tcPr>
            <w:tcW w:w="603" w:type="dxa"/>
            <w:vMerge w:val="continue"/>
            <w:tcBorders>
              <w:top w:val="nil"/>
              <w:bottom w:val="nil"/>
            </w:tcBorders>
            <w:textDirection w:val="tbRlV"/>
            <w:vAlign w:val="top"/>
          </w:tcPr>
          <w:p w14:paraId="66EDDB24">
            <w:pPr>
              <w:rPr>
                <w:rFonts w:ascii="Arial"/>
                <w:color w:val="auto"/>
                <w:sz w:val="21"/>
                <w:highlight w:val="none"/>
              </w:rPr>
            </w:pPr>
          </w:p>
        </w:tc>
        <w:tc>
          <w:tcPr>
            <w:tcW w:w="853" w:type="dxa"/>
            <w:vAlign w:val="top"/>
          </w:tcPr>
          <w:p w14:paraId="14BA5BCD">
            <w:pPr>
              <w:spacing w:line="256" w:lineRule="auto"/>
              <w:rPr>
                <w:rFonts w:ascii="Arial"/>
                <w:color w:val="auto"/>
                <w:sz w:val="21"/>
                <w:highlight w:val="none"/>
              </w:rPr>
            </w:pPr>
          </w:p>
          <w:p w14:paraId="36252394">
            <w:pPr>
              <w:spacing w:line="257" w:lineRule="auto"/>
              <w:rPr>
                <w:rFonts w:ascii="Arial"/>
                <w:color w:val="auto"/>
                <w:sz w:val="21"/>
                <w:highlight w:val="none"/>
              </w:rPr>
            </w:pPr>
          </w:p>
          <w:p w14:paraId="173AD644">
            <w:pPr>
              <w:spacing w:line="257" w:lineRule="auto"/>
              <w:rPr>
                <w:rFonts w:ascii="Arial"/>
                <w:color w:val="auto"/>
                <w:sz w:val="21"/>
                <w:highlight w:val="none"/>
              </w:rPr>
            </w:pPr>
          </w:p>
          <w:p w14:paraId="7E324B96">
            <w:pPr>
              <w:spacing w:line="257" w:lineRule="auto"/>
              <w:rPr>
                <w:rFonts w:ascii="Arial"/>
                <w:color w:val="auto"/>
                <w:sz w:val="21"/>
                <w:highlight w:val="none"/>
              </w:rPr>
            </w:pPr>
          </w:p>
          <w:p w14:paraId="605E2BD0">
            <w:pPr>
              <w:spacing w:line="257" w:lineRule="auto"/>
              <w:rPr>
                <w:rFonts w:ascii="Arial"/>
                <w:color w:val="auto"/>
                <w:sz w:val="21"/>
                <w:highlight w:val="none"/>
              </w:rPr>
            </w:pPr>
          </w:p>
          <w:p w14:paraId="0C0137B8">
            <w:pPr>
              <w:spacing w:line="257" w:lineRule="auto"/>
              <w:rPr>
                <w:rFonts w:ascii="Arial"/>
                <w:color w:val="auto"/>
                <w:sz w:val="21"/>
                <w:highlight w:val="none"/>
              </w:rPr>
            </w:pPr>
          </w:p>
          <w:p w14:paraId="1BE428EE">
            <w:pPr>
              <w:spacing w:line="257" w:lineRule="auto"/>
              <w:rPr>
                <w:rFonts w:ascii="Arial"/>
                <w:color w:val="auto"/>
                <w:sz w:val="21"/>
                <w:highlight w:val="none"/>
              </w:rPr>
            </w:pPr>
          </w:p>
          <w:p w14:paraId="425970DB">
            <w:pPr>
              <w:spacing w:before="58" w:line="195" w:lineRule="auto"/>
              <w:ind w:left="372"/>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1"/>
                <w:sz w:val="20"/>
                <w:szCs w:val="20"/>
                <w:highlight w:val="none"/>
              </w:rPr>
              <w:t>4</w:t>
            </w:r>
          </w:p>
        </w:tc>
        <w:tc>
          <w:tcPr>
            <w:tcW w:w="7450" w:type="dxa"/>
            <w:vAlign w:val="top"/>
          </w:tcPr>
          <w:p w14:paraId="157E9F43">
            <w:pPr>
              <w:pStyle w:val="17"/>
              <w:spacing w:before="119" w:line="227" w:lineRule="auto"/>
              <w:ind w:left="221"/>
              <w:rPr>
                <w:color w:val="auto"/>
                <w:highlight w:val="none"/>
              </w:rPr>
            </w:pPr>
            <w:r>
              <w:rPr>
                <w:color w:val="auto"/>
                <w:spacing w:val="8"/>
                <w:highlight w:val="none"/>
              </w:rPr>
              <w:t>施工单位存在下列情况，监理人未采取措施的，每项罚款</w:t>
            </w:r>
            <w:r>
              <w:rPr>
                <w:color w:val="auto"/>
                <w:spacing w:val="-43"/>
                <w:highlight w:val="none"/>
              </w:rPr>
              <w:t xml:space="preserve"> </w:t>
            </w:r>
            <w:r>
              <w:rPr>
                <w:rFonts w:ascii="Times New Roman" w:hAnsi="Times New Roman" w:eastAsia="Times New Roman" w:cs="Times New Roman"/>
                <w:color w:val="auto"/>
                <w:spacing w:val="8"/>
                <w:highlight w:val="none"/>
              </w:rPr>
              <w:t xml:space="preserve">2000 </w:t>
            </w:r>
            <w:r>
              <w:rPr>
                <w:color w:val="auto"/>
                <w:spacing w:val="8"/>
                <w:highlight w:val="none"/>
              </w:rPr>
              <w:t>元：</w:t>
            </w:r>
          </w:p>
          <w:p w14:paraId="480354EC">
            <w:pPr>
              <w:pStyle w:val="17"/>
              <w:spacing w:before="143" w:line="226" w:lineRule="auto"/>
              <w:ind w:left="232"/>
              <w:rPr>
                <w:color w:val="auto"/>
                <w:highlight w:val="none"/>
              </w:rPr>
            </w:pPr>
            <w:r>
              <w:rPr>
                <w:color w:val="auto"/>
                <w:spacing w:val="8"/>
                <w:highlight w:val="none"/>
              </w:rPr>
              <w:t>（一）未按规定开展桥梁隧道工程施工安全风险评估的。</w:t>
            </w:r>
          </w:p>
          <w:p w14:paraId="1EA2DE8D">
            <w:pPr>
              <w:pStyle w:val="17"/>
              <w:spacing w:before="145" w:line="254" w:lineRule="auto"/>
              <w:ind w:left="223" w:right="205" w:firstLine="9"/>
              <w:rPr>
                <w:color w:val="auto"/>
                <w:highlight w:val="none"/>
              </w:rPr>
            </w:pPr>
            <w:r>
              <w:rPr>
                <w:color w:val="auto"/>
                <w:spacing w:val="12"/>
                <w:highlight w:val="none"/>
              </w:rPr>
              <w:t>（二）未按规定完成专项施工安全技术方案的编制、论证、审核、审批手续</w:t>
            </w:r>
            <w:r>
              <w:rPr>
                <w:color w:val="auto"/>
                <w:spacing w:val="6"/>
                <w:highlight w:val="none"/>
              </w:rPr>
              <w:t>而擅自施工的。</w:t>
            </w:r>
          </w:p>
          <w:p w14:paraId="77B58226">
            <w:pPr>
              <w:pStyle w:val="17"/>
              <w:spacing w:before="141" w:line="228" w:lineRule="auto"/>
              <w:ind w:left="232"/>
              <w:rPr>
                <w:color w:val="auto"/>
                <w:highlight w:val="none"/>
              </w:rPr>
            </w:pPr>
            <w:r>
              <w:rPr>
                <w:color w:val="auto"/>
                <w:spacing w:val="8"/>
                <w:highlight w:val="none"/>
              </w:rPr>
              <w:t>（三）未按已审批专项方案的安全技术要求施工的。</w:t>
            </w:r>
          </w:p>
          <w:p w14:paraId="4FC2F334">
            <w:pPr>
              <w:pStyle w:val="17"/>
              <w:spacing w:before="144" w:line="228" w:lineRule="auto"/>
              <w:ind w:left="232"/>
              <w:rPr>
                <w:color w:val="auto"/>
                <w:highlight w:val="none"/>
              </w:rPr>
            </w:pPr>
            <w:r>
              <w:rPr>
                <w:color w:val="auto"/>
                <w:spacing w:val="9"/>
                <w:highlight w:val="none"/>
              </w:rPr>
              <w:t>（四）危险性较大分部分项工程未经组织验收而擅自开展下一步施工的。</w:t>
            </w:r>
          </w:p>
          <w:p w14:paraId="16B8E917">
            <w:pPr>
              <w:pStyle w:val="17"/>
              <w:spacing w:before="142" w:line="252" w:lineRule="auto"/>
              <w:ind w:left="222" w:right="205" w:firstLine="10"/>
              <w:rPr>
                <w:color w:val="auto"/>
                <w:highlight w:val="none"/>
              </w:rPr>
            </w:pPr>
            <w:r>
              <w:rPr>
                <w:color w:val="auto"/>
                <w:spacing w:val="12"/>
                <w:highlight w:val="none"/>
              </w:rPr>
              <w:t>（五）未按规定办理爆破工程施工、涉石油天燃气管道施工、跨路施工、交</w:t>
            </w:r>
            <w:r>
              <w:rPr>
                <w:color w:val="auto"/>
                <w:spacing w:val="9"/>
                <w:highlight w:val="none"/>
              </w:rPr>
              <w:t>通管制及水上水下作业的相关安全许可手续而擅自施工的。</w:t>
            </w:r>
          </w:p>
          <w:p w14:paraId="2A7339A5">
            <w:pPr>
              <w:pStyle w:val="17"/>
              <w:spacing w:before="145" w:line="227" w:lineRule="auto"/>
              <w:ind w:left="232"/>
              <w:rPr>
                <w:color w:val="auto"/>
                <w:highlight w:val="none"/>
              </w:rPr>
            </w:pPr>
            <w:r>
              <w:rPr>
                <w:color w:val="auto"/>
                <w:spacing w:val="9"/>
                <w:highlight w:val="none"/>
              </w:rPr>
              <w:t>（六）所使用的特种设备未经生产许可或未经专业检测机构检验合格的。</w:t>
            </w:r>
          </w:p>
          <w:p w14:paraId="6906AD55">
            <w:pPr>
              <w:pStyle w:val="17"/>
              <w:spacing w:before="142" w:line="228" w:lineRule="auto"/>
              <w:ind w:left="232"/>
              <w:rPr>
                <w:color w:val="auto"/>
                <w:highlight w:val="none"/>
              </w:rPr>
            </w:pPr>
            <w:r>
              <w:rPr>
                <w:color w:val="auto"/>
                <w:spacing w:val="8"/>
                <w:highlight w:val="none"/>
              </w:rPr>
              <w:t>（七）未按照上级文件要求贯彻落实实名制系统。</w:t>
            </w:r>
          </w:p>
        </w:tc>
      </w:tr>
      <w:tr w14:paraId="787D9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603" w:type="dxa"/>
            <w:vMerge w:val="continue"/>
            <w:tcBorders>
              <w:top w:val="nil"/>
              <w:bottom w:val="nil"/>
            </w:tcBorders>
            <w:textDirection w:val="tbRlV"/>
            <w:vAlign w:val="top"/>
          </w:tcPr>
          <w:p w14:paraId="3C6A7E78">
            <w:pPr>
              <w:rPr>
                <w:rFonts w:ascii="Arial"/>
                <w:color w:val="auto"/>
                <w:sz w:val="21"/>
                <w:highlight w:val="none"/>
              </w:rPr>
            </w:pPr>
          </w:p>
        </w:tc>
        <w:tc>
          <w:tcPr>
            <w:tcW w:w="853" w:type="dxa"/>
            <w:vAlign w:val="top"/>
          </w:tcPr>
          <w:p w14:paraId="6E6212D1">
            <w:pPr>
              <w:spacing w:line="293" w:lineRule="auto"/>
              <w:rPr>
                <w:rFonts w:ascii="Arial"/>
                <w:color w:val="auto"/>
                <w:sz w:val="21"/>
                <w:highlight w:val="none"/>
              </w:rPr>
            </w:pPr>
          </w:p>
          <w:p w14:paraId="205B877D">
            <w:pPr>
              <w:spacing w:line="293" w:lineRule="auto"/>
              <w:rPr>
                <w:rFonts w:ascii="Arial"/>
                <w:color w:val="auto"/>
                <w:sz w:val="21"/>
                <w:highlight w:val="none"/>
              </w:rPr>
            </w:pPr>
          </w:p>
          <w:p w14:paraId="52653479">
            <w:pPr>
              <w:spacing w:line="293" w:lineRule="auto"/>
              <w:rPr>
                <w:rFonts w:ascii="Arial"/>
                <w:color w:val="auto"/>
                <w:sz w:val="21"/>
                <w:highlight w:val="none"/>
              </w:rPr>
            </w:pPr>
          </w:p>
          <w:p w14:paraId="4126EB2D">
            <w:pPr>
              <w:spacing w:before="57" w:line="192" w:lineRule="auto"/>
              <w:ind w:left="379"/>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5</w:t>
            </w:r>
          </w:p>
        </w:tc>
        <w:tc>
          <w:tcPr>
            <w:tcW w:w="7450" w:type="dxa"/>
            <w:vAlign w:val="top"/>
          </w:tcPr>
          <w:p w14:paraId="2770CBCD">
            <w:pPr>
              <w:pStyle w:val="17"/>
              <w:spacing w:before="123" w:line="228" w:lineRule="auto"/>
              <w:ind w:left="228"/>
              <w:rPr>
                <w:color w:val="auto"/>
                <w:highlight w:val="none"/>
              </w:rPr>
            </w:pPr>
            <w:r>
              <w:rPr>
                <w:color w:val="auto"/>
                <w:spacing w:val="6"/>
                <w:highlight w:val="none"/>
              </w:rPr>
              <w:t>总监办存在下列情况的，每项罚款</w:t>
            </w:r>
            <w:r>
              <w:rPr>
                <w:color w:val="auto"/>
                <w:spacing w:val="-26"/>
                <w:highlight w:val="none"/>
              </w:rPr>
              <w:t xml:space="preserve"> </w:t>
            </w:r>
            <w:r>
              <w:rPr>
                <w:rFonts w:ascii="Times New Roman" w:hAnsi="Times New Roman" w:eastAsia="Times New Roman" w:cs="Times New Roman"/>
                <w:color w:val="auto"/>
                <w:spacing w:val="6"/>
                <w:highlight w:val="none"/>
              </w:rPr>
              <w:t xml:space="preserve">2000 </w:t>
            </w:r>
            <w:r>
              <w:rPr>
                <w:color w:val="auto"/>
                <w:spacing w:val="6"/>
                <w:highlight w:val="none"/>
              </w:rPr>
              <w:t>元：</w:t>
            </w:r>
          </w:p>
          <w:p w14:paraId="3804B5F7">
            <w:pPr>
              <w:pStyle w:val="17"/>
              <w:spacing w:before="142" w:line="227" w:lineRule="auto"/>
              <w:ind w:left="232"/>
              <w:rPr>
                <w:color w:val="auto"/>
                <w:highlight w:val="none"/>
              </w:rPr>
            </w:pPr>
            <w:r>
              <w:rPr>
                <w:color w:val="auto"/>
                <w:spacing w:val="9"/>
                <w:highlight w:val="none"/>
              </w:rPr>
              <w:t>（一）未按规定制定安全管理规章制度、安全监理规（计）</w:t>
            </w:r>
            <w:r>
              <w:rPr>
                <w:color w:val="auto"/>
                <w:spacing w:val="8"/>
                <w:highlight w:val="none"/>
              </w:rPr>
              <w:t>划的；</w:t>
            </w:r>
          </w:p>
          <w:p w14:paraId="09C80C5F">
            <w:pPr>
              <w:pStyle w:val="17"/>
              <w:spacing w:before="143" w:line="253" w:lineRule="auto"/>
              <w:ind w:left="222" w:right="205" w:firstLine="10"/>
              <w:rPr>
                <w:color w:val="auto"/>
                <w:highlight w:val="none"/>
              </w:rPr>
            </w:pPr>
            <w:r>
              <w:rPr>
                <w:color w:val="auto"/>
                <w:spacing w:val="12"/>
                <w:highlight w:val="none"/>
              </w:rPr>
              <w:t>（二）未按制定的安全管理规章制度、安全监理规（计）划的要求开展安全</w:t>
            </w:r>
            <w:r>
              <w:rPr>
                <w:color w:val="auto"/>
                <w:spacing w:val="8"/>
                <w:highlight w:val="none"/>
              </w:rPr>
              <w:t>检查、安全会议、教育培训、安全技术交底、</w:t>
            </w:r>
            <w:r>
              <w:rPr>
                <w:color w:val="auto"/>
                <w:spacing w:val="-50"/>
                <w:highlight w:val="none"/>
              </w:rPr>
              <w:t xml:space="preserve"> </w:t>
            </w:r>
            <w:r>
              <w:rPr>
                <w:color w:val="auto"/>
                <w:spacing w:val="8"/>
                <w:highlight w:val="none"/>
              </w:rPr>
              <w:t>自我考评、建立</w:t>
            </w:r>
            <w:r>
              <w:rPr>
                <w:color w:val="auto"/>
                <w:spacing w:val="7"/>
                <w:highlight w:val="none"/>
              </w:rPr>
              <w:t>管理台账的；</w:t>
            </w:r>
          </w:p>
          <w:p w14:paraId="0B9843A8">
            <w:pPr>
              <w:pStyle w:val="17"/>
              <w:spacing w:before="142" w:line="228" w:lineRule="auto"/>
              <w:ind w:left="232"/>
              <w:rPr>
                <w:color w:val="auto"/>
                <w:highlight w:val="none"/>
              </w:rPr>
            </w:pPr>
            <w:r>
              <w:rPr>
                <w:color w:val="auto"/>
                <w:spacing w:val="8"/>
                <w:highlight w:val="none"/>
              </w:rPr>
              <w:t>（三）未按规定报送安全管理资料的。</w:t>
            </w:r>
          </w:p>
        </w:tc>
      </w:tr>
      <w:tr w14:paraId="400CD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7" w:hRule="atLeast"/>
        </w:trPr>
        <w:tc>
          <w:tcPr>
            <w:tcW w:w="603" w:type="dxa"/>
            <w:vMerge w:val="continue"/>
            <w:tcBorders>
              <w:top w:val="nil"/>
              <w:bottom w:val="nil"/>
            </w:tcBorders>
            <w:textDirection w:val="tbRlV"/>
            <w:vAlign w:val="top"/>
          </w:tcPr>
          <w:p w14:paraId="2B38A6DC">
            <w:pPr>
              <w:rPr>
                <w:rFonts w:ascii="Arial"/>
                <w:color w:val="auto"/>
                <w:sz w:val="21"/>
                <w:highlight w:val="none"/>
              </w:rPr>
            </w:pPr>
          </w:p>
        </w:tc>
        <w:tc>
          <w:tcPr>
            <w:tcW w:w="853" w:type="dxa"/>
            <w:vAlign w:val="top"/>
          </w:tcPr>
          <w:p w14:paraId="76B653EC">
            <w:pPr>
              <w:spacing w:line="277" w:lineRule="auto"/>
              <w:rPr>
                <w:rFonts w:ascii="Arial"/>
                <w:color w:val="auto"/>
                <w:sz w:val="21"/>
                <w:highlight w:val="none"/>
              </w:rPr>
            </w:pPr>
          </w:p>
          <w:p w14:paraId="6CB33D96">
            <w:pPr>
              <w:spacing w:line="277" w:lineRule="auto"/>
              <w:rPr>
                <w:rFonts w:ascii="Arial"/>
                <w:color w:val="auto"/>
                <w:sz w:val="21"/>
                <w:highlight w:val="none"/>
              </w:rPr>
            </w:pPr>
          </w:p>
          <w:p w14:paraId="4CD8D701">
            <w:pPr>
              <w:spacing w:line="278" w:lineRule="auto"/>
              <w:rPr>
                <w:rFonts w:ascii="Arial"/>
                <w:color w:val="auto"/>
                <w:sz w:val="21"/>
                <w:highlight w:val="none"/>
              </w:rPr>
            </w:pPr>
          </w:p>
          <w:p w14:paraId="79646D02">
            <w:pPr>
              <w:spacing w:before="57" w:line="195" w:lineRule="auto"/>
              <w:ind w:left="377"/>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6</w:t>
            </w:r>
          </w:p>
        </w:tc>
        <w:tc>
          <w:tcPr>
            <w:tcW w:w="7450" w:type="dxa"/>
            <w:vAlign w:val="top"/>
          </w:tcPr>
          <w:p w14:paraId="617175CD">
            <w:pPr>
              <w:pStyle w:val="17"/>
              <w:spacing w:before="121" w:line="228" w:lineRule="auto"/>
              <w:ind w:left="228"/>
              <w:rPr>
                <w:color w:val="auto"/>
                <w:highlight w:val="none"/>
              </w:rPr>
            </w:pPr>
            <w:r>
              <w:rPr>
                <w:color w:val="auto"/>
                <w:spacing w:val="6"/>
                <w:highlight w:val="none"/>
              </w:rPr>
              <w:t>总监办存在下列情况的，每次罚款</w:t>
            </w:r>
            <w:r>
              <w:rPr>
                <w:color w:val="auto"/>
                <w:spacing w:val="-26"/>
                <w:highlight w:val="none"/>
              </w:rPr>
              <w:t xml:space="preserve"> </w:t>
            </w:r>
            <w:r>
              <w:rPr>
                <w:rFonts w:ascii="Times New Roman" w:hAnsi="Times New Roman" w:eastAsia="Times New Roman" w:cs="Times New Roman"/>
                <w:color w:val="auto"/>
                <w:spacing w:val="6"/>
                <w:highlight w:val="none"/>
              </w:rPr>
              <w:t xml:space="preserve">3000 </w:t>
            </w:r>
            <w:r>
              <w:rPr>
                <w:color w:val="auto"/>
                <w:spacing w:val="6"/>
                <w:highlight w:val="none"/>
              </w:rPr>
              <w:t>元：</w:t>
            </w:r>
          </w:p>
          <w:p w14:paraId="24E75F7C">
            <w:pPr>
              <w:pStyle w:val="17"/>
              <w:spacing w:before="143" w:line="253" w:lineRule="auto"/>
              <w:ind w:left="225" w:right="205" w:firstLine="6"/>
              <w:rPr>
                <w:color w:val="auto"/>
                <w:highlight w:val="none"/>
              </w:rPr>
            </w:pPr>
            <w:r>
              <w:rPr>
                <w:color w:val="auto"/>
                <w:spacing w:val="12"/>
                <w:highlight w:val="none"/>
              </w:rPr>
              <w:t>（一）总监办安全负责人及专职安全监理未经请假批准，未参加建设单位组</w:t>
            </w:r>
            <w:r>
              <w:rPr>
                <w:color w:val="auto"/>
                <w:spacing w:val="8"/>
                <w:highlight w:val="none"/>
              </w:rPr>
              <w:t>织的安全生产管理活动的。</w:t>
            </w:r>
          </w:p>
          <w:p w14:paraId="080FAE43">
            <w:pPr>
              <w:pStyle w:val="17"/>
              <w:spacing w:before="144" w:line="252" w:lineRule="auto"/>
              <w:ind w:left="225" w:right="205" w:firstLine="7"/>
              <w:rPr>
                <w:color w:val="auto"/>
                <w:highlight w:val="none"/>
              </w:rPr>
            </w:pPr>
            <w:r>
              <w:rPr>
                <w:color w:val="auto"/>
                <w:spacing w:val="12"/>
                <w:highlight w:val="none"/>
              </w:rPr>
              <w:t>（二）爆破作业、预制梁吊装、大型构件吊装、大型设备拼装、挂篮移篮施</w:t>
            </w:r>
            <w:r>
              <w:rPr>
                <w:color w:val="auto"/>
                <w:spacing w:val="9"/>
                <w:highlight w:val="none"/>
              </w:rPr>
              <w:t>工、架桥机或移动模架移机施工现场无监理人员监督管理的。</w:t>
            </w:r>
          </w:p>
        </w:tc>
      </w:tr>
      <w:tr w14:paraId="1B41C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603" w:type="dxa"/>
            <w:vMerge w:val="continue"/>
            <w:tcBorders>
              <w:top w:val="nil"/>
            </w:tcBorders>
            <w:textDirection w:val="tbRlV"/>
            <w:vAlign w:val="top"/>
          </w:tcPr>
          <w:p w14:paraId="3C54442A">
            <w:pPr>
              <w:rPr>
                <w:rFonts w:ascii="Arial"/>
                <w:color w:val="auto"/>
                <w:sz w:val="21"/>
                <w:highlight w:val="none"/>
              </w:rPr>
            </w:pPr>
          </w:p>
        </w:tc>
        <w:tc>
          <w:tcPr>
            <w:tcW w:w="853" w:type="dxa"/>
            <w:vAlign w:val="top"/>
          </w:tcPr>
          <w:p w14:paraId="0DC0DAB2">
            <w:pPr>
              <w:spacing w:line="342" w:lineRule="auto"/>
              <w:rPr>
                <w:rFonts w:ascii="Arial"/>
                <w:color w:val="auto"/>
                <w:sz w:val="21"/>
                <w:highlight w:val="none"/>
              </w:rPr>
            </w:pPr>
          </w:p>
          <w:p w14:paraId="222E9459">
            <w:pPr>
              <w:spacing w:before="57" w:line="192" w:lineRule="auto"/>
              <w:ind w:left="376"/>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7</w:t>
            </w:r>
          </w:p>
        </w:tc>
        <w:tc>
          <w:tcPr>
            <w:tcW w:w="7450" w:type="dxa"/>
            <w:vAlign w:val="top"/>
          </w:tcPr>
          <w:p w14:paraId="13C67056">
            <w:pPr>
              <w:pStyle w:val="17"/>
              <w:spacing w:before="122" w:line="228" w:lineRule="auto"/>
              <w:ind w:left="228"/>
              <w:rPr>
                <w:color w:val="auto"/>
                <w:highlight w:val="none"/>
              </w:rPr>
            </w:pPr>
            <w:r>
              <w:rPr>
                <w:color w:val="auto"/>
                <w:spacing w:val="6"/>
                <w:highlight w:val="none"/>
              </w:rPr>
              <w:t>总监办存在下列情况的，每项罚款</w:t>
            </w:r>
            <w:r>
              <w:rPr>
                <w:color w:val="auto"/>
                <w:spacing w:val="-26"/>
                <w:highlight w:val="none"/>
              </w:rPr>
              <w:t xml:space="preserve"> </w:t>
            </w:r>
            <w:r>
              <w:rPr>
                <w:rFonts w:ascii="Times New Roman" w:hAnsi="Times New Roman" w:eastAsia="Times New Roman" w:cs="Times New Roman"/>
                <w:color w:val="auto"/>
                <w:spacing w:val="6"/>
                <w:highlight w:val="none"/>
              </w:rPr>
              <w:t xml:space="preserve">5000 </w:t>
            </w:r>
            <w:r>
              <w:rPr>
                <w:color w:val="auto"/>
                <w:spacing w:val="6"/>
                <w:highlight w:val="none"/>
              </w:rPr>
              <w:t>元：</w:t>
            </w:r>
          </w:p>
          <w:p w14:paraId="567A4194">
            <w:pPr>
              <w:pStyle w:val="17"/>
              <w:spacing w:before="141" w:line="228" w:lineRule="auto"/>
              <w:ind w:left="232"/>
              <w:rPr>
                <w:color w:val="auto"/>
                <w:highlight w:val="none"/>
              </w:rPr>
            </w:pPr>
            <w:r>
              <w:rPr>
                <w:color w:val="auto"/>
                <w:spacing w:val="12"/>
                <w:highlight w:val="none"/>
              </w:rPr>
              <w:t>（一）未按规定及时审批施工组织设计、临时用电方案、专项施工安全技术</w:t>
            </w:r>
          </w:p>
        </w:tc>
      </w:tr>
    </w:tbl>
    <w:p w14:paraId="00D0301A">
      <w:pPr>
        <w:rPr>
          <w:rFonts w:ascii="Arial"/>
          <w:color w:val="auto"/>
          <w:sz w:val="21"/>
          <w:highlight w:val="none"/>
        </w:rPr>
      </w:pPr>
    </w:p>
    <w:p w14:paraId="1E960494">
      <w:pPr>
        <w:rPr>
          <w:rFonts w:ascii="Arial" w:hAnsi="Arial" w:eastAsia="Arial" w:cs="Arial"/>
          <w:color w:val="auto"/>
          <w:sz w:val="21"/>
          <w:szCs w:val="21"/>
          <w:highlight w:val="none"/>
        </w:rPr>
        <w:sectPr>
          <w:footerReference r:id="rId69" w:type="default"/>
          <w:pgSz w:w="11906" w:h="16839"/>
          <w:pgMar w:top="1416" w:right="1492" w:bottom="1297" w:left="1502" w:header="0" w:footer="1069" w:gutter="0"/>
          <w:pgNumType w:fmt="decimal"/>
          <w:cols w:space="720" w:num="1"/>
        </w:sectPr>
      </w:pPr>
    </w:p>
    <w:tbl>
      <w:tblPr>
        <w:tblStyle w:val="16"/>
        <w:tblW w:w="8898" w:type="dxa"/>
        <w:tblInd w:w="2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2"/>
        <w:gridCol w:w="858"/>
        <w:gridCol w:w="7448"/>
      </w:tblGrid>
      <w:tr w14:paraId="44E1F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592" w:type="dxa"/>
            <w:vMerge w:val="restart"/>
            <w:tcBorders>
              <w:bottom w:val="nil"/>
            </w:tcBorders>
            <w:vAlign w:val="top"/>
          </w:tcPr>
          <w:p w14:paraId="32C74354">
            <w:pPr>
              <w:rPr>
                <w:rFonts w:ascii="Arial"/>
                <w:color w:val="auto"/>
                <w:sz w:val="21"/>
                <w:highlight w:val="none"/>
              </w:rPr>
            </w:pPr>
          </w:p>
        </w:tc>
        <w:tc>
          <w:tcPr>
            <w:tcW w:w="858" w:type="dxa"/>
            <w:vAlign w:val="top"/>
          </w:tcPr>
          <w:p w14:paraId="28A69B1E">
            <w:pPr>
              <w:rPr>
                <w:rFonts w:ascii="Arial"/>
                <w:color w:val="auto"/>
                <w:sz w:val="21"/>
                <w:highlight w:val="none"/>
              </w:rPr>
            </w:pPr>
          </w:p>
        </w:tc>
        <w:tc>
          <w:tcPr>
            <w:tcW w:w="7448" w:type="dxa"/>
            <w:vAlign w:val="top"/>
          </w:tcPr>
          <w:p w14:paraId="46C0D9F0">
            <w:pPr>
              <w:pStyle w:val="17"/>
              <w:spacing w:before="36" w:line="228" w:lineRule="auto"/>
              <w:ind w:left="221"/>
              <w:rPr>
                <w:color w:val="auto"/>
                <w:highlight w:val="none"/>
              </w:rPr>
            </w:pPr>
            <w:r>
              <w:rPr>
                <w:color w:val="auto"/>
                <w:spacing w:val="4"/>
                <w:highlight w:val="none"/>
              </w:rPr>
              <w:t>方案的。</w:t>
            </w:r>
          </w:p>
          <w:p w14:paraId="235B565E">
            <w:pPr>
              <w:pStyle w:val="17"/>
              <w:spacing w:before="141" w:line="254" w:lineRule="auto"/>
              <w:ind w:left="221" w:right="205" w:firstLine="9"/>
              <w:rPr>
                <w:color w:val="auto"/>
                <w:highlight w:val="none"/>
              </w:rPr>
            </w:pPr>
            <w:r>
              <w:rPr>
                <w:color w:val="auto"/>
                <w:spacing w:val="12"/>
                <w:highlight w:val="none"/>
              </w:rPr>
              <w:t>（二）审批的施工组织设计、临时用电方案、专项施工安全技术方案存在严</w:t>
            </w:r>
            <w:r>
              <w:rPr>
                <w:color w:val="auto"/>
                <w:spacing w:val="5"/>
                <w:highlight w:val="none"/>
              </w:rPr>
              <w:t>重错漏的。</w:t>
            </w:r>
          </w:p>
          <w:p w14:paraId="2AF59BC9">
            <w:pPr>
              <w:pStyle w:val="17"/>
              <w:spacing w:before="140" w:line="228" w:lineRule="auto"/>
              <w:ind w:left="230"/>
              <w:rPr>
                <w:color w:val="auto"/>
                <w:highlight w:val="none"/>
              </w:rPr>
            </w:pPr>
            <w:r>
              <w:rPr>
                <w:color w:val="auto"/>
                <w:spacing w:val="7"/>
                <w:highlight w:val="none"/>
              </w:rPr>
              <w:t>（三）</w:t>
            </w:r>
            <w:r>
              <w:rPr>
                <w:color w:val="auto"/>
                <w:spacing w:val="-14"/>
                <w:highlight w:val="none"/>
              </w:rPr>
              <w:t xml:space="preserve"> </w:t>
            </w:r>
            <w:r>
              <w:rPr>
                <w:color w:val="auto"/>
                <w:spacing w:val="7"/>
                <w:highlight w:val="none"/>
              </w:rPr>
              <w:t>未按照上级文件要求贯彻落实实名制系统。</w:t>
            </w:r>
          </w:p>
        </w:tc>
      </w:tr>
      <w:tr w14:paraId="449D6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592" w:type="dxa"/>
            <w:vMerge w:val="continue"/>
            <w:tcBorders>
              <w:top w:val="nil"/>
              <w:bottom w:val="nil"/>
            </w:tcBorders>
            <w:vAlign w:val="top"/>
          </w:tcPr>
          <w:p w14:paraId="7C84645D">
            <w:pPr>
              <w:rPr>
                <w:rFonts w:ascii="Arial"/>
                <w:color w:val="auto"/>
                <w:sz w:val="21"/>
                <w:highlight w:val="none"/>
              </w:rPr>
            </w:pPr>
          </w:p>
        </w:tc>
        <w:tc>
          <w:tcPr>
            <w:tcW w:w="858" w:type="dxa"/>
            <w:vAlign w:val="top"/>
          </w:tcPr>
          <w:p w14:paraId="29DB4DEF">
            <w:pPr>
              <w:spacing w:line="294" w:lineRule="auto"/>
              <w:rPr>
                <w:rFonts w:ascii="Arial"/>
                <w:color w:val="auto"/>
                <w:sz w:val="21"/>
                <w:highlight w:val="none"/>
              </w:rPr>
            </w:pPr>
          </w:p>
          <w:p w14:paraId="135CDDB3">
            <w:pPr>
              <w:spacing w:before="57" w:line="195" w:lineRule="auto"/>
              <w:ind w:left="384"/>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8</w:t>
            </w:r>
          </w:p>
        </w:tc>
        <w:tc>
          <w:tcPr>
            <w:tcW w:w="7448" w:type="dxa"/>
            <w:vAlign w:val="top"/>
          </w:tcPr>
          <w:p w14:paraId="61295F64">
            <w:pPr>
              <w:pStyle w:val="17"/>
              <w:spacing w:before="120" w:line="261" w:lineRule="auto"/>
              <w:ind w:left="221" w:right="493" w:hanging="2"/>
              <w:rPr>
                <w:color w:val="auto"/>
                <w:highlight w:val="none"/>
              </w:rPr>
            </w:pPr>
            <w:r>
              <w:rPr>
                <w:color w:val="auto"/>
                <w:spacing w:val="8"/>
                <w:highlight w:val="none"/>
              </w:rPr>
              <w:t>在各级单位开展的</w:t>
            </w:r>
            <w:r>
              <w:rPr>
                <w:color w:val="auto"/>
                <w:spacing w:val="-34"/>
                <w:highlight w:val="none"/>
              </w:rPr>
              <w:t xml:space="preserve"> </w:t>
            </w:r>
            <w:r>
              <w:rPr>
                <w:rFonts w:ascii="Times New Roman" w:hAnsi="Times New Roman" w:eastAsia="Times New Roman" w:cs="Times New Roman"/>
                <w:color w:val="auto"/>
                <w:spacing w:val="8"/>
                <w:highlight w:val="none"/>
              </w:rPr>
              <w:t>“</w:t>
            </w:r>
            <w:r>
              <w:rPr>
                <w:color w:val="auto"/>
                <w:spacing w:val="8"/>
                <w:highlight w:val="none"/>
              </w:rPr>
              <w:t>平安工地</w:t>
            </w:r>
            <w:r>
              <w:rPr>
                <w:rFonts w:ascii="Times New Roman" w:hAnsi="Times New Roman" w:eastAsia="Times New Roman" w:cs="Times New Roman"/>
                <w:color w:val="auto"/>
                <w:spacing w:val="8"/>
                <w:highlight w:val="none"/>
              </w:rPr>
              <w:t>”</w:t>
            </w:r>
            <w:r>
              <w:rPr>
                <w:color w:val="auto"/>
                <w:spacing w:val="8"/>
                <w:highlight w:val="none"/>
              </w:rPr>
              <w:t>考核中，考核等级不合格的，每次罚款</w:t>
            </w:r>
            <w:r>
              <w:rPr>
                <w:color w:val="auto"/>
                <w:spacing w:val="-37"/>
                <w:highlight w:val="none"/>
              </w:rPr>
              <w:t xml:space="preserve"> </w:t>
            </w:r>
            <w:r>
              <w:rPr>
                <w:rFonts w:ascii="Times New Roman" w:hAnsi="Times New Roman" w:eastAsia="Times New Roman" w:cs="Times New Roman"/>
                <w:color w:val="auto"/>
                <w:spacing w:val="8"/>
                <w:highlight w:val="none"/>
              </w:rPr>
              <w:t xml:space="preserve">5 </w:t>
            </w:r>
            <w:r>
              <w:rPr>
                <w:color w:val="auto"/>
                <w:spacing w:val="8"/>
                <w:highlight w:val="none"/>
              </w:rPr>
              <w:t>万</w:t>
            </w:r>
            <w:r>
              <w:rPr>
                <w:color w:val="auto"/>
                <w:spacing w:val="-1"/>
                <w:highlight w:val="none"/>
              </w:rPr>
              <w:t>元。</w:t>
            </w:r>
          </w:p>
        </w:tc>
      </w:tr>
      <w:tr w14:paraId="05633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92" w:type="dxa"/>
            <w:vMerge w:val="continue"/>
            <w:tcBorders>
              <w:top w:val="nil"/>
              <w:bottom w:val="nil"/>
            </w:tcBorders>
            <w:vAlign w:val="top"/>
          </w:tcPr>
          <w:p w14:paraId="4A4D9951">
            <w:pPr>
              <w:rPr>
                <w:rFonts w:ascii="Arial"/>
                <w:color w:val="auto"/>
                <w:sz w:val="21"/>
                <w:highlight w:val="none"/>
              </w:rPr>
            </w:pPr>
          </w:p>
        </w:tc>
        <w:tc>
          <w:tcPr>
            <w:tcW w:w="858" w:type="dxa"/>
            <w:vAlign w:val="top"/>
          </w:tcPr>
          <w:p w14:paraId="4A48A19A">
            <w:pPr>
              <w:spacing w:before="219" w:line="195" w:lineRule="auto"/>
              <w:ind w:left="380"/>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9</w:t>
            </w:r>
          </w:p>
        </w:tc>
        <w:tc>
          <w:tcPr>
            <w:tcW w:w="7448" w:type="dxa"/>
            <w:vAlign w:val="top"/>
          </w:tcPr>
          <w:p w14:paraId="1A8A0939">
            <w:pPr>
              <w:pStyle w:val="17"/>
              <w:spacing w:before="122" w:line="228" w:lineRule="auto"/>
              <w:ind w:left="223"/>
              <w:rPr>
                <w:color w:val="auto"/>
                <w:highlight w:val="none"/>
              </w:rPr>
            </w:pPr>
            <w:r>
              <w:rPr>
                <w:color w:val="auto"/>
                <w:spacing w:val="10"/>
                <w:highlight w:val="none"/>
              </w:rPr>
              <w:t>未通过开工前安全生产条件核查而影响工程开工的，处罚</w:t>
            </w:r>
            <w:r>
              <w:rPr>
                <w:rFonts w:ascii="Times New Roman" w:hAnsi="Times New Roman" w:eastAsia="Times New Roman" w:cs="Times New Roman"/>
                <w:color w:val="auto"/>
                <w:spacing w:val="10"/>
                <w:highlight w:val="none"/>
              </w:rPr>
              <w:t xml:space="preserve">2 </w:t>
            </w:r>
            <w:r>
              <w:rPr>
                <w:color w:val="auto"/>
                <w:spacing w:val="10"/>
                <w:highlight w:val="none"/>
              </w:rPr>
              <w:t>万元。</w:t>
            </w:r>
          </w:p>
        </w:tc>
      </w:tr>
      <w:tr w14:paraId="69784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592" w:type="dxa"/>
            <w:vMerge w:val="continue"/>
            <w:tcBorders>
              <w:top w:val="nil"/>
            </w:tcBorders>
            <w:vAlign w:val="top"/>
          </w:tcPr>
          <w:p w14:paraId="27535398">
            <w:pPr>
              <w:rPr>
                <w:rFonts w:ascii="Arial"/>
                <w:color w:val="auto"/>
                <w:sz w:val="21"/>
                <w:highlight w:val="none"/>
              </w:rPr>
            </w:pPr>
          </w:p>
        </w:tc>
        <w:tc>
          <w:tcPr>
            <w:tcW w:w="858" w:type="dxa"/>
            <w:vAlign w:val="top"/>
          </w:tcPr>
          <w:p w14:paraId="114A511F">
            <w:pPr>
              <w:spacing w:line="445" w:lineRule="auto"/>
              <w:rPr>
                <w:rFonts w:ascii="Arial"/>
                <w:color w:val="auto"/>
                <w:sz w:val="21"/>
                <w:highlight w:val="none"/>
              </w:rPr>
            </w:pPr>
          </w:p>
          <w:p w14:paraId="36EA55A0">
            <w:pPr>
              <w:spacing w:before="57" w:line="195" w:lineRule="auto"/>
              <w:ind w:left="34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10</w:t>
            </w:r>
          </w:p>
        </w:tc>
        <w:tc>
          <w:tcPr>
            <w:tcW w:w="7448" w:type="dxa"/>
            <w:vAlign w:val="top"/>
          </w:tcPr>
          <w:p w14:paraId="74264B19">
            <w:pPr>
              <w:pStyle w:val="17"/>
              <w:spacing w:before="124" w:line="267" w:lineRule="auto"/>
              <w:ind w:left="230" w:right="205" w:hanging="4"/>
              <w:rPr>
                <w:color w:val="auto"/>
                <w:highlight w:val="none"/>
              </w:rPr>
            </w:pPr>
            <w:r>
              <w:rPr>
                <w:color w:val="auto"/>
                <w:spacing w:val="12"/>
                <w:highlight w:val="none"/>
              </w:rPr>
              <w:t>总监办存在其他违反有关安全生产法律、法规、规章、规范、标准以及本项</w:t>
            </w:r>
            <w:r>
              <w:rPr>
                <w:color w:val="auto"/>
                <w:spacing w:val="10"/>
                <w:highlight w:val="none"/>
              </w:rPr>
              <w:t>目建设工程安全生产管理办法规定的，视情节轻重，罚款</w:t>
            </w:r>
            <w:r>
              <w:rPr>
                <w:color w:val="auto"/>
                <w:spacing w:val="-21"/>
                <w:highlight w:val="none"/>
              </w:rPr>
              <w:t xml:space="preserve"> </w:t>
            </w:r>
            <w:r>
              <w:rPr>
                <w:rFonts w:ascii="Times New Roman" w:hAnsi="Times New Roman" w:eastAsia="Times New Roman" w:cs="Times New Roman"/>
                <w:color w:val="auto"/>
                <w:spacing w:val="10"/>
                <w:highlight w:val="none"/>
              </w:rPr>
              <w:t xml:space="preserve">1 </w:t>
            </w:r>
            <w:r>
              <w:rPr>
                <w:color w:val="auto"/>
                <w:spacing w:val="10"/>
                <w:highlight w:val="none"/>
              </w:rPr>
              <w:t>千元</w:t>
            </w:r>
            <w:r>
              <w:rPr>
                <w:color w:val="auto"/>
                <w:spacing w:val="9"/>
                <w:highlight w:val="none"/>
              </w:rPr>
              <w:t>至</w:t>
            </w:r>
            <w:r>
              <w:rPr>
                <w:color w:val="auto"/>
                <w:spacing w:val="-18"/>
                <w:highlight w:val="none"/>
              </w:rPr>
              <w:t xml:space="preserve"> </w:t>
            </w:r>
            <w:r>
              <w:rPr>
                <w:rFonts w:ascii="Times New Roman" w:hAnsi="Times New Roman" w:eastAsia="Times New Roman" w:cs="Times New Roman"/>
                <w:color w:val="auto"/>
                <w:spacing w:val="9"/>
                <w:highlight w:val="none"/>
              </w:rPr>
              <w:t xml:space="preserve">1 </w:t>
            </w:r>
            <w:r>
              <w:rPr>
                <w:color w:val="auto"/>
                <w:spacing w:val="9"/>
                <w:highlight w:val="none"/>
              </w:rPr>
              <w:t>万元。</w:t>
            </w:r>
            <w:r>
              <w:rPr>
                <w:color w:val="auto"/>
                <w:spacing w:val="8"/>
                <w:highlight w:val="none"/>
              </w:rPr>
              <w:t>多次发生同类存在问题，可加倍处罚。</w:t>
            </w:r>
          </w:p>
        </w:tc>
      </w:tr>
    </w:tbl>
    <w:p w14:paraId="6CB1F892">
      <w:pPr>
        <w:spacing w:line="305" w:lineRule="auto"/>
        <w:rPr>
          <w:rFonts w:ascii="Arial"/>
          <w:color w:val="auto"/>
          <w:sz w:val="21"/>
          <w:highlight w:val="none"/>
        </w:rPr>
      </w:pPr>
    </w:p>
    <w:p w14:paraId="41658053">
      <w:pPr>
        <w:spacing w:line="305" w:lineRule="auto"/>
        <w:rPr>
          <w:rFonts w:ascii="Arial"/>
          <w:color w:val="auto"/>
          <w:sz w:val="21"/>
          <w:highlight w:val="none"/>
        </w:rPr>
      </w:pPr>
    </w:p>
    <w:p w14:paraId="6948B6B7">
      <w:pPr>
        <w:spacing w:line="306" w:lineRule="auto"/>
        <w:rPr>
          <w:rFonts w:ascii="Arial"/>
          <w:color w:val="auto"/>
          <w:sz w:val="21"/>
          <w:highlight w:val="none"/>
        </w:rPr>
      </w:pPr>
    </w:p>
    <w:p w14:paraId="7260AD65">
      <w:pPr>
        <w:spacing w:before="78" w:line="221" w:lineRule="auto"/>
        <w:ind w:left="138"/>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11.2</w:t>
      </w:r>
      <w:r>
        <w:rPr>
          <w:rFonts w:ascii="宋体" w:hAnsi="宋体" w:eastAsia="宋体" w:cs="宋体"/>
          <w:color w:val="auto"/>
          <w:spacing w:val="-5"/>
          <w:sz w:val="24"/>
          <w:szCs w:val="24"/>
          <w:highlight w:val="none"/>
        </w:rPr>
        <w:t xml:space="preserve"> </w:t>
      </w:r>
      <w:r>
        <w:rPr>
          <w:rFonts w:ascii="宋体" w:hAnsi="宋体" w:eastAsia="宋体" w:cs="宋体"/>
          <w:b/>
          <w:bCs/>
          <w:color w:val="auto"/>
          <w:spacing w:val="-5"/>
          <w:sz w:val="24"/>
          <w:szCs w:val="24"/>
          <w:highlight w:val="none"/>
        </w:rPr>
        <w:t>委托人违约</w:t>
      </w:r>
    </w:p>
    <w:p w14:paraId="73F9A70E">
      <w:pPr>
        <w:spacing w:before="174" w:line="302" w:lineRule="auto"/>
        <w:ind w:left="4235" w:right="820" w:hanging="3657"/>
        <w:rPr>
          <w:rFonts w:ascii="宋体" w:hAnsi="宋体" w:eastAsia="宋体" w:cs="宋体"/>
          <w:color w:val="auto"/>
          <w:sz w:val="28"/>
          <w:szCs w:val="28"/>
          <w:highlight w:val="none"/>
        </w:rPr>
      </w:pPr>
      <w:r>
        <w:rPr>
          <w:rFonts w:ascii="宋体" w:hAnsi="宋体" w:eastAsia="宋体" w:cs="宋体"/>
          <w:color w:val="auto"/>
          <w:spacing w:val="-2"/>
          <w:sz w:val="22"/>
          <w:szCs w:val="22"/>
          <w:highlight w:val="none"/>
        </w:rPr>
        <w:t>11.2.2</w:t>
      </w:r>
      <w:r>
        <w:rPr>
          <w:rFonts w:ascii="宋体" w:hAnsi="宋体" w:eastAsia="宋体" w:cs="宋体"/>
          <w:color w:val="auto"/>
          <w:spacing w:val="-47"/>
          <w:sz w:val="22"/>
          <w:szCs w:val="22"/>
          <w:highlight w:val="none"/>
        </w:rPr>
        <w:t xml:space="preserve"> </w:t>
      </w:r>
      <w:r>
        <w:rPr>
          <w:rFonts w:ascii="宋体" w:hAnsi="宋体" w:eastAsia="宋体" w:cs="宋体"/>
          <w:color w:val="auto"/>
          <w:spacing w:val="-2"/>
          <w:sz w:val="22"/>
          <w:szCs w:val="22"/>
          <w:highlight w:val="none"/>
        </w:rPr>
        <w:t>委托人发生违约情况时，监理人有权向委托人课以违约金，</w:t>
      </w:r>
      <w:r>
        <w:rPr>
          <w:rFonts w:ascii="宋体" w:hAnsi="宋体" w:eastAsia="宋体" w:cs="宋体"/>
          <w:color w:val="auto"/>
          <w:spacing w:val="-3"/>
          <w:sz w:val="22"/>
          <w:szCs w:val="22"/>
          <w:highlight w:val="none"/>
        </w:rPr>
        <w:t>具体约定如下：</w:t>
      </w:r>
      <w:r>
        <w:rPr>
          <w:rFonts w:ascii="宋体" w:hAnsi="宋体" w:eastAsia="宋体" w:cs="宋体"/>
          <w:b/>
          <w:bCs/>
          <w:color w:val="auto"/>
          <w:spacing w:val="-5"/>
          <w:sz w:val="28"/>
          <w:szCs w:val="28"/>
          <w:highlight w:val="none"/>
        </w:rPr>
        <w:t>违约一览表</w:t>
      </w:r>
    </w:p>
    <w:tbl>
      <w:tblPr>
        <w:tblStyle w:val="1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9"/>
        <w:gridCol w:w="6913"/>
      </w:tblGrid>
      <w:tr w14:paraId="7CEDE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2379" w:type="dxa"/>
            <w:vAlign w:val="top"/>
          </w:tcPr>
          <w:p w14:paraId="40D15725">
            <w:pPr>
              <w:pStyle w:val="17"/>
              <w:spacing w:before="160" w:line="228" w:lineRule="auto"/>
              <w:ind w:left="983"/>
              <w:rPr>
                <w:color w:val="auto"/>
                <w:highlight w:val="none"/>
              </w:rPr>
            </w:pPr>
            <w:r>
              <w:rPr>
                <w:b/>
                <w:bCs/>
                <w:color w:val="auto"/>
                <w:spacing w:val="3"/>
                <w:highlight w:val="none"/>
              </w:rPr>
              <w:t>类别</w:t>
            </w:r>
          </w:p>
        </w:tc>
        <w:tc>
          <w:tcPr>
            <w:tcW w:w="6913" w:type="dxa"/>
            <w:vAlign w:val="top"/>
          </w:tcPr>
          <w:p w14:paraId="5004970C">
            <w:pPr>
              <w:pStyle w:val="17"/>
              <w:spacing w:before="143" w:line="265" w:lineRule="exact"/>
              <w:ind w:left="2987"/>
              <w:rPr>
                <w:color w:val="auto"/>
                <w:sz w:val="10"/>
                <w:szCs w:val="10"/>
                <w:highlight w:val="none"/>
              </w:rPr>
            </w:pPr>
            <w:r>
              <w:rPr>
                <w:b/>
                <w:bCs/>
                <w:color w:val="auto"/>
                <w:spacing w:val="6"/>
                <w:highlight w:val="none"/>
              </w:rPr>
              <w:t>违约项目</w:t>
            </w:r>
          </w:p>
        </w:tc>
      </w:tr>
      <w:tr w14:paraId="2D9B1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79" w:type="dxa"/>
            <w:vAlign w:val="top"/>
          </w:tcPr>
          <w:p w14:paraId="63EECCBF">
            <w:pPr>
              <w:pStyle w:val="17"/>
              <w:spacing w:before="31" w:line="272" w:lineRule="auto"/>
              <w:ind w:left="671" w:right="138" w:hanging="526"/>
              <w:rPr>
                <w:color w:val="auto"/>
                <w:highlight w:val="none"/>
              </w:rPr>
            </w:pPr>
            <w:r>
              <w:rPr>
                <w:color w:val="auto"/>
                <w:spacing w:val="9"/>
                <w:highlight w:val="none"/>
              </w:rPr>
              <w:t>委托人未按合同约定支</w:t>
            </w:r>
            <w:r>
              <w:rPr>
                <w:color w:val="auto"/>
                <w:spacing w:val="8"/>
                <w:highlight w:val="none"/>
              </w:rPr>
              <w:t>付监理报酬</w:t>
            </w:r>
          </w:p>
        </w:tc>
        <w:tc>
          <w:tcPr>
            <w:tcW w:w="6913" w:type="dxa"/>
            <w:vAlign w:val="center"/>
          </w:tcPr>
          <w:p w14:paraId="29CBE82F">
            <w:pPr>
              <w:jc w:val="center"/>
              <w:rPr>
                <w:rFonts w:hint="default" w:ascii="Arial" w:eastAsia="宋体"/>
                <w:color w:val="auto"/>
                <w:sz w:val="21"/>
                <w:highlight w:val="none"/>
                <w:lang w:val="en-US" w:eastAsia="zh-CN"/>
              </w:rPr>
            </w:pPr>
            <w:r>
              <w:rPr>
                <w:rFonts w:hint="eastAsia" w:eastAsia="宋体"/>
                <w:color w:val="auto"/>
                <w:sz w:val="21"/>
                <w:highlight w:val="none"/>
                <w:lang w:val="en-US" w:eastAsia="zh-CN"/>
              </w:rPr>
              <w:t>/</w:t>
            </w:r>
          </w:p>
        </w:tc>
      </w:tr>
      <w:tr w14:paraId="2F2C8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379" w:type="dxa"/>
            <w:vAlign w:val="top"/>
          </w:tcPr>
          <w:p w14:paraId="61CD8D88">
            <w:pPr>
              <w:pStyle w:val="17"/>
              <w:spacing w:before="31" w:line="228" w:lineRule="auto"/>
              <w:ind w:left="145"/>
              <w:rPr>
                <w:color w:val="auto"/>
                <w:highlight w:val="none"/>
              </w:rPr>
            </w:pPr>
            <w:r>
              <w:rPr>
                <w:color w:val="auto"/>
                <w:spacing w:val="9"/>
                <w:highlight w:val="none"/>
              </w:rPr>
              <w:t>委托人原因造成监理停</w:t>
            </w:r>
          </w:p>
          <w:p w14:paraId="3D42385D">
            <w:pPr>
              <w:pStyle w:val="17"/>
              <w:spacing w:before="66" w:line="231" w:lineRule="auto"/>
              <w:ind w:left="986"/>
              <w:rPr>
                <w:color w:val="auto"/>
                <w:highlight w:val="none"/>
              </w:rPr>
            </w:pPr>
            <w:r>
              <w:rPr>
                <w:color w:val="auto"/>
                <w:spacing w:val="4"/>
                <w:highlight w:val="none"/>
              </w:rPr>
              <w:t>止的</w:t>
            </w:r>
          </w:p>
        </w:tc>
        <w:tc>
          <w:tcPr>
            <w:tcW w:w="6913" w:type="dxa"/>
            <w:vAlign w:val="center"/>
          </w:tcPr>
          <w:p w14:paraId="72CB700E">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w:t>
            </w:r>
          </w:p>
        </w:tc>
      </w:tr>
      <w:tr w14:paraId="34A5A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379" w:type="dxa"/>
            <w:vAlign w:val="top"/>
          </w:tcPr>
          <w:p w14:paraId="088F6275">
            <w:pPr>
              <w:pStyle w:val="17"/>
              <w:spacing w:before="32" w:line="271" w:lineRule="auto"/>
              <w:ind w:left="777" w:right="138" w:hanging="632"/>
              <w:rPr>
                <w:color w:val="auto"/>
                <w:highlight w:val="none"/>
              </w:rPr>
            </w:pPr>
            <w:r>
              <w:rPr>
                <w:color w:val="auto"/>
                <w:spacing w:val="9"/>
                <w:highlight w:val="none"/>
              </w:rPr>
              <w:t>委托人无法履行或停止</w:t>
            </w:r>
            <w:r>
              <w:rPr>
                <w:color w:val="auto"/>
                <w:spacing w:val="6"/>
                <w:highlight w:val="none"/>
              </w:rPr>
              <w:t>履行合同</w:t>
            </w:r>
          </w:p>
        </w:tc>
        <w:tc>
          <w:tcPr>
            <w:tcW w:w="6913" w:type="dxa"/>
            <w:vAlign w:val="center"/>
          </w:tcPr>
          <w:p w14:paraId="39BF31E9">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w:t>
            </w:r>
          </w:p>
        </w:tc>
      </w:tr>
      <w:tr w14:paraId="08F80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379" w:type="dxa"/>
            <w:vAlign w:val="top"/>
          </w:tcPr>
          <w:p w14:paraId="01D2555F">
            <w:pPr>
              <w:pStyle w:val="17"/>
              <w:spacing w:before="35" w:line="272" w:lineRule="auto"/>
              <w:ind w:left="688" w:right="138" w:hanging="543"/>
              <w:rPr>
                <w:color w:val="auto"/>
                <w:highlight w:val="none"/>
              </w:rPr>
            </w:pPr>
            <w:r>
              <w:rPr>
                <w:color w:val="auto"/>
                <w:spacing w:val="9"/>
                <w:highlight w:val="none"/>
              </w:rPr>
              <w:t>委托人不履行合同约定</w:t>
            </w:r>
            <w:r>
              <w:rPr>
                <w:color w:val="auto"/>
                <w:spacing w:val="4"/>
                <w:highlight w:val="none"/>
              </w:rPr>
              <w:t>的其他义务</w:t>
            </w:r>
          </w:p>
        </w:tc>
        <w:tc>
          <w:tcPr>
            <w:tcW w:w="6913" w:type="dxa"/>
            <w:vAlign w:val="center"/>
          </w:tcPr>
          <w:p w14:paraId="7F5158D1">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w:t>
            </w:r>
          </w:p>
        </w:tc>
      </w:tr>
    </w:tbl>
    <w:p w14:paraId="797BE318">
      <w:pPr>
        <w:spacing w:line="258" w:lineRule="auto"/>
        <w:rPr>
          <w:rFonts w:ascii="Arial"/>
          <w:color w:val="auto"/>
          <w:sz w:val="21"/>
          <w:highlight w:val="none"/>
        </w:rPr>
      </w:pPr>
    </w:p>
    <w:p w14:paraId="1879030E">
      <w:pPr>
        <w:spacing w:line="259" w:lineRule="auto"/>
        <w:rPr>
          <w:rFonts w:ascii="Arial"/>
          <w:color w:val="auto"/>
          <w:sz w:val="21"/>
          <w:highlight w:val="none"/>
        </w:rPr>
      </w:pPr>
    </w:p>
    <w:p w14:paraId="67AD02BA">
      <w:pPr>
        <w:spacing w:line="259" w:lineRule="auto"/>
        <w:rPr>
          <w:rFonts w:ascii="Arial"/>
          <w:color w:val="auto"/>
          <w:sz w:val="21"/>
          <w:highlight w:val="none"/>
        </w:rPr>
      </w:pPr>
    </w:p>
    <w:p w14:paraId="4E2B9E46">
      <w:pPr>
        <w:spacing w:before="78" w:line="219" w:lineRule="auto"/>
        <w:ind w:left="138"/>
        <w:outlineLvl w:val="1"/>
        <w:rPr>
          <w:rFonts w:ascii="宋体" w:hAnsi="宋体" w:eastAsia="宋体" w:cs="宋体"/>
          <w:color w:val="auto"/>
          <w:sz w:val="24"/>
          <w:szCs w:val="24"/>
          <w:highlight w:val="none"/>
        </w:rPr>
      </w:pPr>
      <w:bookmarkStart w:id="252" w:name="_Toc27634"/>
      <w:bookmarkStart w:id="253" w:name="_Toc17325"/>
      <w:r>
        <w:rPr>
          <w:rFonts w:ascii="宋体" w:hAnsi="宋体" w:eastAsia="宋体" w:cs="宋体"/>
          <w:b/>
          <w:bCs/>
          <w:color w:val="auto"/>
          <w:spacing w:val="-7"/>
          <w:sz w:val="24"/>
          <w:szCs w:val="24"/>
          <w:highlight w:val="none"/>
        </w:rPr>
        <w:t>12.</w:t>
      </w:r>
      <w:r>
        <w:rPr>
          <w:rFonts w:ascii="宋体" w:hAnsi="宋体" w:eastAsia="宋体" w:cs="宋体"/>
          <w:color w:val="auto"/>
          <w:spacing w:val="17"/>
          <w:sz w:val="24"/>
          <w:szCs w:val="24"/>
          <w:highlight w:val="none"/>
        </w:rPr>
        <w:t xml:space="preserve"> </w:t>
      </w:r>
      <w:r>
        <w:rPr>
          <w:rFonts w:ascii="宋体" w:hAnsi="宋体" w:eastAsia="宋体" w:cs="宋体"/>
          <w:b/>
          <w:bCs/>
          <w:color w:val="auto"/>
          <w:spacing w:val="-7"/>
          <w:sz w:val="24"/>
          <w:szCs w:val="24"/>
          <w:highlight w:val="none"/>
        </w:rPr>
        <w:t>争议的解决</w:t>
      </w:r>
      <w:bookmarkEnd w:id="252"/>
      <w:bookmarkEnd w:id="253"/>
    </w:p>
    <w:p w14:paraId="550E5185">
      <w:pPr>
        <w:spacing w:before="48" w:line="220" w:lineRule="auto"/>
        <w:ind w:left="566"/>
        <w:rPr>
          <w:rFonts w:ascii="宋体" w:hAnsi="宋体" w:eastAsia="宋体" w:cs="宋体"/>
          <w:color w:val="auto"/>
          <w:spacing w:val="-1"/>
          <w:sz w:val="22"/>
          <w:szCs w:val="22"/>
          <w:highlight w:val="none"/>
        </w:rPr>
      </w:pPr>
    </w:p>
    <w:p w14:paraId="3177AEA3">
      <w:pPr>
        <w:spacing w:before="48" w:line="220" w:lineRule="auto"/>
        <w:ind w:left="56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争议的最终解决方式：</w:t>
      </w:r>
      <w:r>
        <w:rPr>
          <w:rFonts w:ascii="宋体" w:hAnsi="宋体" w:eastAsia="宋体" w:cs="宋体"/>
          <w:color w:val="auto"/>
          <w:spacing w:val="-1"/>
          <w:sz w:val="22"/>
          <w:szCs w:val="22"/>
          <w:highlight w:val="none"/>
          <w:u w:val="single" w:color="auto"/>
        </w:rPr>
        <w:t xml:space="preserve">  诉讼  </w:t>
      </w:r>
    </w:p>
    <w:p w14:paraId="0870C344">
      <w:pPr>
        <w:spacing w:before="166" w:line="219" w:lineRule="auto"/>
        <w:ind w:left="54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如采用诉讼，诉讼机构名称：</w:t>
      </w:r>
      <w:r>
        <w:rPr>
          <w:rFonts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u w:val="single" w:color="auto"/>
          <w:lang w:val="en-US" w:eastAsia="zh-CN"/>
        </w:rPr>
        <w:t>乳源瑶族自治县人民</w:t>
      </w:r>
      <w:r>
        <w:rPr>
          <w:rFonts w:ascii="宋体" w:hAnsi="宋体" w:eastAsia="宋体" w:cs="宋体"/>
          <w:color w:val="auto"/>
          <w:spacing w:val="-1"/>
          <w:sz w:val="22"/>
          <w:szCs w:val="22"/>
          <w:highlight w:val="none"/>
          <w:u w:val="single" w:color="auto"/>
        </w:rPr>
        <w:t xml:space="preserve"> </w:t>
      </w:r>
      <w:r>
        <w:rPr>
          <w:rFonts w:ascii="宋体" w:hAnsi="宋体" w:eastAsia="宋体" w:cs="宋体"/>
          <w:color w:val="auto"/>
          <w:spacing w:val="-96"/>
          <w:sz w:val="22"/>
          <w:szCs w:val="22"/>
          <w:highlight w:val="none"/>
        </w:rPr>
        <w:t xml:space="preserve"> </w:t>
      </w:r>
      <w:r>
        <w:rPr>
          <w:rFonts w:ascii="宋体" w:hAnsi="宋体" w:eastAsia="宋体" w:cs="宋体"/>
          <w:color w:val="auto"/>
          <w:spacing w:val="-1"/>
          <w:sz w:val="22"/>
          <w:szCs w:val="22"/>
          <w:highlight w:val="none"/>
        </w:rPr>
        <w:t>法院。</w:t>
      </w:r>
    </w:p>
    <w:p w14:paraId="5857D9B1">
      <w:pPr>
        <w:spacing w:line="259" w:lineRule="auto"/>
        <w:rPr>
          <w:rFonts w:ascii="Arial"/>
          <w:color w:val="auto"/>
          <w:sz w:val="21"/>
          <w:highlight w:val="none"/>
        </w:rPr>
      </w:pPr>
    </w:p>
    <w:p w14:paraId="46B8B562">
      <w:pPr>
        <w:spacing w:line="259" w:lineRule="auto"/>
        <w:rPr>
          <w:rFonts w:ascii="Arial"/>
          <w:color w:val="auto"/>
          <w:sz w:val="21"/>
          <w:highlight w:val="none"/>
        </w:rPr>
      </w:pPr>
    </w:p>
    <w:p w14:paraId="60C54315">
      <w:pPr>
        <w:spacing w:before="78" w:line="220" w:lineRule="auto"/>
        <w:ind w:left="138"/>
        <w:outlineLvl w:val="1"/>
        <w:rPr>
          <w:rFonts w:ascii="宋体" w:hAnsi="宋体" w:eastAsia="宋体" w:cs="宋体"/>
          <w:color w:val="auto"/>
          <w:sz w:val="24"/>
          <w:szCs w:val="24"/>
          <w:highlight w:val="none"/>
        </w:rPr>
      </w:pPr>
      <w:bookmarkStart w:id="254" w:name="bookmark149"/>
      <w:bookmarkEnd w:id="254"/>
      <w:bookmarkStart w:id="255" w:name="_Toc14259"/>
      <w:bookmarkStart w:id="256" w:name="_Toc23211"/>
      <w:r>
        <w:rPr>
          <w:rFonts w:ascii="宋体" w:hAnsi="宋体" w:eastAsia="宋体" w:cs="宋体"/>
          <w:b/>
          <w:bCs/>
          <w:color w:val="auto"/>
          <w:spacing w:val="-8"/>
          <w:sz w:val="24"/>
          <w:szCs w:val="24"/>
          <w:highlight w:val="none"/>
        </w:rPr>
        <w:t>13.其他</w:t>
      </w:r>
      <w:bookmarkEnd w:id="255"/>
      <w:bookmarkEnd w:id="256"/>
    </w:p>
    <w:p w14:paraId="21480172">
      <w:pPr>
        <w:spacing w:before="178" w:line="362" w:lineRule="auto"/>
        <w:ind w:left="121" w:right="113" w:firstLine="497"/>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13.1</w:t>
      </w:r>
      <w:r>
        <w:rPr>
          <w:rFonts w:ascii="宋体" w:hAnsi="宋体" w:eastAsia="宋体" w:cs="宋体"/>
          <w:color w:val="auto"/>
          <w:spacing w:val="-41"/>
          <w:sz w:val="22"/>
          <w:szCs w:val="22"/>
          <w:highlight w:val="none"/>
        </w:rPr>
        <w:t xml:space="preserve"> </w:t>
      </w:r>
      <w:r>
        <w:rPr>
          <w:rFonts w:ascii="宋体" w:hAnsi="宋体" w:eastAsia="宋体" w:cs="宋体"/>
          <w:color w:val="auto"/>
          <w:spacing w:val="2"/>
          <w:sz w:val="22"/>
          <w:szCs w:val="22"/>
          <w:highlight w:val="none"/>
        </w:rPr>
        <w:t>本项目建设期间临时用地严禁占用基本农田，严格控制占用耕地、林地；如</w:t>
      </w:r>
      <w:r>
        <w:rPr>
          <w:rFonts w:ascii="宋体" w:hAnsi="宋体" w:eastAsia="宋体" w:cs="宋体"/>
          <w:color w:val="auto"/>
          <w:spacing w:val="5"/>
          <w:sz w:val="22"/>
          <w:szCs w:val="22"/>
          <w:highlight w:val="none"/>
        </w:rPr>
        <w:t>确需占用耕地、林地的，必须按规定到当地主管部门办理相关手续。预制场</w:t>
      </w:r>
      <w:r>
        <w:rPr>
          <w:rFonts w:ascii="宋体" w:hAnsi="宋体" w:eastAsia="宋体" w:cs="宋体"/>
          <w:color w:val="auto"/>
          <w:spacing w:val="4"/>
          <w:sz w:val="22"/>
          <w:szCs w:val="22"/>
          <w:highlight w:val="none"/>
        </w:rPr>
        <w:t>、搅拌场</w:t>
      </w:r>
    </w:p>
    <w:p w14:paraId="6E2CE1E3">
      <w:pPr>
        <w:spacing w:line="358" w:lineRule="auto"/>
        <w:rPr>
          <w:rFonts w:ascii="Arial"/>
          <w:color w:val="auto"/>
          <w:sz w:val="22"/>
          <w:szCs w:val="22"/>
          <w:highlight w:val="none"/>
        </w:rPr>
      </w:pPr>
    </w:p>
    <w:p w14:paraId="3487BC1F">
      <w:pPr>
        <w:spacing w:line="217" w:lineRule="auto"/>
        <w:rPr>
          <w:rFonts w:ascii="宋体" w:hAnsi="宋体" w:eastAsia="宋体" w:cs="宋体"/>
          <w:color w:val="auto"/>
          <w:sz w:val="22"/>
          <w:szCs w:val="22"/>
          <w:highlight w:val="none"/>
        </w:rPr>
        <w:sectPr>
          <w:footerReference r:id="rId70" w:type="default"/>
          <w:pgSz w:w="11906" w:h="16839"/>
          <w:pgMar w:top="1416" w:right="1304" w:bottom="1297" w:left="1304" w:header="0" w:footer="1069" w:gutter="0"/>
          <w:pgNumType w:fmt="decimal"/>
          <w:cols w:space="720" w:num="1"/>
        </w:sectPr>
      </w:pPr>
    </w:p>
    <w:p w14:paraId="0CB2D61D">
      <w:pPr>
        <w:spacing w:before="48" w:line="359" w:lineRule="auto"/>
        <w:ind w:left="2" w:right="2"/>
        <w:jc w:val="both"/>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等容易造成永久性破坏的临时用地一般不得占用耕地；取土场应选址在</w:t>
      </w:r>
      <w:r>
        <w:rPr>
          <w:rFonts w:ascii="宋体" w:hAnsi="宋体" w:eastAsia="宋体" w:cs="宋体"/>
          <w:color w:val="auto"/>
          <w:spacing w:val="4"/>
          <w:sz w:val="22"/>
          <w:szCs w:val="22"/>
          <w:highlight w:val="none"/>
        </w:rPr>
        <w:t>荒山、荒坡等</w:t>
      </w:r>
      <w:r>
        <w:rPr>
          <w:rFonts w:ascii="宋体" w:hAnsi="宋体" w:eastAsia="宋体" w:cs="宋体"/>
          <w:color w:val="auto"/>
          <w:spacing w:val="5"/>
          <w:sz w:val="22"/>
          <w:szCs w:val="22"/>
          <w:highlight w:val="none"/>
        </w:rPr>
        <w:t>劣质地，合理设计控制取土深度，严禁在基本农田范围内取土；弃（土</w:t>
      </w:r>
      <w:r>
        <w:rPr>
          <w:rFonts w:ascii="宋体" w:hAnsi="宋体" w:eastAsia="宋体" w:cs="宋体"/>
          <w:color w:val="auto"/>
          <w:spacing w:val="4"/>
          <w:sz w:val="22"/>
          <w:szCs w:val="22"/>
          <w:highlight w:val="none"/>
        </w:rPr>
        <w:t>）渣场不得占</w:t>
      </w:r>
      <w:r>
        <w:rPr>
          <w:rFonts w:ascii="宋体" w:hAnsi="宋体" w:eastAsia="宋体" w:cs="宋体"/>
          <w:color w:val="auto"/>
          <w:spacing w:val="5"/>
          <w:sz w:val="22"/>
          <w:szCs w:val="22"/>
          <w:highlight w:val="none"/>
        </w:rPr>
        <w:t>用耕地，要充分考虑永久性征收与临时用地相结合，合理划定弃（土）</w:t>
      </w:r>
      <w:r>
        <w:rPr>
          <w:rFonts w:ascii="宋体" w:hAnsi="宋体" w:eastAsia="宋体" w:cs="宋体"/>
          <w:color w:val="auto"/>
          <w:spacing w:val="4"/>
          <w:sz w:val="22"/>
          <w:szCs w:val="22"/>
          <w:highlight w:val="none"/>
        </w:rPr>
        <w:t>渣场范围；租</w:t>
      </w:r>
      <w:r>
        <w:rPr>
          <w:rFonts w:ascii="宋体" w:hAnsi="宋体" w:eastAsia="宋体" w:cs="宋体"/>
          <w:color w:val="auto"/>
          <w:spacing w:val="-1"/>
          <w:sz w:val="22"/>
          <w:szCs w:val="22"/>
          <w:highlight w:val="none"/>
        </w:rPr>
        <w:t>用临时用地协议必须有复垦条款。</w:t>
      </w:r>
    </w:p>
    <w:p w14:paraId="770353B2">
      <w:pPr>
        <w:spacing w:line="359" w:lineRule="auto"/>
        <w:ind w:right="2" w:firstLine="498"/>
        <w:jc w:val="both"/>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13.2</w:t>
      </w:r>
      <w:r>
        <w:rPr>
          <w:rFonts w:ascii="宋体" w:hAnsi="宋体" w:eastAsia="宋体" w:cs="宋体"/>
          <w:color w:val="auto"/>
          <w:spacing w:val="-41"/>
          <w:sz w:val="22"/>
          <w:szCs w:val="22"/>
          <w:highlight w:val="none"/>
        </w:rPr>
        <w:t xml:space="preserve"> </w:t>
      </w:r>
      <w:r>
        <w:rPr>
          <w:rFonts w:ascii="宋体" w:hAnsi="宋体" w:eastAsia="宋体" w:cs="宋体"/>
          <w:color w:val="auto"/>
          <w:spacing w:val="2"/>
          <w:sz w:val="22"/>
          <w:szCs w:val="22"/>
          <w:highlight w:val="none"/>
        </w:rPr>
        <w:t>监理人应按照《广东省水利厅广东省交通运输厅关于进一步加强交通建设项</w:t>
      </w:r>
      <w:r>
        <w:rPr>
          <w:rFonts w:ascii="宋体" w:hAnsi="宋体" w:eastAsia="宋体" w:cs="宋体"/>
          <w:color w:val="auto"/>
          <w:sz w:val="22"/>
          <w:szCs w:val="22"/>
          <w:highlight w:val="none"/>
        </w:rPr>
        <w:t>目水土保持工作的通知》（粤水水保〔2020〕2</w:t>
      </w:r>
      <w:r>
        <w:rPr>
          <w:rFonts w:ascii="宋体" w:hAnsi="宋体" w:eastAsia="宋体" w:cs="宋体"/>
          <w:color w:val="auto"/>
          <w:spacing w:val="-45"/>
          <w:sz w:val="22"/>
          <w:szCs w:val="22"/>
          <w:highlight w:val="none"/>
        </w:rPr>
        <w:t xml:space="preserve"> </w:t>
      </w:r>
      <w:r>
        <w:rPr>
          <w:rFonts w:ascii="宋体" w:hAnsi="宋体" w:eastAsia="宋体" w:cs="宋体"/>
          <w:color w:val="auto"/>
          <w:sz w:val="22"/>
          <w:szCs w:val="22"/>
          <w:highlight w:val="none"/>
        </w:rPr>
        <w:t>号）的要</w:t>
      </w:r>
      <w:r>
        <w:rPr>
          <w:rFonts w:ascii="宋体" w:hAnsi="宋体" w:eastAsia="宋体" w:cs="宋体"/>
          <w:color w:val="auto"/>
          <w:spacing w:val="-1"/>
          <w:sz w:val="22"/>
          <w:szCs w:val="22"/>
          <w:highlight w:val="none"/>
        </w:rPr>
        <w:t>求开展水土保持监理工作，为</w:t>
      </w:r>
      <w:r>
        <w:rPr>
          <w:rFonts w:ascii="宋体" w:hAnsi="宋体" w:eastAsia="宋体" w:cs="宋体"/>
          <w:color w:val="auto"/>
          <w:spacing w:val="5"/>
          <w:sz w:val="22"/>
          <w:szCs w:val="22"/>
          <w:highlight w:val="none"/>
        </w:rPr>
        <w:t>在项目交工验收后及时完成水保验收工作，各监理人应负责协调、配合水土保</w:t>
      </w:r>
      <w:r>
        <w:rPr>
          <w:rFonts w:ascii="宋体" w:hAnsi="宋体" w:eastAsia="宋体" w:cs="宋体"/>
          <w:color w:val="auto"/>
          <w:spacing w:val="4"/>
          <w:sz w:val="22"/>
          <w:szCs w:val="22"/>
          <w:highlight w:val="none"/>
        </w:rPr>
        <w:t>持设施</w:t>
      </w:r>
      <w:r>
        <w:rPr>
          <w:rFonts w:ascii="宋体" w:hAnsi="宋体" w:eastAsia="宋体" w:cs="宋体"/>
          <w:color w:val="auto"/>
          <w:spacing w:val="5"/>
          <w:sz w:val="22"/>
          <w:szCs w:val="22"/>
          <w:highlight w:val="none"/>
        </w:rPr>
        <w:t>竣工验收技术报告编制的单位（含施工期水土流失监测、技术评估等工作）开</w:t>
      </w:r>
      <w:r>
        <w:rPr>
          <w:rFonts w:ascii="宋体" w:hAnsi="宋体" w:eastAsia="宋体" w:cs="宋体"/>
          <w:color w:val="auto"/>
          <w:spacing w:val="4"/>
          <w:sz w:val="22"/>
          <w:szCs w:val="22"/>
          <w:highlight w:val="none"/>
        </w:rPr>
        <w:t>展相关</w:t>
      </w:r>
      <w:r>
        <w:rPr>
          <w:rFonts w:ascii="宋体" w:hAnsi="宋体" w:eastAsia="宋体" w:cs="宋体"/>
          <w:color w:val="auto"/>
          <w:spacing w:val="5"/>
          <w:sz w:val="22"/>
          <w:szCs w:val="22"/>
          <w:highlight w:val="none"/>
        </w:rPr>
        <w:t>工作，并且按水土保持设施竣工验收技术报告编制单位提交的检测方案安排相</w:t>
      </w:r>
      <w:r>
        <w:rPr>
          <w:rFonts w:ascii="宋体" w:hAnsi="宋体" w:eastAsia="宋体" w:cs="宋体"/>
          <w:color w:val="auto"/>
          <w:spacing w:val="4"/>
          <w:sz w:val="22"/>
          <w:szCs w:val="22"/>
          <w:highlight w:val="none"/>
        </w:rPr>
        <w:t>关的水</w:t>
      </w:r>
      <w:r>
        <w:rPr>
          <w:rFonts w:ascii="宋体" w:hAnsi="宋体" w:eastAsia="宋体" w:cs="宋体"/>
          <w:color w:val="auto"/>
          <w:spacing w:val="-1"/>
          <w:sz w:val="22"/>
          <w:szCs w:val="22"/>
          <w:highlight w:val="none"/>
        </w:rPr>
        <w:t>土保持监理工作。水土保持监理具体工作为：</w:t>
      </w:r>
    </w:p>
    <w:p w14:paraId="21E561FB">
      <w:pPr>
        <w:spacing w:line="219" w:lineRule="auto"/>
        <w:ind w:left="498"/>
        <w:rPr>
          <w:rFonts w:ascii="宋体" w:hAnsi="宋体" w:eastAsia="宋体" w:cs="宋体"/>
          <w:color w:val="auto"/>
          <w:sz w:val="22"/>
          <w:szCs w:val="22"/>
          <w:highlight w:val="none"/>
        </w:rPr>
      </w:pPr>
      <w:r>
        <w:rPr>
          <w:rFonts w:ascii="宋体" w:hAnsi="宋体" w:eastAsia="宋体" w:cs="宋体"/>
          <w:b/>
          <w:bCs/>
          <w:color w:val="auto"/>
          <w:spacing w:val="-4"/>
          <w:sz w:val="22"/>
          <w:szCs w:val="22"/>
          <w:highlight w:val="none"/>
        </w:rPr>
        <w:t>13.2.1</w:t>
      </w:r>
      <w:r>
        <w:rPr>
          <w:rFonts w:ascii="宋体" w:hAnsi="宋体" w:eastAsia="宋体" w:cs="宋体"/>
          <w:color w:val="auto"/>
          <w:spacing w:val="-41"/>
          <w:sz w:val="22"/>
          <w:szCs w:val="22"/>
          <w:highlight w:val="none"/>
        </w:rPr>
        <w:t xml:space="preserve"> </w:t>
      </w:r>
      <w:r>
        <w:rPr>
          <w:rFonts w:ascii="宋体" w:hAnsi="宋体" w:eastAsia="宋体" w:cs="宋体"/>
          <w:b/>
          <w:bCs/>
          <w:color w:val="auto"/>
          <w:spacing w:val="-4"/>
          <w:sz w:val="22"/>
          <w:szCs w:val="22"/>
          <w:highlight w:val="none"/>
        </w:rPr>
        <w:t>施工准备阶段的水土保持监理工作</w:t>
      </w:r>
    </w:p>
    <w:p w14:paraId="1F307092">
      <w:pPr>
        <w:spacing w:before="180" w:line="219" w:lineRule="auto"/>
        <w:ind w:left="52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(1)成立水保监理领导小组，明确职责分工。</w:t>
      </w:r>
    </w:p>
    <w:p w14:paraId="40C937C6">
      <w:pPr>
        <w:spacing w:before="183" w:line="218" w:lineRule="auto"/>
        <w:ind w:left="52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(2)熟悉和学习设计图纸和水土保持方案报告和相关文件、法律法规。</w:t>
      </w:r>
    </w:p>
    <w:p w14:paraId="3E575030">
      <w:pPr>
        <w:spacing w:before="184" w:line="289" w:lineRule="auto"/>
        <w:ind w:left="13" w:right="2" w:firstLine="51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(3)编制水保监理计划和单位工程水保监</w:t>
      </w:r>
      <w:r>
        <w:rPr>
          <w:rFonts w:ascii="宋体" w:hAnsi="宋体" w:eastAsia="宋体" w:cs="宋体"/>
          <w:color w:val="auto"/>
          <w:sz w:val="22"/>
          <w:szCs w:val="22"/>
          <w:highlight w:val="none"/>
        </w:rPr>
        <w:t>理实施细则，明确工程水土保持监理的重</w:t>
      </w:r>
      <w:r>
        <w:rPr>
          <w:rFonts w:ascii="宋体" w:hAnsi="宋体" w:eastAsia="宋体" w:cs="宋体"/>
          <w:color w:val="auto"/>
          <w:spacing w:val="-2"/>
          <w:sz w:val="22"/>
          <w:szCs w:val="22"/>
          <w:highlight w:val="none"/>
        </w:rPr>
        <w:t>点，难点、具体要求及监理的方法步骤等。</w:t>
      </w:r>
    </w:p>
    <w:p w14:paraId="4AEE9A88">
      <w:pPr>
        <w:spacing w:before="182" w:line="219" w:lineRule="auto"/>
        <w:ind w:left="52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(4)督促施工单位建立水保管理体系。</w:t>
      </w:r>
    </w:p>
    <w:p w14:paraId="49AC264A">
      <w:pPr>
        <w:spacing w:before="181" w:line="289" w:lineRule="auto"/>
        <w:ind w:left="3" w:right="2" w:firstLine="519"/>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(5)审查承包人编制的《施工组织设计》</w:t>
      </w:r>
      <w:r>
        <w:rPr>
          <w:rFonts w:ascii="宋体" w:hAnsi="宋体" w:eastAsia="宋体" w:cs="宋体"/>
          <w:color w:val="auto"/>
          <w:sz w:val="22"/>
          <w:szCs w:val="22"/>
          <w:highlight w:val="none"/>
        </w:rPr>
        <w:t>中边坡防护、取弃土场、临建设施、排水</w:t>
      </w:r>
      <w:r>
        <w:rPr>
          <w:rFonts w:ascii="宋体" w:hAnsi="宋体" w:eastAsia="宋体" w:cs="宋体"/>
          <w:color w:val="auto"/>
          <w:spacing w:val="-1"/>
          <w:sz w:val="22"/>
          <w:szCs w:val="22"/>
          <w:highlight w:val="none"/>
        </w:rPr>
        <w:t>工程、临时防护等分项工程技术方案和措施是否可行。</w:t>
      </w:r>
    </w:p>
    <w:p w14:paraId="2BC2B961">
      <w:pPr>
        <w:spacing w:before="183" w:line="219" w:lineRule="auto"/>
        <w:ind w:left="498"/>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13.2.2</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施工阶段的水土保持监理工作</w:t>
      </w:r>
    </w:p>
    <w:p w14:paraId="3E0440DE">
      <w:pPr>
        <w:spacing w:before="183" w:line="218" w:lineRule="auto"/>
        <w:ind w:left="52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 审查开工报告中涉及水保工作内容的方案和措施是否可行。</w:t>
      </w:r>
    </w:p>
    <w:p w14:paraId="5D32E0CE">
      <w:pPr>
        <w:spacing w:before="182" w:line="219" w:lineRule="auto"/>
        <w:ind w:left="523"/>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(2)水保监理巡视和检查</w:t>
      </w:r>
    </w:p>
    <w:p w14:paraId="481BF298">
      <w:pPr>
        <w:spacing w:before="184" w:line="359" w:lineRule="auto"/>
        <w:ind w:firstLine="48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监理工程师在巡视、旁站中，应随时检查施工单位制订的水保措施的落实情况，</w:t>
      </w:r>
      <w:r>
        <w:rPr>
          <w:rFonts w:ascii="宋体" w:hAnsi="宋体" w:eastAsia="宋体" w:cs="宋体"/>
          <w:color w:val="auto"/>
          <w:spacing w:val="4"/>
          <w:sz w:val="22"/>
          <w:szCs w:val="22"/>
          <w:highlight w:val="none"/>
        </w:rPr>
        <w:t>检查的主要内容有：a. 水保管理体系。b. 水保教育。c.临建设施和施工便道排水和</w:t>
      </w:r>
      <w:r>
        <w:rPr>
          <w:rFonts w:ascii="宋体" w:hAnsi="宋体" w:eastAsia="宋体" w:cs="宋体"/>
          <w:color w:val="auto"/>
          <w:spacing w:val="2"/>
          <w:sz w:val="22"/>
          <w:szCs w:val="22"/>
          <w:highlight w:val="none"/>
        </w:rPr>
        <w:t>防护是否符合要求。d. 边坡防护是否及时进行防护</w:t>
      </w:r>
      <w:r>
        <w:rPr>
          <w:rFonts w:ascii="宋体" w:hAnsi="宋体" w:eastAsia="宋体" w:cs="宋体"/>
          <w:color w:val="auto"/>
          <w:spacing w:val="1"/>
          <w:sz w:val="22"/>
          <w:szCs w:val="22"/>
          <w:highlight w:val="none"/>
        </w:rPr>
        <w:t>，检查绿化工程成活率，是否做到了边坡无雨水冲刷、水土流失现象。e. 排水工程施工质量（包括路基临时排水设施）</w:t>
      </w:r>
      <w:r>
        <w:rPr>
          <w:rFonts w:ascii="宋体" w:hAnsi="宋体" w:eastAsia="宋体" w:cs="宋体"/>
          <w:color w:val="auto"/>
          <w:spacing w:val="5"/>
          <w:sz w:val="22"/>
          <w:szCs w:val="22"/>
          <w:highlight w:val="none"/>
        </w:rPr>
        <w:t>和连通情况，是否将地面水及地下水排入相应的涵洞，从而保证水土不</w:t>
      </w:r>
      <w:r>
        <w:rPr>
          <w:rFonts w:ascii="宋体" w:hAnsi="宋体" w:eastAsia="宋体" w:cs="宋体"/>
          <w:color w:val="auto"/>
          <w:spacing w:val="4"/>
          <w:sz w:val="22"/>
          <w:szCs w:val="22"/>
          <w:highlight w:val="none"/>
        </w:rPr>
        <w:t>流失。f.取、</w:t>
      </w:r>
      <w:r>
        <w:rPr>
          <w:rFonts w:ascii="宋体" w:hAnsi="宋体" w:eastAsia="宋体" w:cs="宋体"/>
          <w:color w:val="auto"/>
          <w:spacing w:val="5"/>
          <w:sz w:val="22"/>
          <w:szCs w:val="22"/>
          <w:highlight w:val="none"/>
        </w:rPr>
        <w:t>弃土场排水和防护措施是否符合要求。g. 桥</w:t>
      </w:r>
      <w:r>
        <w:rPr>
          <w:rFonts w:ascii="宋体" w:hAnsi="宋体" w:eastAsia="宋体" w:cs="宋体"/>
          <w:color w:val="auto"/>
          <w:spacing w:val="4"/>
          <w:sz w:val="22"/>
          <w:szCs w:val="22"/>
          <w:highlight w:val="none"/>
        </w:rPr>
        <w:t>梁桩基泥浆处理是否符合要求。h. 涉江</w:t>
      </w:r>
      <w:r>
        <w:rPr>
          <w:rFonts w:ascii="宋体" w:hAnsi="宋体" w:eastAsia="宋体" w:cs="宋体"/>
          <w:color w:val="auto"/>
          <w:spacing w:val="2"/>
          <w:sz w:val="22"/>
          <w:szCs w:val="22"/>
          <w:highlight w:val="none"/>
        </w:rPr>
        <w:t>涉河工程和生态敏感区水土保持措施是否符合要求</w:t>
      </w:r>
      <w:r>
        <w:rPr>
          <w:rFonts w:ascii="宋体" w:hAnsi="宋体" w:eastAsia="宋体" w:cs="宋体"/>
          <w:color w:val="auto"/>
          <w:spacing w:val="1"/>
          <w:sz w:val="22"/>
          <w:szCs w:val="22"/>
          <w:highlight w:val="none"/>
        </w:rPr>
        <w:t>。i. 如发现施工中存在违反有关水</w:t>
      </w:r>
      <w:r>
        <w:rPr>
          <w:rFonts w:ascii="宋体" w:hAnsi="宋体" w:eastAsia="宋体" w:cs="宋体"/>
          <w:color w:val="auto"/>
          <w:sz w:val="22"/>
          <w:szCs w:val="22"/>
          <w:highlight w:val="none"/>
        </w:rPr>
        <w:t>保规定、未按合同要求落实水保措施的情况，监理工程师应</w:t>
      </w:r>
      <w:r>
        <w:rPr>
          <w:rFonts w:ascii="宋体" w:hAnsi="宋体" w:eastAsia="宋体" w:cs="宋体"/>
          <w:color w:val="auto"/>
          <w:spacing w:val="-1"/>
          <w:sz w:val="22"/>
          <w:szCs w:val="22"/>
          <w:highlight w:val="none"/>
        </w:rPr>
        <w:t>书面指令施工单位整改。</w:t>
      </w:r>
    </w:p>
    <w:p w14:paraId="3A37422E">
      <w:pPr>
        <w:spacing w:before="1" w:line="219" w:lineRule="auto"/>
        <w:ind w:left="523"/>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(3)协调水保监测</w:t>
      </w:r>
    </w:p>
    <w:p w14:paraId="693D37E4">
      <w:pPr>
        <w:spacing w:line="219" w:lineRule="auto"/>
        <w:rPr>
          <w:rFonts w:ascii="宋体" w:hAnsi="宋体" w:eastAsia="宋体" w:cs="宋体"/>
          <w:color w:val="auto"/>
          <w:sz w:val="22"/>
          <w:szCs w:val="22"/>
          <w:highlight w:val="none"/>
        </w:rPr>
        <w:sectPr>
          <w:footerReference r:id="rId71" w:type="default"/>
          <w:pgSz w:w="11906" w:h="16839"/>
          <w:pgMar w:top="1405" w:right="1415" w:bottom="1297" w:left="1424" w:header="0" w:footer="1069" w:gutter="0"/>
          <w:pgNumType w:fmt="decimal"/>
          <w:cols w:space="720" w:num="1"/>
        </w:sectPr>
      </w:pPr>
    </w:p>
    <w:p w14:paraId="10F7C178">
      <w:pPr>
        <w:spacing w:before="47" w:line="359" w:lineRule="auto"/>
        <w:ind w:left="3" w:firstLine="477"/>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根据施工过程中的重点和施工进度，协调外部监督监测单位进行相关监测工作。定时收集外部监督监测单位的水保监测报告，根据监测报告判断水保</w:t>
      </w:r>
      <w:r>
        <w:rPr>
          <w:rFonts w:ascii="宋体" w:hAnsi="宋体" w:eastAsia="宋体" w:cs="宋体"/>
          <w:color w:val="auto"/>
          <w:spacing w:val="4"/>
          <w:sz w:val="22"/>
          <w:szCs w:val="22"/>
          <w:highlight w:val="none"/>
        </w:rPr>
        <w:t>措施执行效果并</w:t>
      </w:r>
      <w:r>
        <w:rPr>
          <w:rFonts w:ascii="宋体" w:hAnsi="宋体" w:eastAsia="宋体" w:cs="宋体"/>
          <w:color w:val="auto"/>
          <w:spacing w:val="-1"/>
          <w:sz w:val="22"/>
          <w:szCs w:val="22"/>
          <w:highlight w:val="none"/>
        </w:rPr>
        <w:t>指导后续各项水保措施修订和落实工作。</w:t>
      </w:r>
    </w:p>
    <w:p w14:paraId="759EE2F9">
      <w:pPr>
        <w:spacing w:line="219" w:lineRule="auto"/>
        <w:ind w:left="52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 协助水保主管部门和建设单位处理突发水保事件。</w:t>
      </w:r>
    </w:p>
    <w:p w14:paraId="31B710FB">
      <w:pPr>
        <w:spacing w:before="183" w:line="219" w:lineRule="auto"/>
        <w:ind w:left="52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(5) 建立、保管水保监理资料档案及影像资料。</w:t>
      </w:r>
    </w:p>
    <w:p w14:paraId="174ADF14">
      <w:pPr>
        <w:spacing w:before="180" w:line="219" w:lineRule="auto"/>
        <w:ind w:left="498"/>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13.2.3</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交、竣工阶段及缺陷责任期的水土保持监理工作</w:t>
      </w:r>
    </w:p>
    <w:p w14:paraId="0B211F13">
      <w:pPr>
        <w:spacing w:before="183" w:line="219" w:lineRule="auto"/>
        <w:ind w:left="52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 交工验收水保监理工作内容</w:t>
      </w:r>
    </w:p>
    <w:p w14:paraId="0C2782B4">
      <w:pPr>
        <w:spacing w:before="180" w:line="359" w:lineRule="auto"/>
        <w:ind w:left="2" w:firstLine="479"/>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a． 组织交工验收前的水保工作内容初验，审查施工单位水保遗留问题的处理方</w:t>
      </w:r>
      <w:r>
        <w:rPr>
          <w:rFonts w:ascii="宋体" w:hAnsi="宋体" w:eastAsia="宋体" w:cs="宋体"/>
          <w:color w:val="auto"/>
          <w:spacing w:val="-1"/>
          <w:sz w:val="22"/>
          <w:szCs w:val="22"/>
          <w:highlight w:val="none"/>
        </w:rPr>
        <w:t>案和实施计划，并督促落实。b. 整理水保监理资料，并归档。</w:t>
      </w:r>
    </w:p>
    <w:p w14:paraId="552ACB60">
      <w:pPr>
        <w:spacing w:before="1" w:line="219" w:lineRule="auto"/>
        <w:ind w:left="52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 交(竣)工验收及缺陷责任期内水保监理的工作内容。</w:t>
      </w:r>
    </w:p>
    <w:p w14:paraId="05657DCB">
      <w:pPr>
        <w:spacing w:before="183" w:line="359" w:lineRule="auto"/>
        <w:ind w:firstLine="481"/>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a 定期检查现场水保缺陷问题，审查施工单位水保缺陷问题的处理方案和实施计</w:t>
      </w:r>
      <w:r>
        <w:rPr>
          <w:rFonts w:ascii="宋体" w:hAnsi="宋体" w:eastAsia="宋体" w:cs="宋体"/>
          <w:color w:val="auto"/>
          <w:spacing w:val="-2"/>
          <w:sz w:val="22"/>
          <w:szCs w:val="22"/>
          <w:highlight w:val="none"/>
        </w:rPr>
        <w:t>划，并督促落实。</w:t>
      </w:r>
    </w:p>
    <w:p w14:paraId="54C18AA5">
      <w:pPr>
        <w:spacing w:line="219" w:lineRule="auto"/>
        <w:ind w:left="47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b</w:t>
      </w:r>
      <w:r>
        <w:rPr>
          <w:rFonts w:ascii="宋体" w:hAnsi="宋体" w:eastAsia="宋体" w:cs="宋体"/>
          <w:color w:val="auto"/>
          <w:spacing w:val="-47"/>
          <w:sz w:val="22"/>
          <w:szCs w:val="22"/>
          <w:highlight w:val="none"/>
        </w:rPr>
        <w:t xml:space="preserve"> </w:t>
      </w:r>
      <w:r>
        <w:rPr>
          <w:rFonts w:ascii="宋体" w:hAnsi="宋体" w:eastAsia="宋体" w:cs="宋体"/>
          <w:color w:val="auto"/>
          <w:spacing w:val="-1"/>
          <w:sz w:val="22"/>
          <w:szCs w:val="22"/>
          <w:highlight w:val="none"/>
        </w:rPr>
        <w:t>对项目水保修复工程的施工进行现场监理。</w:t>
      </w:r>
    </w:p>
    <w:p w14:paraId="18905E54">
      <w:pPr>
        <w:spacing w:before="183" w:line="288" w:lineRule="auto"/>
        <w:ind w:left="1" w:firstLine="48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c</w:t>
      </w:r>
      <w:r>
        <w:rPr>
          <w:rFonts w:ascii="宋体" w:hAnsi="宋体" w:eastAsia="宋体" w:cs="宋体"/>
          <w:color w:val="auto"/>
          <w:spacing w:val="-28"/>
          <w:sz w:val="22"/>
          <w:szCs w:val="22"/>
          <w:highlight w:val="none"/>
        </w:rPr>
        <w:t xml:space="preserve"> </w:t>
      </w:r>
      <w:r>
        <w:rPr>
          <w:rFonts w:ascii="宋体" w:hAnsi="宋体" w:eastAsia="宋体" w:cs="宋体"/>
          <w:color w:val="auto"/>
          <w:spacing w:val="-1"/>
          <w:sz w:val="22"/>
          <w:szCs w:val="22"/>
          <w:highlight w:val="none"/>
        </w:rPr>
        <w:t>督促各施工单位按合同及有关规定完成水保竣工资料的整理、归档，编写水保工</w:t>
      </w:r>
      <w:r>
        <w:rPr>
          <w:rFonts w:ascii="宋体" w:hAnsi="宋体" w:eastAsia="宋体" w:cs="宋体"/>
          <w:color w:val="auto"/>
          <w:spacing w:val="-2"/>
          <w:sz w:val="22"/>
          <w:szCs w:val="22"/>
          <w:highlight w:val="none"/>
        </w:rPr>
        <w:t>作总结报告。</w:t>
      </w:r>
    </w:p>
    <w:p w14:paraId="68874F2E">
      <w:pPr>
        <w:spacing w:before="185" w:line="218" w:lineRule="auto"/>
        <w:ind w:left="48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d</w:t>
      </w:r>
      <w:r>
        <w:rPr>
          <w:rFonts w:ascii="宋体" w:hAnsi="宋体" w:eastAsia="宋体" w:cs="宋体"/>
          <w:color w:val="auto"/>
          <w:spacing w:val="-47"/>
          <w:sz w:val="22"/>
          <w:szCs w:val="22"/>
          <w:highlight w:val="none"/>
        </w:rPr>
        <w:t xml:space="preserve"> </w:t>
      </w:r>
      <w:r>
        <w:rPr>
          <w:rFonts w:ascii="宋体" w:hAnsi="宋体" w:eastAsia="宋体" w:cs="宋体"/>
          <w:color w:val="auto"/>
          <w:spacing w:val="-1"/>
          <w:sz w:val="22"/>
          <w:szCs w:val="22"/>
          <w:highlight w:val="none"/>
        </w:rPr>
        <w:t>整理和完善水保监理竣工资料，并编写水保监理工作总结报告。</w:t>
      </w:r>
    </w:p>
    <w:p w14:paraId="2DA7D2DE">
      <w:pPr>
        <w:spacing w:before="182" w:line="219" w:lineRule="auto"/>
        <w:ind w:left="486"/>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e</w:t>
      </w:r>
      <w:r>
        <w:rPr>
          <w:rFonts w:ascii="宋体" w:hAnsi="宋体" w:eastAsia="宋体" w:cs="宋体"/>
          <w:color w:val="auto"/>
          <w:spacing w:val="-47"/>
          <w:sz w:val="22"/>
          <w:szCs w:val="22"/>
          <w:highlight w:val="none"/>
        </w:rPr>
        <w:t xml:space="preserve"> </w:t>
      </w:r>
      <w:r>
        <w:rPr>
          <w:rFonts w:ascii="宋体" w:hAnsi="宋体" w:eastAsia="宋体" w:cs="宋体"/>
          <w:color w:val="auto"/>
          <w:spacing w:val="-3"/>
          <w:sz w:val="22"/>
          <w:szCs w:val="22"/>
          <w:highlight w:val="none"/>
        </w:rPr>
        <w:t>协助竣工水保验收。</w:t>
      </w:r>
    </w:p>
    <w:p w14:paraId="582641DE">
      <w:pPr>
        <w:spacing w:before="181" w:line="360" w:lineRule="auto"/>
        <w:ind w:firstLine="483"/>
        <w:rPr>
          <w:rFonts w:ascii="宋体" w:hAnsi="宋体" w:eastAsia="宋体" w:cs="宋体"/>
          <w:color w:val="auto"/>
          <w:sz w:val="22"/>
          <w:szCs w:val="22"/>
          <w:highlight w:val="none"/>
        </w:rPr>
      </w:pPr>
      <w:r>
        <w:rPr>
          <w:rFonts w:ascii="宋体" w:hAnsi="宋体" w:eastAsia="宋体" w:cs="宋体"/>
          <w:color w:val="auto"/>
          <w:sz w:val="22"/>
          <w:szCs w:val="22"/>
          <w:highlight w:val="none"/>
        </w:rPr>
        <w:t>f</w:t>
      </w:r>
      <w:r>
        <w:rPr>
          <w:rFonts w:ascii="宋体" w:hAnsi="宋体" w:eastAsia="宋体" w:cs="宋体"/>
          <w:color w:val="auto"/>
          <w:spacing w:val="-51"/>
          <w:sz w:val="22"/>
          <w:szCs w:val="22"/>
          <w:highlight w:val="none"/>
        </w:rPr>
        <w:t xml:space="preserve"> </w:t>
      </w:r>
      <w:r>
        <w:rPr>
          <w:rFonts w:ascii="宋体" w:hAnsi="宋体" w:eastAsia="宋体" w:cs="宋体"/>
          <w:color w:val="auto"/>
          <w:sz w:val="22"/>
          <w:szCs w:val="22"/>
          <w:highlight w:val="none"/>
        </w:rPr>
        <w:t>缺陷责任期内环水保监测、水保验收工作由委托人承</w:t>
      </w:r>
      <w:r>
        <w:rPr>
          <w:rFonts w:ascii="宋体" w:hAnsi="宋体" w:eastAsia="宋体" w:cs="宋体"/>
          <w:color w:val="auto"/>
          <w:spacing w:val="-1"/>
          <w:sz w:val="22"/>
          <w:szCs w:val="22"/>
          <w:highlight w:val="none"/>
        </w:rPr>
        <w:t>担，总监办协助委托人做好</w:t>
      </w:r>
      <w:r>
        <w:rPr>
          <w:rFonts w:ascii="宋体" w:hAnsi="宋体" w:eastAsia="宋体" w:cs="宋体"/>
          <w:color w:val="auto"/>
          <w:spacing w:val="-2"/>
          <w:sz w:val="22"/>
          <w:szCs w:val="22"/>
          <w:highlight w:val="none"/>
        </w:rPr>
        <w:t>相关工作。</w:t>
      </w:r>
    </w:p>
    <w:p w14:paraId="7E0A155D">
      <w:pPr>
        <w:spacing w:line="359" w:lineRule="auto"/>
        <w:ind w:firstLine="498"/>
        <w:jc w:val="both"/>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13.3</w:t>
      </w:r>
      <w:r>
        <w:rPr>
          <w:rFonts w:ascii="宋体" w:hAnsi="宋体" w:eastAsia="宋体" w:cs="宋体"/>
          <w:color w:val="auto"/>
          <w:spacing w:val="-41"/>
          <w:sz w:val="22"/>
          <w:szCs w:val="22"/>
          <w:highlight w:val="none"/>
        </w:rPr>
        <w:t xml:space="preserve"> </w:t>
      </w:r>
      <w:r>
        <w:rPr>
          <w:rFonts w:ascii="宋体" w:hAnsi="宋体" w:eastAsia="宋体" w:cs="宋体"/>
          <w:color w:val="auto"/>
          <w:spacing w:val="2"/>
          <w:sz w:val="22"/>
          <w:szCs w:val="22"/>
          <w:highlight w:val="none"/>
        </w:rPr>
        <w:t>为在项目交工验收后及时完成项目竣工环境保护验收工作，各监理人应负责</w:t>
      </w:r>
      <w:r>
        <w:rPr>
          <w:rFonts w:ascii="宋体" w:hAnsi="宋体" w:eastAsia="宋体" w:cs="宋体"/>
          <w:color w:val="auto"/>
          <w:spacing w:val="5"/>
          <w:sz w:val="22"/>
          <w:szCs w:val="22"/>
          <w:highlight w:val="none"/>
        </w:rPr>
        <w:t>协调、配合环境保护验收监测（调查）报告编制单位开展相关工作，并且按环</w:t>
      </w:r>
      <w:r>
        <w:rPr>
          <w:rFonts w:ascii="宋体" w:hAnsi="宋体" w:eastAsia="宋体" w:cs="宋体"/>
          <w:color w:val="auto"/>
          <w:spacing w:val="4"/>
          <w:sz w:val="22"/>
          <w:szCs w:val="22"/>
          <w:highlight w:val="none"/>
        </w:rPr>
        <w:t>境保护</w:t>
      </w:r>
      <w:r>
        <w:rPr>
          <w:rFonts w:ascii="宋体" w:hAnsi="宋体" w:eastAsia="宋体" w:cs="宋体"/>
          <w:color w:val="auto"/>
          <w:spacing w:val="5"/>
          <w:sz w:val="22"/>
          <w:szCs w:val="22"/>
          <w:highlight w:val="none"/>
        </w:rPr>
        <w:t>验收监测（调查）报告单位提交的保护方案安排相关的环境监理工作。环保监</w:t>
      </w:r>
      <w:r>
        <w:rPr>
          <w:rFonts w:ascii="宋体" w:hAnsi="宋体" w:eastAsia="宋体" w:cs="宋体"/>
          <w:color w:val="auto"/>
          <w:spacing w:val="4"/>
          <w:sz w:val="22"/>
          <w:szCs w:val="22"/>
          <w:highlight w:val="none"/>
        </w:rPr>
        <w:t>理具体</w:t>
      </w:r>
      <w:r>
        <w:rPr>
          <w:rFonts w:ascii="宋体" w:hAnsi="宋体" w:eastAsia="宋体" w:cs="宋体"/>
          <w:color w:val="auto"/>
          <w:spacing w:val="-3"/>
          <w:sz w:val="22"/>
          <w:szCs w:val="22"/>
          <w:highlight w:val="none"/>
        </w:rPr>
        <w:t>工作为：</w:t>
      </w:r>
    </w:p>
    <w:p w14:paraId="2DC3F2C9">
      <w:pPr>
        <w:spacing w:line="220" w:lineRule="auto"/>
        <w:ind w:left="491"/>
        <w:rPr>
          <w:rFonts w:ascii="宋体" w:hAnsi="宋体" w:eastAsia="宋体" w:cs="宋体"/>
          <w:color w:val="auto"/>
          <w:sz w:val="22"/>
          <w:szCs w:val="22"/>
          <w:highlight w:val="none"/>
        </w:rPr>
      </w:pPr>
      <w:r>
        <w:rPr>
          <w:rFonts w:ascii="宋体" w:hAnsi="宋体" w:eastAsia="宋体" w:cs="宋体"/>
          <w:b/>
          <w:bCs/>
          <w:color w:val="auto"/>
          <w:spacing w:val="-4"/>
          <w:sz w:val="22"/>
          <w:szCs w:val="22"/>
          <w:highlight w:val="none"/>
        </w:rPr>
        <w:t>13.3.1</w:t>
      </w:r>
      <w:r>
        <w:rPr>
          <w:rFonts w:ascii="宋体" w:hAnsi="宋体" w:eastAsia="宋体" w:cs="宋体"/>
          <w:color w:val="auto"/>
          <w:spacing w:val="-38"/>
          <w:sz w:val="22"/>
          <w:szCs w:val="22"/>
          <w:highlight w:val="none"/>
        </w:rPr>
        <w:t xml:space="preserve"> </w:t>
      </w:r>
      <w:r>
        <w:rPr>
          <w:rFonts w:ascii="宋体" w:hAnsi="宋体" w:eastAsia="宋体" w:cs="宋体"/>
          <w:b/>
          <w:bCs/>
          <w:color w:val="auto"/>
          <w:spacing w:val="-4"/>
          <w:sz w:val="22"/>
          <w:szCs w:val="22"/>
          <w:highlight w:val="none"/>
        </w:rPr>
        <w:t>施工准备阶段的环境保护监理工作</w:t>
      </w:r>
    </w:p>
    <w:p w14:paraId="002BE397">
      <w:pPr>
        <w:spacing w:before="183" w:line="219" w:lineRule="auto"/>
        <w:ind w:left="52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(1)成立环保监理领导小组，明确职责分工。</w:t>
      </w:r>
    </w:p>
    <w:p w14:paraId="529C29A1">
      <w:pPr>
        <w:spacing w:before="180" w:line="218" w:lineRule="auto"/>
        <w:ind w:left="52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(2)熟悉环评报告和设计文件，掌握工程</w:t>
      </w:r>
      <w:r>
        <w:rPr>
          <w:rFonts w:ascii="宋体" w:hAnsi="宋体" w:eastAsia="宋体" w:cs="宋体"/>
          <w:color w:val="auto"/>
          <w:spacing w:val="-3"/>
          <w:sz w:val="22"/>
          <w:szCs w:val="22"/>
          <w:highlight w:val="none"/>
        </w:rPr>
        <w:t>整体情况。</w:t>
      </w:r>
    </w:p>
    <w:p w14:paraId="6F9687B7">
      <w:pPr>
        <w:spacing w:before="183" w:line="289" w:lineRule="auto"/>
        <w:ind w:left="13" w:firstLine="51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(3)对照设计文件、环境影响评价文件，</w:t>
      </w:r>
      <w:r>
        <w:rPr>
          <w:rFonts w:ascii="宋体" w:hAnsi="宋体" w:eastAsia="宋体" w:cs="宋体"/>
          <w:color w:val="auto"/>
          <w:sz w:val="22"/>
          <w:szCs w:val="22"/>
          <w:highlight w:val="none"/>
        </w:rPr>
        <w:t>调查和了解工程附近环境保护目标和敏感</w:t>
      </w:r>
      <w:r>
        <w:rPr>
          <w:rFonts w:ascii="宋体" w:hAnsi="宋体" w:eastAsia="宋体" w:cs="宋体"/>
          <w:color w:val="auto"/>
          <w:spacing w:val="-4"/>
          <w:sz w:val="22"/>
          <w:szCs w:val="22"/>
          <w:highlight w:val="none"/>
        </w:rPr>
        <w:t>点的分布情况。</w:t>
      </w:r>
    </w:p>
    <w:p w14:paraId="660C389B">
      <w:pPr>
        <w:spacing w:before="182" w:line="290" w:lineRule="auto"/>
        <w:ind w:left="2" w:firstLine="52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(4)初步审查承包人提交的临时工程设计</w:t>
      </w:r>
      <w:r>
        <w:rPr>
          <w:rFonts w:ascii="宋体" w:hAnsi="宋体" w:eastAsia="宋体" w:cs="宋体"/>
          <w:color w:val="auto"/>
          <w:sz w:val="22"/>
          <w:szCs w:val="22"/>
          <w:highlight w:val="none"/>
        </w:rPr>
        <w:t>文件中的环境保护措施和方案，提交委托</w:t>
      </w:r>
      <w:r>
        <w:rPr>
          <w:rFonts w:ascii="宋体" w:hAnsi="宋体" w:eastAsia="宋体" w:cs="宋体"/>
          <w:color w:val="auto"/>
          <w:spacing w:val="-2"/>
          <w:sz w:val="22"/>
          <w:szCs w:val="22"/>
          <w:highlight w:val="none"/>
        </w:rPr>
        <w:t>人组织审查。</w:t>
      </w:r>
    </w:p>
    <w:p w14:paraId="66A97698">
      <w:pPr>
        <w:spacing w:line="290" w:lineRule="auto"/>
        <w:rPr>
          <w:rFonts w:ascii="宋体" w:hAnsi="宋体" w:eastAsia="宋体" w:cs="宋体"/>
          <w:color w:val="auto"/>
          <w:sz w:val="22"/>
          <w:szCs w:val="22"/>
          <w:highlight w:val="none"/>
        </w:rPr>
        <w:sectPr>
          <w:footerReference r:id="rId72" w:type="default"/>
          <w:pgSz w:w="11906" w:h="16839"/>
          <w:pgMar w:top="1405" w:right="1418" w:bottom="1297" w:left="1424" w:header="0" w:footer="1069" w:gutter="0"/>
          <w:pgNumType w:fmt="decimal"/>
          <w:cols w:space="720" w:num="1"/>
        </w:sectPr>
      </w:pPr>
    </w:p>
    <w:p w14:paraId="2CB73014">
      <w:pPr>
        <w:spacing w:before="48" w:line="219" w:lineRule="auto"/>
        <w:ind w:left="52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(5)编制施工环境保护监理计划和各单位工程的环境保护监理实施细则。</w:t>
      </w:r>
    </w:p>
    <w:p w14:paraId="74445B8E">
      <w:pPr>
        <w:spacing w:before="179" w:line="219" w:lineRule="auto"/>
        <w:ind w:left="52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(6)督促施工单位建立环境保护管理体系。</w:t>
      </w:r>
    </w:p>
    <w:p w14:paraId="502282A2">
      <w:pPr>
        <w:spacing w:before="184" w:line="219" w:lineRule="auto"/>
        <w:ind w:left="52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(7)审查承包人编制的《施工组织设计》中施工污染防治方案。</w:t>
      </w:r>
    </w:p>
    <w:p w14:paraId="073F8DD7">
      <w:pPr>
        <w:spacing w:before="180" w:line="220" w:lineRule="auto"/>
        <w:ind w:left="498"/>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13.3.2</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施工阶段的环境保护监理工作</w:t>
      </w:r>
    </w:p>
    <w:p w14:paraId="1993E781">
      <w:pPr>
        <w:spacing w:before="182" w:line="219" w:lineRule="auto"/>
        <w:ind w:left="523"/>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(1)环保监理巡视和检查</w:t>
      </w:r>
    </w:p>
    <w:p w14:paraId="7A1A388B">
      <w:pPr>
        <w:spacing w:before="183" w:line="359" w:lineRule="auto"/>
        <w:ind w:firstLine="48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监理工程师在巡视、旁站中，应随时检查施工单位制订的环境保护措施的落实情</w:t>
      </w:r>
      <w:r>
        <w:rPr>
          <w:rFonts w:ascii="宋体" w:hAnsi="宋体" w:eastAsia="宋体" w:cs="宋体"/>
          <w:color w:val="auto"/>
          <w:spacing w:val="2"/>
          <w:sz w:val="22"/>
          <w:szCs w:val="22"/>
          <w:highlight w:val="none"/>
        </w:rPr>
        <w:t>况，检查的主要内容有：a. 施工环境保</w:t>
      </w:r>
      <w:r>
        <w:rPr>
          <w:rFonts w:ascii="宋体" w:hAnsi="宋体" w:eastAsia="宋体" w:cs="宋体"/>
          <w:color w:val="auto"/>
          <w:spacing w:val="1"/>
          <w:sz w:val="22"/>
          <w:szCs w:val="22"/>
          <w:highlight w:val="none"/>
        </w:rPr>
        <w:t>护体系；b. 环保教育；c. 施工场地的布设是</w:t>
      </w:r>
      <w:r>
        <w:rPr>
          <w:rFonts w:ascii="宋体" w:hAnsi="宋体" w:eastAsia="宋体" w:cs="宋体"/>
          <w:color w:val="auto"/>
          <w:spacing w:val="2"/>
          <w:sz w:val="22"/>
          <w:szCs w:val="22"/>
          <w:highlight w:val="none"/>
        </w:rPr>
        <w:t>否符合相关环保要求；d. 职业危害的防护措施是否健全；e</w:t>
      </w:r>
      <w:r>
        <w:rPr>
          <w:rFonts w:ascii="宋体" w:hAnsi="宋体" w:eastAsia="宋体" w:cs="宋体"/>
          <w:color w:val="auto"/>
          <w:spacing w:val="1"/>
          <w:sz w:val="22"/>
          <w:szCs w:val="22"/>
          <w:highlight w:val="none"/>
        </w:rPr>
        <w:t>. 施工现场(含临时便道、</w:t>
      </w:r>
      <w:r>
        <w:rPr>
          <w:rFonts w:ascii="宋体" w:hAnsi="宋体" w:eastAsia="宋体" w:cs="宋体"/>
          <w:color w:val="auto"/>
          <w:spacing w:val="2"/>
          <w:sz w:val="22"/>
          <w:szCs w:val="22"/>
          <w:highlight w:val="none"/>
        </w:rPr>
        <w:t>拌和站、预制场等)和料场等是否洒水防尘；</w:t>
      </w:r>
      <w:r>
        <w:rPr>
          <w:rFonts w:ascii="宋体" w:hAnsi="宋体" w:eastAsia="宋体" w:cs="宋体"/>
          <w:color w:val="auto"/>
          <w:spacing w:val="1"/>
          <w:sz w:val="22"/>
          <w:szCs w:val="22"/>
          <w:highlight w:val="none"/>
        </w:rPr>
        <w:t>f. 是否按有关要求采取降噪措施；g. 材</w:t>
      </w:r>
      <w:r>
        <w:rPr>
          <w:rFonts w:ascii="宋体" w:hAnsi="宋体" w:eastAsia="宋体" w:cs="宋体"/>
          <w:color w:val="auto"/>
          <w:spacing w:val="5"/>
          <w:sz w:val="22"/>
          <w:szCs w:val="22"/>
          <w:highlight w:val="none"/>
        </w:rPr>
        <w:t>料堆场设置环境的合理性及采取措施减少运输漏洒情况；h.施工</w:t>
      </w:r>
      <w:r>
        <w:rPr>
          <w:rFonts w:ascii="宋体" w:hAnsi="宋体" w:eastAsia="宋体" w:cs="宋体"/>
          <w:color w:val="auto"/>
          <w:spacing w:val="4"/>
          <w:sz w:val="22"/>
          <w:szCs w:val="22"/>
          <w:highlight w:val="none"/>
        </w:rPr>
        <w:t>废水、渣土、生活污</w:t>
      </w:r>
      <w:r>
        <w:rPr>
          <w:rFonts w:ascii="宋体" w:hAnsi="宋体" w:eastAsia="宋体" w:cs="宋体"/>
          <w:color w:val="auto"/>
          <w:spacing w:val="2"/>
          <w:sz w:val="22"/>
          <w:szCs w:val="22"/>
          <w:highlight w:val="none"/>
        </w:rPr>
        <w:t>水、垃圾的处置是否合理；i. 是否按照批准在</w:t>
      </w:r>
      <w:r>
        <w:rPr>
          <w:rFonts w:ascii="宋体" w:hAnsi="宋体" w:eastAsia="宋体" w:cs="宋体"/>
          <w:color w:val="auto"/>
          <w:spacing w:val="1"/>
          <w:sz w:val="22"/>
          <w:szCs w:val="22"/>
          <w:highlight w:val="none"/>
        </w:rPr>
        <w:t>拟定的取弃土场取弃土，取土结束后是</w:t>
      </w:r>
      <w:r>
        <w:rPr>
          <w:rFonts w:ascii="宋体" w:hAnsi="宋体" w:eastAsia="宋体" w:cs="宋体"/>
          <w:color w:val="auto"/>
          <w:spacing w:val="2"/>
          <w:sz w:val="22"/>
          <w:szCs w:val="22"/>
          <w:highlight w:val="none"/>
        </w:rPr>
        <w:t>否采取了有效的排水防护和植被恢复措施；j. 如发现施工中存在</w:t>
      </w:r>
      <w:r>
        <w:rPr>
          <w:rFonts w:ascii="宋体" w:hAnsi="宋体" w:eastAsia="宋体" w:cs="宋体"/>
          <w:color w:val="auto"/>
          <w:spacing w:val="1"/>
          <w:sz w:val="22"/>
          <w:szCs w:val="22"/>
          <w:highlight w:val="none"/>
        </w:rPr>
        <w:t>违反有关环保规定、</w:t>
      </w:r>
      <w:r>
        <w:rPr>
          <w:rFonts w:ascii="宋体" w:hAnsi="宋体" w:eastAsia="宋体" w:cs="宋体"/>
          <w:color w:val="auto"/>
          <w:spacing w:val="2"/>
          <w:sz w:val="22"/>
          <w:szCs w:val="22"/>
          <w:highlight w:val="none"/>
        </w:rPr>
        <w:t>未按合同要求落实环保措施的情况，监理工程师应书面指</w:t>
      </w:r>
      <w:r>
        <w:rPr>
          <w:rFonts w:ascii="宋体" w:hAnsi="宋体" w:eastAsia="宋体" w:cs="宋体"/>
          <w:color w:val="auto"/>
          <w:spacing w:val="1"/>
          <w:sz w:val="22"/>
          <w:szCs w:val="22"/>
          <w:highlight w:val="none"/>
        </w:rPr>
        <w:t>令施工单位整改；k. 施工中</w:t>
      </w:r>
      <w:r>
        <w:rPr>
          <w:rFonts w:ascii="宋体" w:hAnsi="宋体" w:eastAsia="宋体" w:cs="宋体"/>
          <w:color w:val="auto"/>
          <w:spacing w:val="-1"/>
          <w:sz w:val="22"/>
          <w:szCs w:val="22"/>
          <w:highlight w:val="none"/>
        </w:rPr>
        <w:t>发现文物时，监理工程师应要求施工单位依法保护现场，</w:t>
      </w:r>
      <w:r>
        <w:rPr>
          <w:rFonts w:ascii="宋体" w:hAnsi="宋体" w:eastAsia="宋体" w:cs="宋体"/>
          <w:color w:val="auto"/>
          <w:spacing w:val="-2"/>
          <w:sz w:val="22"/>
          <w:szCs w:val="22"/>
          <w:highlight w:val="none"/>
        </w:rPr>
        <w:t>并报告有关部门和建设单位。</w:t>
      </w:r>
    </w:p>
    <w:p w14:paraId="73248028">
      <w:pPr>
        <w:spacing w:line="220" w:lineRule="auto"/>
        <w:ind w:left="523"/>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 协调环保监测</w:t>
      </w:r>
    </w:p>
    <w:p w14:paraId="1A8FEEE9">
      <w:pPr>
        <w:spacing w:before="181" w:line="359" w:lineRule="auto"/>
        <w:ind w:right="8" w:firstLine="48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根据施工过程中的重点和施工进度，协调外部监督监测单位进行空气质量、地表水水质、声环境质量等项目监测工作。定时收集外部监督监测单位的环境监</w:t>
      </w:r>
      <w:r>
        <w:rPr>
          <w:rFonts w:ascii="宋体" w:hAnsi="宋体" w:eastAsia="宋体" w:cs="宋体"/>
          <w:color w:val="auto"/>
          <w:spacing w:val="4"/>
          <w:sz w:val="22"/>
          <w:szCs w:val="22"/>
          <w:highlight w:val="none"/>
        </w:rPr>
        <w:t>测报告，</w:t>
      </w:r>
      <w:r>
        <w:rPr>
          <w:rFonts w:ascii="宋体" w:hAnsi="宋体" w:eastAsia="宋体" w:cs="宋体"/>
          <w:color w:val="auto"/>
          <w:sz w:val="22"/>
          <w:szCs w:val="22"/>
          <w:highlight w:val="none"/>
        </w:rPr>
        <w:t>根据监测报告判断环保措施执行效果并指导后续各项环</w:t>
      </w:r>
      <w:r>
        <w:rPr>
          <w:rFonts w:ascii="宋体" w:hAnsi="宋体" w:eastAsia="宋体" w:cs="宋体"/>
          <w:color w:val="auto"/>
          <w:spacing w:val="-1"/>
          <w:sz w:val="22"/>
          <w:szCs w:val="22"/>
          <w:highlight w:val="none"/>
        </w:rPr>
        <w:t>保措施修订和落实工作。</w:t>
      </w:r>
    </w:p>
    <w:p w14:paraId="2C2C726E">
      <w:pPr>
        <w:spacing w:line="219" w:lineRule="auto"/>
        <w:ind w:left="52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 协助环保主管部门和建设单位处理突发环保事件。</w:t>
      </w:r>
    </w:p>
    <w:p w14:paraId="613BABCD">
      <w:pPr>
        <w:spacing w:before="183" w:line="219" w:lineRule="auto"/>
        <w:ind w:left="52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(4) 建立、保管环境保护监理资料档案。</w:t>
      </w:r>
    </w:p>
    <w:p w14:paraId="756979DE">
      <w:pPr>
        <w:spacing w:before="181" w:line="219" w:lineRule="auto"/>
        <w:ind w:left="498"/>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13.3.3</w:t>
      </w:r>
      <w:r>
        <w:rPr>
          <w:rFonts w:ascii="宋体" w:hAnsi="宋体" w:eastAsia="宋体" w:cs="宋体"/>
          <w:color w:val="auto"/>
          <w:spacing w:val="-3"/>
          <w:sz w:val="22"/>
          <w:szCs w:val="22"/>
          <w:highlight w:val="none"/>
        </w:rPr>
        <w:t xml:space="preserve">  </w:t>
      </w:r>
      <w:r>
        <w:rPr>
          <w:rFonts w:ascii="宋体" w:hAnsi="宋体" w:eastAsia="宋体" w:cs="宋体"/>
          <w:b/>
          <w:bCs/>
          <w:color w:val="auto"/>
          <w:spacing w:val="-3"/>
          <w:sz w:val="22"/>
          <w:szCs w:val="22"/>
          <w:highlight w:val="none"/>
        </w:rPr>
        <w:t>交、竣工阶段及缺陷责任期的环境保护监理工作</w:t>
      </w:r>
    </w:p>
    <w:p w14:paraId="36B9901C">
      <w:pPr>
        <w:spacing w:before="184" w:line="219" w:lineRule="auto"/>
        <w:ind w:left="52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 交工验收环境保护监理工作内容</w:t>
      </w:r>
    </w:p>
    <w:p w14:paraId="4329485B">
      <w:pPr>
        <w:spacing w:before="180" w:line="219" w:lineRule="auto"/>
        <w:ind w:left="48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a. 组织交工验收前的环境保护工作内容初验；</w:t>
      </w:r>
    </w:p>
    <w:p w14:paraId="0FC0418B">
      <w:pPr>
        <w:spacing w:before="184" w:line="219" w:lineRule="auto"/>
        <w:ind w:left="47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b. 整理环境监理资料，并归档；</w:t>
      </w:r>
    </w:p>
    <w:p w14:paraId="65B38458">
      <w:pPr>
        <w:spacing w:before="183" w:line="219" w:lineRule="auto"/>
        <w:ind w:left="48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c.参加交工验收，协助委托人的交工验收工作。</w:t>
      </w:r>
    </w:p>
    <w:p w14:paraId="79851B90">
      <w:pPr>
        <w:spacing w:before="181" w:line="219" w:lineRule="auto"/>
        <w:ind w:left="52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(2) 缺陷责任期内环境保护监理的工作内容。</w:t>
      </w:r>
    </w:p>
    <w:p w14:paraId="4743CF15">
      <w:pPr>
        <w:spacing w:before="181" w:line="290" w:lineRule="auto"/>
        <w:ind w:right="8" w:firstLine="481"/>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a.定期检查施工单位对交工环境保护验收提出的环境保护遗漏问题整改措施和计</w:t>
      </w:r>
      <w:r>
        <w:rPr>
          <w:rFonts w:ascii="宋体" w:hAnsi="宋体" w:eastAsia="宋体" w:cs="宋体"/>
          <w:color w:val="auto"/>
          <w:spacing w:val="-2"/>
          <w:sz w:val="22"/>
          <w:szCs w:val="22"/>
          <w:highlight w:val="none"/>
        </w:rPr>
        <w:t>划的实施情况。</w:t>
      </w:r>
    </w:p>
    <w:p w14:paraId="285FE682">
      <w:pPr>
        <w:spacing w:before="179" w:line="289" w:lineRule="auto"/>
        <w:ind w:left="4" w:right="8" w:firstLine="472"/>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b.对项目环境保护设施工程的施工进行现场监理，并对环境保护设施运行情况进</w:t>
      </w:r>
      <w:r>
        <w:rPr>
          <w:rFonts w:ascii="宋体" w:hAnsi="宋体" w:eastAsia="宋体" w:cs="宋体"/>
          <w:color w:val="auto"/>
          <w:spacing w:val="-1"/>
          <w:sz w:val="22"/>
          <w:szCs w:val="22"/>
          <w:highlight w:val="none"/>
        </w:rPr>
        <w:t>行检查，如不能达到环评报告书中的相关要求，及时督促其整改。</w:t>
      </w:r>
    </w:p>
    <w:p w14:paraId="29948ECE">
      <w:pPr>
        <w:spacing w:line="289" w:lineRule="auto"/>
        <w:rPr>
          <w:rFonts w:ascii="宋体" w:hAnsi="宋体" w:eastAsia="宋体" w:cs="宋体"/>
          <w:color w:val="auto"/>
          <w:sz w:val="22"/>
          <w:szCs w:val="22"/>
          <w:highlight w:val="none"/>
        </w:rPr>
        <w:sectPr>
          <w:footerReference r:id="rId73" w:type="default"/>
          <w:pgSz w:w="11906" w:h="16839"/>
          <w:pgMar w:top="1405" w:right="1409" w:bottom="1297" w:left="1424" w:header="0" w:footer="1067" w:gutter="0"/>
          <w:pgNumType w:fmt="decimal"/>
          <w:cols w:space="720" w:num="1"/>
        </w:sectPr>
      </w:pPr>
    </w:p>
    <w:p w14:paraId="03788BCE">
      <w:pPr>
        <w:spacing w:before="48" w:line="288" w:lineRule="auto"/>
        <w:ind w:left="2" w:right="191" w:firstLine="482"/>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c.督促各施工单位按合同及有关规定完成施工环境保护竣工资料的整理、归档，</w:t>
      </w:r>
      <w:r>
        <w:rPr>
          <w:rFonts w:ascii="宋体" w:hAnsi="宋体" w:eastAsia="宋体" w:cs="宋体"/>
          <w:color w:val="auto"/>
          <w:spacing w:val="-1"/>
          <w:sz w:val="22"/>
          <w:szCs w:val="22"/>
          <w:highlight w:val="none"/>
        </w:rPr>
        <w:t>编写施工环境保护工作总结报告。</w:t>
      </w:r>
    </w:p>
    <w:p w14:paraId="588D3FB0">
      <w:pPr>
        <w:spacing w:before="184" w:line="218" w:lineRule="auto"/>
        <w:ind w:left="485"/>
        <w:rPr>
          <w:rFonts w:ascii="宋体" w:hAnsi="宋体" w:eastAsia="宋体" w:cs="宋体"/>
          <w:color w:val="auto"/>
          <w:sz w:val="22"/>
          <w:szCs w:val="22"/>
          <w:highlight w:val="none"/>
        </w:rPr>
      </w:pPr>
      <w:r>
        <w:rPr>
          <w:rFonts w:ascii="宋体" w:hAnsi="宋体" w:eastAsia="宋体" w:cs="宋体"/>
          <w:color w:val="auto"/>
          <w:sz w:val="22"/>
          <w:szCs w:val="22"/>
          <w:highlight w:val="none"/>
        </w:rPr>
        <w:t>d.整理和完善环境保护监理竣工资料，并编</w:t>
      </w:r>
      <w:r>
        <w:rPr>
          <w:rFonts w:ascii="宋体" w:hAnsi="宋体" w:eastAsia="宋体" w:cs="宋体"/>
          <w:color w:val="auto"/>
          <w:spacing w:val="-1"/>
          <w:sz w:val="22"/>
          <w:szCs w:val="22"/>
          <w:highlight w:val="none"/>
        </w:rPr>
        <w:t>写施工环境保护监理工作总结报告。</w:t>
      </w:r>
    </w:p>
    <w:p w14:paraId="06CBA467">
      <w:pPr>
        <w:spacing w:before="182" w:line="219" w:lineRule="auto"/>
        <w:ind w:left="48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e.协助竣工环境保护验收。</w:t>
      </w:r>
    </w:p>
    <w:p w14:paraId="2D483CAF">
      <w:pPr>
        <w:spacing w:before="182" w:line="289" w:lineRule="auto"/>
        <w:ind w:right="133" w:firstLine="483"/>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f.缺陷责任期内环保监测、环境应急预案报备工作由委托人承担，总监办</w:t>
      </w:r>
      <w:r>
        <w:rPr>
          <w:rFonts w:ascii="宋体" w:hAnsi="宋体" w:eastAsia="宋体" w:cs="宋体"/>
          <w:color w:val="auto"/>
          <w:spacing w:val="4"/>
          <w:sz w:val="22"/>
          <w:szCs w:val="22"/>
          <w:highlight w:val="none"/>
        </w:rPr>
        <w:t>协助委</w:t>
      </w:r>
      <w:r>
        <w:rPr>
          <w:rFonts w:ascii="宋体" w:hAnsi="宋体" w:eastAsia="宋体" w:cs="宋体"/>
          <w:color w:val="auto"/>
          <w:spacing w:val="-2"/>
          <w:sz w:val="22"/>
          <w:szCs w:val="22"/>
          <w:highlight w:val="none"/>
        </w:rPr>
        <w:t>托人做好相关工作。</w:t>
      </w:r>
    </w:p>
    <w:p w14:paraId="24D4073C">
      <w:pPr>
        <w:spacing w:before="183" w:line="219" w:lineRule="auto"/>
        <w:ind w:left="503"/>
        <w:rPr>
          <w:rFonts w:ascii="宋体" w:hAnsi="宋体" w:eastAsia="宋体" w:cs="宋体"/>
          <w:color w:val="auto"/>
          <w:sz w:val="22"/>
          <w:szCs w:val="22"/>
          <w:highlight w:val="none"/>
        </w:rPr>
      </w:pPr>
      <w:r>
        <w:rPr>
          <w:rFonts w:ascii="宋体" w:hAnsi="宋体" w:eastAsia="宋体" w:cs="宋体"/>
          <w:b/>
          <w:bCs/>
          <w:color w:val="auto"/>
          <w:spacing w:val="-4"/>
          <w:sz w:val="22"/>
          <w:szCs w:val="22"/>
          <w:highlight w:val="none"/>
        </w:rPr>
        <w:t>13.4关于竣工文件的补充条款：</w:t>
      </w:r>
    </w:p>
    <w:p w14:paraId="4C9FFAD6">
      <w:pPr>
        <w:spacing w:before="179" w:line="290" w:lineRule="auto"/>
        <w:ind w:left="3" w:right="133" w:firstLine="49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（1）监理文件必须与工程施工同步形成、同步收集，并按照档案预组卷的标准同</w:t>
      </w:r>
      <w:r>
        <w:rPr>
          <w:rFonts w:ascii="宋体" w:hAnsi="宋体" w:eastAsia="宋体" w:cs="宋体"/>
          <w:color w:val="auto"/>
          <w:spacing w:val="-2"/>
          <w:sz w:val="22"/>
          <w:szCs w:val="22"/>
          <w:highlight w:val="none"/>
        </w:rPr>
        <w:t>步进行系统的整理。</w:t>
      </w:r>
    </w:p>
    <w:p w14:paraId="215AE453">
      <w:pPr>
        <w:spacing w:before="180" w:line="290" w:lineRule="auto"/>
        <w:ind w:right="133" w:firstLine="49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（2）工程开工后，监理人应及时建立档案管理机构，明确分管领导、管理部门和</w:t>
      </w:r>
      <w:r>
        <w:rPr>
          <w:rFonts w:ascii="宋体" w:hAnsi="宋体" w:eastAsia="宋体" w:cs="宋体"/>
          <w:color w:val="auto"/>
          <w:spacing w:val="-1"/>
          <w:sz w:val="22"/>
          <w:szCs w:val="22"/>
          <w:highlight w:val="none"/>
        </w:rPr>
        <w:t>配备适应工作需要的档案管理人员，并保持相对稳定。</w:t>
      </w:r>
    </w:p>
    <w:p w14:paraId="15A8785E">
      <w:pPr>
        <w:spacing w:before="180" w:line="219" w:lineRule="auto"/>
        <w:ind w:left="497"/>
        <w:rPr>
          <w:rFonts w:ascii="宋体" w:hAnsi="宋体" w:eastAsia="宋体" w:cs="宋体"/>
          <w:color w:val="auto"/>
          <w:spacing w:val="-1"/>
          <w:sz w:val="22"/>
          <w:szCs w:val="22"/>
          <w:highlight w:val="none"/>
        </w:rPr>
      </w:pPr>
      <w:r>
        <w:rPr>
          <w:rFonts w:ascii="宋体" w:hAnsi="宋体" w:eastAsia="宋体" w:cs="宋体"/>
          <w:color w:val="auto"/>
          <w:spacing w:val="-1"/>
          <w:sz w:val="22"/>
          <w:szCs w:val="22"/>
          <w:highlight w:val="none"/>
        </w:rPr>
        <w:t>（3）监理人应监督、指导施工用表、施工原始文件的填写及管理性文件的上报。</w:t>
      </w:r>
    </w:p>
    <w:p w14:paraId="6CE284BA">
      <w:pPr>
        <w:spacing w:before="180" w:line="219" w:lineRule="auto"/>
        <w:ind w:left="49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（3）档案的装具和设施设备应满足档案管理的要求，保证文件材料和档案的安全。</w:t>
      </w:r>
    </w:p>
    <w:p w14:paraId="2951BF5F">
      <w:pPr>
        <w:spacing w:before="184" w:line="219" w:lineRule="auto"/>
        <w:ind w:left="49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（4）监理文件的形成应规范、清晰，数据真实、准确。</w:t>
      </w:r>
    </w:p>
    <w:p w14:paraId="1905DBD4">
      <w:pPr>
        <w:spacing w:before="181" w:line="293" w:lineRule="auto"/>
        <w:ind w:left="1" w:right="133" w:firstLine="49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（5）监理文件应按照交通运输部关于公路建设项目档案的归档范围收集齐全、完</w:t>
      </w:r>
      <w:r>
        <w:rPr>
          <w:rFonts w:ascii="宋体" w:hAnsi="宋体" w:eastAsia="宋体" w:cs="宋体"/>
          <w:color w:val="auto"/>
          <w:spacing w:val="-6"/>
          <w:sz w:val="22"/>
          <w:szCs w:val="22"/>
          <w:highlight w:val="none"/>
        </w:rPr>
        <w:t>整。</w:t>
      </w:r>
    </w:p>
    <w:p w14:paraId="0224AC1E">
      <w:pPr>
        <w:spacing w:before="171" w:line="289" w:lineRule="auto"/>
        <w:ind w:left="1" w:right="133" w:firstLine="49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（6）标段交工或项目通车前，监理文件应按照预组卷（除未装订和打页码外，其</w:t>
      </w:r>
      <w:r>
        <w:rPr>
          <w:rFonts w:ascii="宋体" w:hAnsi="宋体" w:eastAsia="宋体" w:cs="宋体"/>
          <w:color w:val="auto"/>
          <w:spacing w:val="-1"/>
          <w:sz w:val="22"/>
          <w:szCs w:val="22"/>
          <w:highlight w:val="none"/>
        </w:rPr>
        <w:t>余同档案专项验收的标准一样）的标准完成。</w:t>
      </w:r>
    </w:p>
    <w:p w14:paraId="034414BE">
      <w:pPr>
        <w:spacing w:before="182" w:line="289" w:lineRule="auto"/>
        <w:ind w:right="133" w:firstLine="49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（7）项目交工或通车前，监理人应对各标段施工文件、对应中心试验室移交的试</w:t>
      </w:r>
      <w:r>
        <w:rPr>
          <w:rFonts w:ascii="宋体" w:hAnsi="宋体" w:eastAsia="宋体" w:cs="宋体"/>
          <w:color w:val="auto"/>
          <w:sz w:val="22"/>
          <w:szCs w:val="22"/>
          <w:highlight w:val="none"/>
        </w:rPr>
        <w:t>验检测资料的完整、准确、系统性进行检查，</w:t>
      </w:r>
      <w:r>
        <w:rPr>
          <w:rFonts w:ascii="宋体" w:hAnsi="宋体" w:eastAsia="宋体" w:cs="宋体"/>
          <w:color w:val="auto"/>
          <w:spacing w:val="-1"/>
          <w:sz w:val="22"/>
          <w:szCs w:val="22"/>
          <w:highlight w:val="none"/>
        </w:rPr>
        <w:t>并形成书面评价意见。</w:t>
      </w:r>
    </w:p>
    <w:p w14:paraId="1AF48D5B">
      <w:pPr>
        <w:spacing w:before="183" w:line="359" w:lineRule="auto"/>
        <w:ind w:left="3" w:right="130" w:firstLine="481"/>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试验检测资料（验收试验等用于分部分项工程质量评</w:t>
      </w:r>
      <w:r>
        <w:rPr>
          <w:rFonts w:ascii="宋体" w:hAnsi="宋体" w:eastAsia="宋体" w:cs="宋体"/>
          <w:color w:val="auto"/>
          <w:spacing w:val="3"/>
          <w:sz w:val="22"/>
          <w:szCs w:val="22"/>
          <w:highlight w:val="none"/>
        </w:rPr>
        <w:t>定资料等）</w:t>
      </w:r>
      <w:r>
        <w:rPr>
          <w:rFonts w:ascii="宋体" w:hAnsi="宋体" w:eastAsia="宋体" w:cs="宋体"/>
          <w:color w:val="auto"/>
          <w:spacing w:val="-69"/>
          <w:sz w:val="22"/>
          <w:szCs w:val="22"/>
          <w:highlight w:val="none"/>
        </w:rPr>
        <w:t xml:space="preserve"> </w:t>
      </w:r>
      <w:r>
        <w:rPr>
          <w:rFonts w:ascii="宋体" w:hAnsi="宋体" w:eastAsia="宋体" w:cs="宋体"/>
          <w:color w:val="auto"/>
          <w:spacing w:val="3"/>
          <w:sz w:val="22"/>
          <w:szCs w:val="22"/>
          <w:highlight w:val="none"/>
        </w:rPr>
        <w:t>由中心试验室定</w:t>
      </w:r>
      <w:r>
        <w:rPr>
          <w:rFonts w:ascii="宋体" w:hAnsi="宋体" w:eastAsia="宋体" w:cs="宋体"/>
          <w:color w:val="auto"/>
          <w:spacing w:val="-1"/>
          <w:sz w:val="22"/>
          <w:szCs w:val="22"/>
          <w:highlight w:val="none"/>
        </w:rPr>
        <w:t>期向监理人提交，由监理人负责整理、归档。</w:t>
      </w:r>
    </w:p>
    <w:p w14:paraId="77132422">
      <w:pPr>
        <w:spacing w:before="3" w:line="313" w:lineRule="auto"/>
        <w:ind w:right="133" w:firstLine="496"/>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（8）项目交工或通车6个月内，监理文件应按</w:t>
      </w:r>
      <w:r>
        <w:rPr>
          <w:rFonts w:ascii="宋体" w:hAnsi="宋体" w:eastAsia="宋体" w:cs="宋体"/>
          <w:color w:val="auto"/>
          <w:spacing w:val="4"/>
          <w:sz w:val="22"/>
          <w:szCs w:val="22"/>
          <w:highlight w:val="none"/>
        </w:rPr>
        <w:t>照国家科技档案的标准和交通运输</w:t>
      </w:r>
      <w:r>
        <w:rPr>
          <w:rFonts w:ascii="宋体" w:hAnsi="宋体" w:eastAsia="宋体" w:cs="宋体"/>
          <w:color w:val="auto"/>
          <w:spacing w:val="5"/>
          <w:sz w:val="22"/>
          <w:szCs w:val="22"/>
          <w:highlight w:val="none"/>
        </w:rPr>
        <w:t>部规定的归档范围，全部完成组卷和编目。经委托人单位组织检查验收后，</w:t>
      </w:r>
      <w:r>
        <w:rPr>
          <w:rFonts w:ascii="宋体" w:hAnsi="宋体" w:eastAsia="宋体" w:cs="宋体"/>
          <w:color w:val="auto"/>
          <w:spacing w:val="4"/>
          <w:sz w:val="22"/>
          <w:szCs w:val="22"/>
          <w:highlight w:val="none"/>
        </w:rPr>
        <w:t>移交给委</w:t>
      </w:r>
      <w:r>
        <w:rPr>
          <w:rFonts w:ascii="宋体" w:hAnsi="宋体" w:eastAsia="宋体" w:cs="宋体"/>
          <w:color w:val="auto"/>
          <w:spacing w:val="-4"/>
          <w:sz w:val="22"/>
          <w:szCs w:val="22"/>
          <w:highlight w:val="none"/>
        </w:rPr>
        <w:t>托人。</w:t>
      </w:r>
    </w:p>
    <w:p w14:paraId="38F27970">
      <w:pPr>
        <w:spacing w:before="177" w:line="289" w:lineRule="auto"/>
        <w:ind w:left="46" w:right="133" w:firstLine="45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（9）如监理人因竣工文件未按时完成或质量问题影响到本项目的交工验收以及项</w:t>
      </w:r>
      <w:r>
        <w:rPr>
          <w:rFonts w:ascii="宋体" w:hAnsi="宋体" w:eastAsia="宋体" w:cs="宋体"/>
          <w:color w:val="auto"/>
          <w:spacing w:val="-2"/>
          <w:sz w:val="22"/>
          <w:szCs w:val="22"/>
          <w:highlight w:val="none"/>
        </w:rPr>
        <w:t>目档案专项验收，委托人有权视情节轻重从监理费或履约保函中扣除相关的费用。</w:t>
      </w:r>
    </w:p>
    <w:p w14:paraId="0A4F18E5">
      <w:pPr>
        <w:spacing w:before="183" w:line="288" w:lineRule="auto"/>
        <w:ind w:right="133" w:firstLine="496"/>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（10）监理人应全面核查施工承包人动态汇总</w:t>
      </w:r>
      <w:r>
        <w:rPr>
          <w:rFonts w:ascii="宋体" w:hAnsi="宋体" w:eastAsia="宋体" w:cs="宋体"/>
          <w:color w:val="auto"/>
          <w:spacing w:val="4"/>
          <w:sz w:val="22"/>
          <w:szCs w:val="22"/>
          <w:highlight w:val="none"/>
        </w:rPr>
        <w:t>修编的图纸和竣工图，图纸成果质</w:t>
      </w:r>
      <w:r>
        <w:rPr>
          <w:rFonts w:ascii="宋体" w:hAnsi="宋体" w:eastAsia="宋体" w:cs="宋体"/>
          <w:color w:val="auto"/>
          <w:spacing w:val="-1"/>
          <w:sz w:val="22"/>
          <w:szCs w:val="22"/>
          <w:highlight w:val="none"/>
        </w:rPr>
        <w:t>量应符合主要施工合同的造价数据链文件编制要求和闭合。</w:t>
      </w:r>
    </w:p>
    <w:p w14:paraId="66BE54B5">
      <w:pPr>
        <w:spacing w:before="185" w:line="219" w:lineRule="auto"/>
        <w:ind w:left="503"/>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13.5监理人驻地（含总监办、监理驻地</w:t>
      </w:r>
      <w:r>
        <w:rPr>
          <w:rFonts w:ascii="宋体" w:hAnsi="宋体" w:eastAsia="宋体" w:cs="宋体"/>
          <w:b/>
          <w:bCs/>
          <w:color w:val="auto"/>
          <w:spacing w:val="-4"/>
          <w:sz w:val="22"/>
          <w:szCs w:val="22"/>
          <w:highlight w:val="none"/>
        </w:rPr>
        <w:t>办）</w:t>
      </w:r>
    </w:p>
    <w:p w14:paraId="40435367">
      <w:pPr>
        <w:spacing w:line="219" w:lineRule="auto"/>
        <w:rPr>
          <w:rFonts w:ascii="宋体" w:hAnsi="宋体" w:eastAsia="宋体" w:cs="宋体"/>
          <w:color w:val="auto"/>
          <w:sz w:val="22"/>
          <w:szCs w:val="22"/>
          <w:highlight w:val="none"/>
        </w:rPr>
        <w:sectPr>
          <w:footerReference r:id="rId74" w:type="default"/>
          <w:pgSz w:w="11906" w:h="16839"/>
          <w:pgMar w:top="1405" w:right="1285" w:bottom="1297" w:left="1424" w:header="0" w:footer="1067" w:gutter="0"/>
          <w:pgNumType w:fmt="decimal"/>
          <w:cols w:space="720" w:num="1"/>
        </w:sectPr>
      </w:pPr>
    </w:p>
    <w:p w14:paraId="54B2D376">
      <w:pPr>
        <w:spacing w:before="47" w:line="289" w:lineRule="auto"/>
        <w:ind w:left="1" w:firstLine="49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（1）监理人不得以任何形式接受施工单位租借的场所作为驻地，也不得与施工单</w:t>
      </w:r>
      <w:r>
        <w:rPr>
          <w:rFonts w:ascii="宋体" w:hAnsi="宋体" w:eastAsia="宋体" w:cs="宋体"/>
          <w:color w:val="auto"/>
          <w:spacing w:val="-3"/>
          <w:sz w:val="22"/>
          <w:szCs w:val="22"/>
          <w:highlight w:val="none"/>
        </w:rPr>
        <w:t>位共租。</w:t>
      </w:r>
    </w:p>
    <w:p w14:paraId="2DCF1AF4">
      <w:pPr>
        <w:spacing w:before="182" w:line="289" w:lineRule="auto"/>
        <w:ind w:left="5" w:firstLine="49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（2）有条件的情况下，委托人可为监理人选择驻地，以便三方协调沟通，驻地建</w:t>
      </w:r>
      <w:r>
        <w:rPr>
          <w:rFonts w:ascii="宋体" w:hAnsi="宋体" w:eastAsia="宋体" w:cs="宋体"/>
          <w:color w:val="auto"/>
          <w:spacing w:val="-1"/>
          <w:sz w:val="22"/>
          <w:szCs w:val="22"/>
          <w:highlight w:val="none"/>
        </w:rPr>
        <w:t>设装修、租金、水电及其他相关费用由各方按使用面积分担或协商确定。</w:t>
      </w:r>
    </w:p>
    <w:p w14:paraId="66BBFC2F">
      <w:pPr>
        <w:spacing w:before="183" w:line="219" w:lineRule="auto"/>
        <w:ind w:left="50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13.6监理人与中心试验室试验检测服务工程质量监管职责</w:t>
      </w:r>
    </w:p>
    <w:p w14:paraId="4C1AC227">
      <w:pPr>
        <w:spacing w:before="180" w:line="336" w:lineRule="auto"/>
        <w:ind w:firstLine="4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按照“整体效率最优、专业人做专业事”的原则，优化调整工作界面，明确中心试验室为工地试验室的主要监督管理单位；改变只对来样负责，在原材料管理、取样送样、成品检测等方面赋予中心试验室全过程管理责权，提高监管效率，故在此对监理单位与中心试验室试验检测服务单位的工程质量监管职责特进行明确如下：</w:t>
      </w:r>
    </w:p>
    <w:p w14:paraId="000A41F5">
      <w:pPr>
        <w:spacing w:before="180" w:line="336" w:lineRule="auto"/>
        <w:ind w:firstLine="4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13.6.1监理人与中心试验室在试验检测方面的工作关系 </w:t>
      </w:r>
    </w:p>
    <w:p w14:paraId="74376E81">
      <w:pPr>
        <w:spacing w:before="180" w:line="336" w:lineRule="auto"/>
        <w:ind w:firstLine="4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（1）监理人和中心试验室同属建设单位的委托机构并对建设单位负责，接受建设单位的监督和管理。 </w:t>
      </w:r>
    </w:p>
    <w:p w14:paraId="2090C86D">
      <w:pPr>
        <w:spacing w:before="180" w:line="336" w:lineRule="auto"/>
        <w:ind w:firstLine="4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（1.1）监理人可不自行组建中心试验室，本合同约定的全部试验检测工作，监理人应通过委托具备相应资质的第三方试验检测机构完成。</w:t>
      </w:r>
    </w:p>
    <w:p w14:paraId="3696F0A1">
      <w:pPr>
        <w:spacing w:before="180" w:line="336" w:lineRule="auto"/>
        <w:ind w:firstLine="4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（1.2）监理人对外委检测工作的全过程负监督管理责任，包括但不限于：检测机构的选择与考察、见证取样送检、检测过程的监督、检测报告的审核与确认。</w:t>
      </w:r>
    </w:p>
    <w:p w14:paraId="152462EF">
      <w:pPr>
        <w:spacing w:before="180" w:line="336" w:lineRule="auto"/>
        <w:ind w:firstLine="4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（1.3）监理人应建立外委试验管理台账，并定期向建设单位报送外委检测工作情况。</w:t>
      </w:r>
    </w:p>
    <w:p w14:paraId="5474A557">
      <w:pPr>
        <w:spacing w:before="180" w:line="336" w:lineRule="auto"/>
        <w:ind w:firstLine="4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（1.4）因外委检测机构的数据失实、弄虚作假等原因导致工程质量问题或损失的，监理人应首 先向建设单位承担责任，再依据其与检测机构的合同进行追偿。</w:t>
      </w:r>
    </w:p>
    <w:p w14:paraId="4DB5CD50">
      <w:pPr>
        <w:spacing w:before="180" w:line="336" w:lineRule="auto"/>
        <w:ind w:firstLine="4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（1.5）本合同总价已包含监理人完成全部试验检测工作(含外委检测)所需的一切费用，监理人应负责与选定的第三方检测机构结算并支付相关费用。</w:t>
      </w:r>
    </w:p>
    <w:p w14:paraId="6A4206E7">
      <w:pPr>
        <w:spacing w:before="180" w:line="336" w:lineRule="auto"/>
        <w:ind w:firstLine="4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（2）总监理工程师办公室(以下简称“总监办”， 本“总监办”含监理驻地办)和中心试验室是委托人委托的两家法人单位的现场派出机构，在委托人合同授权范围内对共同管辖的施工合同段履行工程质量监管职责，在工作中既要严格遵守合同，坚持原则，又要沟通协调、互相配合，不得相互推诿。中心试验室以试验检测工作为主配合总监办做好工程质量监管工作，独立完成合同规定的试验检测任务。</w:t>
      </w:r>
    </w:p>
    <w:p w14:paraId="340F6526">
      <w:pPr>
        <w:spacing w:before="183" w:line="219" w:lineRule="auto"/>
        <w:ind w:left="49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（3）总监办与中心试验室工作界面划分</w:t>
      </w:r>
    </w:p>
    <w:p w14:paraId="4EBA441D">
      <w:pPr>
        <w:spacing w:before="183" w:line="219" w:lineRule="auto"/>
        <w:ind w:left="479"/>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A.中心试验室的试验检测工作范围</w:t>
      </w:r>
    </w:p>
    <w:p w14:paraId="7A88AAA4">
      <w:pPr>
        <w:spacing w:before="181" w:line="312" w:lineRule="auto"/>
        <w:ind w:left="1" w:firstLine="485"/>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a.承担按《公路工程施工监理规范》、《公路工程质量检验评定标准</w:t>
      </w:r>
      <w:r>
        <w:rPr>
          <w:rFonts w:ascii="宋体" w:hAnsi="宋体" w:eastAsia="宋体" w:cs="宋体"/>
          <w:color w:val="auto"/>
          <w:spacing w:val="4"/>
          <w:sz w:val="22"/>
          <w:szCs w:val="22"/>
          <w:highlight w:val="none"/>
        </w:rPr>
        <w:t>》</w:t>
      </w:r>
      <w:r>
        <w:rPr>
          <w:rFonts w:hint="eastAsia" w:ascii="宋体" w:hAnsi="宋体" w:eastAsia="宋体" w:cs="宋体"/>
          <w:color w:val="auto"/>
          <w:spacing w:val="4"/>
          <w:sz w:val="22"/>
          <w:szCs w:val="22"/>
          <w:highlight w:val="none"/>
          <w:lang w:eastAsia="zh-CN"/>
        </w:rPr>
        <w:t>、《公路水运工程质量检测管理办法》(交通运输部令2023年第9号)及项目所在地的工地试验室管理办法</w:t>
      </w:r>
      <w:r>
        <w:rPr>
          <w:rFonts w:ascii="宋体" w:hAnsi="宋体" w:eastAsia="宋体" w:cs="宋体"/>
          <w:color w:val="auto"/>
          <w:spacing w:val="4"/>
          <w:sz w:val="22"/>
          <w:szCs w:val="22"/>
          <w:highlight w:val="none"/>
        </w:rPr>
        <w:t>规定的验</w:t>
      </w:r>
      <w:r>
        <w:rPr>
          <w:rFonts w:ascii="宋体" w:hAnsi="宋体" w:eastAsia="宋体" w:cs="宋体"/>
          <w:color w:val="auto"/>
          <w:spacing w:val="5"/>
          <w:sz w:val="22"/>
          <w:szCs w:val="22"/>
          <w:highlight w:val="none"/>
        </w:rPr>
        <w:t>证试验、室内试验、标准试验、抽样试验、验收试验等工作的取（采）样和</w:t>
      </w:r>
      <w:r>
        <w:rPr>
          <w:rFonts w:ascii="宋体" w:hAnsi="宋体" w:eastAsia="宋体" w:cs="宋体"/>
          <w:color w:val="auto"/>
          <w:spacing w:val="4"/>
          <w:sz w:val="22"/>
          <w:szCs w:val="22"/>
          <w:highlight w:val="none"/>
        </w:rPr>
        <w:t>试验并出</w:t>
      </w:r>
      <w:r>
        <w:rPr>
          <w:rFonts w:ascii="宋体" w:hAnsi="宋体" w:eastAsia="宋体" w:cs="宋体"/>
          <w:color w:val="auto"/>
          <w:spacing w:val="-1"/>
          <w:sz w:val="22"/>
          <w:szCs w:val="22"/>
          <w:highlight w:val="none"/>
        </w:rPr>
        <w:t>具试验报告，并对其真实性负责。</w:t>
      </w:r>
    </w:p>
    <w:p w14:paraId="6D6E09C5">
      <w:pPr>
        <w:spacing w:before="184" w:line="290" w:lineRule="auto"/>
        <w:ind w:left="1" w:firstLine="47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b．代表委托人对原材料、构配件、实体工程质量进行抽检，以及</w:t>
      </w:r>
      <w:r>
        <w:rPr>
          <w:rFonts w:ascii="宋体" w:hAnsi="宋体" w:eastAsia="宋体" w:cs="宋体"/>
          <w:color w:val="auto"/>
          <w:spacing w:val="1"/>
          <w:sz w:val="22"/>
          <w:szCs w:val="22"/>
          <w:highlight w:val="none"/>
        </w:rPr>
        <w:t>委托人组织的质</w:t>
      </w:r>
      <w:r>
        <w:rPr>
          <w:rFonts w:ascii="宋体" w:hAnsi="宋体" w:eastAsia="宋体" w:cs="宋体"/>
          <w:color w:val="auto"/>
          <w:spacing w:val="-1"/>
          <w:sz w:val="22"/>
          <w:szCs w:val="22"/>
          <w:highlight w:val="none"/>
        </w:rPr>
        <w:t>量大检查过程中需进行的试验检测工作。</w:t>
      </w:r>
    </w:p>
    <w:p w14:paraId="1B76AF44">
      <w:pPr>
        <w:spacing w:before="180" w:line="219" w:lineRule="auto"/>
        <w:ind w:left="486"/>
        <w:rPr>
          <w:rFonts w:ascii="宋体" w:hAnsi="宋体" w:eastAsia="宋体" w:cs="宋体"/>
          <w:color w:val="auto"/>
          <w:sz w:val="22"/>
          <w:szCs w:val="22"/>
          <w:highlight w:val="none"/>
        </w:rPr>
      </w:pPr>
      <w:r>
        <w:rPr>
          <w:rFonts w:ascii="宋体" w:hAnsi="宋体" w:eastAsia="宋体" w:cs="宋体"/>
          <w:color w:val="auto"/>
          <w:sz w:val="22"/>
          <w:szCs w:val="22"/>
          <w:highlight w:val="none"/>
        </w:rPr>
        <w:t>c．承担原材料和混凝土、砂浆、压浆浆液等</w:t>
      </w:r>
      <w:r>
        <w:rPr>
          <w:rFonts w:ascii="宋体" w:hAnsi="宋体" w:eastAsia="宋体" w:cs="宋体"/>
          <w:color w:val="auto"/>
          <w:spacing w:val="-1"/>
          <w:sz w:val="22"/>
          <w:szCs w:val="22"/>
          <w:highlight w:val="none"/>
        </w:rPr>
        <w:t>现场试件的取样、送样及试验工作。</w:t>
      </w:r>
    </w:p>
    <w:p w14:paraId="7C6DE06F">
      <w:pPr>
        <w:spacing w:before="181" w:line="289" w:lineRule="auto"/>
        <w:ind w:left="2" w:firstLine="483"/>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d.负责完成委托人组织的优质优价评比及质量检查时的混凝土回弹强度</w:t>
      </w:r>
      <w:r>
        <w:rPr>
          <w:rFonts w:ascii="宋体" w:hAnsi="宋体" w:eastAsia="宋体" w:cs="宋体"/>
          <w:color w:val="auto"/>
          <w:spacing w:val="4"/>
          <w:sz w:val="22"/>
          <w:szCs w:val="22"/>
          <w:highlight w:val="none"/>
        </w:rPr>
        <w:t>及钢筋保</w:t>
      </w:r>
      <w:r>
        <w:rPr>
          <w:rFonts w:ascii="宋体" w:hAnsi="宋体" w:eastAsia="宋体" w:cs="宋体"/>
          <w:color w:val="auto"/>
          <w:sz w:val="22"/>
          <w:szCs w:val="22"/>
          <w:highlight w:val="none"/>
        </w:rPr>
        <w:t>护层试验检测并及时出具试验检测报告，以作为质量</w:t>
      </w:r>
      <w:r>
        <w:rPr>
          <w:rFonts w:ascii="宋体" w:hAnsi="宋体" w:eastAsia="宋体" w:cs="宋体"/>
          <w:color w:val="auto"/>
          <w:spacing w:val="-1"/>
          <w:sz w:val="22"/>
          <w:szCs w:val="22"/>
          <w:highlight w:val="none"/>
        </w:rPr>
        <w:t>评比检查依据及质检资料。</w:t>
      </w:r>
    </w:p>
    <w:p w14:paraId="7331173F">
      <w:pPr>
        <w:spacing w:before="181" w:line="289" w:lineRule="auto"/>
        <w:ind w:left="2" w:firstLine="483"/>
        <w:rPr>
          <w:rFonts w:ascii="宋体" w:hAnsi="宋体" w:eastAsia="宋体" w:cs="宋体"/>
          <w:color w:val="auto"/>
          <w:spacing w:val="5"/>
          <w:sz w:val="22"/>
          <w:szCs w:val="22"/>
          <w:highlight w:val="none"/>
        </w:rPr>
      </w:pPr>
      <w:r>
        <w:rPr>
          <w:rFonts w:ascii="宋体" w:hAnsi="宋体" w:eastAsia="宋体" w:cs="宋体"/>
          <w:color w:val="auto"/>
          <w:spacing w:val="5"/>
          <w:sz w:val="22"/>
          <w:szCs w:val="22"/>
          <w:highlight w:val="none"/>
        </w:rPr>
        <w:t>e．完成委托人及质量监督机构安排的其他试验检测任务。</w:t>
      </w:r>
    </w:p>
    <w:p w14:paraId="5C7E8BF6">
      <w:pPr>
        <w:spacing w:before="181" w:line="289" w:lineRule="auto"/>
        <w:ind w:left="2" w:firstLine="483"/>
        <w:rPr>
          <w:rFonts w:ascii="宋体" w:hAnsi="宋体" w:eastAsia="宋体" w:cs="宋体"/>
          <w:color w:val="auto"/>
          <w:spacing w:val="5"/>
          <w:sz w:val="22"/>
          <w:szCs w:val="22"/>
          <w:highlight w:val="none"/>
        </w:rPr>
      </w:pPr>
      <w:r>
        <w:rPr>
          <w:rFonts w:ascii="宋体" w:hAnsi="宋体" w:eastAsia="宋体" w:cs="宋体"/>
          <w:color w:val="auto"/>
          <w:spacing w:val="5"/>
          <w:sz w:val="22"/>
          <w:szCs w:val="22"/>
          <w:highlight w:val="none"/>
        </w:rPr>
        <w:t>f.审查和批准施工单位对外委托的检测单位，报委托人备案。施工单位有外委试验检测，中心试验室应派员参加取样、送样的见证工作。</w:t>
      </w:r>
    </w:p>
    <w:p w14:paraId="2758CE69">
      <w:pPr>
        <w:spacing w:before="181" w:line="289" w:lineRule="auto"/>
        <w:ind w:left="2" w:firstLine="483"/>
        <w:rPr>
          <w:rFonts w:ascii="宋体" w:hAnsi="宋体" w:eastAsia="宋体" w:cs="宋体"/>
          <w:color w:val="auto"/>
          <w:spacing w:val="5"/>
          <w:sz w:val="22"/>
          <w:szCs w:val="22"/>
          <w:highlight w:val="none"/>
        </w:rPr>
      </w:pPr>
      <w:r>
        <w:rPr>
          <w:rFonts w:ascii="宋体" w:hAnsi="宋体" w:eastAsia="宋体" w:cs="宋体"/>
          <w:color w:val="auto"/>
          <w:spacing w:val="5"/>
          <w:sz w:val="22"/>
          <w:szCs w:val="22"/>
          <w:highlight w:val="none"/>
        </w:rPr>
        <w:t>g.负责督促施工准备阶段施工单位工地试验室的建设和审查试验室认定材料，配合委托人组织做好施工单位工地试验室临时资质的考核工作；负责检查施工单位工地试验室的试验管理工作，不定期检查其试验室，核查试验室仪器设备完好情况、标定情况以及人员变更情况，并有权要求施工单位增加中心试验室试验检测服务单位员、更换不称职的中心试验室试验检测服务单位人员和配备足够的试验仪器、设备等，必要情况下向委托人汇报。</w:t>
      </w:r>
    </w:p>
    <w:p w14:paraId="0A6A21DC">
      <w:pPr>
        <w:spacing w:before="180" w:line="219" w:lineRule="auto"/>
        <w:ind w:left="47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h. 协助委托人完成交工各项试验检测工作。</w:t>
      </w:r>
    </w:p>
    <w:p w14:paraId="1932C717">
      <w:pPr>
        <w:spacing w:before="183" w:line="219" w:lineRule="auto"/>
        <w:ind w:left="475"/>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B.</w:t>
      </w:r>
      <w:r>
        <w:rPr>
          <w:rFonts w:ascii="宋体" w:hAnsi="宋体" w:eastAsia="宋体" w:cs="宋体"/>
          <w:color w:val="auto"/>
          <w:spacing w:val="-2"/>
          <w:sz w:val="22"/>
          <w:szCs w:val="22"/>
          <w:highlight w:val="none"/>
        </w:rPr>
        <w:t xml:space="preserve"> </w:t>
      </w:r>
      <w:r>
        <w:rPr>
          <w:rFonts w:ascii="宋体" w:hAnsi="宋体" w:eastAsia="宋体" w:cs="宋体"/>
          <w:b/>
          <w:bCs/>
          <w:color w:val="auto"/>
          <w:spacing w:val="-2"/>
          <w:sz w:val="22"/>
          <w:szCs w:val="22"/>
          <w:highlight w:val="none"/>
        </w:rPr>
        <w:t>总监办监理工程师工作范围</w:t>
      </w:r>
    </w:p>
    <w:p w14:paraId="66A2C5D2">
      <w:pPr>
        <w:spacing w:before="181" w:line="359" w:lineRule="auto"/>
        <w:ind w:left="46" w:right="128" w:firstLine="44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总监办进行中心试验室工作范围外以及为加强现场质量控制所进行的试验检测项</w:t>
      </w:r>
      <w:r>
        <w:rPr>
          <w:rFonts w:ascii="宋体" w:hAnsi="宋体" w:eastAsia="宋体" w:cs="宋体"/>
          <w:color w:val="auto"/>
          <w:spacing w:val="-7"/>
          <w:sz w:val="22"/>
          <w:szCs w:val="22"/>
          <w:highlight w:val="none"/>
        </w:rPr>
        <w:t>目，包括但不限于：</w:t>
      </w:r>
    </w:p>
    <w:p w14:paraId="632C51F3">
      <w:pPr>
        <w:spacing w:line="313" w:lineRule="auto"/>
        <w:ind w:left="2" w:right="125" w:firstLine="479"/>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a.对基准点引出的工程控制桩进行复测，对施工放线的路线平面控制点、各种结</w:t>
      </w:r>
      <w:r>
        <w:rPr>
          <w:rFonts w:ascii="宋体" w:hAnsi="宋体" w:eastAsia="宋体" w:cs="宋体"/>
          <w:color w:val="auto"/>
          <w:sz w:val="22"/>
          <w:szCs w:val="22"/>
          <w:highlight w:val="none"/>
        </w:rPr>
        <w:t>构物定位的轴线控制桩位以及各高程控制点等重点桩位进行</w:t>
      </w:r>
      <w:r>
        <w:rPr>
          <w:rFonts w:ascii="宋体" w:hAnsi="宋体" w:eastAsia="宋体" w:cs="宋体"/>
          <w:color w:val="auto"/>
          <w:spacing w:val="-1"/>
          <w:sz w:val="22"/>
          <w:szCs w:val="22"/>
          <w:highlight w:val="none"/>
        </w:rPr>
        <w:t>不少于</w:t>
      </w:r>
      <w:r>
        <w:rPr>
          <w:rFonts w:ascii="宋体" w:hAnsi="宋体" w:eastAsia="宋体" w:cs="宋体"/>
          <w:color w:val="auto"/>
          <w:spacing w:val="-45"/>
          <w:sz w:val="22"/>
          <w:szCs w:val="22"/>
          <w:highlight w:val="none"/>
        </w:rPr>
        <w:t xml:space="preserve"> </w:t>
      </w:r>
      <w:r>
        <w:rPr>
          <w:rFonts w:ascii="宋体" w:hAnsi="宋体" w:eastAsia="宋体" w:cs="宋体"/>
          <w:color w:val="auto"/>
          <w:spacing w:val="-1"/>
          <w:sz w:val="22"/>
          <w:szCs w:val="22"/>
          <w:highlight w:val="none"/>
        </w:rPr>
        <w:t>30%复测，经复测不符合规定时应要求其重新测设。</w:t>
      </w:r>
    </w:p>
    <w:p w14:paraId="2D965785">
      <w:pPr>
        <w:spacing w:before="180" w:line="290" w:lineRule="auto"/>
        <w:ind w:left="7" w:right="128" w:firstLine="469"/>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b.完成《公路工程质量检验评定标准》中规定的测量工作内容包括结构尺寸、标</w:t>
      </w:r>
      <w:r>
        <w:rPr>
          <w:rFonts w:ascii="宋体" w:hAnsi="宋体" w:eastAsia="宋体" w:cs="宋体"/>
          <w:color w:val="auto"/>
          <w:spacing w:val="-6"/>
          <w:sz w:val="22"/>
          <w:szCs w:val="22"/>
          <w:highlight w:val="none"/>
        </w:rPr>
        <w:t>高等；</w:t>
      </w:r>
    </w:p>
    <w:p w14:paraId="0E0E8860">
      <w:pPr>
        <w:spacing w:before="180" w:line="289" w:lineRule="auto"/>
        <w:ind w:left="23" w:right="128" w:firstLine="46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c．完成《公路工程施工监理规范》及《公路</w:t>
      </w:r>
      <w:r>
        <w:rPr>
          <w:rFonts w:ascii="宋体" w:hAnsi="宋体" w:eastAsia="宋体" w:cs="宋体"/>
          <w:color w:val="auto"/>
          <w:spacing w:val="1"/>
          <w:sz w:val="22"/>
          <w:szCs w:val="22"/>
          <w:highlight w:val="none"/>
        </w:rPr>
        <w:t>工程质量检验评定标准》中规定的除</w:t>
      </w:r>
      <w:r>
        <w:rPr>
          <w:rFonts w:ascii="宋体" w:hAnsi="宋体" w:eastAsia="宋体" w:cs="宋体"/>
          <w:color w:val="auto"/>
          <w:spacing w:val="-3"/>
          <w:sz w:val="22"/>
          <w:szCs w:val="22"/>
          <w:highlight w:val="none"/>
        </w:rPr>
        <w:t>中心试验室承担的其他检测内容。</w:t>
      </w:r>
    </w:p>
    <w:p w14:paraId="71158AEB">
      <w:pPr>
        <w:spacing w:before="182" w:line="290" w:lineRule="auto"/>
        <w:ind w:left="6" w:firstLine="479"/>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d．负责《公路工程质量检验评定标准》要</w:t>
      </w:r>
      <w:r>
        <w:rPr>
          <w:rFonts w:ascii="宋体" w:hAnsi="宋体" w:eastAsia="宋体" w:cs="宋体"/>
          <w:color w:val="auto"/>
          <w:spacing w:val="-2"/>
          <w:sz w:val="22"/>
          <w:szCs w:val="22"/>
          <w:highlight w:val="none"/>
        </w:rPr>
        <w:t>求的评定指标以外但直接影响工程质量、</w:t>
      </w:r>
      <w:r>
        <w:rPr>
          <w:rFonts w:ascii="宋体" w:hAnsi="宋体" w:eastAsia="宋体" w:cs="宋体"/>
          <w:color w:val="auto"/>
          <w:spacing w:val="-1"/>
          <w:sz w:val="22"/>
          <w:szCs w:val="22"/>
          <w:highlight w:val="none"/>
        </w:rPr>
        <w:t>结构性能的其他部分质量指标检测任务；</w:t>
      </w:r>
    </w:p>
    <w:p w14:paraId="437DCCB2">
      <w:pPr>
        <w:spacing w:before="178" w:line="313" w:lineRule="auto"/>
        <w:ind w:right="128" w:firstLine="485"/>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e．监理机构应安排监理人员对合同约定和现行《公路工程施工监理规范》附录</w:t>
      </w:r>
      <w:r>
        <w:rPr>
          <w:rFonts w:ascii="宋体" w:hAnsi="宋体" w:eastAsia="宋体" w:cs="宋体"/>
          <w:color w:val="auto"/>
          <w:spacing w:val="-53"/>
          <w:sz w:val="22"/>
          <w:szCs w:val="22"/>
          <w:highlight w:val="none"/>
        </w:rPr>
        <w:t xml:space="preserve"> </w:t>
      </w:r>
      <w:r>
        <w:rPr>
          <w:rFonts w:ascii="宋体" w:hAnsi="宋体" w:eastAsia="宋体" w:cs="宋体"/>
          <w:color w:val="auto"/>
          <w:spacing w:val="3"/>
          <w:sz w:val="22"/>
          <w:szCs w:val="22"/>
          <w:highlight w:val="none"/>
        </w:rPr>
        <w:t>A</w:t>
      </w:r>
      <w:r>
        <w:rPr>
          <w:rFonts w:ascii="宋体" w:hAnsi="宋体" w:eastAsia="宋体" w:cs="宋体"/>
          <w:color w:val="auto"/>
          <w:spacing w:val="5"/>
          <w:sz w:val="22"/>
          <w:szCs w:val="22"/>
          <w:highlight w:val="none"/>
        </w:rPr>
        <w:t>所列旁站项目的施工过程进行旁站，对主要工程的关键项目进行检测见证，</w:t>
      </w:r>
      <w:r>
        <w:rPr>
          <w:rFonts w:ascii="宋体" w:hAnsi="宋体" w:eastAsia="宋体" w:cs="宋体"/>
          <w:color w:val="auto"/>
          <w:spacing w:val="4"/>
          <w:sz w:val="22"/>
          <w:szCs w:val="22"/>
          <w:highlight w:val="none"/>
        </w:rPr>
        <w:t>并签写旁</w:t>
      </w:r>
      <w:r>
        <w:rPr>
          <w:rFonts w:ascii="宋体" w:hAnsi="宋体" w:eastAsia="宋体" w:cs="宋体"/>
          <w:color w:val="auto"/>
          <w:spacing w:val="-1"/>
          <w:sz w:val="22"/>
          <w:szCs w:val="22"/>
          <w:highlight w:val="none"/>
        </w:rPr>
        <w:t>站记录，签认检测见证结果。</w:t>
      </w:r>
    </w:p>
    <w:p w14:paraId="0C0E9FC7">
      <w:pPr>
        <w:spacing w:before="182" w:line="290" w:lineRule="auto"/>
        <w:ind w:left="3" w:right="128" w:firstLine="48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f. 负责施工过程中混凝土质量（坍落度、</w:t>
      </w:r>
      <w:r>
        <w:rPr>
          <w:rFonts w:ascii="宋体" w:hAnsi="宋体" w:eastAsia="宋体" w:cs="宋体"/>
          <w:color w:val="auto"/>
          <w:spacing w:val="1"/>
          <w:sz w:val="22"/>
          <w:szCs w:val="22"/>
          <w:highlight w:val="none"/>
        </w:rPr>
        <w:t>扩展度等）及钢筋保护层厚度的质量检</w:t>
      </w:r>
      <w:r>
        <w:rPr>
          <w:rFonts w:ascii="宋体" w:hAnsi="宋体" w:eastAsia="宋体" w:cs="宋体"/>
          <w:color w:val="auto"/>
          <w:spacing w:val="-2"/>
          <w:sz w:val="22"/>
          <w:szCs w:val="22"/>
          <w:highlight w:val="none"/>
        </w:rPr>
        <w:t>查及验收评定。</w:t>
      </w:r>
    </w:p>
    <w:p w14:paraId="0111AC6C">
      <w:pPr>
        <w:spacing w:before="181" w:line="219" w:lineRule="auto"/>
        <w:ind w:left="479"/>
        <w:rPr>
          <w:rFonts w:ascii="宋体" w:hAnsi="宋体" w:eastAsia="宋体" w:cs="宋体"/>
          <w:color w:val="auto"/>
          <w:sz w:val="22"/>
          <w:szCs w:val="22"/>
          <w:highlight w:val="none"/>
        </w:rPr>
      </w:pPr>
      <w:r>
        <w:rPr>
          <w:rFonts w:ascii="宋体" w:hAnsi="宋体" w:eastAsia="宋体" w:cs="宋体"/>
          <w:b/>
          <w:bCs/>
          <w:color w:val="auto"/>
          <w:spacing w:val="-3"/>
          <w:sz w:val="22"/>
          <w:szCs w:val="22"/>
          <w:highlight w:val="none"/>
        </w:rPr>
        <w:t>C．试验检测结果争议的处理</w:t>
      </w:r>
    </w:p>
    <w:p w14:paraId="4F082996">
      <w:pPr>
        <w:spacing w:before="181" w:line="359" w:lineRule="auto"/>
        <w:ind w:left="1" w:right="128" w:firstLine="494"/>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当委托人或监理对中心试验室检测工作质量存疑或存在争议</w:t>
      </w:r>
      <w:r>
        <w:rPr>
          <w:rFonts w:ascii="宋体" w:hAnsi="宋体" w:eastAsia="宋体" w:cs="宋体"/>
          <w:color w:val="auto"/>
          <w:spacing w:val="4"/>
          <w:sz w:val="22"/>
          <w:szCs w:val="22"/>
          <w:highlight w:val="none"/>
        </w:rPr>
        <w:t>时，委托人将组织各</w:t>
      </w:r>
      <w:r>
        <w:rPr>
          <w:rFonts w:ascii="宋体" w:hAnsi="宋体" w:eastAsia="宋体" w:cs="宋体"/>
          <w:color w:val="auto"/>
          <w:spacing w:val="-1"/>
          <w:sz w:val="22"/>
          <w:szCs w:val="22"/>
          <w:highlight w:val="none"/>
        </w:rPr>
        <w:t>方联合核查，必要时将提请质量监督单位进行仲裁。</w:t>
      </w:r>
    </w:p>
    <w:p w14:paraId="4EBB2011">
      <w:pPr>
        <w:spacing w:line="219" w:lineRule="auto"/>
        <w:ind w:left="50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13.6.2. 总监办的工程质量监管职责（包含但不限于以下工作）</w:t>
      </w:r>
    </w:p>
    <w:p w14:paraId="654DCFAC">
      <w:pPr>
        <w:spacing w:before="182" w:line="289" w:lineRule="auto"/>
        <w:ind w:left="123" w:right="128" w:firstLine="525"/>
        <w:rPr>
          <w:rFonts w:ascii="宋体" w:hAnsi="宋体" w:eastAsia="宋体" w:cs="宋体"/>
          <w:color w:val="auto"/>
          <w:sz w:val="22"/>
          <w:szCs w:val="22"/>
          <w:highlight w:val="none"/>
        </w:rPr>
      </w:pPr>
      <w:r>
        <w:rPr>
          <w:rFonts w:ascii="宋体" w:hAnsi="宋体" w:eastAsia="宋体" w:cs="宋体"/>
          <w:color w:val="auto"/>
          <w:sz w:val="22"/>
          <w:szCs w:val="22"/>
          <w:highlight w:val="none"/>
        </w:rPr>
        <w:t>(1)配合中心试验室做好施工单位工地试验室临时资质的考核等工作，参与中心试验室组织的施工单位工地试验室临时资质的考核。</w:t>
      </w:r>
    </w:p>
    <w:p w14:paraId="12835A79">
      <w:pPr>
        <w:spacing w:before="182" w:line="289" w:lineRule="auto"/>
        <w:ind w:left="123" w:right="128" w:firstLine="525"/>
        <w:rPr>
          <w:rFonts w:ascii="宋体" w:hAnsi="宋体" w:eastAsia="宋体" w:cs="宋体"/>
          <w:color w:val="auto"/>
          <w:sz w:val="22"/>
          <w:szCs w:val="22"/>
          <w:highlight w:val="none"/>
        </w:rPr>
      </w:pPr>
      <w:r>
        <w:rPr>
          <w:rFonts w:ascii="宋体" w:hAnsi="宋体" w:eastAsia="宋体" w:cs="宋体"/>
          <w:color w:val="auto"/>
          <w:sz w:val="22"/>
          <w:szCs w:val="22"/>
          <w:highlight w:val="none"/>
        </w:rPr>
        <w:t>(2)监理人按要求设置试验检测工程师，配合中心试验室对施工单位试验检测工作指导、检查、管理，并承担监理其他的试验检测工作。</w:t>
      </w:r>
    </w:p>
    <w:p w14:paraId="6090D294">
      <w:pPr>
        <w:spacing w:before="182" w:line="289" w:lineRule="auto"/>
        <w:ind w:left="123" w:right="128" w:firstLine="525"/>
        <w:rPr>
          <w:rFonts w:ascii="宋体" w:hAnsi="宋体" w:eastAsia="宋体" w:cs="宋体"/>
          <w:color w:val="auto"/>
          <w:sz w:val="22"/>
          <w:szCs w:val="22"/>
          <w:highlight w:val="none"/>
        </w:rPr>
      </w:pPr>
      <w:r>
        <w:rPr>
          <w:rFonts w:ascii="宋体" w:hAnsi="宋体" w:eastAsia="宋体" w:cs="宋体"/>
          <w:color w:val="auto"/>
          <w:sz w:val="22"/>
          <w:szCs w:val="22"/>
          <w:highlight w:val="none"/>
        </w:rPr>
        <w:t>(3)负责审批施工单位的试验检测工作计划，检查计划执行情况。</w:t>
      </w:r>
    </w:p>
    <w:p w14:paraId="4E3F4A1E">
      <w:pPr>
        <w:spacing w:before="182" w:line="289" w:lineRule="auto"/>
        <w:ind w:left="123" w:right="128" w:firstLine="525"/>
        <w:rPr>
          <w:rFonts w:ascii="宋体" w:hAnsi="宋体" w:eastAsia="宋体" w:cs="宋体"/>
          <w:color w:val="auto"/>
          <w:sz w:val="22"/>
          <w:szCs w:val="22"/>
          <w:highlight w:val="none"/>
        </w:rPr>
      </w:pPr>
      <w:r>
        <w:rPr>
          <w:rFonts w:ascii="宋体" w:hAnsi="宋体" w:eastAsia="宋体" w:cs="宋体"/>
          <w:color w:val="auto"/>
          <w:sz w:val="22"/>
          <w:szCs w:val="22"/>
          <w:highlight w:val="none"/>
        </w:rPr>
        <w:t>(4)监理人按要求设置试验检测工程师，负责施工单位试验检测监理工作，对施工</w:t>
      </w:r>
      <w:r>
        <w:rPr>
          <w:rFonts w:ascii="宋体" w:hAnsi="宋体" w:eastAsia="宋体" w:cs="宋体"/>
          <w:color w:val="auto"/>
          <w:spacing w:val="-1"/>
          <w:sz w:val="22"/>
          <w:szCs w:val="22"/>
          <w:highlight w:val="none"/>
        </w:rPr>
        <w:t>单位试验检测工作指导、检查、管理，负责与中心试验室的协调工作。</w:t>
      </w:r>
    </w:p>
    <w:p w14:paraId="20B7C940">
      <w:pPr>
        <w:spacing w:before="180" w:line="313" w:lineRule="auto"/>
        <w:ind w:left="122" w:right="128" w:firstLine="526"/>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(5) 监理人应在施工单位自检合格基础上按最新</w:t>
      </w:r>
      <w:r>
        <w:rPr>
          <w:rFonts w:ascii="宋体" w:hAnsi="宋体" w:eastAsia="宋体" w:cs="宋体"/>
          <w:color w:val="auto"/>
          <w:spacing w:val="3"/>
          <w:sz w:val="22"/>
          <w:szCs w:val="22"/>
          <w:highlight w:val="none"/>
        </w:rPr>
        <w:t>《公路工程施工监理规范》相关</w:t>
      </w:r>
      <w:r>
        <w:rPr>
          <w:rFonts w:ascii="宋体" w:hAnsi="宋体" w:eastAsia="宋体" w:cs="宋体"/>
          <w:color w:val="auto"/>
          <w:spacing w:val="5"/>
          <w:sz w:val="22"/>
          <w:szCs w:val="22"/>
          <w:highlight w:val="none"/>
        </w:rPr>
        <w:t>规定进行抽检，并按相关附录格式填写抽检记录，并负责施工单位试验检</w:t>
      </w:r>
      <w:r>
        <w:rPr>
          <w:rFonts w:ascii="宋体" w:hAnsi="宋体" w:eastAsia="宋体" w:cs="宋体"/>
          <w:color w:val="auto"/>
          <w:spacing w:val="4"/>
          <w:sz w:val="22"/>
          <w:szCs w:val="22"/>
          <w:highlight w:val="none"/>
        </w:rPr>
        <w:t>测的见证、</w:t>
      </w:r>
      <w:r>
        <w:rPr>
          <w:rFonts w:ascii="宋体" w:hAnsi="宋体" w:eastAsia="宋体" w:cs="宋体"/>
          <w:color w:val="auto"/>
          <w:spacing w:val="-1"/>
          <w:sz w:val="22"/>
          <w:szCs w:val="22"/>
          <w:highlight w:val="none"/>
        </w:rPr>
        <w:t>旁站和相关资料的签认。</w:t>
      </w:r>
    </w:p>
    <w:p w14:paraId="7DE5D913">
      <w:pPr>
        <w:spacing w:before="183" w:line="324" w:lineRule="auto"/>
        <w:ind w:left="120" w:right="128" w:firstLine="528"/>
        <w:rPr>
          <w:rFonts w:ascii="宋体" w:hAnsi="宋体" w:eastAsia="宋体" w:cs="宋体"/>
          <w:color w:val="auto"/>
          <w:sz w:val="22"/>
          <w:szCs w:val="22"/>
          <w:highlight w:val="none"/>
        </w:rPr>
      </w:pPr>
      <w:r>
        <w:rPr>
          <w:rFonts w:ascii="宋体" w:hAnsi="宋体" w:eastAsia="宋体" w:cs="宋体"/>
          <w:color w:val="auto"/>
          <w:sz w:val="22"/>
          <w:szCs w:val="22"/>
          <w:highlight w:val="none"/>
        </w:rPr>
        <w:t>(6)监理人负责原材料厂家考察、审核（审批）及进场材料使用前的审批工作。对</w:t>
      </w:r>
      <w:r>
        <w:rPr>
          <w:rFonts w:ascii="宋体" w:hAnsi="宋体" w:eastAsia="宋体" w:cs="宋体"/>
          <w:color w:val="auto"/>
          <w:spacing w:val="5"/>
          <w:sz w:val="22"/>
          <w:szCs w:val="22"/>
          <w:highlight w:val="none"/>
        </w:rPr>
        <w:t>施工单位外部采购和委托制作的主要工程构配件或设备，监理工程师应检查产</w:t>
      </w:r>
      <w:r>
        <w:rPr>
          <w:rFonts w:ascii="宋体" w:hAnsi="宋体" w:eastAsia="宋体" w:cs="宋体"/>
          <w:color w:val="auto"/>
          <w:spacing w:val="4"/>
          <w:sz w:val="22"/>
          <w:szCs w:val="22"/>
          <w:highlight w:val="none"/>
        </w:rPr>
        <w:t>品合格</w:t>
      </w:r>
      <w:r>
        <w:rPr>
          <w:rFonts w:ascii="宋体" w:hAnsi="宋体" w:eastAsia="宋体" w:cs="宋体"/>
          <w:color w:val="auto"/>
          <w:spacing w:val="5"/>
          <w:sz w:val="22"/>
          <w:szCs w:val="22"/>
          <w:highlight w:val="none"/>
        </w:rPr>
        <w:t>证明文件和施工单位自检报告，进场后对关键项目进行抽检验收合格后方可使</w:t>
      </w:r>
      <w:r>
        <w:rPr>
          <w:rFonts w:ascii="宋体" w:hAnsi="宋体" w:eastAsia="宋体" w:cs="宋体"/>
          <w:color w:val="auto"/>
          <w:spacing w:val="4"/>
          <w:sz w:val="22"/>
          <w:szCs w:val="22"/>
          <w:highlight w:val="none"/>
        </w:rPr>
        <w:t>用，对</w:t>
      </w:r>
      <w:r>
        <w:rPr>
          <w:rFonts w:ascii="宋体" w:hAnsi="宋体" w:eastAsia="宋体" w:cs="宋体"/>
          <w:color w:val="auto"/>
          <w:sz w:val="22"/>
          <w:szCs w:val="22"/>
          <w:highlight w:val="none"/>
        </w:rPr>
        <w:t>监理不能检测项目可委托中心试验室进行试</w:t>
      </w:r>
      <w:r>
        <w:rPr>
          <w:rFonts w:ascii="宋体" w:hAnsi="宋体" w:eastAsia="宋体" w:cs="宋体"/>
          <w:color w:val="auto"/>
          <w:spacing w:val="-1"/>
          <w:sz w:val="22"/>
          <w:szCs w:val="22"/>
          <w:highlight w:val="none"/>
        </w:rPr>
        <w:t>验或到厂家监督检验。</w:t>
      </w:r>
    </w:p>
    <w:p w14:paraId="38658A15">
      <w:pPr>
        <w:spacing w:before="182" w:line="289" w:lineRule="auto"/>
        <w:ind w:left="121" w:right="128" w:firstLine="527"/>
        <w:rPr>
          <w:rFonts w:ascii="宋体" w:hAnsi="宋体" w:eastAsia="宋体" w:cs="宋体"/>
          <w:color w:val="auto"/>
          <w:sz w:val="22"/>
          <w:szCs w:val="22"/>
          <w:highlight w:val="none"/>
        </w:rPr>
      </w:pPr>
      <w:r>
        <w:rPr>
          <w:rFonts w:ascii="宋体" w:hAnsi="宋体" w:eastAsia="宋体" w:cs="宋体"/>
          <w:color w:val="auto"/>
          <w:sz w:val="22"/>
          <w:szCs w:val="22"/>
          <w:highlight w:val="none"/>
        </w:rPr>
        <w:t>(7)负责施工单位现场各道工序质量控制，并有义务为中心试验室提供施工现场与试验检测相关的信息，同时监理人的试验检测工作须接受</w:t>
      </w:r>
      <w:r>
        <w:rPr>
          <w:rFonts w:ascii="宋体" w:hAnsi="宋体" w:eastAsia="宋体" w:cs="宋体"/>
          <w:color w:val="auto"/>
          <w:spacing w:val="-1"/>
          <w:sz w:val="22"/>
          <w:szCs w:val="22"/>
          <w:highlight w:val="none"/>
        </w:rPr>
        <w:t>中心试验室的技术指导。</w:t>
      </w:r>
    </w:p>
    <w:p w14:paraId="45C6342B">
      <w:pPr>
        <w:spacing w:before="182" w:line="312" w:lineRule="auto"/>
        <w:ind w:left="122" w:right="128" w:firstLine="526"/>
        <w:rPr>
          <w:rFonts w:ascii="宋体" w:hAnsi="宋体" w:eastAsia="宋体" w:cs="宋体"/>
          <w:color w:val="auto"/>
          <w:sz w:val="22"/>
          <w:szCs w:val="22"/>
          <w:highlight w:val="none"/>
        </w:rPr>
      </w:pPr>
      <w:r>
        <w:rPr>
          <w:rFonts w:ascii="宋体" w:hAnsi="宋体" w:eastAsia="宋体" w:cs="宋体"/>
          <w:color w:val="auto"/>
          <w:sz w:val="22"/>
          <w:szCs w:val="22"/>
          <w:highlight w:val="none"/>
        </w:rPr>
        <w:t>(8)为了对现场施工质量进行有效控制，总监办有权根据现场施工质量的动态变化</w:t>
      </w:r>
      <w:r>
        <w:rPr>
          <w:rFonts w:ascii="宋体" w:hAnsi="宋体" w:eastAsia="宋体" w:cs="宋体"/>
          <w:color w:val="auto"/>
          <w:spacing w:val="5"/>
          <w:sz w:val="22"/>
          <w:szCs w:val="22"/>
          <w:highlight w:val="none"/>
        </w:rPr>
        <w:t>情况，通知中心试验室对现场施工质量进行必要的取样试验或必要的现场</w:t>
      </w:r>
      <w:r>
        <w:rPr>
          <w:rFonts w:ascii="宋体" w:hAnsi="宋体" w:eastAsia="宋体" w:cs="宋体"/>
          <w:color w:val="auto"/>
          <w:spacing w:val="4"/>
          <w:sz w:val="22"/>
          <w:szCs w:val="22"/>
          <w:highlight w:val="none"/>
        </w:rPr>
        <w:t>检测（此项</w:t>
      </w:r>
      <w:r>
        <w:rPr>
          <w:rFonts w:ascii="宋体" w:hAnsi="宋体" w:eastAsia="宋体" w:cs="宋体"/>
          <w:color w:val="auto"/>
          <w:spacing w:val="-1"/>
          <w:sz w:val="22"/>
          <w:szCs w:val="22"/>
          <w:highlight w:val="none"/>
        </w:rPr>
        <w:t>工作不受检测单位检测频率的约束）。</w:t>
      </w:r>
    </w:p>
    <w:p w14:paraId="64A5D900">
      <w:pPr>
        <w:spacing w:before="183" w:line="289" w:lineRule="auto"/>
        <w:ind w:left="131" w:right="128" w:firstLine="516"/>
        <w:rPr>
          <w:rFonts w:ascii="宋体" w:hAnsi="宋体" w:eastAsia="宋体" w:cs="宋体"/>
          <w:color w:val="auto"/>
          <w:sz w:val="22"/>
          <w:szCs w:val="22"/>
          <w:highlight w:val="none"/>
        </w:rPr>
      </w:pPr>
      <w:r>
        <w:rPr>
          <w:rFonts w:ascii="宋体" w:hAnsi="宋体" w:eastAsia="宋体" w:cs="宋体"/>
          <w:color w:val="auto"/>
          <w:sz w:val="22"/>
          <w:szCs w:val="22"/>
          <w:highlight w:val="none"/>
        </w:rPr>
        <w:t>(9)协助委托人调查处理施工单位的质量问题、事故，向中心试验室提供相关的信</w:t>
      </w:r>
      <w:r>
        <w:rPr>
          <w:rFonts w:ascii="宋体" w:hAnsi="宋体" w:eastAsia="宋体" w:cs="宋体"/>
          <w:color w:val="auto"/>
          <w:spacing w:val="-2"/>
          <w:sz w:val="22"/>
          <w:szCs w:val="22"/>
          <w:highlight w:val="none"/>
        </w:rPr>
        <w:t>息，并向委托人报告有关情况。</w:t>
      </w:r>
    </w:p>
    <w:p w14:paraId="03159532">
      <w:pPr>
        <w:spacing w:before="183" w:line="219" w:lineRule="auto"/>
        <w:ind w:left="49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（10）负责组织工程的中间交工验收检测和单位、分部工程质量评定工作。</w:t>
      </w:r>
    </w:p>
    <w:p w14:paraId="6A9A1D4D">
      <w:pPr>
        <w:spacing w:before="183" w:line="219"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（11）参加委托人组织的交工验收和上级行业质监主管部门组织的检查及竣工验收。</w:t>
      </w:r>
    </w:p>
    <w:p w14:paraId="6CCBD5DC">
      <w:pPr>
        <w:spacing w:before="180" w:line="290" w:lineRule="auto"/>
        <w:ind w:left="119" w:firstLine="37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（12）代表业主抽检频率的5%的工作部分，采用总监办委托见证，中心试验室取样、</w:t>
      </w:r>
      <w:r>
        <w:rPr>
          <w:rFonts w:ascii="宋体" w:hAnsi="宋体" w:eastAsia="宋体" w:cs="宋体"/>
          <w:color w:val="auto"/>
          <w:sz w:val="22"/>
          <w:szCs w:val="22"/>
          <w:highlight w:val="none"/>
        </w:rPr>
        <w:t>送样的工作方式；代表监理抽检频率的10%由中心试验室进</w:t>
      </w:r>
      <w:r>
        <w:rPr>
          <w:rFonts w:ascii="宋体" w:hAnsi="宋体" w:eastAsia="宋体" w:cs="宋体"/>
          <w:color w:val="auto"/>
          <w:spacing w:val="-1"/>
          <w:sz w:val="22"/>
          <w:szCs w:val="22"/>
          <w:highlight w:val="none"/>
        </w:rPr>
        <w:t>行直接取样、送样。</w:t>
      </w:r>
    </w:p>
    <w:p w14:paraId="740A2B0D">
      <w:pPr>
        <w:spacing w:before="184" w:line="288" w:lineRule="auto"/>
        <w:ind w:left="125" w:right="128" w:firstLine="39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(13)中心试验室检出不合格材料或构件</w:t>
      </w:r>
      <w:r>
        <w:rPr>
          <w:rFonts w:ascii="宋体" w:hAnsi="宋体" w:eastAsia="宋体" w:cs="宋体"/>
          <w:color w:val="auto"/>
          <w:sz w:val="22"/>
          <w:szCs w:val="22"/>
          <w:highlight w:val="none"/>
        </w:rPr>
        <w:t>后，及时向总监办发送试验数据，由总监办</w:t>
      </w:r>
      <w:r>
        <w:rPr>
          <w:rFonts w:ascii="宋体" w:hAnsi="宋体" w:eastAsia="宋体" w:cs="宋体"/>
          <w:color w:val="auto"/>
          <w:spacing w:val="-2"/>
          <w:sz w:val="22"/>
          <w:szCs w:val="22"/>
          <w:highlight w:val="none"/>
        </w:rPr>
        <w:t>发放指令单并跟踪处理。</w:t>
      </w:r>
    </w:p>
    <w:p w14:paraId="17FDC436">
      <w:pPr>
        <w:spacing w:before="182" w:line="219" w:lineRule="auto"/>
        <w:ind w:left="49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（14）根据合同文件，承担委托人授予的其他权利和义务。</w:t>
      </w:r>
    </w:p>
    <w:p w14:paraId="0F4222A6">
      <w:pPr>
        <w:spacing w:before="183" w:line="220" w:lineRule="auto"/>
        <w:ind w:left="492"/>
        <w:rPr>
          <w:rFonts w:ascii="宋体" w:hAnsi="宋体" w:eastAsia="宋体" w:cs="宋体"/>
          <w:color w:val="auto"/>
          <w:spacing w:val="-2"/>
          <w:sz w:val="22"/>
          <w:szCs w:val="22"/>
          <w:highlight w:val="none"/>
        </w:rPr>
      </w:pPr>
      <w:r>
        <w:rPr>
          <w:rFonts w:ascii="宋体" w:hAnsi="宋体" w:eastAsia="宋体" w:cs="宋体"/>
          <w:color w:val="auto"/>
          <w:spacing w:val="-2"/>
          <w:sz w:val="22"/>
          <w:szCs w:val="22"/>
          <w:highlight w:val="none"/>
        </w:rPr>
        <w:t>（15）详细的界面划分如下表所示</w:t>
      </w:r>
    </w:p>
    <w:p w14:paraId="53912D90">
      <w:pPr>
        <w:rPr>
          <w:rFonts w:ascii="宋体" w:hAnsi="宋体" w:eastAsia="宋体" w:cs="宋体"/>
          <w:color w:val="auto"/>
          <w:spacing w:val="-2"/>
          <w:sz w:val="22"/>
          <w:szCs w:val="22"/>
          <w:highlight w:val="none"/>
        </w:rPr>
      </w:pPr>
      <w:r>
        <w:rPr>
          <w:rFonts w:ascii="宋体" w:hAnsi="宋体" w:eastAsia="宋体" w:cs="宋体"/>
          <w:color w:val="auto"/>
          <w:spacing w:val="-2"/>
          <w:sz w:val="22"/>
          <w:szCs w:val="22"/>
          <w:highlight w:val="none"/>
        </w:rPr>
        <w:br w:type="page"/>
      </w:r>
    </w:p>
    <w:p w14:paraId="19C207BC">
      <w:pPr>
        <w:spacing w:before="183" w:line="220" w:lineRule="auto"/>
        <w:ind w:left="492"/>
        <w:rPr>
          <w:rFonts w:ascii="宋体" w:hAnsi="宋体" w:eastAsia="宋体" w:cs="宋体"/>
          <w:color w:val="auto"/>
          <w:spacing w:val="-2"/>
          <w:sz w:val="22"/>
          <w:szCs w:val="22"/>
          <w:highlight w:val="none"/>
        </w:rPr>
      </w:pPr>
    </w:p>
    <w:p w14:paraId="5965264B">
      <w:pPr>
        <w:spacing w:line="145" w:lineRule="exact"/>
        <w:rPr>
          <w:color w:val="auto"/>
          <w:highlight w:val="none"/>
        </w:rPr>
      </w:pPr>
    </w:p>
    <w:tbl>
      <w:tblPr>
        <w:tblStyle w:val="16"/>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3"/>
        <w:gridCol w:w="1553"/>
        <w:gridCol w:w="1859"/>
      </w:tblGrid>
      <w:tr w14:paraId="19138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483" w:type="dxa"/>
            <w:vMerge w:val="restart"/>
            <w:tcBorders>
              <w:bottom w:val="nil"/>
            </w:tcBorders>
            <w:vAlign w:val="top"/>
          </w:tcPr>
          <w:p w14:paraId="490F545C">
            <w:pPr>
              <w:pStyle w:val="17"/>
              <w:spacing w:before="222" w:line="228" w:lineRule="auto"/>
              <w:ind w:left="1907"/>
              <w:rPr>
                <w:color w:val="auto"/>
                <w:highlight w:val="none"/>
              </w:rPr>
            </w:pPr>
            <w:r>
              <w:rPr>
                <w:color w:val="auto"/>
                <w:spacing w:val="8"/>
                <w:highlight w:val="none"/>
              </w:rPr>
              <w:t>试验检测工作内容</w:t>
            </w:r>
          </w:p>
        </w:tc>
        <w:tc>
          <w:tcPr>
            <w:tcW w:w="3412" w:type="dxa"/>
            <w:gridSpan w:val="2"/>
            <w:vAlign w:val="top"/>
          </w:tcPr>
          <w:p w14:paraId="70AFE56C">
            <w:pPr>
              <w:pStyle w:val="17"/>
              <w:spacing w:before="62" w:line="228" w:lineRule="auto"/>
              <w:ind w:left="660"/>
              <w:rPr>
                <w:color w:val="auto"/>
                <w:highlight w:val="none"/>
              </w:rPr>
            </w:pPr>
            <w:r>
              <w:rPr>
                <w:color w:val="auto"/>
                <w:spacing w:val="8"/>
                <w:highlight w:val="none"/>
              </w:rPr>
              <w:t>试验检测工作界面划分</w:t>
            </w:r>
          </w:p>
        </w:tc>
      </w:tr>
      <w:tr w14:paraId="2F501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Merge w:val="continue"/>
            <w:tcBorders>
              <w:top w:val="nil"/>
            </w:tcBorders>
            <w:vAlign w:val="top"/>
          </w:tcPr>
          <w:p w14:paraId="0C60EA4E">
            <w:pPr>
              <w:rPr>
                <w:rFonts w:ascii="Arial"/>
                <w:color w:val="auto"/>
                <w:sz w:val="21"/>
                <w:highlight w:val="none"/>
              </w:rPr>
            </w:pPr>
          </w:p>
        </w:tc>
        <w:tc>
          <w:tcPr>
            <w:tcW w:w="1553" w:type="dxa"/>
            <w:vAlign w:val="top"/>
          </w:tcPr>
          <w:p w14:paraId="12A7FE89">
            <w:pPr>
              <w:pStyle w:val="17"/>
              <w:spacing w:before="32" w:line="228" w:lineRule="auto"/>
              <w:ind w:left="364"/>
              <w:rPr>
                <w:color w:val="auto"/>
                <w:highlight w:val="none"/>
              </w:rPr>
            </w:pPr>
            <w:r>
              <w:rPr>
                <w:color w:val="auto"/>
                <w:spacing w:val="6"/>
                <w:highlight w:val="none"/>
              </w:rPr>
              <w:t>主要负责</w:t>
            </w:r>
          </w:p>
        </w:tc>
        <w:tc>
          <w:tcPr>
            <w:tcW w:w="1859" w:type="dxa"/>
            <w:vAlign w:val="top"/>
          </w:tcPr>
          <w:p w14:paraId="27660ACB">
            <w:pPr>
              <w:pStyle w:val="17"/>
              <w:spacing w:before="33" w:line="231" w:lineRule="auto"/>
              <w:ind w:left="725"/>
              <w:rPr>
                <w:color w:val="auto"/>
                <w:highlight w:val="none"/>
              </w:rPr>
            </w:pPr>
            <w:r>
              <w:rPr>
                <w:color w:val="auto"/>
                <w:spacing w:val="4"/>
                <w:highlight w:val="none"/>
              </w:rPr>
              <w:t>配合</w:t>
            </w:r>
          </w:p>
        </w:tc>
      </w:tr>
      <w:tr w14:paraId="7702E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83" w:type="dxa"/>
            <w:vMerge w:val="restart"/>
            <w:tcBorders>
              <w:bottom w:val="nil"/>
            </w:tcBorders>
            <w:vAlign w:val="top"/>
          </w:tcPr>
          <w:p w14:paraId="4A88C1FC">
            <w:pPr>
              <w:pStyle w:val="17"/>
              <w:spacing w:before="225" w:line="228" w:lineRule="auto"/>
              <w:ind w:left="1907"/>
              <w:rPr>
                <w:color w:val="auto"/>
                <w:highlight w:val="none"/>
              </w:rPr>
            </w:pPr>
            <w:r>
              <w:rPr>
                <w:color w:val="auto"/>
                <w:spacing w:val="8"/>
                <w:highlight w:val="none"/>
              </w:rPr>
              <w:t>试验检测工作内容</w:t>
            </w:r>
          </w:p>
        </w:tc>
        <w:tc>
          <w:tcPr>
            <w:tcW w:w="3412" w:type="dxa"/>
            <w:gridSpan w:val="2"/>
            <w:vAlign w:val="top"/>
          </w:tcPr>
          <w:p w14:paraId="3E25217B">
            <w:pPr>
              <w:pStyle w:val="17"/>
              <w:spacing w:before="64" w:line="228" w:lineRule="auto"/>
              <w:ind w:left="660"/>
              <w:rPr>
                <w:color w:val="auto"/>
                <w:highlight w:val="none"/>
              </w:rPr>
            </w:pPr>
            <w:r>
              <w:rPr>
                <w:color w:val="auto"/>
                <w:spacing w:val="8"/>
                <w:highlight w:val="none"/>
              </w:rPr>
              <w:t>试验检测工作界面划分</w:t>
            </w:r>
          </w:p>
        </w:tc>
      </w:tr>
      <w:tr w14:paraId="78634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Merge w:val="continue"/>
            <w:tcBorders>
              <w:top w:val="nil"/>
            </w:tcBorders>
            <w:vAlign w:val="top"/>
          </w:tcPr>
          <w:p w14:paraId="05195730">
            <w:pPr>
              <w:rPr>
                <w:rFonts w:ascii="Arial"/>
                <w:color w:val="auto"/>
                <w:sz w:val="21"/>
                <w:highlight w:val="none"/>
              </w:rPr>
            </w:pPr>
          </w:p>
        </w:tc>
        <w:tc>
          <w:tcPr>
            <w:tcW w:w="1553" w:type="dxa"/>
            <w:vAlign w:val="top"/>
          </w:tcPr>
          <w:p w14:paraId="06CEF25B">
            <w:pPr>
              <w:pStyle w:val="17"/>
              <w:spacing w:before="31" w:line="228" w:lineRule="auto"/>
              <w:ind w:left="364"/>
              <w:rPr>
                <w:color w:val="auto"/>
                <w:highlight w:val="none"/>
              </w:rPr>
            </w:pPr>
            <w:r>
              <w:rPr>
                <w:color w:val="auto"/>
                <w:spacing w:val="6"/>
                <w:highlight w:val="none"/>
              </w:rPr>
              <w:t>主要负责</w:t>
            </w:r>
          </w:p>
        </w:tc>
        <w:tc>
          <w:tcPr>
            <w:tcW w:w="1859" w:type="dxa"/>
            <w:vAlign w:val="top"/>
          </w:tcPr>
          <w:p w14:paraId="713165B4">
            <w:pPr>
              <w:pStyle w:val="17"/>
              <w:spacing w:before="31" w:line="231" w:lineRule="auto"/>
              <w:ind w:left="725"/>
              <w:rPr>
                <w:color w:val="auto"/>
                <w:highlight w:val="none"/>
              </w:rPr>
            </w:pPr>
            <w:r>
              <w:rPr>
                <w:color w:val="auto"/>
                <w:spacing w:val="4"/>
                <w:highlight w:val="none"/>
              </w:rPr>
              <w:t>配合</w:t>
            </w:r>
          </w:p>
        </w:tc>
      </w:tr>
      <w:tr w14:paraId="1D063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6220FC9B">
            <w:pPr>
              <w:pStyle w:val="17"/>
              <w:spacing w:before="32" w:line="228" w:lineRule="auto"/>
              <w:ind w:left="130"/>
              <w:rPr>
                <w:color w:val="auto"/>
                <w:highlight w:val="none"/>
              </w:rPr>
            </w:pPr>
            <w:r>
              <w:rPr>
                <w:color w:val="auto"/>
                <w:spacing w:val="7"/>
                <w:highlight w:val="none"/>
              </w:rPr>
              <w:t>1.承包人工地试验室筹备督导；</w:t>
            </w:r>
          </w:p>
        </w:tc>
        <w:tc>
          <w:tcPr>
            <w:tcW w:w="1553" w:type="dxa"/>
            <w:vAlign w:val="top"/>
          </w:tcPr>
          <w:p w14:paraId="12E0FB46">
            <w:pPr>
              <w:pStyle w:val="17"/>
              <w:spacing w:before="32" w:line="228" w:lineRule="auto"/>
              <w:ind w:left="135"/>
              <w:rPr>
                <w:color w:val="auto"/>
                <w:highlight w:val="none"/>
              </w:rPr>
            </w:pPr>
            <w:r>
              <w:rPr>
                <w:color w:val="auto"/>
                <w:spacing w:val="4"/>
                <w:highlight w:val="none"/>
              </w:rPr>
              <w:t>中心试验室</w:t>
            </w:r>
          </w:p>
        </w:tc>
        <w:tc>
          <w:tcPr>
            <w:tcW w:w="1859" w:type="dxa"/>
            <w:vAlign w:val="top"/>
          </w:tcPr>
          <w:p w14:paraId="6B8A8134">
            <w:pPr>
              <w:pStyle w:val="17"/>
              <w:spacing w:before="31" w:line="231" w:lineRule="auto"/>
              <w:ind w:left="116"/>
              <w:rPr>
                <w:color w:val="auto"/>
                <w:highlight w:val="none"/>
              </w:rPr>
            </w:pPr>
            <w:r>
              <w:rPr>
                <w:color w:val="auto"/>
                <w:spacing w:val="6"/>
                <w:highlight w:val="none"/>
              </w:rPr>
              <w:t>监理人</w:t>
            </w:r>
          </w:p>
        </w:tc>
      </w:tr>
      <w:tr w14:paraId="7BF46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483" w:type="dxa"/>
            <w:vAlign w:val="top"/>
          </w:tcPr>
          <w:p w14:paraId="62C3674C">
            <w:pPr>
              <w:pStyle w:val="17"/>
              <w:spacing w:before="33" w:line="227" w:lineRule="auto"/>
              <w:ind w:left="117"/>
              <w:rPr>
                <w:color w:val="auto"/>
                <w:highlight w:val="none"/>
              </w:rPr>
            </w:pPr>
            <w:r>
              <w:rPr>
                <w:color w:val="auto"/>
                <w:spacing w:val="8"/>
                <w:highlight w:val="none"/>
              </w:rPr>
              <w:t>2.承包人工地试验室资质备案材料审查；</w:t>
            </w:r>
          </w:p>
        </w:tc>
        <w:tc>
          <w:tcPr>
            <w:tcW w:w="1553" w:type="dxa"/>
            <w:vAlign w:val="top"/>
          </w:tcPr>
          <w:p w14:paraId="4AE886E6">
            <w:pPr>
              <w:pStyle w:val="17"/>
              <w:spacing w:before="33" w:line="228" w:lineRule="auto"/>
              <w:ind w:left="135"/>
              <w:rPr>
                <w:color w:val="auto"/>
                <w:highlight w:val="none"/>
              </w:rPr>
            </w:pPr>
            <w:r>
              <w:rPr>
                <w:color w:val="auto"/>
                <w:spacing w:val="4"/>
                <w:highlight w:val="none"/>
              </w:rPr>
              <w:t>中心试验室</w:t>
            </w:r>
          </w:p>
        </w:tc>
        <w:tc>
          <w:tcPr>
            <w:tcW w:w="1859" w:type="dxa"/>
            <w:vAlign w:val="top"/>
          </w:tcPr>
          <w:p w14:paraId="7FE2D95F">
            <w:pPr>
              <w:pStyle w:val="17"/>
              <w:spacing w:before="32" w:line="231" w:lineRule="auto"/>
              <w:ind w:left="116"/>
              <w:rPr>
                <w:color w:val="auto"/>
                <w:highlight w:val="none"/>
              </w:rPr>
            </w:pPr>
            <w:r>
              <w:rPr>
                <w:color w:val="auto"/>
                <w:spacing w:val="6"/>
                <w:highlight w:val="none"/>
              </w:rPr>
              <w:t>监理人</w:t>
            </w:r>
          </w:p>
        </w:tc>
      </w:tr>
      <w:tr w14:paraId="31C74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483" w:type="dxa"/>
            <w:vAlign w:val="top"/>
          </w:tcPr>
          <w:p w14:paraId="6F239CED">
            <w:pPr>
              <w:pStyle w:val="17"/>
              <w:spacing w:before="31" w:line="272" w:lineRule="auto"/>
              <w:ind w:left="125" w:right="122" w:hanging="6"/>
              <w:rPr>
                <w:color w:val="auto"/>
                <w:highlight w:val="none"/>
              </w:rPr>
            </w:pPr>
            <w:r>
              <w:rPr>
                <w:color w:val="auto"/>
                <w:spacing w:val="9"/>
                <w:highlight w:val="none"/>
              </w:rPr>
              <w:t>3.承包人工地试验室试验检测人员、设备的进场、变更的</w:t>
            </w:r>
            <w:r>
              <w:rPr>
                <w:color w:val="auto"/>
                <w:spacing w:val="6"/>
                <w:highlight w:val="none"/>
              </w:rPr>
              <w:t>审核（试验室</w:t>
            </w:r>
            <w:r>
              <w:rPr>
                <w:color w:val="auto"/>
                <w:highlight w:val="none"/>
              </w:rPr>
              <w:t>）；</w:t>
            </w:r>
          </w:p>
        </w:tc>
        <w:tc>
          <w:tcPr>
            <w:tcW w:w="1553" w:type="dxa"/>
            <w:vAlign w:val="top"/>
          </w:tcPr>
          <w:p w14:paraId="00316066">
            <w:pPr>
              <w:pStyle w:val="17"/>
              <w:spacing w:before="31" w:line="228" w:lineRule="auto"/>
              <w:ind w:left="135"/>
              <w:rPr>
                <w:color w:val="auto"/>
                <w:highlight w:val="none"/>
              </w:rPr>
            </w:pPr>
            <w:r>
              <w:rPr>
                <w:color w:val="auto"/>
                <w:spacing w:val="4"/>
                <w:highlight w:val="none"/>
              </w:rPr>
              <w:t>中心试验室</w:t>
            </w:r>
          </w:p>
        </w:tc>
        <w:tc>
          <w:tcPr>
            <w:tcW w:w="1859" w:type="dxa"/>
            <w:vAlign w:val="top"/>
          </w:tcPr>
          <w:p w14:paraId="4CC071B4">
            <w:pPr>
              <w:pStyle w:val="17"/>
              <w:spacing w:before="30" w:line="231" w:lineRule="auto"/>
              <w:ind w:left="116"/>
              <w:rPr>
                <w:color w:val="auto"/>
                <w:highlight w:val="none"/>
              </w:rPr>
            </w:pPr>
            <w:r>
              <w:rPr>
                <w:color w:val="auto"/>
                <w:spacing w:val="6"/>
                <w:highlight w:val="none"/>
              </w:rPr>
              <w:t>监理人</w:t>
            </w:r>
          </w:p>
        </w:tc>
      </w:tr>
      <w:tr w14:paraId="79989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46841A95">
            <w:pPr>
              <w:pStyle w:val="17"/>
              <w:spacing w:before="30" w:line="227" w:lineRule="auto"/>
              <w:ind w:left="114"/>
              <w:rPr>
                <w:color w:val="auto"/>
                <w:highlight w:val="none"/>
              </w:rPr>
            </w:pPr>
            <w:r>
              <w:rPr>
                <w:color w:val="auto"/>
                <w:spacing w:val="8"/>
                <w:highlight w:val="none"/>
              </w:rPr>
              <w:t>4.月度工地试验室检查及督促整改；</w:t>
            </w:r>
          </w:p>
        </w:tc>
        <w:tc>
          <w:tcPr>
            <w:tcW w:w="1553" w:type="dxa"/>
            <w:vAlign w:val="top"/>
          </w:tcPr>
          <w:p w14:paraId="6FA9B3A2">
            <w:pPr>
              <w:pStyle w:val="17"/>
              <w:spacing w:before="31" w:line="228" w:lineRule="auto"/>
              <w:ind w:left="135"/>
              <w:rPr>
                <w:color w:val="auto"/>
                <w:highlight w:val="none"/>
              </w:rPr>
            </w:pPr>
            <w:r>
              <w:rPr>
                <w:color w:val="auto"/>
                <w:spacing w:val="4"/>
                <w:highlight w:val="none"/>
              </w:rPr>
              <w:t>中心试验室</w:t>
            </w:r>
          </w:p>
        </w:tc>
        <w:tc>
          <w:tcPr>
            <w:tcW w:w="1859" w:type="dxa"/>
            <w:vAlign w:val="top"/>
          </w:tcPr>
          <w:p w14:paraId="4BEA64C6">
            <w:pPr>
              <w:pStyle w:val="17"/>
              <w:spacing w:before="30" w:line="231" w:lineRule="auto"/>
              <w:ind w:left="116"/>
              <w:rPr>
                <w:color w:val="auto"/>
                <w:highlight w:val="none"/>
              </w:rPr>
            </w:pPr>
            <w:r>
              <w:rPr>
                <w:color w:val="auto"/>
                <w:spacing w:val="6"/>
                <w:highlight w:val="none"/>
              </w:rPr>
              <w:t>监理人</w:t>
            </w:r>
          </w:p>
        </w:tc>
      </w:tr>
      <w:tr w14:paraId="1AB51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669633C7">
            <w:pPr>
              <w:pStyle w:val="17"/>
              <w:spacing w:before="31" w:line="228" w:lineRule="auto"/>
              <w:ind w:left="119"/>
              <w:rPr>
                <w:color w:val="auto"/>
                <w:highlight w:val="none"/>
              </w:rPr>
            </w:pPr>
            <w:r>
              <w:rPr>
                <w:color w:val="auto"/>
                <w:spacing w:val="7"/>
                <w:highlight w:val="none"/>
              </w:rPr>
              <w:t>5.内业资料表格、台账的统一；</w:t>
            </w:r>
          </w:p>
        </w:tc>
        <w:tc>
          <w:tcPr>
            <w:tcW w:w="1553" w:type="dxa"/>
            <w:vAlign w:val="top"/>
          </w:tcPr>
          <w:p w14:paraId="73833B51">
            <w:pPr>
              <w:pStyle w:val="17"/>
              <w:spacing w:before="32" w:line="228" w:lineRule="auto"/>
              <w:ind w:left="135"/>
              <w:rPr>
                <w:color w:val="auto"/>
                <w:highlight w:val="none"/>
              </w:rPr>
            </w:pPr>
            <w:r>
              <w:rPr>
                <w:color w:val="auto"/>
                <w:spacing w:val="4"/>
                <w:highlight w:val="none"/>
              </w:rPr>
              <w:t>中心试验室</w:t>
            </w:r>
          </w:p>
        </w:tc>
        <w:tc>
          <w:tcPr>
            <w:tcW w:w="1859" w:type="dxa"/>
            <w:vAlign w:val="top"/>
          </w:tcPr>
          <w:p w14:paraId="092FB9A5">
            <w:pPr>
              <w:pStyle w:val="17"/>
              <w:spacing w:before="31" w:line="231" w:lineRule="auto"/>
              <w:ind w:left="116"/>
              <w:rPr>
                <w:color w:val="auto"/>
                <w:highlight w:val="none"/>
              </w:rPr>
            </w:pPr>
            <w:r>
              <w:rPr>
                <w:color w:val="auto"/>
                <w:spacing w:val="6"/>
                <w:highlight w:val="none"/>
              </w:rPr>
              <w:t>监理人</w:t>
            </w:r>
          </w:p>
        </w:tc>
      </w:tr>
      <w:tr w14:paraId="4CEA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483" w:type="dxa"/>
            <w:vAlign w:val="top"/>
          </w:tcPr>
          <w:p w14:paraId="58E43F11">
            <w:pPr>
              <w:pStyle w:val="17"/>
              <w:spacing w:before="32" w:line="227" w:lineRule="auto"/>
              <w:ind w:left="116"/>
              <w:rPr>
                <w:color w:val="auto"/>
                <w:highlight w:val="none"/>
              </w:rPr>
            </w:pPr>
            <w:r>
              <w:rPr>
                <w:color w:val="auto"/>
                <w:spacing w:val="8"/>
                <w:highlight w:val="none"/>
              </w:rPr>
              <w:t>6.原材料厂家考察、审核（批</w:t>
            </w:r>
            <w:r>
              <w:rPr>
                <w:color w:val="auto"/>
                <w:spacing w:val="3"/>
                <w:highlight w:val="none"/>
              </w:rPr>
              <w:t>）；</w:t>
            </w:r>
          </w:p>
        </w:tc>
        <w:tc>
          <w:tcPr>
            <w:tcW w:w="1553" w:type="dxa"/>
            <w:vAlign w:val="top"/>
          </w:tcPr>
          <w:p w14:paraId="7965DBE7">
            <w:pPr>
              <w:pStyle w:val="17"/>
              <w:spacing w:before="32" w:line="231" w:lineRule="auto"/>
              <w:ind w:left="116"/>
              <w:rPr>
                <w:color w:val="auto"/>
                <w:highlight w:val="none"/>
              </w:rPr>
            </w:pPr>
            <w:r>
              <w:rPr>
                <w:color w:val="auto"/>
                <w:spacing w:val="6"/>
                <w:highlight w:val="none"/>
              </w:rPr>
              <w:t>监理人</w:t>
            </w:r>
          </w:p>
        </w:tc>
        <w:tc>
          <w:tcPr>
            <w:tcW w:w="1859" w:type="dxa"/>
            <w:vAlign w:val="top"/>
          </w:tcPr>
          <w:p w14:paraId="1AE46449">
            <w:pPr>
              <w:pStyle w:val="17"/>
              <w:spacing w:before="33" w:line="228" w:lineRule="auto"/>
              <w:ind w:left="135"/>
              <w:rPr>
                <w:color w:val="auto"/>
                <w:highlight w:val="none"/>
              </w:rPr>
            </w:pPr>
            <w:r>
              <w:rPr>
                <w:color w:val="auto"/>
                <w:spacing w:val="4"/>
                <w:highlight w:val="none"/>
              </w:rPr>
              <w:t>中心试验室</w:t>
            </w:r>
          </w:p>
        </w:tc>
      </w:tr>
      <w:tr w14:paraId="1DD93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7B091355">
            <w:pPr>
              <w:pStyle w:val="17"/>
              <w:spacing w:before="30" w:line="227" w:lineRule="auto"/>
              <w:ind w:left="119"/>
              <w:rPr>
                <w:color w:val="auto"/>
                <w:highlight w:val="none"/>
              </w:rPr>
            </w:pPr>
            <w:r>
              <w:rPr>
                <w:color w:val="auto"/>
                <w:spacing w:val="7"/>
                <w:highlight w:val="none"/>
              </w:rPr>
              <w:t>7.进场材料使用前审批；</w:t>
            </w:r>
          </w:p>
        </w:tc>
        <w:tc>
          <w:tcPr>
            <w:tcW w:w="1553" w:type="dxa"/>
            <w:vAlign w:val="top"/>
          </w:tcPr>
          <w:p w14:paraId="79AF0115">
            <w:pPr>
              <w:pStyle w:val="17"/>
              <w:spacing w:before="30" w:line="231" w:lineRule="auto"/>
              <w:ind w:left="116"/>
              <w:rPr>
                <w:color w:val="auto"/>
                <w:highlight w:val="none"/>
              </w:rPr>
            </w:pPr>
            <w:r>
              <w:rPr>
                <w:color w:val="auto"/>
                <w:spacing w:val="6"/>
                <w:highlight w:val="none"/>
              </w:rPr>
              <w:t>监理人</w:t>
            </w:r>
          </w:p>
        </w:tc>
        <w:tc>
          <w:tcPr>
            <w:tcW w:w="1859" w:type="dxa"/>
            <w:vAlign w:val="top"/>
          </w:tcPr>
          <w:p w14:paraId="1D6B2B17">
            <w:pPr>
              <w:pStyle w:val="17"/>
              <w:spacing w:before="31" w:line="228" w:lineRule="auto"/>
              <w:ind w:left="135"/>
              <w:rPr>
                <w:color w:val="auto"/>
                <w:highlight w:val="none"/>
              </w:rPr>
            </w:pPr>
            <w:r>
              <w:rPr>
                <w:color w:val="auto"/>
                <w:spacing w:val="4"/>
                <w:highlight w:val="none"/>
              </w:rPr>
              <w:t>中心试验室</w:t>
            </w:r>
          </w:p>
        </w:tc>
      </w:tr>
      <w:tr w14:paraId="12954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050EA060">
            <w:pPr>
              <w:pStyle w:val="17"/>
              <w:spacing w:before="32" w:line="228" w:lineRule="auto"/>
              <w:ind w:left="115"/>
              <w:rPr>
                <w:color w:val="auto"/>
                <w:highlight w:val="none"/>
              </w:rPr>
            </w:pPr>
            <w:r>
              <w:rPr>
                <w:color w:val="auto"/>
                <w:spacing w:val="6"/>
                <w:highlight w:val="none"/>
              </w:rPr>
              <w:t>8.平行验证试验；</w:t>
            </w:r>
          </w:p>
        </w:tc>
        <w:tc>
          <w:tcPr>
            <w:tcW w:w="1553" w:type="dxa"/>
            <w:vAlign w:val="top"/>
          </w:tcPr>
          <w:p w14:paraId="1B361FCE">
            <w:pPr>
              <w:pStyle w:val="17"/>
              <w:spacing w:before="32" w:line="228" w:lineRule="auto"/>
              <w:ind w:left="135"/>
              <w:rPr>
                <w:color w:val="auto"/>
                <w:highlight w:val="none"/>
              </w:rPr>
            </w:pPr>
            <w:r>
              <w:rPr>
                <w:color w:val="auto"/>
                <w:spacing w:val="4"/>
                <w:highlight w:val="none"/>
              </w:rPr>
              <w:t>中心试验室</w:t>
            </w:r>
          </w:p>
        </w:tc>
        <w:tc>
          <w:tcPr>
            <w:tcW w:w="1859" w:type="dxa"/>
            <w:vAlign w:val="top"/>
          </w:tcPr>
          <w:p w14:paraId="5BA06491">
            <w:pPr>
              <w:pStyle w:val="17"/>
              <w:spacing w:before="31" w:line="231" w:lineRule="auto"/>
              <w:ind w:left="116"/>
              <w:rPr>
                <w:color w:val="auto"/>
                <w:highlight w:val="none"/>
              </w:rPr>
            </w:pPr>
            <w:r>
              <w:rPr>
                <w:color w:val="auto"/>
                <w:spacing w:val="6"/>
                <w:highlight w:val="none"/>
              </w:rPr>
              <w:t>监理人</w:t>
            </w:r>
          </w:p>
        </w:tc>
      </w:tr>
      <w:tr w14:paraId="5A86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6B0E4367">
            <w:pPr>
              <w:pStyle w:val="17"/>
              <w:spacing w:before="30" w:line="228" w:lineRule="auto"/>
              <w:ind w:left="115"/>
              <w:rPr>
                <w:color w:val="auto"/>
                <w:highlight w:val="none"/>
              </w:rPr>
            </w:pPr>
            <w:r>
              <w:rPr>
                <w:color w:val="auto"/>
                <w:spacing w:val="7"/>
                <w:highlight w:val="none"/>
              </w:rPr>
              <w:t>9.施工配合比审批；</w:t>
            </w:r>
          </w:p>
        </w:tc>
        <w:tc>
          <w:tcPr>
            <w:tcW w:w="1553" w:type="dxa"/>
            <w:vAlign w:val="top"/>
          </w:tcPr>
          <w:p w14:paraId="2F8E36F8">
            <w:pPr>
              <w:pStyle w:val="17"/>
              <w:spacing w:before="30" w:line="228" w:lineRule="auto"/>
              <w:ind w:left="135"/>
              <w:rPr>
                <w:color w:val="auto"/>
                <w:highlight w:val="none"/>
              </w:rPr>
            </w:pPr>
            <w:r>
              <w:rPr>
                <w:color w:val="auto"/>
                <w:spacing w:val="4"/>
                <w:highlight w:val="none"/>
              </w:rPr>
              <w:t>中心试验室</w:t>
            </w:r>
          </w:p>
        </w:tc>
        <w:tc>
          <w:tcPr>
            <w:tcW w:w="1859" w:type="dxa"/>
            <w:vAlign w:val="top"/>
          </w:tcPr>
          <w:p w14:paraId="0C021936">
            <w:pPr>
              <w:pStyle w:val="17"/>
              <w:spacing w:before="29" w:line="231" w:lineRule="auto"/>
              <w:ind w:left="116"/>
              <w:rPr>
                <w:color w:val="auto"/>
                <w:highlight w:val="none"/>
              </w:rPr>
            </w:pPr>
            <w:r>
              <w:rPr>
                <w:color w:val="auto"/>
                <w:spacing w:val="6"/>
                <w:highlight w:val="none"/>
              </w:rPr>
              <w:t>监理人</w:t>
            </w:r>
          </w:p>
        </w:tc>
      </w:tr>
      <w:tr w14:paraId="54F97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4E0C61A8">
            <w:pPr>
              <w:pStyle w:val="17"/>
              <w:spacing w:before="31" w:line="227" w:lineRule="auto"/>
              <w:ind w:left="130"/>
              <w:rPr>
                <w:color w:val="auto"/>
                <w:highlight w:val="none"/>
              </w:rPr>
            </w:pPr>
            <w:r>
              <w:rPr>
                <w:color w:val="auto"/>
                <w:spacing w:val="7"/>
                <w:highlight w:val="none"/>
              </w:rPr>
              <w:t>10.原材料、成品、半成品取样、送样；</w:t>
            </w:r>
          </w:p>
        </w:tc>
        <w:tc>
          <w:tcPr>
            <w:tcW w:w="1553" w:type="dxa"/>
            <w:vAlign w:val="top"/>
          </w:tcPr>
          <w:p w14:paraId="697F553D">
            <w:pPr>
              <w:pStyle w:val="17"/>
              <w:spacing w:before="31" w:line="228" w:lineRule="auto"/>
              <w:ind w:left="135"/>
              <w:rPr>
                <w:color w:val="auto"/>
                <w:highlight w:val="none"/>
              </w:rPr>
            </w:pPr>
            <w:r>
              <w:rPr>
                <w:color w:val="auto"/>
                <w:spacing w:val="4"/>
                <w:highlight w:val="none"/>
              </w:rPr>
              <w:t>中心试验室</w:t>
            </w:r>
          </w:p>
        </w:tc>
        <w:tc>
          <w:tcPr>
            <w:tcW w:w="1859" w:type="dxa"/>
            <w:vAlign w:val="top"/>
          </w:tcPr>
          <w:p w14:paraId="11A47C77">
            <w:pPr>
              <w:pStyle w:val="17"/>
              <w:spacing w:before="30" w:line="231" w:lineRule="auto"/>
              <w:ind w:left="116"/>
              <w:rPr>
                <w:color w:val="auto"/>
                <w:highlight w:val="none"/>
              </w:rPr>
            </w:pPr>
            <w:r>
              <w:rPr>
                <w:color w:val="auto"/>
                <w:spacing w:val="6"/>
                <w:highlight w:val="none"/>
              </w:rPr>
              <w:t>监理人</w:t>
            </w:r>
          </w:p>
        </w:tc>
      </w:tr>
      <w:tr w14:paraId="1E766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483" w:type="dxa"/>
            <w:vAlign w:val="top"/>
          </w:tcPr>
          <w:p w14:paraId="05ACA1E8">
            <w:pPr>
              <w:pStyle w:val="17"/>
              <w:spacing w:before="32" w:line="227" w:lineRule="auto"/>
              <w:ind w:left="130"/>
              <w:rPr>
                <w:color w:val="auto"/>
                <w:highlight w:val="none"/>
              </w:rPr>
            </w:pPr>
            <w:r>
              <w:rPr>
                <w:color w:val="auto"/>
                <w:spacing w:val="7"/>
                <w:highlight w:val="none"/>
              </w:rPr>
              <w:t>11.原材料、成品、半成品试验检测；</w:t>
            </w:r>
          </w:p>
        </w:tc>
        <w:tc>
          <w:tcPr>
            <w:tcW w:w="1553" w:type="dxa"/>
            <w:vAlign w:val="top"/>
          </w:tcPr>
          <w:p w14:paraId="4E77F297">
            <w:pPr>
              <w:pStyle w:val="17"/>
              <w:spacing w:before="32" w:line="228" w:lineRule="auto"/>
              <w:ind w:left="135"/>
              <w:rPr>
                <w:color w:val="auto"/>
                <w:highlight w:val="none"/>
              </w:rPr>
            </w:pPr>
            <w:r>
              <w:rPr>
                <w:color w:val="auto"/>
                <w:spacing w:val="4"/>
                <w:highlight w:val="none"/>
              </w:rPr>
              <w:t>中心试验室</w:t>
            </w:r>
          </w:p>
        </w:tc>
        <w:tc>
          <w:tcPr>
            <w:tcW w:w="1859" w:type="dxa"/>
            <w:vAlign w:val="top"/>
          </w:tcPr>
          <w:p w14:paraId="41EE6B6F">
            <w:pPr>
              <w:pStyle w:val="17"/>
              <w:spacing w:before="31" w:line="231" w:lineRule="auto"/>
              <w:ind w:left="116"/>
              <w:rPr>
                <w:color w:val="auto"/>
                <w:highlight w:val="none"/>
              </w:rPr>
            </w:pPr>
            <w:r>
              <w:rPr>
                <w:color w:val="auto"/>
                <w:spacing w:val="6"/>
                <w:highlight w:val="none"/>
              </w:rPr>
              <w:t>监理人</w:t>
            </w:r>
          </w:p>
        </w:tc>
      </w:tr>
      <w:tr w14:paraId="1679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1E044219">
            <w:pPr>
              <w:pStyle w:val="17"/>
              <w:spacing w:before="31" w:line="228" w:lineRule="auto"/>
              <w:ind w:left="130"/>
              <w:rPr>
                <w:color w:val="auto"/>
                <w:highlight w:val="none"/>
              </w:rPr>
            </w:pPr>
            <w:r>
              <w:rPr>
                <w:color w:val="auto"/>
                <w:spacing w:val="7"/>
                <w:highlight w:val="none"/>
              </w:rPr>
              <w:t>12.工地试验室自检试验过程监督；</w:t>
            </w:r>
          </w:p>
        </w:tc>
        <w:tc>
          <w:tcPr>
            <w:tcW w:w="1553" w:type="dxa"/>
            <w:vAlign w:val="top"/>
          </w:tcPr>
          <w:p w14:paraId="668F7E1A">
            <w:pPr>
              <w:pStyle w:val="17"/>
              <w:spacing w:before="32" w:line="228" w:lineRule="auto"/>
              <w:ind w:left="135"/>
              <w:rPr>
                <w:color w:val="auto"/>
                <w:highlight w:val="none"/>
              </w:rPr>
            </w:pPr>
            <w:r>
              <w:rPr>
                <w:color w:val="auto"/>
                <w:spacing w:val="4"/>
                <w:highlight w:val="none"/>
              </w:rPr>
              <w:t>中心试验室</w:t>
            </w:r>
          </w:p>
        </w:tc>
        <w:tc>
          <w:tcPr>
            <w:tcW w:w="1859" w:type="dxa"/>
            <w:vAlign w:val="top"/>
          </w:tcPr>
          <w:p w14:paraId="1293E487">
            <w:pPr>
              <w:pStyle w:val="17"/>
              <w:spacing w:before="31" w:line="231" w:lineRule="auto"/>
              <w:ind w:left="116"/>
              <w:rPr>
                <w:color w:val="auto"/>
                <w:highlight w:val="none"/>
              </w:rPr>
            </w:pPr>
            <w:r>
              <w:rPr>
                <w:color w:val="auto"/>
                <w:spacing w:val="6"/>
                <w:highlight w:val="none"/>
              </w:rPr>
              <w:t>监理人</w:t>
            </w:r>
          </w:p>
        </w:tc>
      </w:tr>
      <w:tr w14:paraId="41FAA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181EBB0D">
            <w:pPr>
              <w:pStyle w:val="17"/>
              <w:spacing w:before="31" w:line="226" w:lineRule="auto"/>
              <w:ind w:left="130"/>
              <w:rPr>
                <w:color w:val="auto"/>
                <w:highlight w:val="none"/>
              </w:rPr>
            </w:pPr>
            <w:r>
              <w:rPr>
                <w:color w:val="auto"/>
                <w:spacing w:val="7"/>
                <w:highlight w:val="none"/>
              </w:rPr>
              <w:t>13.需出具试验检测报告的现场原位测试；</w:t>
            </w:r>
          </w:p>
        </w:tc>
        <w:tc>
          <w:tcPr>
            <w:tcW w:w="1553" w:type="dxa"/>
            <w:vAlign w:val="top"/>
          </w:tcPr>
          <w:p w14:paraId="1466A84B">
            <w:pPr>
              <w:pStyle w:val="17"/>
              <w:spacing w:before="31" w:line="228" w:lineRule="auto"/>
              <w:ind w:left="135"/>
              <w:rPr>
                <w:color w:val="auto"/>
                <w:highlight w:val="none"/>
              </w:rPr>
            </w:pPr>
            <w:r>
              <w:rPr>
                <w:color w:val="auto"/>
                <w:spacing w:val="4"/>
                <w:highlight w:val="none"/>
              </w:rPr>
              <w:t>中心试验室</w:t>
            </w:r>
          </w:p>
        </w:tc>
        <w:tc>
          <w:tcPr>
            <w:tcW w:w="1859" w:type="dxa"/>
            <w:vAlign w:val="top"/>
          </w:tcPr>
          <w:p w14:paraId="3F3E8B0E">
            <w:pPr>
              <w:pStyle w:val="17"/>
              <w:spacing w:before="30" w:line="231" w:lineRule="auto"/>
              <w:ind w:left="116"/>
              <w:rPr>
                <w:color w:val="auto"/>
                <w:highlight w:val="none"/>
              </w:rPr>
            </w:pPr>
            <w:r>
              <w:rPr>
                <w:color w:val="auto"/>
                <w:spacing w:val="6"/>
                <w:highlight w:val="none"/>
              </w:rPr>
              <w:t>监理人</w:t>
            </w:r>
          </w:p>
        </w:tc>
      </w:tr>
      <w:tr w14:paraId="30BA3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7F912253">
            <w:pPr>
              <w:pStyle w:val="17"/>
              <w:spacing w:before="32" w:line="226" w:lineRule="auto"/>
              <w:ind w:left="130"/>
              <w:rPr>
                <w:color w:val="auto"/>
                <w:highlight w:val="none"/>
              </w:rPr>
            </w:pPr>
            <w:r>
              <w:rPr>
                <w:color w:val="auto"/>
                <w:spacing w:val="7"/>
                <w:highlight w:val="none"/>
              </w:rPr>
              <w:t>14.不需出具试验检测报告的现场原位测试；</w:t>
            </w:r>
          </w:p>
        </w:tc>
        <w:tc>
          <w:tcPr>
            <w:tcW w:w="1553" w:type="dxa"/>
            <w:vAlign w:val="top"/>
          </w:tcPr>
          <w:p w14:paraId="63766F8C">
            <w:pPr>
              <w:pStyle w:val="17"/>
              <w:spacing w:before="31" w:line="231" w:lineRule="auto"/>
              <w:ind w:left="116"/>
              <w:rPr>
                <w:color w:val="auto"/>
                <w:highlight w:val="none"/>
              </w:rPr>
            </w:pPr>
            <w:r>
              <w:rPr>
                <w:color w:val="auto"/>
                <w:spacing w:val="6"/>
                <w:highlight w:val="none"/>
              </w:rPr>
              <w:t>监理人</w:t>
            </w:r>
          </w:p>
        </w:tc>
        <w:tc>
          <w:tcPr>
            <w:tcW w:w="1859" w:type="dxa"/>
            <w:vAlign w:val="top"/>
          </w:tcPr>
          <w:p w14:paraId="60C1B5B8">
            <w:pPr>
              <w:pStyle w:val="17"/>
              <w:spacing w:before="32" w:line="228" w:lineRule="auto"/>
              <w:ind w:left="135"/>
              <w:rPr>
                <w:color w:val="auto"/>
                <w:highlight w:val="none"/>
              </w:rPr>
            </w:pPr>
            <w:r>
              <w:rPr>
                <w:color w:val="auto"/>
                <w:spacing w:val="4"/>
                <w:highlight w:val="none"/>
              </w:rPr>
              <w:t>中心试验室</w:t>
            </w:r>
          </w:p>
        </w:tc>
      </w:tr>
      <w:tr w14:paraId="67574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483" w:type="dxa"/>
            <w:vAlign w:val="top"/>
          </w:tcPr>
          <w:p w14:paraId="5DA2CAAF">
            <w:pPr>
              <w:pStyle w:val="17"/>
              <w:spacing w:before="33" w:line="271" w:lineRule="auto"/>
              <w:ind w:left="116" w:right="225" w:firstLine="13"/>
              <w:rPr>
                <w:color w:val="auto"/>
                <w:highlight w:val="none"/>
              </w:rPr>
            </w:pPr>
            <w:r>
              <w:rPr>
                <w:color w:val="auto"/>
                <w:spacing w:val="8"/>
                <w:highlight w:val="none"/>
              </w:rPr>
              <w:t>15.混凝土拌合站施工配合比使用监控及施工配合比配料</w:t>
            </w:r>
            <w:r>
              <w:rPr>
                <w:color w:val="auto"/>
                <w:spacing w:val="5"/>
                <w:highlight w:val="none"/>
              </w:rPr>
              <w:t>单的签认；</w:t>
            </w:r>
          </w:p>
        </w:tc>
        <w:tc>
          <w:tcPr>
            <w:tcW w:w="1553" w:type="dxa"/>
            <w:vAlign w:val="top"/>
          </w:tcPr>
          <w:p w14:paraId="1EEF0B74">
            <w:pPr>
              <w:pStyle w:val="17"/>
              <w:spacing w:before="33" w:line="228" w:lineRule="auto"/>
              <w:ind w:left="135"/>
              <w:rPr>
                <w:color w:val="auto"/>
                <w:highlight w:val="none"/>
              </w:rPr>
            </w:pPr>
            <w:r>
              <w:rPr>
                <w:color w:val="auto"/>
                <w:spacing w:val="4"/>
                <w:highlight w:val="none"/>
              </w:rPr>
              <w:t>中心试验室</w:t>
            </w:r>
          </w:p>
        </w:tc>
        <w:tc>
          <w:tcPr>
            <w:tcW w:w="1859" w:type="dxa"/>
            <w:vAlign w:val="top"/>
          </w:tcPr>
          <w:p w14:paraId="03A53497">
            <w:pPr>
              <w:pStyle w:val="17"/>
              <w:spacing w:before="32" w:line="231" w:lineRule="auto"/>
              <w:ind w:left="116"/>
              <w:rPr>
                <w:color w:val="auto"/>
                <w:highlight w:val="none"/>
              </w:rPr>
            </w:pPr>
            <w:r>
              <w:rPr>
                <w:color w:val="auto"/>
                <w:spacing w:val="6"/>
                <w:highlight w:val="none"/>
              </w:rPr>
              <w:t>监理人</w:t>
            </w:r>
          </w:p>
        </w:tc>
      </w:tr>
      <w:tr w14:paraId="77962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483" w:type="dxa"/>
            <w:vAlign w:val="top"/>
          </w:tcPr>
          <w:p w14:paraId="38CEF7E1">
            <w:pPr>
              <w:pStyle w:val="17"/>
              <w:spacing w:before="33" w:line="271" w:lineRule="auto"/>
              <w:ind w:left="149" w:right="122" w:hanging="35"/>
              <w:rPr>
                <w:color w:val="auto"/>
                <w:highlight w:val="none"/>
              </w:rPr>
            </w:pPr>
            <w:r>
              <w:rPr>
                <w:color w:val="auto"/>
                <w:spacing w:val="9"/>
                <w:highlight w:val="none"/>
              </w:rPr>
              <w:t>*16.混凝土施工过程中混凝土取样、送样等（中心</w:t>
            </w:r>
            <w:r>
              <w:rPr>
                <w:color w:val="auto"/>
                <w:spacing w:val="8"/>
                <w:highlight w:val="none"/>
              </w:rPr>
              <w:t>试验室</w:t>
            </w:r>
            <w:r>
              <w:rPr>
                <w:color w:val="auto"/>
                <w:spacing w:val="-2"/>
                <w:highlight w:val="none"/>
              </w:rPr>
              <w:t>自主取样</w:t>
            </w:r>
            <w:r>
              <w:rPr>
                <w:color w:val="auto"/>
                <w:spacing w:val="1"/>
                <w:highlight w:val="none"/>
              </w:rPr>
              <w:t>）；</w:t>
            </w:r>
          </w:p>
        </w:tc>
        <w:tc>
          <w:tcPr>
            <w:tcW w:w="1553" w:type="dxa"/>
            <w:vAlign w:val="top"/>
          </w:tcPr>
          <w:p w14:paraId="1A43E68B">
            <w:pPr>
              <w:pStyle w:val="17"/>
              <w:spacing w:before="33" w:line="228" w:lineRule="auto"/>
              <w:ind w:left="135"/>
              <w:rPr>
                <w:color w:val="auto"/>
                <w:highlight w:val="none"/>
              </w:rPr>
            </w:pPr>
            <w:r>
              <w:rPr>
                <w:color w:val="auto"/>
                <w:spacing w:val="4"/>
                <w:highlight w:val="none"/>
              </w:rPr>
              <w:t>中心试验室</w:t>
            </w:r>
          </w:p>
        </w:tc>
        <w:tc>
          <w:tcPr>
            <w:tcW w:w="1859" w:type="dxa"/>
            <w:vAlign w:val="top"/>
          </w:tcPr>
          <w:p w14:paraId="2BC45668">
            <w:pPr>
              <w:pStyle w:val="17"/>
              <w:spacing w:before="32" w:line="231" w:lineRule="auto"/>
              <w:ind w:left="116"/>
              <w:rPr>
                <w:color w:val="auto"/>
                <w:highlight w:val="none"/>
              </w:rPr>
            </w:pPr>
            <w:r>
              <w:rPr>
                <w:color w:val="auto"/>
                <w:spacing w:val="6"/>
                <w:highlight w:val="none"/>
              </w:rPr>
              <w:t>监理人</w:t>
            </w:r>
          </w:p>
        </w:tc>
      </w:tr>
      <w:tr w14:paraId="2AC75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483" w:type="dxa"/>
            <w:vAlign w:val="top"/>
          </w:tcPr>
          <w:p w14:paraId="130BE57A">
            <w:pPr>
              <w:pStyle w:val="17"/>
              <w:spacing w:before="32" w:line="271" w:lineRule="auto"/>
              <w:ind w:left="115" w:right="225" w:firstLine="14"/>
              <w:rPr>
                <w:color w:val="auto"/>
                <w:highlight w:val="none"/>
              </w:rPr>
            </w:pPr>
            <w:r>
              <w:rPr>
                <w:color w:val="auto"/>
                <w:spacing w:val="8"/>
                <w:highlight w:val="none"/>
              </w:rPr>
              <w:t>17.施工现场工艺试验内容（如：锚杆、锚索、路基试验</w:t>
            </w:r>
            <w:r>
              <w:rPr>
                <w:color w:val="auto"/>
                <w:spacing w:val="2"/>
                <w:highlight w:val="none"/>
              </w:rPr>
              <w:t>段等）</w:t>
            </w:r>
          </w:p>
        </w:tc>
        <w:tc>
          <w:tcPr>
            <w:tcW w:w="1553" w:type="dxa"/>
            <w:vAlign w:val="top"/>
          </w:tcPr>
          <w:p w14:paraId="6B14420C">
            <w:pPr>
              <w:pStyle w:val="17"/>
              <w:spacing w:before="32" w:line="231" w:lineRule="auto"/>
              <w:ind w:left="116"/>
              <w:rPr>
                <w:color w:val="auto"/>
                <w:highlight w:val="none"/>
              </w:rPr>
            </w:pPr>
            <w:r>
              <w:rPr>
                <w:color w:val="auto"/>
                <w:spacing w:val="6"/>
                <w:highlight w:val="none"/>
              </w:rPr>
              <w:t>监理人</w:t>
            </w:r>
          </w:p>
        </w:tc>
        <w:tc>
          <w:tcPr>
            <w:tcW w:w="1859" w:type="dxa"/>
            <w:vAlign w:val="top"/>
          </w:tcPr>
          <w:p w14:paraId="4AC84521">
            <w:pPr>
              <w:pStyle w:val="17"/>
              <w:spacing w:before="33" w:line="228" w:lineRule="auto"/>
              <w:ind w:left="135"/>
              <w:rPr>
                <w:color w:val="auto"/>
                <w:highlight w:val="none"/>
              </w:rPr>
            </w:pPr>
            <w:r>
              <w:rPr>
                <w:color w:val="auto"/>
                <w:spacing w:val="4"/>
                <w:highlight w:val="none"/>
              </w:rPr>
              <w:t>中心试验室</w:t>
            </w:r>
          </w:p>
        </w:tc>
      </w:tr>
      <w:tr w14:paraId="586E2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486A112C">
            <w:pPr>
              <w:pStyle w:val="17"/>
              <w:spacing w:before="33" w:line="228" w:lineRule="auto"/>
              <w:ind w:left="130"/>
              <w:rPr>
                <w:color w:val="auto"/>
                <w:highlight w:val="none"/>
              </w:rPr>
            </w:pPr>
            <w:r>
              <w:rPr>
                <w:color w:val="auto"/>
                <w:spacing w:val="8"/>
                <w:highlight w:val="none"/>
              </w:rPr>
              <w:t>18.室内工艺性能试验（如：钢筋直螺纹加工、焊接等）</w:t>
            </w:r>
          </w:p>
        </w:tc>
        <w:tc>
          <w:tcPr>
            <w:tcW w:w="1553" w:type="dxa"/>
            <w:vAlign w:val="top"/>
          </w:tcPr>
          <w:p w14:paraId="5C96B1CC">
            <w:pPr>
              <w:pStyle w:val="17"/>
              <w:spacing w:before="34" w:line="228" w:lineRule="auto"/>
              <w:ind w:left="135"/>
              <w:rPr>
                <w:color w:val="auto"/>
                <w:highlight w:val="none"/>
              </w:rPr>
            </w:pPr>
            <w:r>
              <w:rPr>
                <w:color w:val="auto"/>
                <w:spacing w:val="4"/>
                <w:highlight w:val="none"/>
              </w:rPr>
              <w:t>中心试验室</w:t>
            </w:r>
          </w:p>
        </w:tc>
        <w:tc>
          <w:tcPr>
            <w:tcW w:w="1859" w:type="dxa"/>
            <w:vAlign w:val="top"/>
          </w:tcPr>
          <w:p w14:paraId="7CD0DDA3">
            <w:pPr>
              <w:pStyle w:val="17"/>
              <w:spacing w:before="33" w:line="231" w:lineRule="auto"/>
              <w:ind w:left="116"/>
              <w:rPr>
                <w:color w:val="auto"/>
                <w:highlight w:val="none"/>
              </w:rPr>
            </w:pPr>
            <w:r>
              <w:rPr>
                <w:color w:val="auto"/>
                <w:spacing w:val="6"/>
                <w:highlight w:val="none"/>
              </w:rPr>
              <w:t>监理人</w:t>
            </w:r>
          </w:p>
        </w:tc>
      </w:tr>
      <w:tr w14:paraId="62C81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483" w:type="dxa"/>
            <w:vAlign w:val="top"/>
          </w:tcPr>
          <w:p w14:paraId="1D0C45A0">
            <w:pPr>
              <w:pStyle w:val="17"/>
              <w:spacing w:before="34" w:line="228" w:lineRule="auto"/>
              <w:ind w:left="130"/>
              <w:rPr>
                <w:color w:val="auto"/>
                <w:highlight w:val="none"/>
              </w:rPr>
            </w:pPr>
            <w:r>
              <w:rPr>
                <w:color w:val="auto"/>
                <w:spacing w:val="7"/>
                <w:highlight w:val="none"/>
              </w:rPr>
              <w:t>19.工地试验室人员定期培训及考核</w:t>
            </w:r>
          </w:p>
        </w:tc>
        <w:tc>
          <w:tcPr>
            <w:tcW w:w="1553" w:type="dxa"/>
            <w:vAlign w:val="top"/>
          </w:tcPr>
          <w:p w14:paraId="1EEBE2B3">
            <w:pPr>
              <w:pStyle w:val="17"/>
              <w:spacing w:before="35" w:line="228" w:lineRule="auto"/>
              <w:ind w:left="135"/>
              <w:rPr>
                <w:color w:val="auto"/>
                <w:highlight w:val="none"/>
              </w:rPr>
            </w:pPr>
            <w:r>
              <w:rPr>
                <w:color w:val="auto"/>
                <w:spacing w:val="4"/>
                <w:highlight w:val="none"/>
              </w:rPr>
              <w:t>中心试验室</w:t>
            </w:r>
          </w:p>
        </w:tc>
        <w:tc>
          <w:tcPr>
            <w:tcW w:w="1859" w:type="dxa"/>
            <w:vAlign w:val="top"/>
          </w:tcPr>
          <w:p w14:paraId="6563C058">
            <w:pPr>
              <w:pStyle w:val="17"/>
              <w:spacing w:before="34" w:line="231" w:lineRule="auto"/>
              <w:ind w:left="116"/>
              <w:rPr>
                <w:color w:val="auto"/>
                <w:highlight w:val="none"/>
              </w:rPr>
            </w:pPr>
            <w:r>
              <w:rPr>
                <w:color w:val="auto"/>
                <w:spacing w:val="6"/>
                <w:highlight w:val="none"/>
              </w:rPr>
              <w:t>监理人</w:t>
            </w:r>
          </w:p>
        </w:tc>
      </w:tr>
      <w:tr w14:paraId="31280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405B49AA">
            <w:pPr>
              <w:pStyle w:val="17"/>
              <w:spacing w:before="32" w:line="228" w:lineRule="auto"/>
              <w:ind w:left="117"/>
              <w:rPr>
                <w:color w:val="auto"/>
                <w:highlight w:val="none"/>
              </w:rPr>
            </w:pPr>
            <w:r>
              <w:rPr>
                <w:color w:val="auto"/>
                <w:spacing w:val="6"/>
                <w:highlight w:val="none"/>
              </w:rPr>
              <w:t>20.定期比对试验等；</w:t>
            </w:r>
          </w:p>
        </w:tc>
        <w:tc>
          <w:tcPr>
            <w:tcW w:w="1553" w:type="dxa"/>
            <w:vAlign w:val="top"/>
          </w:tcPr>
          <w:p w14:paraId="6E9F2C85">
            <w:pPr>
              <w:pStyle w:val="17"/>
              <w:spacing w:before="32" w:line="228" w:lineRule="auto"/>
              <w:ind w:left="135"/>
              <w:rPr>
                <w:color w:val="auto"/>
                <w:highlight w:val="none"/>
              </w:rPr>
            </w:pPr>
            <w:r>
              <w:rPr>
                <w:color w:val="auto"/>
                <w:spacing w:val="4"/>
                <w:highlight w:val="none"/>
              </w:rPr>
              <w:t>中心试验室</w:t>
            </w:r>
          </w:p>
        </w:tc>
        <w:tc>
          <w:tcPr>
            <w:tcW w:w="1859" w:type="dxa"/>
            <w:vAlign w:val="top"/>
          </w:tcPr>
          <w:p w14:paraId="00A1DBD8">
            <w:pPr>
              <w:pStyle w:val="17"/>
              <w:spacing w:before="31" w:line="231" w:lineRule="auto"/>
              <w:ind w:left="116"/>
              <w:rPr>
                <w:color w:val="auto"/>
                <w:highlight w:val="none"/>
              </w:rPr>
            </w:pPr>
            <w:r>
              <w:rPr>
                <w:color w:val="auto"/>
                <w:spacing w:val="6"/>
                <w:highlight w:val="none"/>
              </w:rPr>
              <w:t>监理人</w:t>
            </w:r>
          </w:p>
        </w:tc>
      </w:tr>
      <w:tr w14:paraId="424D1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148730DA">
            <w:pPr>
              <w:pStyle w:val="17"/>
              <w:spacing w:before="33" w:line="228" w:lineRule="auto"/>
              <w:ind w:left="117"/>
              <w:rPr>
                <w:color w:val="auto"/>
                <w:highlight w:val="none"/>
              </w:rPr>
            </w:pPr>
            <w:r>
              <w:rPr>
                <w:color w:val="auto"/>
                <w:spacing w:val="8"/>
                <w:highlight w:val="none"/>
              </w:rPr>
              <w:t>21.施工单位自检试验委托单位的审核、审批；</w:t>
            </w:r>
          </w:p>
        </w:tc>
        <w:tc>
          <w:tcPr>
            <w:tcW w:w="1553" w:type="dxa"/>
            <w:vAlign w:val="top"/>
          </w:tcPr>
          <w:p w14:paraId="7AAAE2ED">
            <w:pPr>
              <w:pStyle w:val="17"/>
              <w:spacing w:before="33" w:line="228" w:lineRule="auto"/>
              <w:ind w:left="135"/>
              <w:rPr>
                <w:color w:val="auto"/>
                <w:highlight w:val="none"/>
              </w:rPr>
            </w:pPr>
            <w:r>
              <w:rPr>
                <w:color w:val="auto"/>
                <w:spacing w:val="4"/>
                <w:highlight w:val="none"/>
              </w:rPr>
              <w:t>中心试验室</w:t>
            </w:r>
          </w:p>
        </w:tc>
        <w:tc>
          <w:tcPr>
            <w:tcW w:w="1859" w:type="dxa"/>
            <w:vAlign w:val="top"/>
          </w:tcPr>
          <w:p w14:paraId="391D37CC">
            <w:pPr>
              <w:pStyle w:val="17"/>
              <w:spacing w:before="32" w:line="231" w:lineRule="auto"/>
              <w:ind w:left="116"/>
              <w:rPr>
                <w:color w:val="auto"/>
                <w:highlight w:val="none"/>
              </w:rPr>
            </w:pPr>
            <w:r>
              <w:rPr>
                <w:color w:val="auto"/>
                <w:spacing w:val="6"/>
                <w:highlight w:val="none"/>
              </w:rPr>
              <w:t>监理人</w:t>
            </w:r>
          </w:p>
        </w:tc>
      </w:tr>
      <w:tr w14:paraId="2FCE0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12BF7F36">
            <w:pPr>
              <w:pStyle w:val="17"/>
              <w:spacing w:before="34" w:line="227" w:lineRule="auto"/>
              <w:ind w:left="117"/>
              <w:rPr>
                <w:color w:val="auto"/>
                <w:highlight w:val="none"/>
              </w:rPr>
            </w:pPr>
            <w:r>
              <w:rPr>
                <w:color w:val="auto"/>
                <w:spacing w:val="8"/>
                <w:highlight w:val="none"/>
              </w:rPr>
              <w:t>22.施工单位特殊材料外委材料的取送样监督；</w:t>
            </w:r>
          </w:p>
        </w:tc>
        <w:tc>
          <w:tcPr>
            <w:tcW w:w="1553" w:type="dxa"/>
            <w:vAlign w:val="top"/>
          </w:tcPr>
          <w:p w14:paraId="2E3026E0">
            <w:pPr>
              <w:pStyle w:val="17"/>
              <w:spacing w:before="33" w:line="231" w:lineRule="auto"/>
              <w:ind w:left="116"/>
              <w:rPr>
                <w:color w:val="auto"/>
                <w:highlight w:val="none"/>
              </w:rPr>
            </w:pPr>
            <w:r>
              <w:rPr>
                <w:color w:val="auto"/>
                <w:spacing w:val="6"/>
                <w:highlight w:val="none"/>
              </w:rPr>
              <w:t>监理人</w:t>
            </w:r>
          </w:p>
        </w:tc>
        <w:tc>
          <w:tcPr>
            <w:tcW w:w="1859" w:type="dxa"/>
            <w:vAlign w:val="top"/>
          </w:tcPr>
          <w:p w14:paraId="1CDE15F4">
            <w:pPr>
              <w:pStyle w:val="17"/>
              <w:spacing w:before="34" w:line="228" w:lineRule="auto"/>
              <w:ind w:left="135"/>
              <w:rPr>
                <w:color w:val="auto"/>
                <w:highlight w:val="none"/>
              </w:rPr>
            </w:pPr>
            <w:r>
              <w:rPr>
                <w:color w:val="auto"/>
                <w:spacing w:val="4"/>
                <w:highlight w:val="none"/>
              </w:rPr>
              <w:t>中心试验室</w:t>
            </w:r>
          </w:p>
        </w:tc>
      </w:tr>
      <w:tr w14:paraId="100FC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18EAC384">
            <w:pPr>
              <w:pStyle w:val="17"/>
              <w:spacing w:before="35" w:line="228" w:lineRule="auto"/>
              <w:ind w:left="117"/>
              <w:rPr>
                <w:color w:val="auto"/>
                <w:highlight w:val="none"/>
              </w:rPr>
            </w:pPr>
            <w:r>
              <w:rPr>
                <w:color w:val="auto"/>
                <w:spacing w:val="8"/>
                <w:highlight w:val="none"/>
              </w:rPr>
              <w:t>23.施工单位自检频率的监控及统计审核；</w:t>
            </w:r>
          </w:p>
        </w:tc>
        <w:tc>
          <w:tcPr>
            <w:tcW w:w="1553" w:type="dxa"/>
            <w:vAlign w:val="top"/>
          </w:tcPr>
          <w:p w14:paraId="0BFBFA36">
            <w:pPr>
              <w:pStyle w:val="17"/>
              <w:spacing w:before="35" w:line="228" w:lineRule="auto"/>
              <w:ind w:left="135"/>
              <w:rPr>
                <w:color w:val="auto"/>
                <w:highlight w:val="none"/>
              </w:rPr>
            </w:pPr>
            <w:r>
              <w:rPr>
                <w:color w:val="auto"/>
                <w:spacing w:val="4"/>
                <w:highlight w:val="none"/>
              </w:rPr>
              <w:t>中心试验室</w:t>
            </w:r>
          </w:p>
        </w:tc>
        <w:tc>
          <w:tcPr>
            <w:tcW w:w="1859" w:type="dxa"/>
            <w:vAlign w:val="top"/>
          </w:tcPr>
          <w:p w14:paraId="4E229BEC">
            <w:pPr>
              <w:pStyle w:val="17"/>
              <w:spacing w:before="34" w:line="231" w:lineRule="auto"/>
              <w:ind w:left="116"/>
              <w:rPr>
                <w:color w:val="auto"/>
                <w:highlight w:val="none"/>
              </w:rPr>
            </w:pPr>
            <w:r>
              <w:rPr>
                <w:color w:val="auto"/>
                <w:spacing w:val="6"/>
                <w:highlight w:val="none"/>
              </w:rPr>
              <w:t>监理人</w:t>
            </w:r>
          </w:p>
        </w:tc>
      </w:tr>
      <w:tr w14:paraId="63298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483" w:type="dxa"/>
            <w:vAlign w:val="top"/>
          </w:tcPr>
          <w:p w14:paraId="0FA2D8A7">
            <w:pPr>
              <w:pStyle w:val="17"/>
              <w:spacing w:before="33" w:line="228" w:lineRule="auto"/>
              <w:ind w:left="117"/>
              <w:rPr>
                <w:color w:val="auto"/>
                <w:highlight w:val="none"/>
              </w:rPr>
            </w:pPr>
            <w:r>
              <w:rPr>
                <w:color w:val="auto"/>
                <w:spacing w:val="8"/>
                <w:highlight w:val="none"/>
              </w:rPr>
              <w:t>24.监理试验抽检频率的统计及跟踪、钢筋保护层测定；</w:t>
            </w:r>
          </w:p>
        </w:tc>
        <w:tc>
          <w:tcPr>
            <w:tcW w:w="1553" w:type="dxa"/>
            <w:vAlign w:val="top"/>
          </w:tcPr>
          <w:p w14:paraId="7BA34153">
            <w:pPr>
              <w:pStyle w:val="17"/>
              <w:spacing w:before="33" w:line="231" w:lineRule="auto"/>
              <w:ind w:left="116"/>
              <w:rPr>
                <w:color w:val="auto"/>
                <w:highlight w:val="none"/>
              </w:rPr>
            </w:pPr>
            <w:r>
              <w:rPr>
                <w:color w:val="auto"/>
                <w:spacing w:val="6"/>
                <w:highlight w:val="none"/>
              </w:rPr>
              <w:t>监理人</w:t>
            </w:r>
          </w:p>
        </w:tc>
        <w:tc>
          <w:tcPr>
            <w:tcW w:w="1859" w:type="dxa"/>
            <w:vAlign w:val="top"/>
          </w:tcPr>
          <w:p w14:paraId="69CE4C00">
            <w:pPr>
              <w:pStyle w:val="17"/>
              <w:spacing w:before="34" w:line="228" w:lineRule="auto"/>
              <w:ind w:left="135"/>
              <w:rPr>
                <w:color w:val="auto"/>
                <w:highlight w:val="none"/>
              </w:rPr>
            </w:pPr>
            <w:r>
              <w:rPr>
                <w:color w:val="auto"/>
                <w:spacing w:val="4"/>
                <w:highlight w:val="none"/>
              </w:rPr>
              <w:t>中心试验室</w:t>
            </w:r>
          </w:p>
        </w:tc>
      </w:tr>
      <w:tr w14:paraId="64328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483" w:type="dxa"/>
            <w:vAlign w:val="top"/>
          </w:tcPr>
          <w:p w14:paraId="77ADAF90">
            <w:pPr>
              <w:pStyle w:val="17"/>
              <w:spacing w:before="35" w:line="270" w:lineRule="auto"/>
              <w:ind w:left="116" w:right="225"/>
              <w:rPr>
                <w:color w:val="auto"/>
                <w:highlight w:val="none"/>
              </w:rPr>
            </w:pPr>
            <w:r>
              <w:rPr>
                <w:color w:val="auto"/>
                <w:spacing w:val="9"/>
                <w:highlight w:val="none"/>
              </w:rPr>
              <w:t>25.中间交工验收试验检测工作（结构物外形尺寸、偏位</w:t>
            </w:r>
            <w:r>
              <w:rPr>
                <w:color w:val="auto"/>
                <w:spacing w:val="-1"/>
                <w:highlight w:val="none"/>
              </w:rPr>
              <w:t>等）</w:t>
            </w:r>
          </w:p>
        </w:tc>
        <w:tc>
          <w:tcPr>
            <w:tcW w:w="1553" w:type="dxa"/>
            <w:vAlign w:val="top"/>
          </w:tcPr>
          <w:p w14:paraId="20718369">
            <w:pPr>
              <w:pStyle w:val="17"/>
              <w:spacing w:before="33" w:line="231" w:lineRule="auto"/>
              <w:ind w:left="116"/>
              <w:rPr>
                <w:color w:val="auto"/>
                <w:highlight w:val="none"/>
              </w:rPr>
            </w:pPr>
            <w:r>
              <w:rPr>
                <w:color w:val="auto"/>
                <w:spacing w:val="6"/>
                <w:highlight w:val="none"/>
              </w:rPr>
              <w:t>监理人</w:t>
            </w:r>
          </w:p>
        </w:tc>
        <w:tc>
          <w:tcPr>
            <w:tcW w:w="1859" w:type="dxa"/>
            <w:vAlign w:val="top"/>
          </w:tcPr>
          <w:p w14:paraId="551401B2">
            <w:pPr>
              <w:pStyle w:val="17"/>
              <w:spacing w:before="34" w:line="228" w:lineRule="auto"/>
              <w:ind w:left="135"/>
              <w:rPr>
                <w:color w:val="auto"/>
                <w:highlight w:val="none"/>
              </w:rPr>
            </w:pPr>
            <w:r>
              <w:rPr>
                <w:color w:val="auto"/>
                <w:spacing w:val="4"/>
                <w:highlight w:val="none"/>
              </w:rPr>
              <w:t>中心试验室</w:t>
            </w:r>
          </w:p>
        </w:tc>
      </w:tr>
      <w:tr w14:paraId="38050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483" w:type="dxa"/>
            <w:vAlign w:val="top"/>
          </w:tcPr>
          <w:p w14:paraId="6CB3F10C">
            <w:pPr>
              <w:pStyle w:val="17"/>
              <w:spacing w:before="35" w:line="270" w:lineRule="auto"/>
              <w:ind w:left="117" w:right="225"/>
              <w:rPr>
                <w:color w:val="auto"/>
                <w:highlight w:val="none"/>
              </w:rPr>
            </w:pPr>
            <w:r>
              <w:rPr>
                <w:color w:val="auto"/>
                <w:spacing w:val="9"/>
                <w:highlight w:val="none"/>
              </w:rPr>
              <w:t>26.中间交工验收试验检测工作（路基压实度、结构物回</w:t>
            </w:r>
            <w:r>
              <w:rPr>
                <w:color w:val="auto"/>
                <w:spacing w:val="6"/>
                <w:highlight w:val="none"/>
              </w:rPr>
              <w:t>弹、保护层等）</w:t>
            </w:r>
          </w:p>
        </w:tc>
        <w:tc>
          <w:tcPr>
            <w:tcW w:w="1553" w:type="dxa"/>
            <w:vAlign w:val="top"/>
          </w:tcPr>
          <w:p w14:paraId="050C2AF0">
            <w:pPr>
              <w:pStyle w:val="17"/>
              <w:spacing w:before="35" w:line="228" w:lineRule="auto"/>
              <w:ind w:left="135"/>
              <w:rPr>
                <w:color w:val="auto"/>
                <w:highlight w:val="none"/>
              </w:rPr>
            </w:pPr>
            <w:r>
              <w:rPr>
                <w:color w:val="auto"/>
                <w:spacing w:val="4"/>
                <w:highlight w:val="none"/>
              </w:rPr>
              <w:t>中心试验室</w:t>
            </w:r>
          </w:p>
        </w:tc>
        <w:tc>
          <w:tcPr>
            <w:tcW w:w="1859" w:type="dxa"/>
            <w:vAlign w:val="top"/>
          </w:tcPr>
          <w:p w14:paraId="0100F8BD">
            <w:pPr>
              <w:pStyle w:val="17"/>
              <w:spacing w:before="34" w:line="231" w:lineRule="auto"/>
              <w:ind w:left="116"/>
              <w:rPr>
                <w:color w:val="auto"/>
                <w:highlight w:val="none"/>
              </w:rPr>
            </w:pPr>
            <w:r>
              <w:rPr>
                <w:color w:val="auto"/>
                <w:spacing w:val="6"/>
                <w:highlight w:val="none"/>
              </w:rPr>
              <w:t>监理人</w:t>
            </w:r>
          </w:p>
        </w:tc>
      </w:tr>
      <w:tr w14:paraId="25958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483" w:type="dxa"/>
            <w:vAlign w:val="top"/>
          </w:tcPr>
          <w:p w14:paraId="68B19094">
            <w:pPr>
              <w:pStyle w:val="17"/>
              <w:spacing w:before="35" w:line="228" w:lineRule="auto"/>
              <w:ind w:left="117"/>
              <w:rPr>
                <w:color w:val="auto"/>
                <w:highlight w:val="none"/>
              </w:rPr>
            </w:pPr>
            <w:r>
              <w:rPr>
                <w:color w:val="auto"/>
                <w:spacing w:val="7"/>
                <w:highlight w:val="none"/>
              </w:rPr>
              <w:t>27.交工验收过程中的试验检测工作。</w:t>
            </w:r>
          </w:p>
        </w:tc>
        <w:tc>
          <w:tcPr>
            <w:tcW w:w="1553" w:type="dxa"/>
            <w:vAlign w:val="top"/>
          </w:tcPr>
          <w:p w14:paraId="73771218">
            <w:pPr>
              <w:pStyle w:val="17"/>
              <w:spacing w:before="36" w:line="228" w:lineRule="auto"/>
              <w:ind w:left="135"/>
              <w:rPr>
                <w:color w:val="auto"/>
                <w:highlight w:val="none"/>
              </w:rPr>
            </w:pPr>
            <w:r>
              <w:rPr>
                <w:color w:val="auto"/>
                <w:spacing w:val="4"/>
                <w:highlight w:val="none"/>
              </w:rPr>
              <w:t>中心试验室</w:t>
            </w:r>
          </w:p>
        </w:tc>
        <w:tc>
          <w:tcPr>
            <w:tcW w:w="1859" w:type="dxa"/>
            <w:vAlign w:val="top"/>
          </w:tcPr>
          <w:p w14:paraId="040EFD3E">
            <w:pPr>
              <w:pStyle w:val="17"/>
              <w:spacing w:before="35" w:line="231" w:lineRule="auto"/>
              <w:ind w:left="116"/>
              <w:rPr>
                <w:color w:val="auto"/>
                <w:highlight w:val="none"/>
              </w:rPr>
            </w:pPr>
            <w:r>
              <w:rPr>
                <w:color w:val="auto"/>
                <w:spacing w:val="6"/>
                <w:highlight w:val="none"/>
              </w:rPr>
              <w:t>监理人</w:t>
            </w:r>
          </w:p>
        </w:tc>
      </w:tr>
      <w:tr w14:paraId="78235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1F11B8C6">
            <w:pPr>
              <w:pStyle w:val="17"/>
              <w:spacing w:before="35" w:line="228" w:lineRule="auto"/>
              <w:ind w:left="117"/>
              <w:rPr>
                <w:color w:val="auto"/>
                <w:highlight w:val="none"/>
              </w:rPr>
            </w:pPr>
            <w:r>
              <w:rPr>
                <w:color w:val="auto"/>
                <w:spacing w:val="8"/>
                <w:highlight w:val="none"/>
              </w:rPr>
              <w:t>28.代表委托人日常质量巡查</w:t>
            </w:r>
          </w:p>
        </w:tc>
        <w:tc>
          <w:tcPr>
            <w:tcW w:w="1553" w:type="dxa"/>
            <w:vAlign w:val="top"/>
          </w:tcPr>
          <w:p w14:paraId="154AD3ED">
            <w:pPr>
              <w:pStyle w:val="17"/>
              <w:spacing w:before="36" w:line="228" w:lineRule="auto"/>
              <w:ind w:left="135"/>
              <w:rPr>
                <w:color w:val="auto"/>
                <w:highlight w:val="none"/>
              </w:rPr>
            </w:pPr>
            <w:r>
              <w:rPr>
                <w:color w:val="auto"/>
                <w:spacing w:val="4"/>
                <w:highlight w:val="none"/>
              </w:rPr>
              <w:t>中心试验室</w:t>
            </w:r>
          </w:p>
        </w:tc>
        <w:tc>
          <w:tcPr>
            <w:tcW w:w="1859" w:type="dxa"/>
            <w:vAlign w:val="top"/>
          </w:tcPr>
          <w:p w14:paraId="13764A19">
            <w:pPr>
              <w:pStyle w:val="17"/>
              <w:spacing w:before="35" w:line="231" w:lineRule="auto"/>
              <w:ind w:left="116"/>
              <w:rPr>
                <w:color w:val="auto"/>
                <w:highlight w:val="none"/>
              </w:rPr>
            </w:pPr>
            <w:r>
              <w:rPr>
                <w:color w:val="auto"/>
                <w:spacing w:val="6"/>
                <w:highlight w:val="none"/>
              </w:rPr>
              <w:t>监理人</w:t>
            </w:r>
          </w:p>
        </w:tc>
      </w:tr>
      <w:tr w14:paraId="752BC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7A1FFCD3">
            <w:pPr>
              <w:pStyle w:val="17"/>
              <w:spacing w:before="34" w:line="227" w:lineRule="auto"/>
              <w:ind w:left="117"/>
              <w:rPr>
                <w:color w:val="auto"/>
                <w:highlight w:val="none"/>
              </w:rPr>
            </w:pPr>
            <w:r>
              <w:rPr>
                <w:color w:val="auto"/>
                <w:spacing w:val="8"/>
                <w:highlight w:val="none"/>
              </w:rPr>
              <w:t>29.全部结构物构件强度回弹</w:t>
            </w:r>
          </w:p>
        </w:tc>
        <w:tc>
          <w:tcPr>
            <w:tcW w:w="1553" w:type="dxa"/>
            <w:vAlign w:val="top"/>
          </w:tcPr>
          <w:p w14:paraId="44363F6E">
            <w:pPr>
              <w:pStyle w:val="17"/>
              <w:spacing w:before="35" w:line="228" w:lineRule="auto"/>
              <w:ind w:left="135"/>
              <w:rPr>
                <w:color w:val="auto"/>
                <w:highlight w:val="none"/>
              </w:rPr>
            </w:pPr>
            <w:r>
              <w:rPr>
                <w:color w:val="auto"/>
                <w:spacing w:val="4"/>
                <w:highlight w:val="none"/>
              </w:rPr>
              <w:t>中心试验室</w:t>
            </w:r>
          </w:p>
        </w:tc>
        <w:tc>
          <w:tcPr>
            <w:tcW w:w="1859" w:type="dxa"/>
            <w:vAlign w:val="top"/>
          </w:tcPr>
          <w:p w14:paraId="4D969264">
            <w:pPr>
              <w:pStyle w:val="17"/>
              <w:spacing w:before="34" w:line="231" w:lineRule="auto"/>
              <w:ind w:left="116"/>
              <w:rPr>
                <w:color w:val="auto"/>
                <w:highlight w:val="none"/>
              </w:rPr>
            </w:pPr>
            <w:r>
              <w:rPr>
                <w:color w:val="auto"/>
                <w:spacing w:val="6"/>
                <w:highlight w:val="none"/>
              </w:rPr>
              <w:t>监理人</w:t>
            </w:r>
          </w:p>
        </w:tc>
      </w:tr>
      <w:tr w14:paraId="00871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6FFB6E90">
            <w:pPr>
              <w:pStyle w:val="17"/>
              <w:spacing w:before="35" w:line="227" w:lineRule="auto"/>
              <w:ind w:left="119"/>
              <w:rPr>
                <w:color w:val="auto"/>
                <w:highlight w:val="none"/>
              </w:rPr>
            </w:pPr>
            <w:r>
              <w:rPr>
                <w:color w:val="auto"/>
                <w:spacing w:val="8"/>
                <w:highlight w:val="none"/>
              </w:rPr>
              <w:t>30.附属房建工程的试验检测工作</w:t>
            </w:r>
          </w:p>
        </w:tc>
        <w:tc>
          <w:tcPr>
            <w:tcW w:w="1553" w:type="dxa"/>
            <w:vAlign w:val="top"/>
          </w:tcPr>
          <w:p w14:paraId="55384734">
            <w:pPr>
              <w:pStyle w:val="17"/>
              <w:spacing w:before="36" w:line="228" w:lineRule="auto"/>
              <w:ind w:left="135"/>
              <w:rPr>
                <w:color w:val="auto"/>
                <w:highlight w:val="none"/>
              </w:rPr>
            </w:pPr>
            <w:r>
              <w:rPr>
                <w:color w:val="auto"/>
                <w:spacing w:val="4"/>
                <w:highlight w:val="none"/>
              </w:rPr>
              <w:t>中心试验室</w:t>
            </w:r>
          </w:p>
        </w:tc>
        <w:tc>
          <w:tcPr>
            <w:tcW w:w="1859" w:type="dxa"/>
            <w:vAlign w:val="top"/>
          </w:tcPr>
          <w:p w14:paraId="6D151310">
            <w:pPr>
              <w:pStyle w:val="17"/>
              <w:spacing w:before="35" w:line="231" w:lineRule="auto"/>
              <w:ind w:left="116"/>
              <w:rPr>
                <w:color w:val="auto"/>
                <w:highlight w:val="none"/>
              </w:rPr>
            </w:pPr>
            <w:r>
              <w:rPr>
                <w:color w:val="auto"/>
                <w:spacing w:val="6"/>
                <w:highlight w:val="none"/>
              </w:rPr>
              <w:t>监理人</w:t>
            </w:r>
          </w:p>
        </w:tc>
      </w:tr>
      <w:tr w14:paraId="403D4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5483" w:type="dxa"/>
            <w:vAlign w:val="top"/>
          </w:tcPr>
          <w:p w14:paraId="6E9DCFB9">
            <w:pPr>
              <w:pStyle w:val="17"/>
              <w:spacing w:before="37" w:line="228" w:lineRule="auto"/>
              <w:ind w:left="119"/>
              <w:rPr>
                <w:color w:val="auto"/>
                <w:highlight w:val="none"/>
              </w:rPr>
            </w:pPr>
            <w:r>
              <w:rPr>
                <w:color w:val="auto"/>
                <w:spacing w:val="7"/>
                <w:highlight w:val="none"/>
              </w:rPr>
              <w:t>31.结构物质量评定</w:t>
            </w:r>
          </w:p>
        </w:tc>
        <w:tc>
          <w:tcPr>
            <w:tcW w:w="1553" w:type="dxa"/>
            <w:vAlign w:val="top"/>
          </w:tcPr>
          <w:p w14:paraId="260896C0">
            <w:pPr>
              <w:pStyle w:val="17"/>
              <w:spacing w:before="36" w:line="231" w:lineRule="auto"/>
              <w:ind w:left="116"/>
              <w:rPr>
                <w:color w:val="auto"/>
                <w:highlight w:val="none"/>
              </w:rPr>
            </w:pPr>
            <w:r>
              <w:rPr>
                <w:color w:val="auto"/>
                <w:spacing w:val="6"/>
                <w:highlight w:val="none"/>
              </w:rPr>
              <w:t>监理人</w:t>
            </w:r>
          </w:p>
        </w:tc>
        <w:tc>
          <w:tcPr>
            <w:tcW w:w="1859" w:type="dxa"/>
            <w:vAlign w:val="top"/>
          </w:tcPr>
          <w:p w14:paraId="4D41B6E1">
            <w:pPr>
              <w:pStyle w:val="17"/>
              <w:spacing w:before="37" w:line="228" w:lineRule="auto"/>
              <w:ind w:left="135"/>
              <w:rPr>
                <w:color w:val="auto"/>
                <w:highlight w:val="none"/>
              </w:rPr>
            </w:pPr>
            <w:r>
              <w:rPr>
                <w:color w:val="auto"/>
                <w:spacing w:val="4"/>
                <w:highlight w:val="none"/>
              </w:rPr>
              <w:t>中心试验室</w:t>
            </w:r>
          </w:p>
        </w:tc>
      </w:tr>
      <w:tr w14:paraId="577FC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483" w:type="dxa"/>
            <w:vAlign w:val="top"/>
          </w:tcPr>
          <w:p w14:paraId="006D46E9">
            <w:pPr>
              <w:pStyle w:val="17"/>
              <w:spacing w:before="34" w:line="228" w:lineRule="auto"/>
              <w:ind w:left="119"/>
              <w:rPr>
                <w:color w:val="auto"/>
                <w:highlight w:val="none"/>
              </w:rPr>
            </w:pPr>
            <w:r>
              <w:rPr>
                <w:color w:val="auto"/>
                <w:spacing w:val="8"/>
                <w:highlight w:val="none"/>
              </w:rPr>
              <w:t>32.编制检测计划和检测细则</w:t>
            </w:r>
          </w:p>
        </w:tc>
        <w:tc>
          <w:tcPr>
            <w:tcW w:w="1553" w:type="dxa"/>
            <w:vAlign w:val="top"/>
          </w:tcPr>
          <w:p w14:paraId="5FB48FF3">
            <w:pPr>
              <w:pStyle w:val="17"/>
              <w:spacing w:before="35" w:line="228" w:lineRule="auto"/>
              <w:ind w:left="135"/>
              <w:rPr>
                <w:color w:val="auto"/>
                <w:highlight w:val="none"/>
              </w:rPr>
            </w:pPr>
            <w:r>
              <w:rPr>
                <w:color w:val="auto"/>
                <w:spacing w:val="4"/>
                <w:highlight w:val="none"/>
              </w:rPr>
              <w:t>中心试验室</w:t>
            </w:r>
          </w:p>
        </w:tc>
        <w:tc>
          <w:tcPr>
            <w:tcW w:w="1859" w:type="dxa"/>
            <w:vAlign w:val="top"/>
          </w:tcPr>
          <w:p w14:paraId="1ACBE3B8">
            <w:pPr>
              <w:pStyle w:val="17"/>
              <w:spacing w:before="34" w:line="231" w:lineRule="auto"/>
              <w:ind w:left="116"/>
              <w:rPr>
                <w:color w:val="auto"/>
                <w:highlight w:val="none"/>
              </w:rPr>
            </w:pPr>
            <w:r>
              <w:rPr>
                <w:color w:val="auto"/>
                <w:spacing w:val="6"/>
                <w:highlight w:val="none"/>
              </w:rPr>
              <w:t>监理人</w:t>
            </w:r>
          </w:p>
        </w:tc>
      </w:tr>
    </w:tbl>
    <w:p w14:paraId="07D895CE">
      <w:pPr>
        <w:spacing w:line="268" w:lineRule="auto"/>
        <w:rPr>
          <w:rFonts w:ascii="Arial"/>
          <w:color w:val="auto"/>
          <w:sz w:val="21"/>
          <w:highlight w:val="none"/>
        </w:rPr>
      </w:pPr>
    </w:p>
    <w:p w14:paraId="3872052A">
      <w:pPr>
        <w:spacing w:before="78" w:line="219" w:lineRule="auto"/>
        <w:ind w:left="62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13.6.3.</w:t>
      </w:r>
      <w:r>
        <w:rPr>
          <w:rFonts w:ascii="宋体" w:hAnsi="宋体" w:eastAsia="宋体" w:cs="宋体"/>
          <w:color w:val="auto"/>
          <w:spacing w:val="37"/>
          <w:sz w:val="22"/>
          <w:szCs w:val="22"/>
          <w:highlight w:val="none"/>
        </w:rPr>
        <w:t xml:space="preserve"> </w:t>
      </w:r>
      <w:r>
        <w:rPr>
          <w:rFonts w:ascii="宋体" w:hAnsi="宋体" w:eastAsia="宋体" w:cs="宋体"/>
          <w:color w:val="auto"/>
          <w:spacing w:val="-2"/>
          <w:sz w:val="22"/>
          <w:szCs w:val="22"/>
          <w:highlight w:val="none"/>
        </w:rPr>
        <w:t>中心试验室的工程质量监管职责（包含但不限于以下工作）</w:t>
      </w:r>
    </w:p>
    <w:p w14:paraId="1B6401B1">
      <w:pPr>
        <w:spacing w:before="48" w:line="312" w:lineRule="auto"/>
        <w:ind w:right="114" w:firstLine="49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（1）按照合同、最新《公路水运工程试验检测管理办法》和《公路工程施工监理</w:t>
      </w:r>
      <w:r>
        <w:rPr>
          <w:rFonts w:ascii="宋体" w:hAnsi="宋体" w:eastAsia="宋体" w:cs="宋体"/>
          <w:color w:val="auto"/>
          <w:spacing w:val="5"/>
          <w:sz w:val="22"/>
          <w:szCs w:val="22"/>
          <w:highlight w:val="none"/>
        </w:rPr>
        <w:t>规范》有关规定，负责工程检测服务合同范围内的验证试验、工艺试验、标准</w:t>
      </w:r>
      <w:r>
        <w:rPr>
          <w:rFonts w:ascii="宋体" w:hAnsi="宋体" w:eastAsia="宋体" w:cs="宋体"/>
          <w:color w:val="auto"/>
          <w:spacing w:val="4"/>
          <w:sz w:val="22"/>
          <w:szCs w:val="22"/>
          <w:highlight w:val="none"/>
        </w:rPr>
        <w:t>试验、</w:t>
      </w:r>
      <w:r>
        <w:rPr>
          <w:rFonts w:ascii="宋体" w:hAnsi="宋体" w:eastAsia="宋体" w:cs="宋体"/>
          <w:color w:val="auto"/>
          <w:sz w:val="22"/>
          <w:szCs w:val="22"/>
          <w:highlight w:val="none"/>
        </w:rPr>
        <w:t>抽检试验、验收试验等工作的采样和试验并出具结论报告</w:t>
      </w:r>
      <w:r>
        <w:rPr>
          <w:rFonts w:ascii="宋体" w:hAnsi="宋体" w:eastAsia="宋体" w:cs="宋体"/>
          <w:color w:val="auto"/>
          <w:spacing w:val="-1"/>
          <w:sz w:val="22"/>
          <w:szCs w:val="22"/>
          <w:highlight w:val="none"/>
        </w:rPr>
        <w:t>，并对其真实性负责。</w:t>
      </w:r>
    </w:p>
    <w:p w14:paraId="393BC752">
      <w:pPr>
        <w:spacing w:before="182" w:line="289" w:lineRule="auto"/>
        <w:ind w:right="114" w:firstLine="49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（2）应及时、准确地为委托人或监理工程师提供试验报告、委托人认为有必要的</w:t>
      </w:r>
      <w:r>
        <w:rPr>
          <w:rFonts w:ascii="宋体" w:hAnsi="宋体" w:eastAsia="宋体" w:cs="宋体"/>
          <w:color w:val="auto"/>
          <w:sz w:val="22"/>
          <w:szCs w:val="22"/>
          <w:highlight w:val="none"/>
        </w:rPr>
        <w:t>试验检测分析意见，为监理工程师进行工程质</w:t>
      </w:r>
      <w:r>
        <w:rPr>
          <w:rFonts w:ascii="宋体" w:hAnsi="宋体" w:eastAsia="宋体" w:cs="宋体"/>
          <w:color w:val="auto"/>
          <w:spacing w:val="-1"/>
          <w:sz w:val="22"/>
          <w:szCs w:val="22"/>
          <w:highlight w:val="none"/>
        </w:rPr>
        <w:t>量控制和评估提供依据。</w:t>
      </w:r>
    </w:p>
    <w:p w14:paraId="6D95A5CE">
      <w:pPr>
        <w:spacing w:before="181" w:line="290" w:lineRule="auto"/>
        <w:ind w:left="24" w:firstLine="47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（3）依据监理工程师的工作计划同步编写试验检测工作计划，并报</w:t>
      </w:r>
      <w:r>
        <w:rPr>
          <w:rFonts w:ascii="宋体" w:hAnsi="宋体" w:eastAsia="宋体" w:cs="宋体"/>
          <w:color w:val="auto"/>
          <w:spacing w:val="-3"/>
          <w:sz w:val="22"/>
          <w:szCs w:val="22"/>
          <w:highlight w:val="none"/>
        </w:rPr>
        <w:t>送委托人审批，</w:t>
      </w:r>
      <w:r>
        <w:rPr>
          <w:rFonts w:ascii="宋体" w:hAnsi="宋体" w:eastAsia="宋体" w:cs="宋体"/>
          <w:color w:val="auto"/>
          <w:spacing w:val="-2"/>
          <w:sz w:val="22"/>
          <w:szCs w:val="22"/>
          <w:highlight w:val="none"/>
        </w:rPr>
        <w:t>同时中心试验室应据此安排做好试验检测服务工作。</w:t>
      </w:r>
    </w:p>
    <w:p w14:paraId="2DE6CEBC">
      <w:pPr>
        <w:spacing w:before="179" w:line="290" w:lineRule="auto"/>
        <w:ind w:left="6" w:firstLine="49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（4）根据总监办编制、审批的监理实施细则，参照编制相应的试验</w:t>
      </w:r>
      <w:r>
        <w:rPr>
          <w:rFonts w:ascii="宋体" w:hAnsi="宋体" w:eastAsia="宋体" w:cs="宋体"/>
          <w:color w:val="auto"/>
          <w:spacing w:val="-3"/>
          <w:sz w:val="22"/>
          <w:szCs w:val="22"/>
          <w:highlight w:val="none"/>
        </w:rPr>
        <w:t>检测实施细则，并报送委托人。</w:t>
      </w:r>
    </w:p>
    <w:p w14:paraId="6EFB409D">
      <w:pPr>
        <w:spacing w:before="180" w:line="219" w:lineRule="auto"/>
        <w:ind w:left="49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（5）负责审批施工单位的试验检测工作计划，检查计划执行情况。</w:t>
      </w:r>
    </w:p>
    <w:p w14:paraId="0484A4D6">
      <w:pPr>
        <w:spacing w:before="183" w:line="219" w:lineRule="auto"/>
        <w:ind w:left="49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（6）参与委托人组织的施工单位工地试验室临时资质的考核和验收工作。</w:t>
      </w:r>
    </w:p>
    <w:p w14:paraId="605F95BF">
      <w:pPr>
        <w:spacing w:before="182" w:line="313" w:lineRule="auto"/>
        <w:ind w:left="1" w:right="114" w:firstLine="49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（7）执行监理工程师试验、检测工作指令，以《试验检测业务联系单》的形式传</w:t>
      </w:r>
      <w:r>
        <w:rPr>
          <w:rFonts w:ascii="宋体" w:hAnsi="宋体" w:eastAsia="宋体" w:cs="宋体"/>
          <w:color w:val="auto"/>
          <w:spacing w:val="5"/>
          <w:sz w:val="22"/>
          <w:szCs w:val="22"/>
          <w:highlight w:val="none"/>
        </w:rPr>
        <w:t>递，《试验检测业务联系单》发件人及接收人须签字，相关信息力求详细</w:t>
      </w:r>
      <w:r>
        <w:rPr>
          <w:rFonts w:ascii="宋体" w:hAnsi="宋体" w:eastAsia="宋体" w:cs="宋体"/>
          <w:color w:val="auto"/>
          <w:spacing w:val="4"/>
          <w:sz w:val="22"/>
          <w:szCs w:val="22"/>
          <w:highlight w:val="none"/>
        </w:rPr>
        <w:t>，具有可操</w:t>
      </w:r>
      <w:r>
        <w:rPr>
          <w:rFonts w:ascii="宋体" w:hAnsi="宋体" w:eastAsia="宋体" w:cs="宋体"/>
          <w:color w:val="auto"/>
          <w:spacing w:val="-4"/>
          <w:sz w:val="22"/>
          <w:szCs w:val="22"/>
          <w:highlight w:val="none"/>
        </w:rPr>
        <w:t>作性。</w:t>
      </w:r>
    </w:p>
    <w:p w14:paraId="644505B4">
      <w:pPr>
        <w:spacing w:before="179" w:line="289" w:lineRule="auto"/>
        <w:ind w:left="1" w:right="114" w:firstLine="49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（8）负责审查施工单位报审的原材料和混合料试验资料，对主要原材料、主要混</w:t>
      </w:r>
      <w:r>
        <w:rPr>
          <w:rFonts w:ascii="宋体" w:hAnsi="宋体" w:eastAsia="宋体" w:cs="宋体"/>
          <w:color w:val="auto"/>
          <w:sz w:val="22"/>
          <w:szCs w:val="22"/>
          <w:highlight w:val="none"/>
        </w:rPr>
        <w:t>合料的配合比和路基填料的击实试验进行验证试验，并根</w:t>
      </w:r>
      <w:r>
        <w:rPr>
          <w:rFonts w:ascii="宋体" w:hAnsi="宋体" w:eastAsia="宋体" w:cs="宋体"/>
          <w:color w:val="auto"/>
          <w:spacing w:val="-1"/>
          <w:sz w:val="22"/>
          <w:szCs w:val="22"/>
          <w:highlight w:val="none"/>
        </w:rPr>
        <w:t>据验证报告进行批复审批。</w:t>
      </w:r>
    </w:p>
    <w:p w14:paraId="1D3125D3">
      <w:pPr>
        <w:spacing w:before="183" w:line="219" w:lineRule="auto"/>
        <w:ind w:left="49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（9）负责审批施工单位的试验检测计划，检查计划执行情况。</w:t>
      </w:r>
    </w:p>
    <w:p w14:paraId="16CD567C">
      <w:pPr>
        <w:spacing w:before="181" w:line="313" w:lineRule="auto"/>
        <w:ind w:right="75" w:firstLine="49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（10）中心试验室应在施工单位自检合格基础上按最新《公路工程施工监理规范》</w:t>
      </w:r>
      <w:r>
        <w:rPr>
          <w:rFonts w:ascii="宋体" w:hAnsi="宋体" w:eastAsia="宋体" w:cs="宋体"/>
          <w:color w:val="auto"/>
          <w:spacing w:val="5"/>
          <w:sz w:val="22"/>
          <w:szCs w:val="22"/>
          <w:highlight w:val="none"/>
        </w:rPr>
        <w:t>相关规定进行抽检，并按相关附录格式填写抽检记录，并负责施工单位试验</w:t>
      </w:r>
      <w:r>
        <w:rPr>
          <w:rFonts w:ascii="宋体" w:hAnsi="宋体" w:eastAsia="宋体" w:cs="宋体"/>
          <w:color w:val="auto"/>
          <w:spacing w:val="4"/>
          <w:sz w:val="22"/>
          <w:szCs w:val="22"/>
          <w:highlight w:val="none"/>
        </w:rPr>
        <w:t>检测的见</w:t>
      </w:r>
      <w:r>
        <w:rPr>
          <w:rFonts w:ascii="宋体" w:hAnsi="宋体" w:eastAsia="宋体" w:cs="宋体"/>
          <w:color w:val="auto"/>
          <w:spacing w:val="-1"/>
          <w:sz w:val="22"/>
          <w:szCs w:val="22"/>
          <w:highlight w:val="none"/>
        </w:rPr>
        <w:t>证、旁站和相关资料的签认。</w:t>
      </w:r>
    </w:p>
    <w:p w14:paraId="5249F729">
      <w:pPr>
        <w:spacing w:before="182" w:line="324" w:lineRule="auto"/>
        <w:ind w:left="1" w:right="114" w:firstLine="495"/>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（11）如监理工程师有其他试验、检测工作指</w:t>
      </w:r>
      <w:r>
        <w:rPr>
          <w:rFonts w:ascii="宋体" w:hAnsi="宋体" w:eastAsia="宋体" w:cs="宋体"/>
          <w:color w:val="auto"/>
          <w:spacing w:val="4"/>
          <w:sz w:val="22"/>
          <w:szCs w:val="22"/>
          <w:highlight w:val="none"/>
        </w:rPr>
        <w:t>令，以《试验检测业务联系单》的</w:t>
      </w:r>
      <w:r>
        <w:rPr>
          <w:rFonts w:ascii="宋体" w:hAnsi="宋体" w:eastAsia="宋体" w:cs="宋体"/>
          <w:color w:val="auto"/>
          <w:spacing w:val="5"/>
          <w:sz w:val="22"/>
          <w:szCs w:val="22"/>
          <w:highlight w:val="none"/>
        </w:rPr>
        <w:t>形式传递，《试验检测业务联系单》发件人及接收人须签字，相关信息力</w:t>
      </w:r>
      <w:r>
        <w:rPr>
          <w:rFonts w:ascii="宋体" w:hAnsi="宋体" w:eastAsia="宋体" w:cs="宋体"/>
          <w:color w:val="auto"/>
          <w:spacing w:val="4"/>
          <w:sz w:val="22"/>
          <w:szCs w:val="22"/>
          <w:highlight w:val="none"/>
        </w:rPr>
        <w:t>求详细，具</w:t>
      </w:r>
      <w:r>
        <w:rPr>
          <w:rFonts w:ascii="宋体" w:hAnsi="宋体" w:eastAsia="宋体" w:cs="宋体"/>
          <w:color w:val="auto"/>
          <w:spacing w:val="-3"/>
          <w:sz w:val="22"/>
          <w:szCs w:val="22"/>
          <w:highlight w:val="none"/>
        </w:rPr>
        <w:t>有可操作性。</w:t>
      </w:r>
      <w:r>
        <w:rPr>
          <w:rFonts w:ascii="宋体" w:hAnsi="宋体" w:eastAsia="宋体" w:cs="宋体"/>
          <w:color w:val="auto"/>
          <w:spacing w:val="-66"/>
          <w:sz w:val="22"/>
          <w:szCs w:val="22"/>
          <w:highlight w:val="none"/>
        </w:rPr>
        <w:t xml:space="preserve"> </w:t>
      </w:r>
      <w:r>
        <w:rPr>
          <w:rFonts w:ascii="宋体" w:hAnsi="宋体" w:eastAsia="宋体" w:cs="宋体"/>
          <w:color w:val="auto"/>
          <w:spacing w:val="-3"/>
          <w:sz w:val="22"/>
          <w:szCs w:val="22"/>
          <w:highlight w:val="none"/>
        </w:rPr>
        <w:t>日常代表监理人及发包人的抽检工作以材料或试件抽样单形式进行实施，</w:t>
      </w:r>
      <w:r>
        <w:rPr>
          <w:rFonts w:ascii="宋体" w:hAnsi="宋体" w:eastAsia="宋体" w:cs="宋体"/>
          <w:color w:val="auto"/>
          <w:spacing w:val="-2"/>
          <w:sz w:val="22"/>
          <w:szCs w:val="22"/>
          <w:highlight w:val="none"/>
        </w:rPr>
        <w:t>具有追溯性。</w:t>
      </w:r>
    </w:p>
    <w:p w14:paraId="7F8C5C0E">
      <w:pPr>
        <w:spacing w:before="182" w:line="289" w:lineRule="auto"/>
        <w:ind w:right="172" w:firstLine="496"/>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（12）参加委托人、监理工程师主持召开的工地例会及相关质量专题分析会</w:t>
      </w:r>
      <w:r>
        <w:rPr>
          <w:rFonts w:ascii="宋体" w:hAnsi="宋体" w:eastAsia="宋体" w:cs="宋体"/>
          <w:color w:val="auto"/>
          <w:spacing w:val="2"/>
          <w:sz w:val="22"/>
          <w:szCs w:val="22"/>
          <w:highlight w:val="none"/>
        </w:rPr>
        <w:t>议，</w:t>
      </w:r>
      <w:r>
        <w:rPr>
          <w:rFonts w:ascii="宋体" w:hAnsi="宋体" w:eastAsia="宋体" w:cs="宋体"/>
          <w:color w:val="auto"/>
          <w:spacing w:val="-1"/>
          <w:sz w:val="22"/>
          <w:szCs w:val="22"/>
          <w:highlight w:val="none"/>
        </w:rPr>
        <w:t>通报有关工程质量检测实施情况和试验检测结果。</w:t>
      </w:r>
    </w:p>
    <w:p w14:paraId="5C594658">
      <w:pPr>
        <w:spacing w:before="181" w:line="289" w:lineRule="auto"/>
        <w:ind w:left="2" w:right="114" w:firstLine="494"/>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（13）协助委托人调查处理施工单位的质量问</w:t>
      </w:r>
      <w:r>
        <w:rPr>
          <w:rFonts w:ascii="宋体" w:hAnsi="宋体" w:eastAsia="宋体" w:cs="宋体"/>
          <w:color w:val="auto"/>
          <w:spacing w:val="4"/>
          <w:sz w:val="22"/>
          <w:szCs w:val="22"/>
          <w:highlight w:val="none"/>
        </w:rPr>
        <w:t>题、事故，并向监理工程师和委托</w:t>
      </w:r>
      <w:r>
        <w:rPr>
          <w:rFonts w:ascii="宋体" w:hAnsi="宋体" w:eastAsia="宋体" w:cs="宋体"/>
          <w:color w:val="auto"/>
          <w:spacing w:val="-1"/>
          <w:sz w:val="22"/>
          <w:szCs w:val="22"/>
          <w:highlight w:val="none"/>
        </w:rPr>
        <w:t>人报告在检测中发现的问题。</w:t>
      </w:r>
    </w:p>
    <w:p w14:paraId="011C6964">
      <w:pPr>
        <w:spacing w:before="182" w:line="289" w:lineRule="auto"/>
        <w:ind w:left="7" w:right="114" w:firstLine="489"/>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（14）参与监理工程师组织的工程质量评定工</w:t>
      </w:r>
      <w:r>
        <w:rPr>
          <w:rFonts w:ascii="宋体" w:hAnsi="宋体" w:eastAsia="宋体" w:cs="宋体"/>
          <w:color w:val="auto"/>
          <w:spacing w:val="4"/>
          <w:sz w:val="22"/>
          <w:szCs w:val="22"/>
          <w:highlight w:val="none"/>
        </w:rPr>
        <w:t>作，编制中心试验室试验检测工作</w:t>
      </w:r>
      <w:r>
        <w:rPr>
          <w:rFonts w:ascii="宋体" w:hAnsi="宋体" w:eastAsia="宋体" w:cs="宋体"/>
          <w:color w:val="auto"/>
          <w:spacing w:val="-4"/>
          <w:sz w:val="22"/>
          <w:szCs w:val="22"/>
          <w:highlight w:val="none"/>
        </w:rPr>
        <w:t>总结报告。</w:t>
      </w:r>
    </w:p>
    <w:p w14:paraId="45A9FD96">
      <w:pPr>
        <w:spacing w:line="289" w:lineRule="auto"/>
        <w:rPr>
          <w:rFonts w:ascii="宋体" w:hAnsi="宋体" w:eastAsia="宋体" w:cs="宋体"/>
          <w:color w:val="auto"/>
          <w:sz w:val="22"/>
          <w:szCs w:val="22"/>
          <w:highlight w:val="none"/>
        </w:rPr>
        <w:sectPr>
          <w:footerReference r:id="rId75" w:type="default"/>
          <w:pgSz w:w="11906" w:h="16839"/>
          <w:pgMar w:top="1405" w:right="1303" w:bottom="1297" w:left="1424" w:header="0" w:footer="1067" w:gutter="0"/>
          <w:pgNumType w:fmt="decimal"/>
          <w:cols w:space="720" w:num="1"/>
        </w:sectPr>
      </w:pPr>
    </w:p>
    <w:p w14:paraId="710EEE3E">
      <w:pPr>
        <w:spacing w:before="47" w:line="289" w:lineRule="auto"/>
        <w:ind w:left="1" w:firstLine="495"/>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（15）参加监理工程师组织的中间交工验收、</w:t>
      </w:r>
      <w:r>
        <w:rPr>
          <w:rFonts w:ascii="宋体" w:hAnsi="宋体" w:eastAsia="宋体" w:cs="宋体"/>
          <w:color w:val="auto"/>
          <w:spacing w:val="4"/>
          <w:sz w:val="22"/>
          <w:szCs w:val="22"/>
          <w:highlight w:val="none"/>
        </w:rPr>
        <w:t>委托人组织的交工验收和上级行业</w:t>
      </w:r>
      <w:r>
        <w:rPr>
          <w:rFonts w:ascii="宋体" w:hAnsi="宋体" w:eastAsia="宋体" w:cs="宋体"/>
          <w:color w:val="auto"/>
          <w:spacing w:val="-1"/>
          <w:sz w:val="22"/>
          <w:szCs w:val="22"/>
          <w:highlight w:val="none"/>
        </w:rPr>
        <w:t>质监主管部门组织的检查及竣工验收。</w:t>
      </w:r>
    </w:p>
    <w:p w14:paraId="056F82D9">
      <w:pPr>
        <w:spacing w:before="183" w:line="219" w:lineRule="auto"/>
        <w:ind w:left="49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（16）根据合同文件规定，承担委托人授予的其他权利和义务。</w:t>
      </w:r>
    </w:p>
    <w:p w14:paraId="05A92988">
      <w:pPr>
        <w:spacing w:before="181" w:line="359" w:lineRule="auto"/>
        <w:ind w:left="2" w:firstLine="495"/>
        <w:jc w:val="both"/>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13.6.4 如监理人与中心试验室在试验检测工作界面存在冲突或模糊，或根据工程</w:t>
      </w:r>
      <w:r>
        <w:rPr>
          <w:rFonts w:ascii="宋体" w:hAnsi="宋体" w:eastAsia="宋体" w:cs="宋体"/>
          <w:color w:val="auto"/>
          <w:spacing w:val="5"/>
          <w:sz w:val="22"/>
          <w:szCs w:val="22"/>
          <w:highlight w:val="none"/>
        </w:rPr>
        <w:t>实际需要调整工作界面时，委托人将予以进一步明确或重新调整工作界</w:t>
      </w:r>
      <w:r>
        <w:rPr>
          <w:rFonts w:ascii="宋体" w:hAnsi="宋体" w:eastAsia="宋体" w:cs="宋体"/>
          <w:color w:val="auto"/>
          <w:spacing w:val="4"/>
          <w:sz w:val="22"/>
          <w:szCs w:val="22"/>
          <w:highlight w:val="none"/>
        </w:rPr>
        <w:t>面划分，监理</w:t>
      </w:r>
      <w:r>
        <w:rPr>
          <w:rFonts w:ascii="宋体" w:hAnsi="宋体" w:eastAsia="宋体" w:cs="宋体"/>
          <w:color w:val="auto"/>
          <w:spacing w:val="-1"/>
          <w:sz w:val="22"/>
          <w:szCs w:val="22"/>
          <w:highlight w:val="none"/>
        </w:rPr>
        <w:t>人与中心试验室均须无条件服从委托人的协调和安排。</w:t>
      </w:r>
    </w:p>
    <w:p w14:paraId="0715C749">
      <w:pPr>
        <w:spacing w:before="1" w:line="288" w:lineRule="auto"/>
        <w:ind w:left="4" w:firstLine="49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13.7</w:t>
      </w:r>
      <w:r>
        <w:rPr>
          <w:rFonts w:ascii="宋体" w:hAnsi="宋体" w:eastAsia="宋体" w:cs="宋体"/>
          <w:color w:val="auto"/>
          <w:spacing w:val="-31"/>
          <w:sz w:val="22"/>
          <w:szCs w:val="22"/>
          <w:highlight w:val="none"/>
        </w:rPr>
        <w:t xml:space="preserve"> </w:t>
      </w:r>
      <w:r>
        <w:rPr>
          <w:rFonts w:ascii="宋体" w:hAnsi="宋体" w:eastAsia="宋体" w:cs="宋体"/>
          <w:color w:val="auto"/>
          <w:spacing w:val="2"/>
          <w:sz w:val="22"/>
          <w:szCs w:val="22"/>
          <w:highlight w:val="none"/>
        </w:rPr>
        <w:t>监理人应根据本项目施工图纸及合同等相关要求，对承包人的线外工程及取</w:t>
      </w:r>
      <w:r>
        <w:rPr>
          <w:rFonts w:ascii="宋体" w:hAnsi="宋体" w:eastAsia="宋体" w:cs="宋体"/>
          <w:color w:val="auto"/>
          <w:spacing w:val="-2"/>
          <w:sz w:val="22"/>
          <w:szCs w:val="22"/>
          <w:highlight w:val="none"/>
        </w:rPr>
        <w:t>弃土场进行监理。</w:t>
      </w:r>
    </w:p>
    <w:p w14:paraId="5DD9A855">
      <w:pPr>
        <w:spacing w:before="183" w:line="219" w:lineRule="auto"/>
        <w:ind w:left="498"/>
        <w:rPr>
          <w:rFonts w:ascii="宋体" w:hAnsi="宋体" w:eastAsia="宋体" w:cs="宋体"/>
          <w:color w:val="auto"/>
          <w:sz w:val="22"/>
          <w:szCs w:val="22"/>
          <w:highlight w:val="none"/>
        </w:rPr>
      </w:pPr>
      <w:r>
        <w:rPr>
          <w:rFonts w:ascii="宋体" w:hAnsi="宋体" w:eastAsia="宋体" w:cs="宋体"/>
          <w:b/>
          <w:bCs/>
          <w:color w:val="auto"/>
          <w:spacing w:val="-5"/>
          <w:sz w:val="22"/>
          <w:szCs w:val="22"/>
          <w:highlight w:val="none"/>
        </w:rPr>
        <w:t>13.8</w:t>
      </w:r>
      <w:r>
        <w:rPr>
          <w:rFonts w:ascii="宋体" w:hAnsi="宋体" w:eastAsia="宋体" w:cs="宋体"/>
          <w:color w:val="auto"/>
          <w:spacing w:val="-37"/>
          <w:sz w:val="22"/>
          <w:szCs w:val="22"/>
          <w:highlight w:val="none"/>
        </w:rPr>
        <w:t xml:space="preserve"> </w:t>
      </w:r>
      <w:r>
        <w:rPr>
          <w:rFonts w:ascii="宋体" w:hAnsi="宋体" w:eastAsia="宋体" w:cs="宋体"/>
          <w:b/>
          <w:bCs/>
          <w:color w:val="auto"/>
          <w:spacing w:val="-5"/>
          <w:sz w:val="22"/>
          <w:szCs w:val="22"/>
          <w:highlight w:val="none"/>
        </w:rPr>
        <w:t>关于过程结算的补充条款</w:t>
      </w:r>
    </w:p>
    <w:p w14:paraId="0C61A72B">
      <w:pPr>
        <w:spacing w:before="183" w:line="312" w:lineRule="auto"/>
        <w:ind w:firstLine="49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（1）按照《广东省交通运输厅关于印发广东省公路建设项目过程结算工作指导意</w:t>
      </w:r>
      <w:r>
        <w:rPr>
          <w:rFonts w:ascii="宋体" w:hAnsi="宋体" w:eastAsia="宋体" w:cs="宋体"/>
          <w:color w:val="auto"/>
          <w:spacing w:val="-2"/>
          <w:sz w:val="22"/>
          <w:szCs w:val="22"/>
          <w:highlight w:val="none"/>
        </w:rPr>
        <w:t>见的通知》</w:t>
      </w:r>
      <w:r>
        <w:rPr>
          <w:rFonts w:ascii="宋体" w:hAnsi="宋体" w:eastAsia="宋体" w:cs="宋体"/>
          <w:color w:val="auto"/>
          <w:spacing w:val="71"/>
          <w:sz w:val="22"/>
          <w:szCs w:val="22"/>
          <w:highlight w:val="none"/>
        </w:rPr>
        <w:t xml:space="preserve"> </w:t>
      </w:r>
      <w:r>
        <w:rPr>
          <w:rFonts w:ascii="宋体" w:hAnsi="宋体" w:eastAsia="宋体" w:cs="宋体"/>
          <w:color w:val="auto"/>
          <w:spacing w:val="-2"/>
          <w:sz w:val="22"/>
          <w:szCs w:val="22"/>
          <w:highlight w:val="none"/>
        </w:rPr>
        <w:t>(粤交基 〔2022〕488</w:t>
      </w:r>
      <w:r>
        <w:rPr>
          <w:rFonts w:ascii="宋体" w:hAnsi="宋体" w:eastAsia="宋体" w:cs="宋体"/>
          <w:color w:val="auto"/>
          <w:spacing w:val="-45"/>
          <w:sz w:val="22"/>
          <w:szCs w:val="22"/>
          <w:highlight w:val="none"/>
        </w:rPr>
        <w:t xml:space="preserve"> </w:t>
      </w:r>
      <w:r>
        <w:rPr>
          <w:rFonts w:ascii="宋体" w:hAnsi="宋体" w:eastAsia="宋体" w:cs="宋体"/>
          <w:color w:val="auto"/>
          <w:spacing w:val="-2"/>
          <w:sz w:val="22"/>
          <w:szCs w:val="22"/>
          <w:highlight w:val="none"/>
        </w:rPr>
        <w:t>号)的规定，委托人根据实际情况开展监理费用的过</w:t>
      </w:r>
      <w:r>
        <w:rPr>
          <w:rFonts w:ascii="宋体" w:hAnsi="宋体" w:eastAsia="宋体" w:cs="宋体"/>
          <w:color w:val="auto"/>
          <w:spacing w:val="-1"/>
          <w:sz w:val="22"/>
          <w:szCs w:val="22"/>
          <w:highlight w:val="none"/>
        </w:rPr>
        <w:t>程结算时，监理人应无条件配合。</w:t>
      </w:r>
    </w:p>
    <w:p w14:paraId="5F5FC4EF">
      <w:pPr>
        <w:spacing w:before="184" w:line="312" w:lineRule="auto"/>
        <w:ind w:firstLine="49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（2）施工过程中，监理人应督促各施工单位按广东省《公路工程造价管理指南》</w:t>
      </w:r>
      <w:r>
        <w:rPr>
          <w:rFonts w:ascii="宋体" w:hAnsi="宋体" w:eastAsia="宋体" w:cs="宋体"/>
          <w:color w:val="auto"/>
          <w:spacing w:val="5"/>
          <w:sz w:val="22"/>
          <w:szCs w:val="22"/>
          <w:highlight w:val="none"/>
        </w:rPr>
        <w:t>及施工合同要求编制过程结算文件，并对其编制的过程结算、竣工图进行初审</w:t>
      </w:r>
      <w:r>
        <w:rPr>
          <w:rFonts w:ascii="宋体" w:hAnsi="宋体" w:eastAsia="宋体" w:cs="宋体"/>
          <w:color w:val="auto"/>
          <w:spacing w:val="4"/>
          <w:sz w:val="22"/>
          <w:szCs w:val="22"/>
          <w:highlight w:val="none"/>
        </w:rPr>
        <w:t>，构成</w:t>
      </w:r>
      <w:r>
        <w:rPr>
          <w:rFonts w:ascii="宋体" w:hAnsi="宋体" w:eastAsia="宋体" w:cs="宋体"/>
          <w:color w:val="auto"/>
          <w:spacing w:val="-1"/>
          <w:sz w:val="22"/>
          <w:szCs w:val="22"/>
          <w:highlight w:val="none"/>
        </w:rPr>
        <w:t>公路建设项目竣工档案资料的组成部分。</w:t>
      </w:r>
    </w:p>
    <w:p w14:paraId="264D09CB">
      <w:pPr>
        <w:spacing w:before="184" w:line="219" w:lineRule="auto"/>
        <w:ind w:left="498"/>
        <w:rPr>
          <w:rFonts w:ascii="宋体" w:hAnsi="宋体" w:eastAsia="宋体" w:cs="宋体"/>
          <w:color w:val="auto"/>
          <w:sz w:val="22"/>
          <w:szCs w:val="22"/>
          <w:highlight w:val="none"/>
        </w:rPr>
      </w:pPr>
      <w:r>
        <w:rPr>
          <w:rFonts w:ascii="宋体" w:hAnsi="宋体" w:eastAsia="宋体" w:cs="宋体"/>
          <w:b/>
          <w:bCs/>
          <w:color w:val="auto"/>
          <w:spacing w:val="-7"/>
          <w:sz w:val="22"/>
          <w:szCs w:val="22"/>
          <w:highlight w:val="none"/>
        </w:rPr>
        <w:t>13.9</w:t>
      </w:r>
      <w:r>
        <w:rPr>
          <w:rFonts w:ascii="宋体" w:hAnsi="宋体" w:eastAsia="宋体" w:cs="宋体"/>
          <w:color w:val="auto"/>
          <w:spacing w:val="-46"/>
          <w:sz w:val="22"/>
          <w:szCs w:val="22"/>
          <w:highlight w:val="none"/>
        </w:rPr>
        <w:t xml:space="preserve"> </w:t>
      </w:r>
      <w:r>
        <w:rPr>
          <w:rFonts w:ascii="宋体" w:hAnsi="宋体" w:eastAsia="宋体" w:cs="宋体"/>
          <w:b/>
          <w:bCs/>
          <w:color w:val="auto"/>
          <w:spacing w:val="-7"/>
          <w:sz w:val="22"/>
          <w:szCs w:val="22"/>
          <w:highlight w:val="none"/>
        </w:rPr>
        <w:t>监理改革</w:t>
      </w:r>
    </w:p>
    <w:p w14:paraId="177B4C1D">
      <w:pPr>
        <w:spacing w:before="178" w:line="313" w:lineRule="auto"/>
        <w:ind w:firstLine="49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13.9.1 监理定位。监理单位是受建设单位委托的受托方，在项目管理中不作为独</w:t>
      </w:r>
      <w:r>
        <w:rPr>
          <w:rFonts w:ascii="宋体" w:hAnsi="宋体" w:eastAsia="宋体" w:cs="宋体"/>
          <w:color w:val="auto"/>
          <w:spacing w:val="5"/>
          <w:sz w:val="22"/>
          <w:szCs w:val="22"/>
          <w:highlight w:val="none"/>
        </w:rPr>
        <w:t>立的第三方，是建设单位的协助管理方，应承担监理主体责任，按合同约定</w:t>
      </w:r>
      <w:r>
        <w:rPr>
          <w:rFonts w:ascii="宋体" w:hAnsi="宋体" w:eastAsia="宋体" w:cs="宋体"/>
          <w:color w:val="auto"/>
          <w:spacing w:val="4"/>
          <w:sz w:val="22"/>
          <w:szCs w:val="22"/>
          <w:highlight w:val="none"/>
        </w:rPr>
        <w:t>提供监理</w:t>
      </w:r>
      <w:r>
        <w:rPr>
          <w:rFonts w:ascii="宋体" w:hAnsi="宋体" w:eastAsia="宋体" w:cs="宋体"/>
          <w:color w:val="auto"/>
          <w:spacing w:val="-1"/>
          <w:sz w:val="22"/>
          <w:szCs w:val="22"/>
          <w:highlight w:val="none"/>
        </w:rPr>
        <w:t>服务，支撑建设单位落实首要责任与施工单位落实施工主体责任。</w:t>
      </w:r>
    </w:p>
    <w:p w14:paraId="42BC8D0F">
      <w:pPr>
        <w:spacing w:before="183" w:line="221" w:lineRule="auto"/>
        <w:ind w:left="49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13.9.2</w:t>
      </w:r>
      <w:r>
        <w:rPr>
          <w:rFonts w:ascii="宋体" w:hAnsi="宋体" w:eastAsia="宋体" w:cs="宋体"/>
          <w:color w:val="auto"/>
          <w:spacing w:val="-49"/>
          <w:sz w:val="22"/>
          <w:szCs w:val="22"/>
          <w:highlight w:val="none"/>
        </w:rPr>
        <w:t xml:space="preserve"> </w:t>
      </w:r>
      <w:r>
        <w:rPr>
          <w:rFonts w:ascii="宋体" w:hAnsi="宋体" w:eastAsia="宋体" w:cs="宋体"/>
          <w:color w:val="auto"/>
          <w:spacing w:val="-4"/>
          <w:sz w:val="22"/>
          <w:szCs w:val="22"/>
          <w:highlight w:val="none"/>
        </w:rPr>
        <w:t>监理职责</w:t>
      </w:r>
    </w:p>
    <w:p w14:paraId="4DCD7B37">
      <w:pPr>
        <w:spacing w:before="180" w:line="359" w:lineRule="auto"/>
        <w:ind w:left="1" w:firstLine="480"/>
        <w:jc w:val="both"/>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监理机构受建设单位委托，按合同约定对公路工程施工质量、安全、环（水）保等实施监管，协助建设单位开展费用、进度、合同、信息管理和协调等工</w:t>
      </w:r>
      <w:r>
        <w:rPr>
          <w:rFonts w:ascii="宋体" w:hAnsi="宋体" w:eastAsia="宋体" w:cs="宋体"/>
          <w:color w:val="auto"/>
          <w:spacing w:val="4"/>
          <w:sz w:val="22"/>
          <w:szCs w:val="22"/>
          <w:highlight w:val="none"/>
        </w:rPr>
        <w:t>作。监理机</w:t>
      </w:r>
      <w:r>
        <w:rPr>
          <w:rFonts w:ascii="宋体" w:hAnsi="宋体" w:eastAsia="宋体" w:cs="宋体"/>
          <w:color w:val="auto"/>
          <w:spacing w:val="5"/>
          <w:sz w:val="22"/>
          <w:szCs w:val="22"/>
          <w:highlight w:val="none"/>
        </w:rPr>
        <w:t>构应定期评价施工单位的质量、安全、环（水）保管理体系运行情况，适</w:t>
      </w:r>
      <w:r>
        <w:rPr>
          <w:rFonts w:ascii="宋体" w:hAnsi="宋体" w:eastAsia="宋体" w:cs="宋体"/>
          <w:color w:val="auto"/>
          <w:spacing w:val="4"/>
          <w:sz w:val="22"/>
          <w:szCs w:val="22"/>
          <w:highlight w:val="none"/>
        </w:rPr>
        <w:t>时开展差异</w:t>
      </w:r>
      <w:r>
        <w:rPr>
          <w:rFonts w:ascii="宋体" w:hAnsi="宋体" w:eastAsia="宋体" w:cs="宋体"/>
          <w:color w:val="auto"/>
          <w:spacing w:val="5"/>
          <w:sz w:val="22"/>
          <w:szCs w:val="22"/>
          <w:highlight w:val="none"/>
        </w:rPr>
        <w:t>化管理等监理工作，与建设单位共同推进项目建设的管理工作。在施工过</w:t>
      </w:r>
      <w:r>
        <w:rPr>
          <w:rFonts w:ascii="宋体" w:hAnsi="宋体" w:eastAsia="宋体" w:cs="宋体"/>
          <w:color w:val="auto"/>
          <w:spacing w:val="4"/>
          <w:sz w:val="22"/>
          <w:szCs w:val="22"/>
          <w:highlight w:val="none"/>
        </w:rPr>
        <w:t>程中定期或</w:t>
      </w:r>
      <w:r>
        <w:rPr>
          <w:rFonts w:ascii="宋体" w:hAnsi="宋体" w:eastAsia="宋体" w:cs="宋体"/>
          <w:color w:val="auto"/>
          <w:spacing w:val="5"/>
          <w:sz w:val="22"/>
          <w:szCs w:val="22"/>
          <w:highlight w:val="none"/>
        </w:rPr>
        <w:t>不定期对施工单位的档案的及时性、完整性、准确性进行监督、检查。公</w:t>
      </w:r>
      <w:r>
        <w:rPr>
          <w:rFonts w:ascii="宋体" w:hAnsi="宋体" w:eastAsia="宋体" w:cs="宋体"/>
          <w:color w:val="auto"/>
          <w:spacing w:val="4"/>
          <w:sz w:val="22"/>
          <w:szCs w:val="22"/>
          <w:highlight w:val="none"/>
        </w:rPr>
        <w:t>路工程监理</w:t>
      </w:r>
      <w:r>
        <w:rPr>
          <w:rFonts w:ascii="宋体" w:hAnsi="宋体" w:eastAsia="宋体" w:cs="宋体"/>
          <w:color w:val="auto"/>
          <w:spacing w:val="5"/>
          <w:sz w:val="22"/>
          <w:szCs w:val="22"/>
          <w:highlight w:val="none"/>
        </w:rPr>
        <w:t>实行总监负责制，中心试验室单独招标时，总监和中心试验室主任应分别</w:t>
      </w:r>
      <w:r>
        <w:rPr>
          <w:rFonts w:ascii="宋体" w:hAnsi="宋体" w:eastAsia="宋体" w:cs="宋体"/>
          <w:color w:val="auto"/>
          <w:spacing w:val="4"/>
          <w:sz w:val="22"/>
          <w:szCs w:val="22"/>
          <w:highlight w:val="none"/>
        </w:rPr>
        <w:t>对合同授权</w:t>
      </w:r>
      <w:r>
        <w:rPr>
          <w:rFonts w:ascii="宋体" w:hAnsi="宋体" w:eastAsia="宋体" w:cs="宋体"/>
          <w:color w:val="auto"/>
          <w:spacing w:val="-1"/>
          <w:sz w:val="22"/>
          <w:szCs w:val="22"/>
          <w:highlight w:val="none"/>
        </w:rPr>
        <w:t>范围内的监理工作负责。</w:t>
      </w:r>
    </w:p>
    <w:p w14:paraId="3238C10D">
      <w:pPr>
        <w:spacing w:before="1" w:line="219" w:lineRule="auto"/>
        <w:ind w:left="49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13.9.3</w:t>
      </w:r>
      <w:r>
        <w:rPr>
          <w:rFonts w:ascii="宋体" w:hAnsi="宋体" w:eastAsia="宋体" w:cs="宋体"/>
          <w:color w:val="auto"/>
          <w:spacing w:val="-41"/>
          <w:sz w:val="22"/>
          <w:szCs w:val="22"/>
          <w:highlight w:val="none"/>
        </w:rPr>
        <w:t xml:space="preserve"> </w:t>
      </w:r>
      <w:r>
        <w:rPr>
          <w:rFonts w:ascii="宋体" w:hAnsi="宋体" w:eastAsia="宋体" w:cs="宋体"/>
          <w:color w:val="auto"/>
          <w:spacing w:val="-4"/>
          <w:sz w:val="22"/>
          <w:szCs w:val="22"/>
          <w:highlight w:val="none"/>
        </w:rPr>
        <w:t>分包管理职责</w:t>
      </w:r>
    </w:p>
    <w:p w14:paraId="12453BA0">
      <w:pPr>
        <w:spacing w:before="180" w:line="362" w:lineRule="auto"/>
        <w:ind w:left="3" w:firstLine="47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监理人按照《广东省交通运输厅关于印发《广东省交通</w:t>
      </w:r>
      <w:r>
        <w:rPr>
          <w:rFonts w:ascii="宋体" w:hAnsi="宋体" w:eastAsia="宋体" w:cs="宋体"/>
          <w:color w:val="auto"/>
          <w:spacing w:val="1"/>
          <w:sz w:val="22"/>
          <w:szCs w:val="22"/>
          <w:highlight w:val="none"/>
        </w:rPr>
        <w:t>运输厅&lt;关于公路工程施工</w:t>
      </w:r>
      <w:r>
        <w:rPr>
          <w:rFonts w:ascii="宋体" w:hAnsi="宋体" w:eastAsia="宋体" w:cs="宋体"/>
          <w:color w:val="auto"/>
          <w:spacing w:val="2"/>
          <w:sz w:val="22"/>
          <w:szCs w:val="22"/>
          <w:highlight w:val="none"/>
        </w:rPr>
        <w:t>分包管理实施细则&gt;的通知》（粤交〔2025〕1</w:t>
      </w:r>
      <w:r>
        <w:rPr>
          <w:rFonts w:ascii="宋体" w:hAnsi="宋体" w:eastAsia="宋体" w:cs="宋体"/>
          <w:color w:val="auto"/>
          <w:spacing w:val="-24"/>
          <w:sz w:val="22"/>
          <w:szCs w:val="22"/>
          <w:highlight w:val="none"/>
        </w:rPr>
        <w:t xml:space="preserve"> </w:t>
      </w:r>
      <w:r>
        <w:rPr>
          <w:rFonts w:ascii="宋体" w:hAnsi="宋体" w:eastAsia="宋体" w:cs="宋体"/>
          <w:color w:val="auto"/>
          <w:spacing w:val="2"/>
          <w:sz w:val="22"/>
          <w:szCs w:val="22"/>
          <w:highlight w:val="none"/>
        </w:rPr>
        <w:t>号）文件的相关管理规定和合同约定，</w:t>
      </w:r>
      <w:r>
        <w:rPr>
          <w:rFonts w:ascii="宋体" w:hAnsi="宋体" w:eastAsia="宋体" w:cs="宋体"/>
          <w:color w:val="auto"/>
          <w:spacing w:val="5"/>
          <w:sz w:val="22"/>
          <w:szCs w:val="22"/>
          <w:highlight w:val="none"/>
        </w:rPr>
        <w:t>负责对所监理合同段的施工分包活动的监理管理，发现</w:t>
      </w:r>
      <w:r>
        <w:rPr>
          <w:rFonts w:ascii="宋体" w:hAnsi="宋体" w:eastAsia="宋体" w:cs="宋体"/>
          <w:color w:val="auto"/>
          <w:spacing w:val="4"/>
          <w:sz w:val="22"/>
          <w:szCs w:val="22"/>
          <w:highlight w:val="none"/>
        </w:rPr>
        <w:t>承包人转包或违法分包行为应</w:t>
      </w:r>
      <w:r>
        <w:rPr>
          <w:rFonts w:ascii="宋体" w:hAnsi="宋体" w:eastAsia="宋体" w:cs="宋体"/>
          <w:color w:val="auto"/>
          <w:spacing w:val="-1"/>
          <w:sz w:val="22"/>
          <w:szCs w:val="22"/>
          <w:highlight w:val="none"/>
        </w:rPr>
        <w:t>及时制止，并通知委托人。监理人在收到承包人提</w:t>
      </w:r>
      <w:r>
        <w:rPr>
          <w:rFonts w:ascii="宋体" w:hAnsi="宋体" w:eastAsia="宋体" w:cs="宋体"/>
          <w:color w:val="auto"/>
          <w:spacing w:val="-2"/>
          <w:sz w:val="22"/>
          <w:szCs w:val="22"/>
          <w:highlight w:val="none"/>
        </w:rPr>
        <w:t>交的分包合同申请后，5 日内对拟签</w:t>
      </w:r>
      <w:r>
        <w:rPr>
          <w:rFonts w:ascii="宋体" w:hAnsi="宋体" w:eastAsia="宋体" w:cs="宋体"/>
          <w:color w:val="auto"/>
          <w:spacing w:val="5"/>
          <w:sz w:val="22"/>
          <w:szCs w:val="22"/>
          <w:highlight w:val="none"/>
        </w:rPr>
        <w:t>订的分包合同内容进行审查，并提出审查意见；分包工程的施工方案需经承包</w:t>
      </w:r>
      <w:r>
        <w:rPr>
          <w:rFonts w:ascii="宋体" w:hAnsi="宋体" w:eastAsia="宋体" w:cs="宋体"/>
          <w:color w:val="auto"/>
          <w:spacing w:val="4"/>
          <w:sz w:val="22"/>
          <w:szCs w:val="22"/>
          <w:highlight w:val="none"/>
        </w:rPr>
        <w:t>人审查</w:t>
      </w:r>
      <w:r>
        <w:rPr>
          <w:rFonts w:ascii="宋体" w:hAnsi="宋体" w:eastAsia="宋体" w:cs="宋体"/>
          <w:color w:val="auto"/>
          <w:spacing w:val="5"/>
          <w:sz w:val="22"/>
          <w:szCs w:val="22"/>
          <w:highlight w:val="none"/>
        </w:rPr>
        <w:t>同意后，报总监办书面同意后方可实施，监理人应配合委托人对承包人（分包</w:t>
      </w:r>
      <w:r>
        <w:rPr>
          <w:rFonts w:ascii="宋体" w:hAnsi="宋体" w:eastAsia="宋体" w:cs="宋体"/>
          <w:color w:val="auto"/>
          <w:spacing w:val="4"/>
          <w:sz w:val="22"/>
          <w:szCs w:val="22"/>
          <w:highlight w:val="none"/>
        </w:rPr>
        <w:t>人）的</w:t>
      </w:r>
      <w:r>
        <w:rPr>
          <w:rFonts w:ascii="宋体" w:hAnsi="宋体" w:eastAsia="宋体" w:cs="宋体"/>
          <w:color w:val="auto"/>
          <w:spacing w:val="6"/>
          <w:sz w:val="22"/>
          <w:szCs w:val="22"/>
          <w:highlight w:val="none"/>
        </w:rPr>
        <w:t>劳务合作情况进行监督检查；监理机构需核查劳务合作企业提供的特种设备“</w:t>
      </w:r>
      <w:r>
        <w:rPr>
          <w:rFonts w:ascii="宋体" w:hAnsi="宋体" w:eastAsia="宋体" w:cs="宋体"/>
          <w:color w:val="auto"/>
          <w:spacing w:val="-82"/>
          <w:sz w:val="22"/>
          <w:szCs w:val="22"/>
          <w:highlight w:val="none"/>
        </w:rPr>
        <w:t xml:space="preserve"> </w:t>
      </w:r>
      <w:r>
        <w:rPr>
          <w:rFonts w:ascii="宋体" w:hAnsi="宋体" w:eastAsia="宋体" w:cs="宋体"/>
          <w:color w:val="auto"/>
          <w:spacing w:val="6"/>
          <w:sz w:val="22"/>
          <w:szCs w:val="22"/>
          <w:highlight w:val="none"/>
        </w:rPr>
        <w:t>四证</w:t>
      </w:r>
      <w:r>
        <w:rPr>
          <w:rFonts w:ascii="宋体" w:hAnsi="宋体" w:eastAsia="宋体" w:cs="宋体"/>
          <w:color w:val="auto"/>
          <w:spacing w:val="-83"/>
          <w:sz w:val="22"/>
          <w:szCs w:val="22"/>
          <w:highlight w:val="none"/>
        </w:rPr>
        <w:t xml:space="preserve"> </w:t>
      </w:r>
      <w:r>
        <w:rPr>
          <w:rFonts w:ascii="宋体" w:hAnsi="宋体" w:eastAsia="宋体" w:cs="宋体"/>
          <w:color w:val="auto"/>
          <w:spacing w:val="6"/>
          <w:sz w:val="22"/>
          <w:szCs w:val="22"/>
          <w:highlight w:val="none"/>
        </w:rPr>
        <w:t>”</w:t>
      </w:r>
      <w:r>
        <w:rPr>
          <w:rFonts w:ascii="宋体" w:hAnsi="宋体" w:eastAsia="宋体" w:cs="宋体"/>
          <w:color w:val="auto"/>
          <w:sz w:val="22"/>
          <w:szCs w:val="22"/>
          <w:highlight w:val="none"/>
        </w:rPr>
        <w:t xml:space="preserve"> </w:t>
      </w:r>
      <w:r>
        <w:rPr>
          <w:rFonts w:ascii="宋体" w:hAnsi="宋体" w:eastAsia="宋体" w:cs="宋体"/>
          <w:color w:val="auto"/>
          <w:spacing w:val="4"/>
          <w:sz w:val="22"/>
          <w:szCs w:val="22"/>
          <w:highlight w:val="none"/>
        </w:rPr>
        <w:t>（出厂合格证、检验合格证、检验报告、使用登记证及操作人员证书</w:t>
      </w:r>
      <w:r>
        <w:rPr>
          <w:rFonts w:ascii="宋体" w:hAnsi="宋体" w:eastAsia="宋体" w:cs="宋体"/>
          <w:color w:val="auto"/>
          <w:spacing w:val="21"/>
          <w:sz w:val="22"/>
          <w:szCs w:val="22"/>
          <w:highlight w:val="none"/>
        </w:rPr>
        <w:t>），</w:t>
      </w:r>
      <w:r>
        <w:rPr>
          <w:rFonts w:ascii="宋体" w:hAnsi="宋体" w:eastAsia="宋体" w:cs="宋体"/>
          <w:color w:val="auto"/>
          <w:spacing w:val="4"/>
          <w:sz w:val="22"/>
          <w:szCs w:val="22"/>
          <w:highlight w:val="none"/>
        </w:rPr>
        <w:t>通过后方可</w:t>
      </w:r>
      <w:r>
        <w:rPr>
          <w:rFonts w:ascii="宋体" w:hAnsi="宋体" w:eastAsia="宋体" w:cs="宋体"/>
          <w:color w:val="auto"/>
          <w:spacing w:val="-2"/>
          <w:sz w:val="22"/>
          <w:szCs w:val="22"/>
          <w:highlight w:val="none"/>
        </w:rPr>
        <w:t>允许使用"。</w:t>
      </w:r>
    </w:p>
    <w:p w14:paraId="0CBF7C52">
      <w:pPr>
        <w:spacing w:line="218" w:lineRule="auto"/>
        <w:ind w:left="49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13.9.4</w:t>
      </w:r>
      <w:r>
        <w:rPr>
          <w:rFonts w:ascii="宋体" w:hAnsi="宋体" w:eastAsia="宋体" w:cs="宋体"/>
          <w:color w:val="auto"/>
          <w:spacing w:val="-41"/>
          <w:sz w:val="22"/>
          <w:szCs w:val="22"/>
          <w:highlight w:val="none"/>
        </w:rPr>
        <w:t xml:space="preserve"> </w:t>
      </w:r>
      <w:r>
        <w:rPr>
          <w:rFonts w:ascii="宋体" w:hAnsi="宋体" w:eastAsia="宋体" w:cs="宋体"/>
          <w:color w:val="auto"/>
          <w:spacing w:val="-4"/>
          <w:sz w:val="22"/>
          <w:szCs w:val="22"/>
          <w:highlight w:val="none"/>
        </w:rPr>
        <w:t>监理工作机制</w:t>
      </w:r>
    </w:p>
    <w:p w14:paraId="2C7E6917">
      <w:pPr>
        <w:spacing w:before="183" w:line="220" w:lineRule="auto"/>
        <w:ind w:left="498"/>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13.9.4.1</w:t>
      </w:r>
      <w:r>
        <w:rPr>
          <w:rFonts w:ascii="宋体" w:hAnsi="宋体" w:eastAsia="宋体" w:cs="宋体"/>
          <w:color w:val="auto"/>
          <w:spacing w:val="-44"/>
          <w:sz w:val="22"/>
          <w:szCs w:val="22"/>
          <w:highlight w:val="none"/>
        </w:rPr>
        <w:t xml:space="preserve"> </w:t>
      </w:r>
      <w:r>
        <w:rPr>
          <w:rFonts w:ascii="宋体" w:hAnsi="宋体" w:eastAsia="宋体" w:cs="宋体"/>
          <w:color w:val="auto"/>
          <w:spacing w:val="-3"/>
          <w:sz w:val="22"/>
          <w:szCs w:val="22"/>
          <w:highlight w:val="none"/>
        </w:rPr>
        <w:t>监理工作的重点</w:t>
      </w:r>
    </w:p>
    <w:p w14:paraId="275F0530">
      <w:pPr>
        <w:spacing w:before="180" w:line="289" w:lineRule="auto"/>
        <w:ind w:left="4" w:right="115" w:firstLine="48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（1）监理工作以质量、安全、环保为重点，突出施工组织设计、隐蔽工程验收与</w:t>
      </w:r>
      <w:r>
        <w:rPr>
          <w:rFonts w:ascii="宋体" w:hAnsi="宋体" w:eastAsia="宋体" w:cs="宋体"/>
          <w:color w:val="auto"/>
          <w:spacing w:val="-1"/>
          <w:sz w:val="22"/>
          <w:szCs w:val="22"/>
          <w:highlight w:val="none"/>
        </w:rPr>
        <w:t>关键作业质量控制、工序验收，建立以巡视为主要手段的监理机制。</w:t>
      </w:r>
    </w:p>
    <w:p w14:paraId="7ED8A2D3">
      <w:pPr>
        <w:spacing w:before="181" w:line="290" w:lineRule="auto"/>
        <w:ind w:left="3" w:right="115" w:firstLine="48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（2）监理工作以监督施工单位质量、安全及环保等保证体系运行为核心，以巡视</w:t>
      </w:r>
      <w:r>
        <w:rPr>
          <w:rFonts w:ascii="宋体" w:hAnsi="宋体" w:eastAsia="宋体" w:cs="宋体"/>
          <w:color w:val="auto"/>
          <w:spacing w:val="-1"/>
          <w:sz w:val="22"/>
          <w:szCs w:val="22"/>
          <w:highlight w:val="none"/>
        </w:rPr>
        <w:t>为主的方式进行施工现场监理。</w:t>
      </w:r>
    </w:p>
    <w:p w14:paraId="099CD4DB">
      <w:pPr>
        <w:spacing w:before="185" w:line="326" w:lineRule="auto"/>
        <w:ind w:right="115" w:firstLine="49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（3）做好施工方案编制审查与现场一致性核查，对施工方案实施闭环管理；构建</w:t>
      </w:r>
      <w:r>
        <w:rPr>
          <w:rFonts w:ascii="宋体" w:hAnsi="宋体" w:eastAsia="宋体" w:cs="宋体"/>
          <w:color w:val="auto"/>
          <w:spacing w:val="5"/>
          <w:sz w:val="22"/>
          <w:szCs w:val="22"/>
          <w:highlight w:val="none"/>
        </w:rPr>
        <w:t>并完善以关键环节控制为核心、以巡视为主要手段的监理工作标准体系；通过</w:t>
      </w:r>
      <w:r>
        <w:rPr>
          <w:rFonts w:ascii="宋体" w:hAnsi="宋体" w:eastAsia="宋体" w:cs="宋体"/>
          <w:color w:val="auto"/>
          <w:spacing w:val="4"/>
          <w:sz w:val="22"/>
          <w:szCs w:val="22"/>
          <w:highlight w:val="none"/>
        </w:rPr>
        <w:t>统计工</w:t>
      </w:r>
      <w:r>
        <w:rPr>
          <w:rFonts w:ascii="宋体" w:hAnsi="宋体" w:eastAsia="宋体" w:cs="宋体"/>
          <w:color w:val="auto"/>
          <w:spacing w:val="5"/>
          <w:sz w:val="22"/>
          <w:szCs w:val="22"/>
          <w:highlight w:val="none"/>
        </w:rPr>
        <w:t>序验收一次通过率等指标，核查施工单位质保体系的运行情况并针对性开展差</w:t>
      </w:r>
      <w:r>
        <w:rPr>
          <w:rFonts w:ascii="宋体" w:hAnsi="宋体" w:eastAsia="宋体" w:cs="宋体"/>
          <w:color w:val="auto"/>
          <w:spacing w:val="4"/>
          <w:sz w:val="22"/>
          <w:szCs w:val="22"/>
          <w:highlight w:val="none"/>
        </w:rPr>
        <w:t>异化监</w:t>
      </w:r>
      <w:r>
        <w:rPr>
          <w:rFonts w:ascii="宋体" w:hAnsi="宋体" w:eastAsia="宋体" w:cs="宋体"/>
          <w:color w:val="auto"/>
          <w:spacing w:val="-5"/>
          <w:sz w:val="22"/>
          <w:szCs w:val="22"/>
          <w:highlight w:val="none"/>
        </w:rPr>
        <w:t>理。</w:t>
      </w:r>
    </w:p>
    <w:p w14:paraId="69278B0B">
      <w:pPr>
        <w:spacing w:before="167" w:line="219" w:lineRule="auto"/>
        <w:ind w:left="49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13.9.4.2</w:t>
      </w:r>
      <w:r>
        <w:rPr>
          <w:rFonts w:ascii="宋体" w:hAnsi="宋体" w:eastAsia="宋体" w:cs="宋体"/>
          <w:color w:val="auto"/>
          <w:spacing w:val="-43"/>
          <w:sz w:val="22"/>
          <w:szCs w:val="22"/>
          <w:highlight w:val="none"/>
        </w:rPr>
        <w:t xml:space="preserve"> </w:t>
      </w:r>
      <w:r>
        <w:rPr>
          <w:rFonts w:ascii="宋体" w:hAnsi="宋体" w:eastAsia="宋体" w:cs="宋体"/>
          <w:color w:val="auto"/>
          <w:spacing w:val="-2"/>
          <w:sz w:val="22"/>
          <w:szCs w:val="22"/>
          <w:highlight w:val="none"/>
        </w:rPr>
        <w:t>监理工作的重点提高监理工作效率</w:t>
      </w:r>
    </w:p>
    <w:p w14:paraId="0D857392">
      <w:pPr>
        <w:spacing w:before="183" w:line="359" w:lineRule="auto"/>
        <w:ind w:left="1" w:right="115" w:firstLine="478"/>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优化工序验收项目，监理机构无需对施工单位自检资料签认，采用从分部工程开</w:t>
      </w:r>
      <w:r>
        <w:rPr>
          <w:rFonts w:ascii="宋体" w:hAnsi="宋体" w:eastAsia="宋体" w:cs="宋体"/>
          <w:color w:val="auto"/>
          <w:spacing w:val="-1"/>
          <w:sz w:val="22"/>
          <w:szCs w:val="22"/>
          <w:highlight w:val="none"/>
        </w:rPr>
        <w:t>始评定的方式评价工程质量。</w:t>
      </w:r>
    </w:p>
    <w:p w14:paraId="1747C48E">
      <w:pPr>
        <w:spacing w:before="1" w:line="359" w:lineRule="auto"/>
        <w:ind w:right="115" w:firstLine="483"/>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建立监理与检测协同机制，优化总监办与中心试验室工作界面、沟通渠道与协同</w:t>
      </w:r>
      <w:r>
        <w:rPr>
          <w:rFonts w:ascii="宋体" w:hAnsi="宋体" w:eastAsia="宋体" w:cs="宋体"/>
          <w:color w:val="auto"/>
          <w:spacing w:val="-1"/>
          <w:sz w:val="22"/>
          <w:szCs w:val="22"/>
          <w:highlight w:val="none"/>
        </w:rPr>
        <w:t>机制，提升管控质量。</w:t>
      </w:r>
    </w:p>
    <w:p w14:paraId="58A26B49">
      <w:pPr>
        <w:spacing w:before="2" w:line="359" w:lineRule="auto"/>
        <w:ind w:right="115" w:firstLine="48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针对现场施工质量、安全管理重难点及不同阶段的管理需求，监理机构上级单位</w:t>
      </w:r>
      <w:r>
        <w:rPr>
          <w:rFonts w:ascii="宋体" w:hAnsi="宋体" w:eastAsia="宋体" w:cs="宋体"/>
          <w:color w:val="auto"/>
          <w:sz w:val="22"/>
          <w:szCs w:val="22"/>
          <w:highlight w:val="none"/>
        </w:rPr>
        <w:t>应加强技术指导，支持监理机构的工作，提高监理服务水平。"</w:t>
      </w:r>
    </w:p>
    <w:p w14:paraId="6092BE59">
      <w:pPr>
        <w:spacing w:line="220" w:lineRule="auto"/>
        <w:ind w:left="498"/>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13.9.5 监理队伍建设</w:t>
      </w:r>
    </w:p>
    <w:p w14:paraId="463780C1">
      <w:pPr>
        <w:spacing w:before="179" w:line="359" w:lineRule="auto"/>
        <w:ind w:left="1" w:right="115" w:firstLine="48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监理机构应根据工程规模、项目特点、施工组织设计与施工现场的实际需要，按照合同约定、委托人批复意见及相关指令，分阶段确定所需监理人员数量</w:t>
      </w:r>
      <w:r>
        <w:rPr>
          <w:rFonts w:ascii="宋体" w:hAnsi="宋体" w:eastAsia="宋体" w:cs="宋体"/>
          <w:color w:val="auto"/>
          <w:spacing w:val="4"/>
          <w:sz w:val="22"/>
          <w:szCs w:val="22"/>
          <w:highlight w:val="none"/>
        </w:rPr>
        <w:t>，动态配置</w:t>
      </w:r>
      <w:r>
        <w:rPr>
          <w:rFonts w:ascii="宋体" w:hAnsi="宋体" w:eastAsia="宋体" w:cs="宋体"/>
          <w:color w:val="auto"/>
          <w:spacing w:val="-3"/>
          <w:sz w:val="22"/>
          <w:szCs w:val="22"/>
          <w:highlight w:val="none"/>
        </w:rPr>
        <w:t>监理人员。</w:t>
      </w:r>
    </w:p>
    <w:p w14:paraId="36619E41">
      <w:pPr>
        <w:spacing w:before="1" w:line="218" w:lineRule="auto"/>
        <w:ind w:left="481"/>
        <w:rPr>
          <w:rFonts w:ascii="宋体" w:hAnsi="宋体" w:eastAsia="宋体" w:cs="宋体"/>
          <w:color w:val="auto"/>
          <w:sz w:val="22"/>
          <w:szCs w:val="22"/>
          <w:highlight w:val="none"/>
        </w:rPr>
      </w:pPr>
      <w:r>
        <w:rPr>
          <w:rFonts w:ascii="宋体" w:hAnsi="宋体" w:eastAsia="宋体" w:cs="宋体"/>
          <w:color w:val="auto"/>
          <w:sz w:val="22"/>
          <w:szCs w:val="22"/>
          <w:highlight w:val="none"/>
        </w:rPr>
        <w:t>监理机构应开展监理人员岗位培训、考核工作，人员素质应满足岗位工作需求。"</w:t>
      </w:r>
    </w:p>
    <w:p w14:paraId="4250891D">
      <w:pPr>
        <w:spacing w:before="183" w:line="219" w:lineRule="auto"/>
        <w:ind w:left="498"/>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13.9.6 监理机构设置</w:t>
      </w:r>
    </w:p>
    <w:p w14:paraId="1BD4C95C">
      <w:pPr>
        <w:spacing w:before="47" w:line="359" w:lineRule="auto"/>
        <w:ind w:firstLine="480"/>
        <w:jc w:val="both"/>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监理机构受建设单位委托开展咨询服务时，宜设置咨询工作室，为项目提供决策服务。同时，应明确咨询服务内容及相应的费用标准。（该费用不包含在项</w:t>
      </w:r>
      <w:r>
        <w:rPr>
          <w:rFonts w:ascii="宋体" w:hAnsi="宋体" w:eastAsia="宋体" w:cs="宋体"/>
          <w:color w:val="auto"/>
          <w:spacing w:val="4"/>
          <w:sz w:val="22"/>
          <w:szCs w:val="22"/>
          <w:highlight w:val="none"/>
        </w:rPr>
        <w:t>目监理总</w:t>
      </w:r>
      <w:r>
        <w:rPr>
          <w:rFonts w:ascii="宋体" w:hAnsi="宋体" w:eastAsia="宋体" w:cs="宋体"/>
          <w:color w:val="auto"/>
          <w:spacing w:val="1"/>
          <w:sz w:val="22"/>
          <w:szCs w:val="22"/>
          <w:highlight w:val="none"/>
        </w:rPr>
        <w:t>费用中）"</w:t>
      </w:r>
    </w:p>
    <w:p w14:paraId="5F22EB8F">
      <w:pPr>
        <w:spacing w:line="219" w:lineRule="auto"/>
        <w:ind w:left="49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13.9.7 监理数字化建设</w:t>
      </w:r>
    </w:p>
    <w:p w14:paraId="723AD010">
      <w:pPr>
        <w:spacing w:before="183" w:line="359" w:lineRule="auto"/>
        <w:ind w:firstLine="481"/>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监理机构应按照行业发展的需求，发展自身管理的数字化建设，开放数字化平台及相关数据接口，对接建设单位数字化管理系统，积极配合建设单位对项目管</w:t>
      </w:r>
      <w:r>
        <w:rPr>
          <w:rFonts w:ascii="宋体" w:hAnsi="宋体" w:eastAsia="宋体" w:cs="宋体"/>
          <w:color w:val="auto"/>
          <w:spacing w:val="4"/>
          <w:sz w:val="22"/>
          <w:szCs w:val="22"/>
          <w:highlight w:val="none"/>
        </w:rPr>
        <w:t>理数字</w:t>
      </w:r>
      <w:r>
        <w:rPr>
          <w:rFonts w:ascii="宋体" w:hAnsi="宋体" w:eastAsia="宋体" w:cs="宋体"/>
          <w:color w:val="auto"/>
          <w:spacing w:val="5"/>
          <w:sz w:val="22"/>
          <w:szCs w:val="22"/>
          <w:highlight w:val="none"/>
        </w:rPr>
        <w:t>化的统筹和整合，助力建设单位打通各参建单位不同系统之间的信息壁垒，形</w:t>
      </w:r>
      <w:r>
        <w:rPr>
          <w:rFonts w:ascii="宋体" w:hAnsi="宋体" w:eastAsia="宋体" w:cs="宋体"/>
          <w:color w:val="auto"/>
          <w:spacing w:val="4"/>
          <w:sz w:val="22"/>
          <w:szCs w:val="22"/>
          <w:highlight w:val="none"/>
        </w:rPr>
        <w:t>成适应</w:t>
      </w:r>
      <w:r>
        <w:rPr>
          <w:rFonts w:ascii="宋体" w:hAnsi="宋体" w:eastAsia="宋体" w:cs="宋体"/>
          <w:color w:val="auto"/>
          <w:spacing w:val="5"/>
          <w:sz w:val="22"/>
          <w:szCs w:val="22"/>
          <w:highlight w:val="none"/>
        </w:rPr>
        <w:t>于项目的综合性数字化管理平台。监理机构的管理应充分利用共享数据的一体</w:t>
      </w:r>
      <w:r>
        <w:rPr>
          <w:rFonts w:ascii="宋体" w:hAnsi="宋体" w:eastAsia="宋体" w:cs="宋体"/>
          <w:color w:val="auto"/>
          <w:spacing w:val="4"/>
          <w:sz w:val="22"/>
          <w:szCs w:val="22"/>
          <w:highlight w:val="none"/>
        </w:rPr>
        <w:t>化数字</w:t>
      </w:r>
      <w:r>
        <w:rPr>
          <w:rFonts w:ascii="宋体" w:hAnsi="宋体" w:eastAsia="宋体" w:cs="宋体"/>
          <w:color w:val="auto"/>
          <w:spacing w:val="5"/>
          <w:sz w:val="22"/>
          <w:szCs w:val="22"/>
          <w:highlight w:val="none"/>
        </w:rPr>
        <w:t>化技术和平台，评估保证体系的运行状况，分析管理的薄弱环节，利用数字化</w:t>
      </w:r>
      <w:r>
        <w:rPr>
          <w:rFonts w:ascii="宋体" w:hAnsi="宋体" w:eastAsia="宋体" w:cs="宋体"/>
          <w:color w:val="auto"/>
          <w:spacing w:val="4"/>
          <w:sz w:val="22"/>
          <w:szCs w:val="22"/>
          <w:highlight w:val="none"/>
        </w:rPr>
        <w:t>手段和</w:t>
      </w:r>
      <w:r>
        <w:rPr>
          <w:rFonts w:ascii="宋体" w:hAnsi="宋体" w:eastAsia="宋体" w:cs="宋体"/>
          <w:color w:val="auto"/>
          <w:sz w:val="22"/>
          <w:szCs w:val="22"/>
          <w:highlight w:val="none"/>
        </w:rPr>
        <w:t>数据为监理管理工作提供支撑。"</w:t>
      </w:r>
    </w:p>
    <w:p w14:paraId="6C8F3FE4">
      <w:pPr>
        <w:spacing w:line="220" w:lineRule="auto"/>
        <w:ind w:left="49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13.9.8 质量安全问题应对</w:t>
      </w:r>
    </w:p>
    <w:p w14:paraId="1F28B5B5">
      <w:pPr>
        <w:spacing w:before="177" w:line="360" w:lineRule="auto"/>
        <w:ind w:firstLine="48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监理机构在监理过程中发现施工存在质量问题或安全事故隐患的，应书面要求施工单位整改或停止施工，未整改或整改不合格的不得进行下一道工序施工，</w:t>
      </w:r>
      <w:r>
        <w:rPr>
          <w:rFonts w:ascii="宋体" w:hAnsi="宋体" w:eastAsia="宋体" w:cs="宋体"/>
          <w:color w:val="auto"/>
          <w:spacing w:val="4"/>
          <w:sz w:val="22"/>
          <w:szCs w:val="22"/>
          <w:highlight w:val="none"/>
        </w:rPr>
        <w:t>不得进行</w:t>
      </w:r>
      <w:r>
        <w:rPr>
          <w:rFonts w:ascii="宋体" w:hAnsi="宋体" w:eastAsia="宋体" w:cs="宋体"/>
          <w:color w:val="auto"/>
          <w:spacing w:val="5"/>
          <w:sz w:val="22"/>
          <w:szCs w:val="22"/>
          <w:highlight w:val="none"/>
        </w:rPr>
        <w:t>计量支付。施工单位拒不整改或不停止施工的，监理机构应及时向建设单位</w:t>
      </w:r>
      <w:r>
        <w:rPr>
          <w:rFonts w:ascii="宋体" w:hAnsi="宋体" w:eastAsia="宋体" w:cs="宋体"/>
          <w:color w:val="auto"/>
          <w:spacing w:val="4"/>
          <w:sz w:val="22"/>
          <w:szCs w:val="22"/>
          <w:highlight w:val="none"/>
        </w:rPr>
        <w:t>或监管部</w:t>
      </w:r>
      <w:r>
        <w:rPr>
          <w:rFonts w:ascii="宋体" w:hAnsi="宋体" w:eastAsia="宋体" w:cs="宋体"/>
          <w:color w:val="auto"/>
          <w:spacing w:val="1"/>
          <w:sz w:val="22"/>
          <w:szCs w:val="22"/>
          <w:highlight w:val="none"/>
        </w:rPr>
        <w:t>门报告。"</w:t>
      </w:r>
    </w:p>
    <w:p w14:paraId="0C7094AB">
      <w:pPr>
        <w:spacing w:before="1" w:line="227" w:lineRule="auto"/>
        <w:ind w:left="49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13.9.9</w:t>
      </w:r>
      <w:r>
        <w:rPr>
          <w:rFonts w:ascii="宋体" w:hAnsi="宋体" w:eastAsia="宋体" w:cs="宋体"/>
          <w:color w:val="auto"/>
          <w:spacing w:val="-49"/>
          <w:sz w:val="22"/>
          <w:szCs w:val="22"/>
          <w:highlight w:val="none"/>
        </w:rPr>
        <w:t xml:space="preserve"> </w:t>
      </w:r>
      <w:r>
        <w:rPr>
          <w:rFonts w:ascii="宋体" w:hAnsi="宋体" w:eastAsia="宋体" w:cs="宋体"/>
          <w:color w:val="auto"/>
          <w:spacing w:val="-4"/>
          <w:sz w:val="22"/>
          <w:szCs w:val="22"/>
          <w:highlight w:val="none"/>
        </w:rPr>
        <w:t>监理+N</w:t>
      </w:r>
    </w:p>
    <w:p w14:paraId="3E727CD9">
      <w:pPr>
        <w:spacing w:before="169" w:line="359" w:lineRule="auto"/>
        <w:ind w:firstLine="48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监理检测企业应根据公路建设市场和高质量发展的需要，整合优势资源，构建灵活的服务架构和经营模式，丰富监理及咨询服务的内涵，强化技术支持，面</w:t>
      </w:r>
      <w:r>
        <w:rPr>
          <w:rFonts w:ascii="宋体" w:hAnsi="宋体" w:eastAsia="宋体" w:cs="宋体"/>
          <w:color w:val="auto"/>
          <w:spacing w:val="4"/>
          <w:sz w:val="22"/>
          <w:szCs w:val="22"/>
          <w:highlight w:val="none"/>
        </w:rPr>
        <w:t>向公路建</w:t>
      </w:r>
      <w:r>
        <w:rPr>
          <w:rFonts w:ascii="宋体" w:hAnsi="宋体" w:eastAsia="宋体" w:cs="宋体"/>
          <w:color w:val="auto"/>
          <w:spacing w:val="5"/>
          <w:sz w:val="22"/>
          <w:szCs w:val="22"/>
          <w:highlight w:val="none"/>
        </w:rPr>
        <w:t>设全产业链，提供专业、高水平的咨询服务，形成包括代建、咨询、可行性</w:t>
      </w:r>
      <w:r>
        <w:rPr>
          <w:rFonts w:ascii="宋体" w:hAnsi="宋体" w:eastAsia="宋体" w:cs="宋体"/>
          <w:color w:val="auto"/>
          <w:spacing w:val="4"/>
          <w:sz w:val="22"/>
          <w:szCs w:val="22"/>
          <w:highlight w:val="none"/>
        </w:rPr>
        <w:t>研究、设</w:t>
      </w:r>
      <w:r>
        <w:rPr>
          <w:rFonts w:ascii="宋体" w:hAnsi="宋体" w:eastAsia="宋体" w:cs="宋体"/>
          <w:color w:val="auto"/>
          <w:spacing w:val="-1"/>
          <w:sz w:val="22"/>
          <w:szCs w:val="22"/>
          <w:highlight w:val="none"/>
        </w:rPr>
        <w:t>计和监理等在内的多元化发展方向，提升监理+N</w:t>
      </w:r>
      <w:r>
        <w:rPr>
          <w:rFonts w:ascii="宋体" w:hAnsi="宋体" w:eastAsia="宋体" w:cs="宋体"/>
          <w:color w:val="auto"/>
          <w:spacing w:val="-25"/>
          <w:sz w:val="22"/>
          <w:szCs w:val="22"/>
          <w:highlight w:val="none"/>
        </w:rPr>
        <w:t xml:space="preserve"> </w:t>
      </w:r>
      <w:r>
        <w:rPr>
          <w:rFonts w:ascii="宋体" w:hAnsi="宋体" w:eastAsia="宋体" w:cs="宋体"/>
          <w:color w:val="auto"/>
          <w:spacing w:val="-1"/>
          <w:sz w:val="22"/>
          <w:szCs w:val="22"/>
          <w:highlight w:val="none"/>
        </w:rPr>
        <w:t>的服务品质。"</w:t>
      </w:r>
    </w:p>
    <w:p w14:paraId="0C1A6FC4">
      <w:pPr>
        <w:spacing w:line="220" w:lineRule="auto"/>
        <w:ind w:left="498"/>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13.9.10 监理费用</w:t>
      </w:r>
    </w:p>
    <w:p w14:paraId="18CE2D1C">
      <w:pPr>
        <w:spacing w:before="183" w:line="324" w:lineRule="auto"/>
        <w:ind w:left="1" w:firstLine="490"/>
        <w:rPr>
          <w:rFonts w:ascii="宋体" w:hAnsi="宋体" w:eastAsia="宋体" w:cs="宋体"/>
          <w:color w:val="auto"/>
          <w:spacing w:val="1"/>
          <w:sz w:val="22"/>
          <w:szCs w:val="22"/>
          <w:highlight w:val="none"/>
        </w:rPr>
      </w:pPr>
      <w:r>
        <w:rPr>
          <w:rFonts w:ascii="宋体" w:hAnsi="宋体" w:eastAsia="宋体" w:cs="宋体"/>
          <w:color w:val="auto"/>
          <w:spacing w:val="4"/>
          <w:sz w:val="22"/>
          <w:szCs w:val="22"/>
          <w:highlight w:val="none"/>
        </w:rPr>
        <w:t>（1）项目采取“咨询+监理</w:t>
      </w:r>
      <w:r>
        <w:rPr>
          <w:rFonts w:ascii="宋体" w:hAnsi="宋体" w:eastAsia="宋体" w:cs="宋体"/>
          <w:color w:val="auto"/>
          <w:spacing w:val="-81"/>
          <w:sz w:val="22"/>
          <w:szCs w:val="22"/>
          <w:highlight w:val="none"/>
        </w:rPr>
        <w:t xml:space="preserve"> </w:t>
      </w:r>
      <w:r>
        <w:rPr>
          <w:rFonts w:ascii="宋体" w:hAnsi="宋体" w:eastAsia="宋体" w:cs="宋体"/>
          <w:color w:val="auto"/>
          <w:spacing w:val="4"/>
          <w:sz w:val="22"/>
          <w:szCs w:val="22"/>
          <w:highlight w:val="none"/>
        </w:rPr>
        <w:t>”模式时，咨询、监理</w:t>
      </w:r>
      <w:r>
        <w:rPr>
          <w:rFonts w:ascii="宋体" w:hAnsi="宋体" w:eastAsia="宋体" w:cs="宋体"/>
          <w:color w:val="auto"/>
          <w:spacing w:val="3"/>
          <w:sz w:val="22"/>
          <w:szCs w:val="22"/>
          <w:highlight w:val="none"/>
        </w:rPr>
        <w:t>取费应按相关标准分别计算，</w:t>
      </w:r>
      <w:r>
        <w:rPr>
          <w:rFonts w:ascii="宋体" w:hAnsi="宋体" w:eastAsia="宋体" w:cs="宋体"/>
          <w:color w:val="auto"/>
          <w:spacing w:val="1"/>
          <w:sz w:val="22"/>
          <w:szCs w:val="22"/>
          <w:highlight w:val="none"/>
        </w:rPr>
        <w:t>合计计入合同金额。</w:t>
      </w:r>
    </w:p>
    <w:p w14:paraId="374E44CE">
      <w:pPr>
        <w:spacing w:before="183" w:line="324" w:lineRule="auto"/>
        <w:ind w:left="1" w:firstLine="49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（2）根据省厅监</w:t>
      </w:r>
      <w:r>
        <w:rPr>
          <w:rFonts w:ascii="宋体" w:hAnsi="宋体" w:eastAsia="宋体" w:cs="宋体"/>
          <w:color w:val="auto"/>
          <w:spacing w:val="5"/>
          <w:sz w:val="22"/>
          <w:szCs w:val="22"/>
          <w:highlight w:val="none"/>
        </w:rPr>
        <w:t>理改革的经验，为更好地推动监理行业高质量发展，发挥其应有的支撑作</w:t>
      </w:r>
      <w:r>
        <w:rPr>
          <w:rFonts w:ascii="宋体" w:hAnsi="宋体" w:eastAsia="宋体" w:cs="宋体"/>
          <w:color w:val="auto"/>
          <w:spacing w:val="4"/>
          <w:sz w:val="22"/>
          <w:szCs w:val="22"/>
          <w:highlight w:val="none"/>
        </w:rPr>
        <w:t>用，有条件</w:t>
      </w:r>
      <w:r>
        <w:rPr>
          <w:rFonts w:ascii="宋体" w:hAnsi="宋体" w:eastAsia="宋体" w:cs="宋体"/>
          <w:color w:val="auto"/>
          <w:spacing w:val="-1"/>
          <w:sz w:val="22"/>
          <w:szCs w:val="22"/>
          <w:highlight w:val="none"/>
        </w:rPr>
        <w:t>的委托人可根据实际情况探索监理费用“实物计量法</w:t>
      </w:r>
      <w:r>
        <w:rPr>
          <w:rFonts w:ascii="宋体" w:hAnsi="宋体" w:eastAsia="宋体" w:cs="宋体"/>
          <w:color w:val="auto"/>
          <w:spacing w:val="-89"/>
          <w:sz w:val="22"/>
          <w:szCs w:val="22"/>
          <w:highlight w:val="none"/>
        </w:rPr>
        <w:t xml:space="preserve"> </w:t>
      </w:r>
      <w:r>
        <w:rPr>
          <w:rFonts w:ascii="宋体" w:hAnsi="宋体" w:eastAsia="宋体" w:cs="宋体"/>
          <w:color w:val="auto"/>
          <w:spacing w:val="-1"/>
          <w:sz w:val="22"/>
          <w:szCs w:val="22"/>
          <w:highlight w:val="none"/>
        </w:rPr>
        <w:t>”。"</w:t>
      </w:r>
    </w:p>
    <w:p w14:paraId="6C889BB5">
      <w:pPr>
        <w:spacing w:before="180" w:line="219" w:lineRule="auto"/>
        <w:ind w:left="498"/>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13.9.11</w:t>
      </w:r>
      <w:r>
        <w:rPr>
          <w:rFonts w:ascii="宋体" w:hAnsi="宋体" w:eastAsia="宋体" w:cs="宋体"/>
          <w:color w:val="auto"/>
          <w:spacing w:val="-50"/>
          <w:sz w:val="22"/>
          <w:szCs w:val="22"/>
          <w:highlight w:val="none"/>
        </w:rPr>
        <w:t xml:space="preserve"> </w:t>
      </w:r>
      <w:r>
        <w:rPr>
          <w:rFonts w:ascii="宋体" w:hAnsi="宋体" w:eastAsia="宋体" w:cs="宋体"/>
          <w:color w:val="auto"/>
          <w:spacing w:val="-3"/>
          <w:sz w:val="22"/>
          <w:szCs w:val="22"/>
          <w:highlight w:val="none"/>
        </w:rPr>
        <w:t>监理验收机制</w:t>
      </w:r>
    </w:p>
    <w:p w14:paraId="0271D5A9">
      <w:pPr>
        <w:spacing w:before="184" w:line="360" w:lineRule="auto"/>
        <w:ind w:left="3" w:firstLine="494"/>
        <w:jc w:val="both"/>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13.9.11.1</w:t>
      </w:r>
      <w:r>
        <w:rPr>
          <w:rFonts w:ascii="宋体" w:hAnsi="宋体" w:eastAsia="宋体" w:cs="宋体"/>
          <w:color w:val="auto"/>
          <w:spacing w:val="-37"/>
          <w:sz w:val="22"/>
          <w:szCs w:val="22"/>
          <w:highlight w:val="none"/>
        </w:rPr>
        <w:t xml:space="preserve"> </w:t>
      </w:r>
      <w:r>
        <w:rPr>
          <w:rFonts w:ascii="宋体" w:hAnsi="宋体" w:eastAsia="宋体" w:cs="宋体"/>
          <w:color w:val="auto"/>
          <w:spacing w:val="-1"/>
          <w:sz w:val="22"/>
          <w:szCs w:val="22"/>
          <w:highlight w:val="none"/>
        </w:rPr>
        <w:t>监理机构应建立分级验收机制，总监应参与超过一定规模的危险性较大</w:t>
      </w:r>
      <w:r>
        <w:rPr>
          <w:rFonts w:ascii="宋体" w:hAnsi="宋体" w:eastAsia="宋体" w:cs="宋体"/>
          <w:color w:val="auto"/>
          <w:spacing w:val="5"/>
          <w:sz w:val="22"/>
          <w:szCs w:val="22"/>
          <w:highlight w:val="none"/>
        </w:rPr>
        <w:t>分部分项工程的关键工序验收；副总监应参与危险性较大分部分项工</w:t>
      </w:r>
      <w:r>
        <w:rPr>
          <w:rFonts w:ascii="宋体" w:hAnsi="宋体" w:eastAsia="宋体" w:cs="宋体"/>
          <w:color w:val="auto"/>
          <w:spacing w:val="4"/>
          <w:sz w:val="22"/>
          <w:szCs w:val="22"/>
          <w:highlight w:val="none"/>
        </w:rPr>
        <w:t>程的关键工序验</w:t>
      </w:r>
      <w:r>
        <w:rPr>
          <w:rFonts w:ascii="宋体" w:hAnsi="宋体" w:eastAsia="宋体" w:cs="宋体"/>
          <w:color w:val="auto"/>
          <w:spacing w:val="5"/>
          <w:sz w:val="22"/>
          <w:szCs w:val="22"/>
          <w:highlight w:val="none"/>
        </w:rPr>
        <w:t>收。监理机构应编制《关键工序验收责任清单》，明确规定参与工序</w:t>
      </w:r>
      <w:r>
        <w:rPr>
          <w:rFonts w:ascii="宋体" w:hAnsi="宋体" w:eastAsia="宋体" w:cs="宋体"/>
          <w:color w:val="auto"/>
          <w:spacing w:val="4"/>
          <w:sz w:val="22"/>
          <w:szCs w:val="22"/>
          <w:highlight w:val="none"/>
        </w:rPr>
        <w:t>验收的各层级监</w:t>
      </w:r>
      <w:r>
        <w:rPr>
          <w:rFonts w:ascii="宋体" w:hAnsi="宋体" w:eastAsia="宋体" w:cs="宋体"/>
          <w:color w:val="auto"/>
          <w:spacing w:val="1"/>
          <w:sz w:val="22"/>
          <w:szCs w:val="22"/>
          <w:highlight w:val="none"/>
        </w:rPr>
        <w:t>理人员及职责范围，涵盖项目工程重难点。总监/副总监参与的验收应形成专项记录，</w:t>
      </w:r>
      <w:r>
        <w:rPr>
          <w:rFonts w:ascii="宋体" w:hAnsi="宋体" w:eastAsia="宋体" w:cs="宋体"/>
          <w:color w:val="auto"/>
          <w:sz w:val="22"/>
          <w:szCs w:val="22"/>
          <w:highlight w:val="none"/>
        </w:rPr>
        <w:t>作为质量责任追溯依据。"</w:t>
      </w:r>
    </w:p>
    <w:p w14:paraId="29B294DC">
      <w:pPr>
        <w:spacing w:before="183" w:line="312" w:lineRule="auto"/>
        <w:ind w:left="2" w:right="109" w:firstLine="49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13.9.11.2</w:t>
      </w:r>
      <w:r>
        <w:rPr>
          <w:rFonts w:ascii="宋体" w:hAnsi="宋体" w:eastAsia="宋体" w:cs="宋体"/>
          <w:color w:val="auto"/>
          <w:spacing w:val="-37"/>
          <w:sz w:val="22"/>
          <w:szCs w:val="22"/>
          <w:highlight w:val="none"/>
        </w:rPr>
        <w:t xml:space="preserve"> </w:t>
      </w:r>
      <w:r>
        <w:rPr>
          <w:rFonts w:ascii="宋体" w:hAnsi="宋体" w:eastAsia="宋体" w:cs="宋体"/>
          <w:color w:val="auto"/>
          <w:spacing w:val="-1"/>
          <w:sz w:val="22"/>
          <w:szCs w:val="22"/>
          <w:highlight w:val="none"/>
        </w:rPr>
        <w:t>监理机构应实行施工方案审批、检查、验收的闭环管理，同时检查施工</w:t>
      </w:r>
      <w:r>
        <w:rPr>
          <w:rFonts w:ascii="宋体" w:hAnsi="宋体" w:eastAsia="宋体" w:cs="宋体"/>
          <w:color w:val="auto"/>
          <w:spacing w:val="5"/>
          <w:sz w:val="22"/>
          <w:szCs w:val="22"/>
          <w:highlight w:val="none"/>
        </w:rPr>
        <w:t>单位从施工方案编制至实施完成的闭环管理情况，形成施工方案双闭环管</w:t>
      </w:r>
      <w:r>
        <w:rPr>
          <w:rFonts w:ascii="宋体" w:hAnsi="宋体" w:eastAsia="宋体" w:cs="宋体"/>
          <w:color w:val="auto"/>
          <w:spacing w:val="4"/>
          <w:sz w:val="22"/>
          <w:szCs w:val="22"/>
          <w:highlight w:val="none"/>
        </w:rPr>
        <w:t>理。当施工</w:t>
      </w:r>
      <w:r>
        <w:rPr>
          <w:rFonts w:ascii="宋体" w:hAnsi="宋体" w:eastAsia="宋体" w:cs="宋体"/>
          <w:color w:val="auto"/>
          <w:spacing w:val="-1"/>
          <w:sz w:val="22"/>
          <w:szCs w:val="22"/>
          <w:highlight w:val="none"/>
        </w:rPr>
        <w:t>方案实施条件发生变化时，应监督施工单位按编审程序动态修编。</w:t>
      </w:r>
    </w:p>
    <w:p w14:paraId="1658932A">
      <w:pPr>
        <w:spacing w:before="182" w:line="219" w:lineRule="auto"/>
        <w:ind w:left="49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13.9.11.3</w:t>
      </w:r>
      <w:r>
        <w:rPr>
          <w:rFonts w:ascii="宋体" w:hAnsi="宋体" w:eastAsia="宋体" w:cs="宋体"/>
          <w:color w:val="auto"/>
          <w:spacing w:val="-43"/>
          <w:sz w:val="22"/>
          <w:szCs w:val="22"/>
          <w:highlight w:val="none"/>
        </w:rPr>
        <w:t xml:space="preserve"> </w:t>
      </w:r>
      <w:r>
        <w:rPr>
          <w:rFonts w:ascii="宋体" w:hAnsi="宋体" w:eastAsia="宋体" w:cs="宋体"/>
          <w:color w:val="auto"/>
          <w:spacing w:val="-2"/>
          <w:sz w:val="22"/>
          <w:szCs w:val="22"/>
          <w:highlight w:val="none"/>
        </w:rPr>
        <w:t>监理机构应组织开展首件工程制</w:t>
      </w:r>
    </w:p>
    <w:p w14:paraId="26D9097A">
      <w:pPr>
        <w:spacing w:before="181" w:line="289" w:lineRule="auto"/>
        <w:ind w:right="109" w:firstLine="49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（1）对首件工程施工工艺控制，安全、质量、环（水）保等措施落实和质量指标</w:t>
      </w:r>
      <w:r>
        <w:rPr>
          <w:rFonts w:ascii="宋体" w:hAnsi="宋体" w:eastAsia="宋体" w:cs="宋体"/>
          <w:color w:val="auto"/>
          <w:spacing w:val="-1"/>
          <w:sz w:val="22"/>
          <w:szCs w:val="22"/>
          <w:highlight w:val="none"/>
        </w:rPr>
        <w:t>进行综合评价，查找不足，并督促施工单位进行改进。</w:t>
      </w:r>
    </w:p>
    <w:p w14:paraId="55567DDD">
      <w:pPr>
        <w:spacing w:before="184" w:line="312" w:lineRule="auto"/>
        <w:ind w:left="6" w:firstLine="48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（2）监理机构应依据建设单位管理办法及行业规范，编制首件工程</w:t>
      </w:r>
      <w:r>
        <w:rPr>
          <w:rFonts w:ascii="宋体" w:hAnsi="宋体" w:eastAsia="宋体" w:cs="宋体"/>
          <w:color w:val="auto"/>
          <w:spacing w:val="-3"/>
          <w:sz w:val="22"/>
          <w:szCs w:val="22"/>
          <w:highlight w:val="none"/>
        </w:rPr>
        <w:t>管理实施细则，</w:t>
      </w:r>
      <w:r>
        <w:rPr>
          <w:rFonts w:ascii="宋体" w:hAnsi="宋体" w:eastAsia="宋体" w:cs="宋体"/>
          <w:color w:val="auto"/>
          <w:spacing w:val="5"/>
          <w:sz w:val="22"/>
          <w:szCs w:val="22"/>
          <w:highlight w:val="none"/>
        </w:rPr>
        <w:t>明确工作程序、验收评价标准及岗位权责。实施细则须涵盖方案</w:t>
      </w:r>
      <w:r>
        <w:rPr>
          <w:rFonts w:ascii="宋体" w:hAnsi="宋体" w:eastAsia="宋体" w:cs="宋体"/>
          <w:color w:val="auto"/>
          <w:spacing w:val="4"/>
          <w:sz w:val="22"/>
          <w:szCs w:val="22"/>
          <w:highlight w:val="none"/>
        </w:rPr>
        <w:t>预审、过程监控、成</w:t>
      </w:r>
      <w:r>
        <w:rPr>
          <w:rFonts w:ascii="宋体" w:hAnsi="宋体" w:eastAsia="宋体" w:cs="宋体"/>
          <w:color w:val="auto"/>
          <w:spacing w:val="-1"/>
          <w:sz w:val="22"/>
          <w:szCs w:val="22"/>
          <w:highlight w:val="none"/>
        </w:rPr>
        <w:t>果评定、档案归集等全流程管理要求。</w:t>
      </w:r>
    </w:p>
    <w:p w14:paraId="6BC63ED9">
      <w:pPr>
        <w:spacing w:before="182" w:line="288" w:lineRule="auto"/>
        <w:ind w:left="2" w:right="109" w:firstLine="49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（3）对于涉及桥梁、隧道、高边坡等重大风险源的首件工程，总监或副总监应全</w:t>
      </w:r>
      <w:r>
        <w:rPr>
          <w:rFonts w:ascii="宋体" w:hAnsi="宋体" w:eastAsia="宋体" w:cs="宋体"/>
          <w:color w:val="auto"/>
          <w:sz w:val="22"/>
          <w:szCs w:val="22"/>
          <w:highlight w:val="none"/>
        </w:rPr>
        <w:t>过程参与方案评审、过程监督及验收评估，并在验收文件签署确认意见。"</w:t>
      </w:r>
    </w:p>
    <w:p w14:paraId="7FF8E678">
      <w:pPr>
        <w:spacing w:before="187" w:line="312" w:lineRule="auto"/>
        <w:ind w:left="2" w:right="109" w:firstLine="49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13.9.11.4</w:t>
      </w:r>
      <w:r>
        <w:rPr>
          <w:rFonts w:ascii="宋体" w:hAnsi="宋体" w:eastAsia="宋体" w:cs="宋体"/>
          <w:color w:val="auto"/>
          <w:spacing w:val="-37"/>
          <w:sz w:val="22"/>
          <w:szCs w:val="22"/>
          <w:highlight w:val="none"/>
        </w:rPr>
        <w:t xml:space="preserve"> </w:t>
      </w:r>
      <w:r>
        <w:rPr>
          <w:rFonts w:ascii="宋体" w:hAnsi="宋体" w:eastAsia="宋体" w:cs="宋体"/>
          <w:color w:val="auto"/>
          <w:spacing w:val="-1"/>
          <w:sz w:val="22"/>
          <w:szCs w:val="22"/>
          <w:highlight w:val="none"/>
        </w:rPr>
        <w:t>在施工过程中，监理机构应对施工单位主体责任落实情况、施工合同执</w:t>
      </w:r>
      <w:r>
        <w:rPr>
          <w:rFonts w:ascii="宋体" w:hAnsi="宋体" w:eastAsia="宋体" w:cs="宋体"/>
          <w:color w:val="auto"/>
          <w:spacing w:val="5"/>
          <w:sz w:val="22"/>
          <w:szCs w:val="22"/>
          <w:highlight w:val="none"/>
        </w:rPr>
        <w:t>行情况和质量安全等保证体系运行情况进行监督检查，将管监分离制、三</w:t>
      </w:r>
      <w:r>
        <w:rPr>
          <w:rFonts w:ascii="宋体" w:hAnsi="宋体" w:eastAsia="宋体" w:cs="宋体"/>
          <w:color w:val="auto"/>
          <w:spacing w:val="4"/>
          <w:sz w:val="22"/>
          <w:szCs w:val="22"/>
          <w:highlight w:val="none"/>
        </w:rPr>
        <w:t>检制是否按</w:t>
      </w:r>
      <w:r>
        <w:rPr>
          <w:rFonts w:ascii="宋体" w:hAnsi="宋体" w:eastAsia="宋体" w:cs="宋体"/>
          <w:color w:val="auto"/>
          <w:spacing w:val="-1"/>
          <w:sz w:val="22"/>
          <w:szCs w:val="22"/>
          <w:highlight w:val="none"/>
        </w:rPr>
        <w:t>要求执行纳入保证体系运行检查内容。</w:t>
      </w:r>
    </w:p>
    <w:p w14:paraId="03EAC112">
      <w:pPr>
        <w:spacing w:before="182" w:line="312" w:lineRule="auto"/>
        <w:ind w:left="1" w:right="109" w:firstLine="49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13.9.11.5</w:t>
      </w:r>
      <w:r>
        <w:rPr>
          <w:rFonts w:ascii="宋体" w:hAnsi="宋体" w:eastAsia="宋体" w:cs="宋体"/>
          <w:color w:val="auto"/>
          <w:spacing w:val="-37"/>
          <w:sz w:val="22"/>
          <w:szCs w:val="22"/>
          <w:highlight w:val="none"/>
        </w:rPr>
        <w:t xml:space="preserve"> </w:t>
      </w:r>
      <w:r>
        <w:rPr>
          <w:rFonts w:ascii="宋体" w:hAnsi="宋体" w:eastAsia="宋体" w:cs="宋体"/>
          <w:color w:val="auto"/>
          <w:spacing w:val="-1"/>
          <w:sz w:val="22"/>
          <w:szCs w:val="22"/>
          <w:highlight w:val="none"/>
        </w:rPr>
        <w:t>监理机构宜制定差异化管理办法和工序验收一次性通过率管理办法，当</w:t>
      </w:r>
      <w:r>
        <w:rPr>
          <w:rFonts w:ascii="宋体" w:hAnsi="宋体" w:eastAsia="宋体" w:cs="宋体"/>
          <w:color w:val="auto"/>
          <w:spacing w:val="5"/>
          <w:sz w:val="22"/>
          <w:szCs w:val="22"/>
          <w:highlight w:val="none"/>
        </w:rPr>
        <w:t>出现工序报检一次性通过率较低、实体检测指标较大波动及安全、质量突出</w:t>
      </w:r>
      <w:r>
        <w:rPr>
          <w:rFonts w:ascii="宋体" w:hAnsi="宋体" w:eastAsia="宋体" w:cs="宋体"/>
          <w:color w:val="auto"/>
          <w:spacing w:val="4"/>
          <w:sz w:val="22"/>
          <w:szCs w:val="22"/>
          <w:highlight w:val="none"/>
        </w:rPr>
        <w:t>问题时，</w:t>
      </w:r>
      <w:r>
        <w:rPr>
          <w:rFonts w:ascii="宋体" w:hAnsi="宋体" w:eastAsia="宋体" w:cs="宋体"/>
          <w:color w:val="auto"/>
          <w:spacing w:val="-1"/>
          <w:sz w:val="22"/>
          <w:szCs w:val="22"/>
          <w:highlight w:val="none"/>
        </w:rPr>
        <w:t>应及时开展差异化管理。</w:t>
      </w:r>
    </w:p>
    <w:p w14:paraId="3F7D020F">
      <w:pPr>
        <w:spacing w:before="184" w:line="312" w:lineRule="auto"/>
        <w:ind w:right="109" w:firstLine="49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13.9.11.6</w:t>
      </w:r>
      <w:r>
        <w:rPr>
          <w:rFonts w:ascii="宋体" w:hAnsi="宋体" w:eastAsia="宋体" w:cs="宋体"/>
          <w:color w:val="auto"/>
          <w:spacing w:val="-37"/>
          <w:sz w:val="22"/>
          <w:szCs w:val="22"/>
          <w:highlight w:val="none"/>
        </w:rPr>
        <w:t xml:space="preserve"> </w:t>
      </w:r>
      <w:r>
        <w:rPr>
          <w:rFonts w:ascii="宋体" w:hAnsi="宋体" w:eastAsia="宋体" w:cs="宋体"/>
          <w:color w:val="auto"/>
          <w:spacing w:val="-1"/>
          <w:sz w:val="22"/>
          <w:szCs w:val="22"/>
          <w:highlight w:val="none"/>
        </w:rPr>
        <w:t>监理工程师应采取以巡视为主的方式进行施工现场监理，应制定监理巡</w:t>
      </w:r>
      <w:r>
        <w:rPr>
          <w:rFonts w:ascii="宋体" w:hAnsi="宋体" w:eastAsia="宋体" w:cs="宋体"/>
          <w:color w:val="auto"/>
          <w:spacing w:val="-3"/>
          <w:sz w:val="22"/>
          <w:szCs w:val="22"/>
          <w:highlight w:val="none"/>
        </w:rPr>
        <w:t>视专项细则，按计划定期或不定期巡视施工现场，对施工的主要工程每天不少于</w:t>
      </w:r>
      <w:r>
        <w:rPr>
          <w:rFonts w:ascii="宋体" w:hAnsi="宋体" w:eastAsia="宋体" w:cs="宋体"/>
          <w:color w:val="auto"/>
          <w:spacing w:val="-20"/>
          <w:sz w:val="22"/>
          <w:szCs w:val="22"/>
          <w:highlight w:val="none"/>
        </w:rPr>
        <w:t xml:space="preserve"> </w:t>
      </w:r>
      <w:r>
        <w:rPr>
          <w:rFonts w:ascii="宋体" w:hAnsi="宋体" w:eastAsia="宋体" w:cs="宋体"/>
          <w:color w:val="auto"/>
          <w:spacing w:val="-3"/>
          <w:sz w:val="22"/>
          <w:szCs w:val="22"/>
          <w:highlight w:val="none"/>
        </w:rPr>
        <w:t>1</w:t>
      </w:r>
      <w:r>
        <w:rPr>
          <w:rFonts w:ascii="宋体" w:hAnsi="宋体" w:eastAsia="宋体" w:cs="宋体"/>
          <w:color w:val="auto"/>
          <w:spacing w:val="-44"/>
          <w:sz w:val="22"/>
          <w:szCs w:val="22"/>
          <w:highlight w:val="none"/>
        </w:rPr>
        <w:t xml:space="preserve"> </w:t>
      </w:r>
      <w:r>
        <w:rPr>
          <w:rFonts w:ascii="宋体" w:hAnsi="宋体" w:eastAsia="宋体" w:cs="宋体"/>
          <w:color w:val="auto"/>
          <w:spacing w:val="-3"/>
          <w:sz w:val="22"/>
          <w:szCs w:val="22"/>
          <w:highlight w:val="none"/>
        </w:rPr>
        <w:t>次，</w:t>
      </w:r>
      <w:r>
        <w:rPr>
          <w:rFonts w:ascii="宋体" w:hAnsi="宋体" w:eastAsia="宋体" w:cs="宋体"/>
          <w:color w:val="auto"/>
          <w:spacing w:val="-1"/>
          <w:sz w:val="22"/>
          <w:szCs w:val="22"/>
          <w:highlight w:val="none"/>
        </w:rPr>
        <w:t>并填写巡视记录（格式见附录</w:t>
      </w:r>
      <w:r>
        <w:rPr>
          <w:rFonts w:ascii="宋体" w:hAnsi="宋体" w:eastAsia="宋体" w:cs="宋体"/>
          <w:color w:val="auto"/>
          <w:spacing w:val="-40"/>
          <w:sz w:val="22"/>
          <w:szCs w:val="22"/>
          <w:highlight w:val="none"/>
        </w:rPr>
        <w:t xml:space="preserve"> </w:t>
      </w:r>
      <w:r>
        <w:rPr>
          <w:rFonts w:ascii="宋体" w:hAnsi="宋体" w:eastAsia="宋体" w:cs="宋体"/>
          <w:color w:val="auto"/>
          <w:spacing w:val="-1"/>
          <w:sz w:val="22"/>
          <w:szCs w:val="22"/>
          <w:highlight w:val="none"/>
        </w:rPr>
        <w:t>B.1）。巡视应包括下列主要内容：</w:t>
      </w:r>
    </w:p>
    <w:p w14:paraId="537FD0E6">
      <w:pPr>
        <w:spacing w:before="183" w:line="289" w:lineRule="auto"/>
        <w:ind w:left="4" w:right="109" w:firstLine="48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（1）施工现场管理人员特别是质量、安全管理人员是否到位，特种作业人员是否</w:t>
      </w:r>
      <w:r>
        <w:rPr>
          <w:rFonts w:ascii="宋体" w:hAnsi="宋体" w:eastAsia="宋体" w:cs="宋体"/>
          <w:color w:val="auto"/>
          <w:spacing w:val="-3"/>
          <w:sz w:val="22"/>
          <w:szCs w:val="22"/>
          <w:highlight w:val="none"/>
        </w:rPr>
        <w:t>持证上岗；</w:t>
      </w:r>
    </w:p>
    <w:p w14:paraId="0A73DAF0">
      <w:pPr>
        <w:spacing w:before="183" w:line="219" w:lineRule="auto"/>
        <w:ind w:left="49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（2）使用的原材料或混合料、构配件和主要施工机械设备是否与批准的一致；</w:t>
      </w:r>
    </w:p>
    <w:p w14:paraId="3D61DBC1">
      <w:pPr>
        <w:spacing w:before="184" w:line="219" w:lineRule="auto"/>
        <w:ind w:left="49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（3）是否按技术标准、工程设计文件、批准的施工组织设计和方案施工；</w:t>
      </w:r>
    </w:p>
    <w:p w14:paraId="642C315F">
      <w:pPr>
        <w:spacing w:before="180" w:line="289" w:lineRule="auto"/>
        <w:ind w:right="109" w:firstLine="49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（4）质量、安全、环（水）保和施工标准化等措施是否落实，抽查施工自检和工</w:t>
      </w:r>
      <w:r>
        <w:rPr>
          <w:rFonts w:ascii="宋体" w:hAnsi="宋体" w:eastAsia="宋体" w:cs="宋体"/>
          <w:color w:val="auto"/>
          <w:spacing w:val="-1"/>
          <w:sz w:val="22"/>
          <w:szCs w:val="22"/>
          <w:highlight w:val="none"/>
        </w:rPr>
        <w:t>序交接是否符合规定。</w:t>
      </w:r>
    </w:p>
    <w:p w14:paraId="187ADC72">
      <w:pPr>
        <w:spacing w:before="184" w:line="360" w:lineRule="auto"/>
        <w:ind w:right="107" w:firstLine="498"/>
        <w:jc w:val="both"/>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13.9.11.7 监理机构应安排监理人员对附录</w:t>
      </w:r>
      <w:r>
        <w:rPr>
          <w:rFonts w:ascii="宋体" w:hAnsi="宋体" w:eastAsia="宋体" w:cs="宋体"/>
          <w:color w:val="auto"/>
          <w:spacing w:val="-58"/>
          <w:sz w:val="22"/>
          <w:szCs w:val="22"/>
          <w:highlight w:val="none"/>
        </w:rPr>
        <w:t xml:space="preserve"> </w:t>
      </w:r>
      <w:r>
        <w:rPr>
          <w:rFonts w:ascii="宋体" w:hAnsi="宋体" w:eastAsia="宋体" w:cs="宋体"/>
          <w:color w:val="auto"/>
          <w:spacing w:val="-2"/>
          <w:sz w:val="22"/>
          <w:szCs w:val="22"/>
          <w:highlight w:val="none"/>
        </w:rPr>
        <w:t>A</w:t>
      </w:r>
      <w:r>
        <w:rPr>
          <w:rFonts w:ascii="宋体" w:hAnsi="宋体" w:eastAsia="宋体" w:cs="宋体"/>
          <w:color w:val="auto"/>
          <w:spacing w:val="-50"/>
          <w:sz w:val="22"/>
          <w:szCs w:val="22"/>
          <w:highlight w:val="none"/>
        </w:rPr>
        <w:t xml:space="preserve"> </w:t>
      </w:r>
      <w:r>
        <w:rPr>
          <w:rFonts w:ascii="宋体" w:hAnsi="宋体" w:eastAsia="宋体" w:cs="宋体"/>
          <w:color w:val="auto"/>
          <w:spacing w:val="-2"/>
          <w:sz w:val="22"/>
          <w:szCs w:val="22"/>
          <w:highlight w:val="none"/>
        </w:rPr>
        <w:t>所列旁站项目的施工过程进</w:t>
      </w:r>
      <w:r>
        <w:rPr>
          <w:rFonts w:ascii="宋体" w:hAnsi="宋体" w:eastAsia="宋体" w:cs="宋体"/>
          <w:color w:val="auto"/>
          <w:spacing w:val="-3"/>
          <w:sz w:val="22"/>
          <w:szCs w:val="22"/>
          <w:highlight w:val="none"/>
        </w:rPr>
        <w:t>行旁站，</w:t>
      </w:r>
      <w:r>
        <w:rPr>
          <w:rFonts w:ascii="宋体" w:hAnsi="宋体" w:eastAsia="宋体" w:cs="宋体"/>
          <w:color w:val="auto"/>
          <w:sz w:val="22"/>
          <w:szCs w:val="22"/>
          <w:highlight w:val="none"/>
        </w:rPr>
        <w:t>对主要工程的关键项目进行检测见证，并填写旁站记录（格</w:t>
      </w:r>
      <w:r>
        <w:rPr>
          <w:rFonts w:ascii="宋体" w:hAnsi="宋体" w:eastAsia="宋体" w:cs="宋体"/>
          <w:color w:val="auto"/>
          <w:spacing w:val="-1"/>
          <w:sz w:val="22"/>
          <w:szCs w:val="22"/>
          <w:highlight w:val="none"/>
        </w:rPr>
        <w:t>式见附录</w:t>
      </w:r>
      <w:r>
        <w:rPr>
          <w:rFonts w:ascii="宋体" w:hAnsi="宋体" w:eastAsia="宋体" w:cs="宋体"/>
          <w:color w:val="auto"/>
          <w:spacing w:val="-53"/>
          <w:sz w:val="22"/>
          <w:szCs w:val="22"/>
          <w:highlight w:val="none"/>
        </w:rPr>
        <w:t xml:space="preserve"> </w:t>
      </w:r>
      <w:r>
        <w:rPr>
          <w:rFonts w:ascii="宋体" w:hAnsi="宋体" w:eastAsia="宋体" w:cs="宋体"/>
          <w:color w:val="auto"/>
          <w:spacing w:val="-1"/>
          <w:sz w:val="22"/>
          <w:szCs w:val="22"/>
          <w:highlight w:val="none"/>
        </w:rPr>
        <w:t>B.2</w:t>
      </w:r>
      <w:r>
        <w:rPr>
          <w:rFonts w:ascii="宋体" w:hAnsi="宋体" w:eastAsia="宋体" w:cs="宋体"/>
          <w:color w:val="auto"/>
          <w:spacing w:val="4"/>
          <w:sz w:val="22"/>
          <w:szCs w:val="22"/>
          <w:highlight w:val="none"/>
        </w:rPr>
        <w:t>），</w:t>
      </w:r>
      <w:r>
        <w:rPr>
          <w:rFonts w:ascii="宋体" w:hAnsi="宋体" w:eastAsia="宋体" w:cs="宋体"/>
          <w:color w:val="auto"/>
          <w:spacing w:val="-1"/>
          <w:sz w:val="22"/>
          <w:szCs w:val="22"/>
          <w:highlight w:val="none"/>
        </w:rPr>
        <w:t>签认检测</w:t>
      </w:r>
      <w:r>
        <w:rPr>
          <w:rFonts w:ascii="宋体" w:hAnsi="宋体" w:eastAsia="宋体" w:cs="宋体"/>
          <w:color w:val="auto"/>
          <w:spacing w:val="-2"/>
          <w:sz w:val="22"/>
          <w:szCs w:val="22"/>
          <w:highlight w:val="none"/>
        </w:rPr>
        <w:t>见证结果。</w:t>
      </w:r>
    </w:p>
    <w:p w14:paraId="5B9B24E8">
      <w:pPr>
        <w:spacing w:before="47" w:line="331" w:lineRule="auto"/>
        <w:ind w:left="2" w:right="188" w:firstLine="49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13.9.11.8</w:t>
      </w:r>
      <w:r>
        <w:rPr>
          <w:rFonts w:ascii="宋体" w:hAnsi="宋体" w:eastAsia="宋体" w:cs="宋体"/>
          <w:color w:val="auto"/>
          <w:spacing w:val="-37"/>
          <w:sz w:val="22"/>
          <w:szCs w:val="22"/>
          <w:highlight w:val="none"/>
        </w:rPr>
        <w:t xml:space="preserve"> </w:t>
      </w:r>
      <w:r>
        <w:rPr>
          <w:rFonts w:ascii="宋体" w:hAnsi="宋体" w:eastAsia="宋体" w:cs="宋体"/>
          <w:color w:val="auto"/>
          <w:spacing w:val="-1"/>
          <w:sz w:val="22"/>
          <w:szCs w:val="22"/>
          <w:highlight w:val="none"/>
        </w:rPr>
        <w:t>监理机构应建立分级验收机制，总监应参与超过一定规模的危险性较大</w:t>
      </w:r>
      <w:r>
        <w:rPr>
          <w:rFonts w:ascii="宋体" w:hAnsi="宋体" w:eastAsia="宋体" w:cs="宋体"/>
          <w:color w:val="auto"/>
          <w:spacing w:val="5"/>
          <w:sz w:val="22"/>
          <w:szCs w:val="22"/>
          <w:highlight w:val="none"/>
        </w:rPr>
        <w:t>分部分项工程的关键工序验收；副总监应参与危险性较大分部分项工程的</w:t>
      </w:r>
      <w:r>
        <w:rPr>
          <w:rFonts w:ascii="宋体" w:hAnsi="宋体" w:eastAsia="宋体" w:cs="宋体"/>
          <w:color w:val="auto"/>
          <w:spacing w:val="4"/>
          <w:sz w:val="22"/>
          <w:szCs w:val="22"/>
          <w:highlight w:val="none"/>
        </w:rPr>
        <w:t>关键工序验</w:t>
      </w:r>
      <w:r>
        <w:rPr>
          <w:rFonts w:ascii="宋体" w:hAnsi="宋体" w:eastAsia="宋体" w:cs="宋体"/>
          <w:color w:val="auto"/>
          <w:spacing w:val="5"/>
          <w:sz w:val="22"/>
          <w:szCs w:val="22"/>
          <w:highlight w:val="none"/>
        </w:rPr>
        <w:t>收。监理机构应编制《关键工序验收责任清单》，明确规定参与工序验收</w:t>
      </w:r>
      <w:r>
        <w:rPr>
          <w:rFonts w:ascii="宋体" w:hAnsi="宋体" w:eastAsia="宋体" w:cs="宋体"/>
          <w:color w:val="auto"/>
          <w:spacing w:val="4"/>
          <w:sz w:val="22"/>
          <w:szCs w:val="22"/>
          <w:highlight w:val="none"/>
        </w:rPr>
        <w:t>的各层级监</w:t>
      </w:r>
      <w:r>
        <w:rPr>
          <w:rFonts w:ascii="宋体" w:hAnsi="宋体" w:eastAsia="宋体" w:cs="宋体"/>
          <w:color w:val="auto"/>
          <w:spacing w:val="2"/>
          <w:sz w:val="22"/>
          <w:szCs w:val="22"/>
          <w:highlight w:val="none"/>
        </w:rPr>
        <w:t>理人员及职责范围，涵盖项目工程重难点。总监/</w:t>
      </w:r>
      <w:r>
        <w:rPr>
          <w:rFonts w:ascii="宋体" w:hAnsi="宋体" w:eastAsia="宋体" w:cs="宋体"/>
          <w:color w:val="auto"/>
          <w:spacing w:val="1"/>
          <w:sz w:val="22"/>
          <w:szCs w:val="22"/>
          <w:highlight w:val="none"/>
        </w:rPr>
        <w:t>副总监参与的验收应形成专项记录，</w:t>
      </w:r>
      <w:r>
        <w:rPr>
          <w:rFonts w:ascii="宋体" w:hAnsi="宋体" w:eastAsia="宋体" w:cs="宋体"/>
          <w:color w:val="auto"/>
          <w:spacing w:val="-1"/>
          <w:sz w:val="22"/>
          <w:szCs w:val="22"/>
          <w:highlight w:val="none"/>
        </w:rPr>
        <w:t>作为质量责任追溯依据。</w:t>
      </w:r>
    </w:p>
    <w:p w14:paraId="6124F866">
      <w:pPr>
        <w:spacing w:before="179" w:line="325" w:lineRule="auto"/>
        <w:ind w:right="188" w:firstLine="498"/>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13.9.11.9 监理机构应督促施工单位严格执行《广东省公路工程施工标准化指</w:t>
      </w:r>
      <w:r>
        <w:rPr>
          <w:rFonts w:ascii="宋体" w:hAnsi="宋体" w:eastAsia="宋体" w:cs="宋体"/>
          <w:color w:val="auto"/>
          <w:spacing w:val="5"/>
          <w:sz w:val="22"/>
          <w:szCs w:val="22"/>
          <w:highlight w:val="none"/>
        </w:rPr>
        <w:t>南》、《广东省高速公路公路施工安全标准化指南》和施工过程中建设单位下</w:t>
      </w:r>
      <w:r>
        <w:rPr>
          <w:rFonts w:ascii="宋体" w:hAnsi="宋体" w:eastAsia="宋体" w:cs="宋体"/>
          <w:color w:val="auto"/>
          <w:spacing w:val="4"/>
          <w:sz w:val="22"/>
          <w:szCs w:val="22"/>
          <w:highlight w:val="none"/>
        </w:rPr>
        <w:t>发的工</w:t>
      </w:r>
      <w:r>
        <w:rPr>
          <w:rFonts w:ascii="宋体" w:hAnsi="宋体" w:eastAsia="宋体" w:cs="宋体"/>
          <w:color w:val="auto"/>
          <w:spacing w:val="5"/>
          <w:sz w:val="22"/>
          <w:szCs w:val="22"/>
          <w:highlight w:val="none"/>
        </w:rPr>
        <w:t>程管理手册（或创新工艺工法要求）、标准化和标杆管理、技术规范的各项规</w:t>
      </w:r>
      <w:r>
        <w:rPr>
          <w:rFonts w:ascii="宋体" w:hAnsi="宋体" w:eastAsia="宋体" w:cs="宋体"/>
          <w:color w:val="auto"/>
          <w:spacing w:val="4"/>
          <w:sz w:val="22"/>
          <w:szCs w:val="22"/>
          <w:highlight w:val="none"/>
        </w:rPr>
        <w:t>定，以</w:t>
      </w:r>
      <w:r>
        <w:rPr>
          <w:rFonts w:ascii="宋体" w:hAnsi="宋体" w:eastAsia="宋体" w:cs="宋体"/>
          <w:color w:val="auto"/>
          <w:sz w:val="22"/>
          <w:szCs w:val="22"/>
          <w:highlight w:val="none"/>
        </w:rPr>
        <w:t>及在建设过程中建设单位提出的工艺工法要求，以保证达到</w:t>
      </w:r>
      <w:r>
        <w:rPr>
          <w:rFonts w:ascii="宋体" w:hAnsi="宋体" w:eastAsia="宋体" w:cs="宋体"/>
          <w:color w:val="auto"/>
          <w:spacing w:val="-1"/>
          <w:sz w:val="22"/>
          <w:szCs w:val="22"/>
          <w:highlight w:val="none"/>
        </w:rPr>
        <w:t>合同规定的质量标准。</w:t>
      </w:r>
    </w:p>
    <w:p w14:paraId="012065F4">
      <w:pPr>
        <w:spacing w:before="180" w:line="360" w:lineRule="auto"/>
        <w:ind w:firstLine="499"/>
        <w:jc w:val="both"/>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13.9.12</w:t>
      </w:r>
      <w:r>
        <w:rPr>
          <w:rFonts w:ascii="宋体" w:hAnsi="宋体" w:eastAsia="宋体" w:cs="宋体"/>
          <w:color w:val="auto"/>
          <w:spacing w:val="-48"/>
          <w:sz w:val="22"/>
          <w:szCs w:val="22"/>
          <w:highlight w:val="none"/>
        </w:rPr>
        <w:t xml:space="preserve"> </w:t>
      </w:r>
      <w:r>
        <w:rPr>
          <w:rFonts w:ascii="宋体" w:hAnsi="宋体" w:eastAsia="宋体" w:cs="宋体"/>
          <w:color w:val="auto"/>
          <w:spacing w:val="-2"/>
          <w:sz w:val="22"/>
          <w:szCs w:val="22"/>
          <w:highlight w:val="none"/>
        </w:rPr>
        <w:t>监理人应协助发包人开展项目的成本调研及造价管理工作。包含现场调研、</w:t>
      </w:r>
      <w:r>
        <w:rPr>
          <w:rFonts w:ascii="宋体" w:hAnsi="宋体" w:eastAsia="宋体" w:cs="宋体"/>
          <w:color w:val="auto"/>
          <w:spacing w:val="5"/>
          <w:sz w:val="22"/>
          <w:szCs w:val="22"/>
          <w:highlight w:val="none"/>
        </w:rPr>
        <w:t>现场数据、施工日志、监理日志、收集，整理、按发包人要求整理上报，审核承</w:t>
      </w:r>
      <w:r>
        <w:rPr>
          <w:rFonts w:ascii="宋体" w:hAnsi="宋体" w:eastAsia="宋体" w:cs="宋体"/>
          <w:color w:val="auto"/>
          <w:spacing w:val="4"/>
          <w:sz w:val="22"/>
          <w:szCs w:val="22"/>
          <w:highlight w:val="none"/>
        </w:rPr>
        <w:t>包人</w:t>
      </w:r>
      <w:r>
        <w:rPr>
          <w:rFonts w:ascii="宋体" w:hAnsi="宋体" w:eastAsia="宋体" w:cs="宋体"/>
          <w:color w:val="auto"/>
          <w:spacing w:val="5"/>
          <w:sz w:val="22"/>
          <w:szCs w:val="22"/>
          <w:highlight w:val="none"/>
        </w:rPr>
        <w:t>报送的各种资料，按发包人要求协助发包人开展造价管理工作，经监理人审核的</w:t>
      </w:r>
      <w:r>
        <w:rPr>
          <w:rFonts w:ascii="宋体" w:hAnsi="宋体" w:eastAsia="宋体" w:cs="宋体"/>
          <w:color w:val="auto"/>
          <w:spacing w:val="4"/>
          <w:sz w:val="22"/>
          <w:szCs w:val="22"/>
          <w:highlight w:val="none"/>
        </w:rPr>
        <w:t>工程</w:t>
      </w:r>
      <w:r>
        <w:rPr>
          <w:rFonts w:ascii="宋体" w:hAnsi="宋体" w:eastAsia="宋体" w:cs="宋体"/>
          <w:color w:val="auto"/>
          <w:sz w:val="22"/>
          <w:szCs w:val="22"/>
          <w:highlight w:val="none"/>
        </w:rPr>
        <w:t>造价文件质量以《广东省公路工程造价标准化管理指南》（粤交基</w:t>
      </w:r>
      <w:r>
        <w:rPr>
          <w:rFonts w:ascii="宋体" w:hAnsi="宋体" w:eastAsia="宋体" w:cs="宋体"/>
          <w:color w:val="auto"/>
          <w:spacing w:val="-1"/>
          <w:sz w:val="22"/>
          <w:szCs w:val="22"/>
          <w:highlight w:val="none"/>
        </w:rPr>
        <w:t>〔2022〕483</w:t>
      </w:r>
      <w:r>
        <w:rPr>
          <w:rFonts w:ascii="宋体" w:hAnsi="宋体" w:eastAsia="宋体" w:cs="宋体"/>
          <w:color w:val="auto"/>
          <w:spacing w:val="-45"/>
          <w:sz w:val="22"/>
          <w:szCs w:val="22"/>
          <w:highlight w:val="none"/>
        </w:rPr>
        <w:t xml:space="preserve"> </w:t>
      </w:r>
      <w:r>
        <w:rPr>
          <w:rFonts w:ascii="宋体" w:hAnsi="宋体" w:eastAsia="宋体" w:cs="宋体"/>
          <w:color w:val="auto"/>
          <w:spacing w:val="-1"/>
          <w:sz w:val="22"/>
          <w:szCs w:val="22"/>
          <w:highlight w:val="none"/>
        </w:rPr>
        <w:t>号）质</w:t>
      </w:r>
      <w:r>
        <w:rPr>
          <w:rFonts w:ascii="宋体" w:hAnsi="宋体" w:eastAsia="宋体" w:cs="宋体"/>
          <w:color w:val="auto"/>
          <w:sz w:val="22"/>
          <w:szCs w:val="22"/>
          <w:highlight w:val="none"/>
        </w:rPr>
        <w:t>量较好等级以上，造价文件质量挂钩优监优酬计</w:t>
      </w:r>
      <w:r>
        <w:rPr>
          <w:rFonts w:ascii="宋体" w:hAnsi="宋体" w:eastAsia="宋体" w:cs="宋体"/>
          <w:color w:val="auto"/>
          <w:spacing w:val="-1"/>
          <w:sz w:val="22"/>
          <w:szCs w:val="22"/>
          <w:highlight w:val="none"/>
        </w:rPr>
        <w:t>入监理服务费用中。</w:t>
      </w:r>
    </w:p>
    <w:p w14:paraId="1134312C">
      <w:pPr>
        <w:spacing w:line="360" w:lineRule="auto"/>
        <w:rPr>
          <w:rFonts w:ascii="宋体" w:hAnsi="宋体" w:eastAsia="宋体" w:cs="宋体"/>
          <w:color w:val="auto"/>
          <w:sz w:val="22"/>
          <w:szCs w:val="22"/>
          <w:highlight w:val="none"/>
        </w:rPr>
        <w:sectPr>
          <w:footerReference r:id="rId76" w:type="default"/>
          <w:pgSz w:w="11906" w:h="16839"/>
          <w:pgMar w:top="1405" w:right="1229" w:bottom="1297" w:left="1423" w:header="0" w:footer="1065" w:gutter="0"/>
          <w:pgNumType w:fmt="decimal"/>
          <w:cols w:space="720" w:num="1"/>
        </w:sectPr>
      </w:pPr>
    </w:p>
    <w:p w14:paraId="51490A96">
      <w:pPr>
        <w:spacing w:before="63" w:line="225" w:lineRule="auto"/>
        <w:ind w:left="2931"/>
        <w:outlineLvl w:val="0"/>
        <w:rPr>
          <w:rFonts w:ascii="宋体" w:hAnsi="宋体" w:eastAsia="宋体" w:cs="宋体"/>
          <w:b/>
          <w:bCs/>
          <w:color w:val="auto"/>
          <w:spacing w:val="6"/>
          <w:sz w:val="31"/>
          <w:szCs w:val="31"/>
          <w:highlight w:val="none"/>
        </w:rPr>
      </w:pPr>
      <w:bookmarkStart w:id="257" w:name="bookmark15"/>
      <w:bookmarkEnd w:id="257"/>
      <w:bookmarkStart w:id="258" w:name="_Toc20838"/>
      <w:r>
        <w:rPr>
          <w:rFonts w:ascii="宋体" w:hAnsi="宋体" w:eastAsia="宋体" w:cs="宋体"/>
          <w:b/>
          <w:bCs/>
          <w:color w:val="auto"/>
          <w:spacing w:val="6"/>
          <w:sz w:val="31"/>
          <w:szCs w:val="31"/>
          <w:highlight w:val="none"/>
        </w:rPr>
        <w:t>第三节  合同附件格式</w:t>
      </w:r>
      <w:bookmarkEnd w:id="258"/>
    </w:p>
    <w:p w14:paraId="29DBD12B">
      <w:pPr>
        <w:spacing w:line="295" w:lineRule="auto"/>
        <w:rPr>
          <w:rFonts w:ascii="Arial"/>
          <w:color w:val="auto"/>
          <w:sz w:val="21"/>
          <w:highlight w:val="none"/>
        </w:rPr>
      </w:pPr>
    </w:p>
    <w:p w14:paraId="01A80422">
      <w:pPr>
        <w:spacing w:line="295" w:lineRule="auto"/>
        <w:rPr>
          <w:rFonts w:ascii="Arial"/>
          <w:color w:val="auto"/>
          <w:sz w:val="21"/>
          <w:highlight w:val="none"/>
        </w:rPr>
      </w:pPr>
    </w:p>
    <w:p w14:paraId="159275C2">
      <w:pPr>
        <w:spacing w:before="65" w:line="227" w:lineRule="auto"/>
        <w:outlineLvl w:val="1"/>
        <w:rPr>
          <w:rFonts w:ascii="宋体" w:hAnsi="宋体" w:eastAsia="宋体" w:cs="宋体"/>
          <w:color w:val="auto"/>
          <w:sz w:val="20"/>
          <w:szCs w:val="20"/>
          <w:highlight w:val="none"/>
        </w:rPr>
      </w:pPr>
      <w:bookmarkStart w:id="259" w:name="_Toc9393"/>
      <w:bookmarkStart w:id="260" w:name="_Toc1884"/>
      <w:r>
        <w:rPr>
          <w:rFonts w:ascii="宋体" w:hAnsi="宋体" w:eastAsia="宋体" w:cs="宋体"/>
          <w:b/>
          <w:bCs/>
          <w:color w:val="auto"/>
          <w:spacing w:val="8"/>
          <w:sz w:val="20"/>
          <w:szCs w:val="20"/>
          <w:highlight w:val="none"/>
        </w:rPr>
        <w:t>附件一：合同协议书（详见《交通运输部公路工程标准施工</w:t>
      </w:r>
      <w:r>
        <w:rPr>
          <w:rFonts w:ascii="宋体" w:hAnsi="宋体" w:eastAsia="宋体" w:cs="宋体"/>
          <w:b/>
          <w:bCs/>
          <w:color w:val="auto"/>
          <w:spacing w:val="7"/>
          <w:sz w:val="20"/>
          <w:szCs w:val="20"/>
          <w:highlight w:val="none"/>
        </w:rPr>
        <w:t>监理招标文件（2018</w:t>
      </w:r>
      <w:r>
        <w:rPr>
          <w:rFonts w:ascii="宋体" w:hAnsi="宋体" w:eastAsia="宋体" w:cs="宋体"/>
          <w:color w:val="auto"/>
          <w:spacing w:val="-39"/>
          <w:sz w:val="20"/>
          <w:szCs w:val="20"/>
          <w:highlight w:val="none"/>
        </w:rPr>
        <w:t xml:space="preserve"> </w:t>
      </w:r>
      <w:r>
        <w:rPr>
          <w:rFonts w:ascii="宋体" w:hAnsi="宋体" w:eastAsia="宋体" w:cs="宋体"/>
          <w:b/>
          <w:bCs/>
          <w:color w:val="auto"/>
          <w:spacing w:val="7"/>
          <w:sz w:val="20"/>
          <w:szCs w:val="20"/>
          <w:highlight w:val="none"/>
        </w:rPr>
        <w:t>年版）》</w:t>
      </w:r>
      <w:bookmarkEnd w:id="259"/>
      <w:bookmarkEnd w:id="260"/>
    </w:p>
    <w:p w14:paraId="626B2841">
      <w:pPr>
        <w:spacing w:line="428" w:lineRule="auto"/>
        <w:rPr>
          <w:rFonts w:ascii="Arial"/>
          <w:color w:val="auto"/>
          <w:sz w:val="21"/>
          <w:highlight w:val="none"/>
        </w:rPr>
      </w:pPr>
    </w:p>
    <w:p w14:paraId="01C48178">
      <w:pPr>
        <w:spacing w:before="65" w:line="227" w:lineRule="auto"/>
        <w:outlineLvl w:val="1"/>
        <w:rPr>
          <w:rFonts w:ascii="宋体" w:hAnsi="宋体" w:eastAsia="宋体" w:cs="宋体"/>
          <w:color w:val="auto"/>
          <w:sz w:val="20"/>
          <w:szCs w:val="20"/>
          <w:highlight w:val="none"/>
        </w:rPr>
      </w:pPr>
      <w:bookmarkStart w:id="261" w:name="_Toc8408"/>
      <w:bookmarkStart w:id="262" w:name="_Toc11902"/>
      <w:r>
        <w:rPr>
          <w:rFonts w:ascii="宋体" w:hAnsi="宋体" w:eastAsia="宋体" w:cs="宋体"/>
          <w:b/>
          <w:bCs/>
          <w:color w:val="auto"/>
          <w:spacing w:val="8"/>
          <w:sz w:val="20"/>
          <w:szCs w:val="20"/>
          <w:highlight w:val="none"/>
        </w:rPr>
        <w:t>附件二：廉政合同（详见《交通运输部公路工程标准施</w:t>
      </w:r>
      <w:r>
        <w:rPr>
          <w:rFonts w:ascii="宋体" w:hAnsi="宋体" w:eastAsia="宋体" w:cs="宋体"/>
          <w:b/>
          <w:bCs/>
          <w:color w:val="auto"/>
          <w:spacing w:val="7"/>
          <w:sz w:val="20"/>
          <w:szCs w:val="20"/>
          <w:highlight w:val="none"/>
        </w:rPr>
        <w:t>工监理招标文件（2018</w:t>
      </w:r>
      <w:r>
        <w:rPr>
          <w:rFonts w:ascii="宋体" w:hAnsi="宋体" w:eastAsia="宋体" w:cs="宋体"/>
          <w:color w:val="auto"/>
          <w:spacing w:val="-37"/>
          <w:sz w:val="20"/>
          <w:szCs w:val="20"/>
          <w:highlight w:val="none"/>
        </w:rPr>
        <w:t xml:space="preserve"> </w:t>
      </w:r>
      <w:r>
        <w:rPr>
          <w:rFonts w:ascii="宋体" w:hAnsi="宋体" w:eastAsia="宋体" w:cs="宋体"/>
          <w:b/>
          <w:bCs/>
          <w:color w:val="auto"/>
          <w:spacing w:val="7"/>
          <w:sz w:val="20"/>
          <w:szCs w:val="20"/>
          <w:highlight w:val="none"/>
        </w:rPr>
        <w:t>年版）》</w:t>
      </w:r>
      <w:bookmarkEnd w:id="261"/>
      <w:bookmarkEnd w:id="262"/>
    </w:p>
    <w:p w14:paraId="79235F6D">
      <w:pPr>
        <w:spacing w:line="227" w:lineRule="auto"/>
        <w:rPr>
          <w:rFonts w:ascii="宋体" w:hAnsi="宋体" w:eastAsia="宋体" w:cs="宋体"/>
          <w:color w:val="auto"/>
          <w:sz w:val="20"/>
          <w:szCs w:val="20"/>
          <w:highlight w:val="none"/>
        </w:rPr>
        <w:sectPr>
          <w:footerReference r:id="rId77" w:type="default"/>
          <w:pgSz w:w="11906" w:h="16839"/>
          <w:pgMar w:top="1403" w:right="1785" w:bottom="1297" w:left="1440" w:header="0" w:footer="1065" w:gutter="0"/>
          <w:pgNumType w:fmt="decimal"/>
          <w:cols w:space="720" w:num="1"/>
        </w:sectPr>
      </w:pPr>
    </w:p>
    <w:p w14:paraId="0A2B3DB7">
      <w:pPr>
        <w:spacing w:before="173" w:line="263" w:lineRule="exact"/>
        <w:ind w:left="134"/>
        <w:outlineLvl w:val="1"/>
        <w:rPr>
          <w:rFonts w:ascii="宋体" w:hAnsi="宋体" w:eastAsia="宋体" w:cs="宋体"/>
          <w:b/>
          <w:bCs/>
          <w:color w:val="auto"/>
          <w:spacing w:val="8"/>
          <w:sz w:val="20"/>
          <w:szCs w:val="20"/>
          <w:highlight w:val="none"/>
        </w:rPr>
      </w:pPr>
      <w:bookmarkStart w:id="263" w:name="_Toc10109"/>
      <w:bookmarkStart w:id="264" w:name="_Toc13519"/>
      <w:r>
        <w:rPr>
          <w:rFonts w:ascii="宋体" w:hAnsi="宋体" w:eastAsia="宋体" w:cs="宋体"/>
          <w:b/>
          <w:bCs/>
          <w:color w:val="auto"/>
          <w:spacing w:val="8"/>
          <w:sz w:val="20"/>
          <w:szCs w:val="20"/>
          <w:highlight w:val="none"/>
        </w:rPr>
        <w:drawing>
          <wp:anchor distT="0" distB="0" distL="0" distR="0" simplePos="0" relativeHeight="251700224" behindDoc="1" locked="0" layoutInCell="1" allowOverlap="1">
            <wp:simplePos x="0" y="0"/>
            <wp:positionH relativeFrom="column">
              <wp:posOffset>2207895</wp:posOffset>
            </wp:positionH>
            <wp:positionV relativeFrom="paragraph">
              <wp:posOffset>0</wp:posOffset>
            </wp:positionV>
            <wp:extent cx="66675" cy="304800"/>
            <wp:effectExtent l="0" t="0" r="0" b="0"/>
            <wp:wrapNone/>
            <wp:docPr id="8" name="IM 8">
              <a:hlinkClick xmlns:a="http://schemas.openxmlformats.org/drawingml/2006/main" r:id="rId125"/>
            </wp:docPr>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6"/>
                    <a:stretch>
                      <a:fillRect/>
                    </a:stretch>
                  </pic:blipFill>
                  <pic:spPr>
                    <a:xfrm>
                      <a:off x="0" y="0"/>
                      <a:ext cx="66675" cy="304800"/>
                    </a:xfrm>
                    <a:prstGeom prst="rect">
                      <a:avLst/>
                    </a:prstGeom>
                  </pic:spPr>
                </pic:pic>
              </a:graphicData>
            </a:graphic>
          </wp:anchor>
        </w:drawing>
      </w:r>
      <w:r>
        <w:rPr>
          <w:rFonts w:ascii="宋体" w:hAnsi="宋体" w:eastAsia="宋体" w:cs="宋体"/>
          <w:b/>
          <w:bCs/>
          <w:color w:val="auto"/>
          <w:spacing w:val="8"/>
          <w:sz w:val="20"/>
          <w:szCs w:val="20"/>
          <w:highlight w:val="none"/>
        </w:rPr>
        <w:t>附件三：其他主要监理人员最低要求</w:t>
      </w:r>
      <w:bookmarkEnd w:id="263"/>
      <w:bookmarkEnd w:id="264"/>
    </w:p>
    <w:p w14:paraId="7B4530E4">
      <w:pPr>
        <w:spacing w:before="48"/>
        <w:rPr>
          <w:color w:val="auto"/>
          <w:highlight w:val="none"/>
        </w:rPr>
      </w:pPr>
    </w:p>
    <w:p w14:paraId="2722F4B0">
      <w:pPr>
        <w:spacing w:before="292" w:line="221" w:lineRule="auto"/>
        <w:ind w:left="26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标段：</w:t>
      </w:r>
      <w:r>
        <w:rPr>
          <w:rFonts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r>
        <w:rPr>
          <w:rFonts w:ascii="宋体" w:hAnsi="宋体" w:eastAsia="宋体" w:cs="宋体"/>
          <w:color w:val="auto"/>
          <w:sz w:val="20"/>
          <w:szCs w:val="20"/>
          <w:highlight w:val="none"/>
          <w:u w:val="single" w:color="auto"/>
        </w:rPr>
        <w:t xml:space="preserve">      </w:t>
      </w:r>
    </w:p>
    <w:tbl>
      <w:tblPr>
        <w:tblStyle w:val="16"/>
        <w:tblW w:w="9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46"/>
        <w:gridCol w:w="738"/>
        <w:gridCol w:w="7059"/>
      </w:tblGrid>
      <w:tr w14:paraId="3134E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81" w:type="dxa"/>
            <w:gridSpan w:val="2"/>
            <w:vAlign w:val="top"/>
          </w:tcPr>
          <w:p w14:paraId="2E8B43C3">
            <w:pPr>
              <w:pStyle w:val="17"/>
              <w:spacing w:before="201" w:line="229" w:lineRule="auto"/>
              <w:ind w:left="689"/>
              <w:rPr>
                <w:color w:val="auto"/>
                <w:highlight w:val="none"/>
              </w:rPr>
            </w:pPr>
            <w:r>
              <w:rPr>
                <w:color w:val="auto"/>
                <w:spacing w:val="3"/>
                <w:highlight w:val="none"/>
              </w:rPr>
              <w:t>人员</w:t>
            </w:r>
          </w:p>
        </w:tc>
        <w:tc>
          <w:tcPr>
            <w:tcW w:w="738" w:type="dxa"/>
            <w:vAlign w:val="top"/>
          </w:tcPr>
          <w:p w14:paraId="7C1D644C">
            <w:pPr>
              <w:pStyle w:val="17"/>
              <w:spacing w:before="201" w:line="228" w:lineRule="auto"/>
              <w:ind w:left="165"/>
              <w:rPr>
                <w:color w:val="auto"/>
                <w:highlight w:val="none"/>
              </w:rPr>
            </w:pPr>
            <w:r>
              <w:rPr>
                <w:color w:val="auto"/>
                <w:spacing w:val="3"/>
                <w:highlight w:val="none"/>
              </w:rPr>
              <w:t>数量</w:t>
            </w:r>
          </w:p>
        </w:tc>
        <w:tc>
          <w:tcPr>
            <w:tcW w:w="7059" w:type="dxa"/>
            <w:vAlign w:val="top"/>
          </w:tcPr>
          <w:p w14:paraId="47014B6D">
            <w:pPr>
              <w:pStyle w:val="17"/>
              <w:spacing w:before="201" w:line="228" w:lineRule="auto"/>
              <w:ind w:left="3123"/>
              <w:rPr>
                <w:color w:val="auto"/>
                <w:highlight w:val="none"/>
              </w:rPr>
            </w:pPr>
            <w:r>
              <w:rPr>
                <w:color w:val="auto"/>
                <w:spacing w:val="5"/>
                <w:highlight w:val="none"/>
              </w:rPr>
              <w:t>资格要求</w:t>
            </w:r>
          </w:p>
        </w:tc>
      </w:tr>
      <w:tr w14:paraId="1307E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635" w:type="dxa"/>
            <w:vMerge w:val="restart"/>
            <w:tcBorders>
              <w:bottom w:val="nil"/>
            </w:tcBorders>
            <w:textDirection w:val="tbRlV"/>
            <w:vAlign w:val="top"/>
          </w:tcPr>
          <w:p w14:paraId="50CD81D5">
            <w:pPr>
              <w:pStyle w:val="17"/>
              <w:spacing w:before="212" w:line="216" w:lineRule="auto"/>
              <w:ind w:left="3570"/>
              <w:rPr>
                <w:color w:val="auto"/>
                <w:highlight w:val="none"/>
              </w:rPr>
            </w:pPr>
            <w:r>
              <w:rPr>
                <w:color w:val="auto"/>
                <w:spacing w:val="8"/>
                <w:highlight w:val="none"/>
              </w:rPr>
              <w:t>专</w:t>
            </w:r>
            <w:r>
              <w:rPr>
                <w:color w:val="auto"/>
                <w:spacing w:val="55"/>
                <w:highlight w:val="none"/>
              </w:rPr>
              <w:t xml:space="preserve"> </w:t>
            </w:r>
            <w:r>
              <w:rPr>
                <w:color w:val="auto"/>
                <w:spacing w:val="8"/>
                <w:highlight w:val="none"/>
              </w:rPr>
              <w:t>业</w:t>
            </w:r>
            <w:r>
              <w:rPr>
                <w:color w:val="auto"/>
                <w:spacing w:val="51"/>
                <w:highlight w:val="none"/>
              </w:rPr>
              <w:t xml:space="preserve"> </w:t>
            </w:r>
            <w:r>
              <w:rPr>
                <w:color w:val="auto"/>
                <w:spacing w:val="8"/>
                <w:highlight w:val="none"/>
              </w:rPr>
              <w:t>监</w:t>
            </w:r>
            <w:r>
              <w:rPr>
                <w:color w:val="auto"/>
                <w:spacing w:val="52"/>
                <w:highlight w:val="none"/>
              </w:rPr>
              <w:t xml:space="preserve"> </w:t>
            </w:r>
            <w:r>
              <w:rPr>
                <w:color w:val="auto"/>
                <w:spacing w:val="8"/>
                <w:highlight w:val="none"/>
              </w:rPr>
              <w:t>理</w:t>
            </w:r>
            <w:r>
              <w:rPr>
                <w:color w:val="auto"/>
                <w:spacing w:val="51"/>
                <w:highlight w:val="none"/>
              </w:rPr>
              <w:t xml:space="preserve"> </w:t>
            </w:r>
            <w:r>
              <w:rPr>
                <w:color w:val="auto"/>
                <w:spacing w:val="8"/>
                <w:highlight w:val="none"/>
              </w:rPr>
              <w:t>工</w:t>
            </w:r>
            <w:r>
              <w:rPr>
                <w:color w:val="auto"/>
                <w:spacing w:val="51"/>
                <w:highlight w:val="none"/>
              </w:rPr>
              <w:t xml:space="preserve"> </w:t>
            </w:r>
            <w:r>
              <w:rPr>
                <w:color w:val="auto"/>
                <w:spacing w:val="8"/>
                <w:highlight w:val="none"/>
              </w:rPr>
              <w:t>程</w:t>
            </w:r>
            <w:r>
              <w:rPr>
                <w:color w:val="auto"/>
                <w:spacing w:val="51"/>
                <w:highlight w:val="none"/>
              </w:rPr>
              <w:t xml:space="preserve"> </w:t>
            </w:r>
            <w:r>
              <w:rPr>
                <w:color w:val="auto"/>
                <w:spacing w:val="8"/>
                <w:highlight w:val="none"/>
              </w:rPr>
              <w:t>师</w:t>
            </w:r>
          </w:p>
        </w:tc>
        <w:tc>
          <w:tcPr>
            <w:tcW w:w="1146" w:type="dxa"/>
            <w:vAlign w:val="top"/>
          </w:tcPr>
          <w:p w14:paraId="69C94829">
            <w:pPr>
              <w:spacing w:line="295" w:lineRule="auto"/>
              <w:rPr>
                <w:rFonts w:ascii="Arial"/>
                <w:color w:val="auto"/>
                <w:sz w:val="21"/>
                <w:highlight w:val="none"/>
              </w:rPr>
            </w:pPr>
          </w:p>
          <w:p w14:paraId="6931BC18">
            <w:pPr>
              <w:spacing w:line="295" w:lineRule="auto"/>
              <w:rPr>
                <w:rFonts w:ascii="Arial"/>
                <w:color w:val="auto"/>
                <w:sz w:val="21"/>
                <w:highlight w:val="none"/>
              </w:rPr>
            </w:pPr>
          </w:p>
          <w:p w14:paraId="7F66D069">
            <w:pPr>
              <w:pStyle w:val="17"/>
              <w:spacing w:before="65" w:line="228" w:lineRule="auto"/>
              <w:ind w:left="157"/>
              <w:rPr>
                <w:color w:val="auto"/>
                <w:highlight w:val="none"/>
              </w:rPr>
            </w:pPr>
            <w:r>
              <w:rPr>
                <w:color w:val="auto"/>
                <w:spacing w:val="6"/>
                <w:highlight w:val="none"/>
              </w:rPr>
              <w:t>路基工程</w:t>
            </w:r>
          </w:p>
        </w:tc>
        <w:tc>
          <w:tcPr>
            <w:tcW w:w="738" w:type="dxa"/>
            <w:vAlign w:val="center"/>
          </w:tcPr>
          <w:p w14:paraId="544A2D94">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2965245C">
            <w:pPr>
              <w:pStyle w:val="17"/>
              <w:spacing w:before="120" w:line="300" w:lineRule="auto"/>
              <w:ind w:left="111" w:right="109" w:firstLine="5"/>
              <w:jc w:val="both"/>
              <w:rPr>
                <w:color w:val="auto"/>
                <w:highlight w:val="none"/>
              </w:rPr>
            </w:pPr>
            <w:r>
              <w:rPr>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52705</wp:posOffset>
                      </wp:positionH>
                      <wp:positionV relativeFrom="paragraph">
                        <wp:posOffset>751840</wp:posOffset>
                      </wp:positionV>
                      <wp:extent cx="160020" cy="1790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0020" cy="179070"/>
                              </a:xfrm>
                              <a:prstGeom prst="rect">
                                <a:avLst/>
                              </a:prstGeom>
                              <a:noFill/>
                              <a:ln>
                                <a:noFill/>
                              </a:ln>
                            </wps:spPr>
                            <wps:txbx>
                              <w:txbxContent>
                                <w:p w14:paraId="5850D41D">
                                  <w:pPr>
                                    <w:tabs>
                                      <w:tab w:val="left" w:pos="231"/>
                                    </w:tabs>
                                    <w:spacing w:before="20"/>
                                    <w:ind w:left="20"/>
                                    <w:rPr>
                                      <w:rFonts w:ascii="Arial"/>
                                      <w:sz w:val="21"/>
                                    </w:rPr>
                                  </w:pPr>
                                  <w:r>
                                    <w:rPr>
                                      <w:rFonts w:ascii="Arial" w:hAnsi="Arial" w:eastAsia="Arial" w:cs="Arial"/>
                                      <w:sz w:val="21"/>
                                      <w:szCs w:val="21"/>
                                      <w:u w:val="single" w:color="auto"/>
                                    </w:rPr>
                                    <w:tab/>
                                  </w:r>
                                </w:p>
                              </w:txbxContent>
                            </wps:txbx>
                            <wps:bodyPr lIns="0" tIns="0" rIns="0" bIns="0" upright="1"/>
                          </wps:wsp>
                        </a:graphicData>
                      </a:graphic>
                    </wp:anchor>
                  </w:drawing>
                </mc:Choice>
                <mc:Fallback>
                  <w:pict>
                    <v:shape id="_x0000_s1026" o:spid="_x0000_s1026" o:spt="202" type="#_x0000_t202" style="position:absolute;left:0pt;margin-left:4.15pt;margin-top:59.2pt;height:14.1pt;width:12.6pt;z-index:251710464;mso-width-relative:page;mso-height-relative:page;" filled="f" stroked="f" coordsize="21600,21600" o:gfxdata="UEsDBAoAAAAAAIdO4kAAAAAAAAAAAAAAAAAEAAAAZHJzL1BLAwQUAAAACACHTuJA//rJn9cAAAAI&#10;AQAADwAAAGRycy9kb3ducmV2LnhtbE2PT0+EMBDF7yZ+h2ZMvLktshJEysYYPZkYWTx4LHQWyNIp&#10;0u4fv73jSY/z3sub3ys3ZzeJIy5h9KQhWSkQSJ23I/UaPpqXmxxEiIasmTyhhm8MsKkuL0pTWH+i&#10;Go/b2AsuoVAYDUOMcyFl6AZ0Jqz8jMTezi/ORD6XXtrFnLjcTfJWqUw6MxJ/GMyMTwN2++3BaXj8&#10;pPp5/Hpr3+tdPTbNvaLXbK/19VWiHkBEPMe/MPziMzpUzNT6A9kgJg15ykGWk3wNgv00vQPRsrDO&#10;MpBVKf8PqH4AUEsDBBQAAAAIAIdO4kBWD70DuQEAAHEDAAAOAAAAZHJzL2Uyb0RvYy54bWytU0uO&#10;EzEQ3SNxB8t70p2MNAOtdEZC0SAkBEjDHMBx22lL/qnKSXcuADdgxYY958o5KDvpDAybWbBxl6vK&#10;z++9ci9vR2fZXgGa4Fs+n9WcKS9DZ/y25Q9f7l695gyT8J2wwauWHxTy29XLF8shNmoR+mA7BYxA&#10;PDZDbHmfUmyqCmWvnMBZiMpTUQdwItEWtlUHYiB0Z6tFXV9XQ4AuQpAKkbLrU5GfEeE5gEFrI9U6&#10;yJ1TPp1QQVmRSBL2JiJfFbZaK5k+aY0qMdtyUprKSpdQvMlrtVqKZgsi9kaeKYjnUHiiyQnj6dIL&#10;1FokwXZg/oFyRkLAoNNMBledhBRHSMW8fuLNfS+iKlrIaowX0/H/wcqP+8/ATNfyK868cDTw4/dv&#10;xx+/jj+/sqtszxCxoa77SH1pfBtGejRTHimZVY8aXP6SHkZ1MvdwMVeNicl86LquF1SRVJrfvKlv&#10;ivnV4+EImN6p4FgOWg40u2Kp2H/ARESodWrJd/lwZ6wt87P+rwQ15kyVmZ8Y5iiNm/EsZxO6A6mx&#10;7z05mV/FFMAUbKZgF8Fse6JTNBdImkQhc341edR/7svFj3/K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mf1wAAAAgBAAAPAAAAAAAAAAEAIAAAACIAAABkcnMvZG93bnJldi54bWxQSwECFAAU&#10;AAAACACHTuJAVg+9A7kBAABxAwAADgAAAAAAAAABACAAAAAmAQAAZHJzL2Uyb0RvYy54bWxQSwUG&#10;AAAAAAYABgBZAQAAUQUAAAAA&#10;">
                      <v:fill on="f" focussize="0,0"/>
                      <v:stroke on="f"/>
                      <v:imagedata o:title=""/>
                      <o:lock v:ext="edit" aspectratio="f"/>
                      <v:textbox inset="0mm,0mm,0mm,0mm">
                        <w:txbxContent>
                          <w:p w14:paraId="5850D41D">
                            <w:pPr>
                              <w:tabs>
                                <w:tab w:val="left" w:pos="231"/>
                              </w:tabs>
                              <w:spacing w:before="20"/>
                              <w:ind w:left="20"/>
                              <w:rPr>
                                <w:rFonts w:ascii="Arial"/>
                                <w:sz w:val="21"/>
                              </w:rPr>
                            </w:pPr>
                            <w:r>
                              <w:rPr>
                                <w:rFonts w:ascii="Arial" w:hAnsi="Arial" w:eastAsia="Arial" w:cs="Arial"/>
                                <w:sz w:val="21"/>
                                <w:szCs w:val="21"/>
                                <w:u w:val="single" w:color="auto"/>
                              </w:rPr>
                              <w:tab/>
                            </w:r>
                          </w:p>
                        </w:txbxContent>
                      </v:textbox>
                    </v:shape>
                  </w:pict>
                </mc:Fallback>
              </mc:AlternateContent>
            </w: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或具有交通运输部核发的公路工程道桥专业监理工程师资格证书；具有路桥相关专业</w:t>
            </w:r>
            <w:r>
              <w:rPr>
                <w:color w:val="auto"/>
                <w:spacing w:val="13"/>
                <w:highlight w:val="none"/>
                <w:u w:val="single" w:color="auto"/>
              </w:rPr>
              <w:t>中级及以</w:t>
            </w:r>
            <w:r>
              <w:rPr>
                <w:color w:val="auto"/>
                <w:spacing w:val="8"/>
                <w:highlight w:val="none"/>
              </w:rPr>
              <w:t>上技术职称；从事公路路基工程监理工作</w:t>
            </w:r>
            <w:r>
              <w:rPr>
                <w:color w:val="auto"/>
                <w:spacing w:val="-33"/>
                <w:highlight w:val="none"/>
              </w:rPr>
              <w:t xml:space="preserve"> </w:t>
            </w:r>
            <w:r>
              <w:rPr>
                <w:color w:val="auto"/>
                <w:spacing w:val="8"/>
                <w:highlight w:val="none"/>
              </w:rPr>
              <w:t>5</w:t>
            </w:r>
            <w:r>
              <w:rPr>
                <w:color w:val="auto"/>
                <w:spacing w:val="-37"/>
                <w:highlight w:val="none"/>
              </w:rPr>
              <w:t xml:space="preserve"> </w:t>
            </w:r>
            <w:r>
              <w:rPr>
                <w:color w:val="auto"/>
                <w:spacing w:val="8"/>
                <w:highlight w:val="none"/>
              </w:rPr>
              <w:t>年</w:t>
            </w:r>
            <w:r>
              <w:rPr>
                <w:color w:val="auto"/>
                <w:spacing w:val="7"/>
                <w:highlight w:val="none"/>
              </w:rPr>
              <w:t>以上。</w:t>
            </w:r>
          </w:p>
        </w:tc>
      </w:tr>
      <w:tr w14:paraId="724A6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635" w:type="dxa"/>
            <w:vMerge w:val="continue"/>
            <w:tcBorders>
              <w:top w:val="nil"/>
              <w:bottom w:val="nil"/>
            </w:tcBorders>
            <w:textDirection w:val="tbRlV"/>
            <w:vAlign w:val="top"/>
          </w:tcPr>
          <w:p w14:paraId="21163EAC">
            <w:pPr>
              <w:rPr>
                <w:rFonts w:ascii="Arial"/>
                <w:color w:val="auto"/>
                <w:sz w:val="21"/>
                <w:highlight w:val="none"/>
              </w:rPr>
            </w:pPr>
          </w:p>
        </w:tc>
        <w:tc>
          <w:tcPr>
            <w:tcW w:w="1146" w:type="dxa"/>
            <w:vAlign w:val="top"/>
          </w:tcPr>
          <w:p w14:paraId="5351956E">
            <w:pPr>
              <w:spacing w:line="302" w:lineRule="auto"/>
              <w:rPr>
                <w:rFonts w:ascii="Arial"/>
                <w:color w:val="auto"/>
                <w:sz w:val="21"/>
                <w:highlight w:val="none"/>
              </w:rPr>
            </w:pPr>
          </w:p>
          <w:p w14:paraId="70C08525">
            <w:pPr>
              <w:spacing w:line="302" w:lineRule="auto"/>
              <w:rPr>
                <w:rFonts w:ascii="Arial"/>
                <w:color w:val="auto"/>
                <w:sz w:val="21"/>
                <w:highlight w:val="none"/>
              </w:rPr>
            </w:pPr>
          </w:p>
          <w:p w14:paraId="3D35865F">
            <w:pPr>
              <w:pStyle w:val="17"/>
              <w:spacing w:before="65" w:line="228" w:lineRule="auto"/>
              <w:ind w:left="157"/>
              <w:rPr>
                <w:color w:val="auto"/>
                <w:highlight w:val="none"/>
              </w:rPr>
            </w:pPr>
            <w:r>
              <w:rPr>
                <w:color w:val="auto"/>
                <w:spacing w:val="6"/>
                <w:highlight w:val="none"/>
              </w:rPr>
              <w:t>路面工程</w:t>
            </w:r>
          </w:p>
        </w:tc>
        <w:tc>
          <w:tcPr>
            <w:tcW w:w="738" w:type="dxa"/>
            <w:vAlign w:val="center"/>
          </w:tcPr>
          <w:p w14:paraId="5B60613B">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554D84B5">
            <w:pPr>
              <w:pStyle w:val="17"/>
              <w:spacing w:before="135" w:line="300" w:lineRule="auto"/>
              <w:ind w:left="111" w:right="109" w:firstLine="5"/>
              <w:jc w:val="both"/>
              <w:rPr>
                <w:color w:val="auto"/>
                <w:highlight w:val="none"/>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或具有交通运输部核发的公路工程道桥专业监理工程师资格证书；具有路桥相关专业</w:t>
            </w:r>
            <w:r>
              <w:rPr>
                <w:color w:val="auto"/>
                <w:spacing w:val="13"/>
                <w:highlight w:val="none"/>
                <w:u w:val="single" w:color="auto"/>
              </w:rPr>
              <w:t>中级及以</w:t>
            </w:r>
            <w:r>
              <w:rPr>
                <w:color w:val="auto"/>
                <w:spacing w:val="8"/>
                <w:highlight w:val="none"/>
                <w:u w:val="single" w:color="auto"/>
              </w:rPr>
              <w:t>上</w:t>
            </w:r>
            <w:r>
              <w:rPr>
                <w:color w:val="auto"/>
                <w:spacing w:val="8"/>
                <w:highlight w:val="none"/>
              </w:rPr>
              <w:t>技术职称；从事公路路面工程监理工作</w:t>
            </w:r>
            <w:r>
              <w:rPr>
                <w:color w:val="auto"/>
                <w:spacing w:val="-33"/>
                <w:highlight w:val="none"/>
              </w:rPr>
              <w:t xml:space="preserve"> </w:t>
            </w:r>
            <w:r>
              <w:rPr>
                <w:color w:val="auto"/>
                <w:spacing w:val="8"/>
                <w:highlight w:val="none"/>
              </w:rPr>
              <w:t>5</w:t>
            </w:r>
            <w:r>
              <w:rPr>
                <w:color w:val="auto"/>
                <w:spacing w:val="-37"/>
                <w:highlight w:val="none"/>
              </w:rPr>
              <w:t xml:space="preserve"> </w:t>
            </w:r>
            <w:r>
              <w:rPr>
                <w:color w:val="auto"/>
                <w:spacing w:val="8"/>
                <w:highlight w:val="none"/>
              </w:rPr>
              <w:t>年</w:t>
            </w:r>
            <w:r>
              <w:rPr>
                <w:color w:val="auto"/>
                <w:spacing w:val="7"/>
                <w:highlight w:val="none"/>
              </w:rPr>
              <w:t>以上。</w:t>
            </w:r>
          </w:p>
        </w:tc>
      </w:tr>
      <w:tr w14:paraId="644FA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5" w:type="dxa"/>
            <w:vMerge w:val="continue"/>
            <w:tcBorders>
              <w:top w:val="nil"/>
              <w:bottom w:val="nil"/>
            </w:tcBorders>
            <w:textDirection w:val="tbRlV"/>
            <w:vAlign w:val="top"/>
          </w:tcPr>
          <w:p w14:paraId="31343D42">
            <w:pPr>
              <w:rPr>
                <w:rFonts w:ascii="Arial"/>
                <w:color w:val="auto"/>
                <w:sz w:val="21"/>
                <w:highlight w:val="none"/>
              </w:rPr>
            </w:pPr>
          </w:p>
        </w:tc>
        <w:tc>
          <w:tcPr>
            <w:tcW w:w="1146" w:type="dxa"/>
            <w:vAlign w:val="top"/>
          </w:tcPr>
          <w:p w14:paraId="1A0A1A4B">
            <w:pPr>
              <w:spacing w:line="302" w:lineRule="auto"/>
              <w:rPr>
                <w:rFonts w:ascii="Arial"/>
                <w:color w:val="auto"/>
                <w:sz w:val="21"/>
                <w:highlight w:val="none"/>
              </w:rPr>
            </w:pPr>
          </w:p>
          <w:p w14:paraId="0DB00348">
            <w:pPr>
              <w:spacing w:line="302" w:lineRule="auto"/>
              <w:rPr>
                <w:rFonts w:ascii="Arial"/>
                <w:color w:val="auto"/>
                <w:sz w:val="21"/>
                <w:highlight w:val="none"/>
              </w:rPr>
            </w:pPr>
          </w:p>
          <w:p w14:paraId="45EFD525">
            <w:pPr>
              <w:pStyle w:val="17"/>
              <w:spacing w:before="65" w:line="228" w:lineRule="auto"/>
              <w:ind w:left="155"/>
              <w:rPr>
                <w:color w:val="auto"/>
                <w:highlight w:val="none"/>
              </w:rPr>
            </w:pPr>
            <w:r>
              <w:rPr>
                <w:color w:val="auto"/>
                <w:spacing w:val="7"/>
                <w:highlight w:val="none"/>
              </w:rPr>
              <w:t>桥梁工程</w:t>
            </w:r>
          </w:p>
        </w:tc>
        <w:tc>
          <w:tcPr>
            <w:tcW w:w="738" w:type="dxa"/>
            <w:vAlign w:val="center"/>
          </w:tcPr>
          <w:p w14:paraId="122C6B25">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0</w:t>
            </w:r>
          </w:p>
        </w:tc>
        <w:tc>
          <w:tcPr>
            <w:tcW w:w="7059" w:type="dxa"/>
            <w:vAlign w:val="top"/>
          </w:tcPr>
          <w:p w14:paraId="7B0D62B3">
            <w:pPr>
              <w:pStyle w:val="17"/>
              <w:spacing w:before="134" w:line="300" w:lineRule="auto"/>
              <w:ind w:left="111" w:right="109" w:firstLine="5"/>
              <w:jc w:val="both"/>
              <w:rPr>
                <w:color w:val="auto"/>
                <w:highlight w:val="none"/>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或具有交通运输部核发的公路工程道桥专业监理工程师资格证书；具有路桥相关专业</w:t>
            </w:r>
            <w:r>
              <w:rPr>
                <w:color w:val="auto"/>
                <w:spacing w:val="13"/>
                <w:highlight w:val="none"/>
                <w:u w:val="single" w:color="auto"/>
              </w:rPr>
              <w:t>中级及以</w:t>
            </w:r>
            <w:r>
              <w:rPr>
                <w:color w:val="auto"/>
                <w:spacing w:val="8"/>
                <w:highlight w:val="none"/>
                <w:u w:val="single" w:color="auto"/>
              </w:rPr>
              <w:t>上</w:t>
            </w:r>
            <w:r>
              <w:rPr>
                <w:color w:val="auto"/>
                <w:spacing w:val="8"/>
                <w:highlight w:val="none"/>
              </w:rPr>
              <w:t>技术职称；从事桥梁工程监理工作</w:t>
            </w:r>
            <w:r>
              <w:rPr>
                <w:color w:val="auto"/>
                <w:spacing w:val="-32"/>
                <w:highlight w:val="none"/>
              </w:rPr>
              <w:t xml:space="preserve"> </w:t>
            </w:r>
            <w:r>
              <w:rPr>
                <w:color w:val="auto"/>
                <w:spacing w:val="8"/>
                <w:highlight w:val="none"/>
              </w:rPr>
              <w:t>5 年以</w:t>
            </w:r>
            <w:r>
              <w:rPr>
                <w:color w:val="auto"/>
                <w:spacing w:val="7"/>
                <w:highlight w:val="none"/>
              </w:rPr>
              <w:t>上。</w:t>
            </w:r>
          </w:p>
        </w:tc>
      </w:tr>
      <w:tr w14:paraId="53913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5" w:type="dxa"/>
            <w:vMerge w:val="continue"/>
            <w:tcBorders>
              <w:top w:val="nil"/>
              <w:bottom w:val="nil"/>
            </w:tcBorders>
            <w:textDirection w:val="tbRlV"/>
            <w:vAlign w:val="top"/>
          </w:tcPr>
          <w:p w14:paraId="2EF72C27">
            <w:pPr>
              <w:rPr>
                <w:rFonts w:ascii="Arial"/>
                <w:color w:val="auto"/>
                <w:sz w:val="21"/>
                <w:highlight w:val="none"/>
              </w:rPr>
            </w:pPr>
          </w:p>
        </w:tc>
        <w:tc>
          <w:tcPr>
            <w:tcW w:w="1146" w:type="dxa"/>
            <w:vAlign w:val="top"/>
          </w:tcPr>
          <w:p w14:paraId="1B865B72">
            <w:pPr>
              <w:spacing w:line="304" w:lineRule="auto"/>
              <w:rPr>
                <w:rFonts w:ascii="Arial"/>
                <w:color w:val="auto"/>
                <w:sz w:val="21"/>
                <w:highlight w:val="none"/>
              </w:rPr>
            </w:pPr>
          </w:p>
          <w:p w14:paraId="2869BCE1">
            <w:pPr>
              <w:spacing w:line="304" w:lineRule="auto"/>
              <w:rPr>
                <w:rFonts w:ascii="Arial"/>
                <w:color w:val="auto"/>
                <w:sz w:val="21"/>
                <w:highlight w:val="none"/>
              </w:rPr>
            </w:pPr>
          </w:p>
          <w:p w14:paraId="706C79C1">
            <w:pPr>
              <w:pStyle w:val="17"/>
              <w:spacing w:before="65" w:line="228" w:lineRule="auto"/>
              <w:ind w:left="166"/>
              <w:rPr>
                <w:color w:val="auto"/>
                <w:highlight w:val="none"/>
              </w:rPr>
            </w:pPr>
            <w:r>
              <w:rPr>
                <w:color w:val="auto"/>
                <w:spacing w:val="4"/>
                <w:highlight w:val="none"/>
              </w:rPr>
              <w:t>隧道工程</w:t>
            </w:r>
          </w:p>
        </w:tc>
        <w:tc>
          <w:tcPr>
            <w:tcW w:w="738" w:type="dxa"/>
            <w:vAlign w:val="center"/>
          </w:tcPr>
          <w:p w14:paraId="4722A2B0">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0</w:t>
            </w:r>
          </w:p>
        </w:tc>
        <w:tc>
          <w:tcPr>
            <w:tcW w:w="7059" w:type="dxa"/>
            <w:vAlign w:val="top"/>
          </w:tcPr>
          <w:p w14:paraId="768D6C8C">
            <w:pPr>
              <w:pStyle w:val="17"/>
              <w:spacing w:before="138" w:line="299" w:lineRule="auto"/>
              <w:ind w:left="111" w:right="109" w:firstLine="5"/>
              <w:rPr>
                <w:color w:val="auto"/>
                <w:highlight w:val="none"/>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或具有交通运输部核发的公路工程隧道专业监理工程师资格证书；具有</w:t>
            </w:r>
            <w:r>
              <w:rPr>
                <w:color w:val="auto"/>
                <w:spacing w:val="13"/>
                <w:highlight w:val="none"/>
                <w:u w:val="single" w:color="auto"/>
              </w:rPr>
              <w:t>中级及以上</w:t>
            </w:r>
            <w:r>
              <w:rPr>
                <w:color w:val="auto"/>
                <w:spacing w:val="13"/>
                <w:highlight w:val="none"/>
              </w:rPr>
              <w:t>技术职称；</w:t>
            </w:r>
            <w:r>
              <w:rPr>
                <w:color w:val="auto"/>
                <w:spacing w:val="6"/>
                <w:highlight w:val="none"/>
              </w:rPr>
              <w:t>从事隧道工程监理工作</w:t>
            </w:r>
            <w:r>
              <w:rPr>
                <w:color w:val="auto"/>
                <w:spacing w:val="-22"/>
                <w:highlight w:val="none"/>
              </w:rPr>
              <w:t xml:space="preserve"> </w:t>
            </w:r>
            <w:r>
              <w:rPr>
                <w:color w:val="auto"/>
                <w:spacing w:val="6"/>
                <w:highlight w:val="none"/>
              </w:rPr>
              <w:t>5</w:t>
            </w:r>
            <w:r>
              <w:rPr>
                <w:color w:val="auto"/>
                <w:spacing w:val="-37"/>
                <w:highlight w:val="none"/>
              </w:rPr>
              <w:t xml:space="preserve"> </w:t>
            </w:r>
            <w:r>
              <w:rPr>
                <w:color w:val="auto"/>
                <w:spacing w:val="6"/>
                <w:highlight w:val="none"/>
              </w:rPr>
              <w:t>年以上。</w:t>
            </w:r>
          </w:p>
        </w:tc>
      </w:tr>
      <w:tr w14:paraId="13AA1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35" w:type="dxa"/>
            <w:vMerge w:val="continue"/>
            <w:tcBorders>
              <w:top w:val="nil"/>
              <w:bottom w:val="nil"/>
            </w:tcBorders>
            <w:textDirection w:val="tbRlV"/>
            <w:vAlign w:val="top"/>
          </w:tcPr>
          <w:p w14:paraId="386EC1D9">
            <w:pPr>
              <w:rPr>
                <w:rFonts w:ascii="Arial"/>
                <w:color w:val="auto"/>
                <w:sz w:val="21"/>
                <w:highlight w:val="none"/>
              </w:rPr>
            </w:pPr>
          </w:p>
        </w:tc>
        <w:tc>
          <w:tcPr>
            <w:tcW w:w="1146" w:type="dxa"/>
            <w:vAlign w:val="top"/>
          </w:tcPr>
          <w:p w14:paraId="56967488">
            <w:pPr>
              <w:spacing w:line="251" w:lineRule="auto"/>
              <w:rPr>
                <w:rFonts w:ascii="Arial"/>
                <w:color w:val="auto"/>
                <w:sz w:val="21"/>
                <w:highlight w:val="none"/>
              </w:rPr>
            </w:pPr>
          </w:p>
          <w:p w14:paraId="022594D9">
            <w:pPr>
              <w:pStyle w:val="17"/>
              <w:spacing w:before="65" w:line="221" w:lineRule="auto"/>
              <w:ind w:left="156"/>
              <w:rPr>
                <w:color w:val="auto"/>
                <w:highlight w:val="none"/>
              </w:rPr>
            </w:pPr>
            <w:r>
              <w:rPr>
                <w:color w:val="auto"/>
                <w:spacing w:val="7"/>
                <w:highlight w:val="none"/>
              </w:rPr>
              <w:t>合同管理</w:t>
            </w:r>
          </w:p>
          <w:p w14:paraId="28AA7187">
            <w:pPr>
              <w:pStyle w:val="17"/>
              <w:spacing w:before="103" w:line="228" w:lineRule="auto"/>
              <w:ind w:left="520"/>
              <w:rPr>
                <w:color w:val="auto"/>
                <w:sz w:val="10"/>
                <w:szCs w:val="10"/>
                <w:highlight w:val="none"/>
              </w:rPr>
            </w:pPr>
            <w:r>
              <w:rPr>
                <w:color w:val="auto"/>
                <w:highlight w:val="none"/>
              </w:rPr>
              <w:fldChar w:fldCharType="begin"/>
            </w:r>
            <w:r>
              <w:rPr>
                <w:color w:val="auto"/>
                <w:highlight w:val="none"/>
              </w:rPr>
              <w:instrText xml:space="preserve"> HYPERLINK \l "bookmark96" </w:instrText>
            </w:r>
            <w:r>
              <w:rPr>
                <w:color w:val="auto"/>
                <w:highlight w:val="none"/>
              </w:rPr>
              <w:fldChar w:fldCharType="separate"/>
            </w:r>
            <w:r>
              <w:rPr>
                <w:color w:val="auto"/>
                <w:spacing w:val="2"/>
                <w:sz w:val="10"/>
                <w:szCs w:val="10"/>
                <w:highlight w:val="none"/>
              </w:rPr>
              <w:t>②</w:t>
            </w:r>
            <w:r>
              <w:rPr>
                <w:color w:val="auto"/>
                <w:spacing w:val="2"/>
                <w:sz w:val="10"/>
                <w:szCs w:val="10"/>
                <w:highlight w:val="none"/>
              </w:rPr>
              <w:fldChar w:fldCharType="end"/>
            </w:r>
          </w:p>
        </w:tc>
        <w:tc>
          <w:tcPr>
            <w:tcW w:w="738" w:type="dxa"/>
            <w:vAlign w:val="center"/>
          </w:tcPr>
          <w:p w14:paraId="09048934">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1630DDF6">
            <w:pPr>
              <w:pStyle w:val="17"/>
              <w:spacing w:before="138" w:line="288" w:lineRule="auto"/>
              <w:ind w:left="111" w:right="107" w:firstLine="5"/>
              <w:jc w:val="both"/>
              <w:rPr>
                <w:color w:val="auto"/>
                <w:highlight w:val="none"/>
              </w:rPr>
            </w:pPr>
            <w:r>
              <w:rPr>
                <w:color w:val="auto"/>
                <w:spacing w:val="12"/>
                <w:highlight w:val="none"/>
              </w:rPr>
              <w:t>具有</w:t>
            </w:r>
            <w:r>
              <w:rPr>
                <w:color w:val="auto"/>
                <w:spacing w:val="-80"/>
                <w:highlight w:val="none"/>
              </w:rPr>
              <w:t xml:space="preserve"> </w:t>
            </w:r>
            <w:r>
              <w:rPr>
                <w:color w:val="auto"/>
                <w:spacing w:val="8"/>
                <w:highlight w:val="none"/>
                <w:u w:val="single" w:color="auto"/>
              </w:rPr>
              <w:t xml:space="preserve">  </w:t>
            </w:r>
            <w:r>
              <w:rPr>
                <w:rFonts w:hint="eastAsia"/>
                <w:color w:val="auto"/>
                <w:spacing w:val="8"/>
                <w:highlight w:val="none"/>
                <w:u w:val="single" w:color="auto"/>
                <w:lang w:val="en-US" w:eastAsia="zh-CN"/>
              </w:rPr>
              <w:t>一</w:t>
            </w:r>
            <w:r>
              <w:rPr>
                <w:color w:val="auto"/>
                <w:spacing w:val="8"/>
                <w:highlight w:val="none"/>
                <w:u w:val="single" w:color="auto"/>
              </w:rPr>
              <w:t xml:space="preserve">  </w:t>
            </w:r>
            <w:r>
              <w:rPr>
                <w:color w:val="auto"/>
                <w:spacing w:val="-86"/>
                <w:highlight w:val="none"/>
              </w:rPr>
              <w:t xml:space="preserve"> </w:t>
            </w:r>
            <w:r>
              <w:rPr>
                <w:color w:val="auto"/>
                <w:spacing w:val="12"/>
                <w:highlight w:val="none"/>
              </w:rPr>
              <w:t>级造价工程师注册证（交通运输工程专业，类别为公路）或交通</w:t>
            </w:r>
            <w:r>
              <w:rPr>
                <w:color w:val="auto"/>
                <w:spacing w:val="17"/>
                <w:highlight w:val="none"/>
              </w:rPr>
              <w:t>运输主管部门颁发的</w:t>
            </w:r>
            <w:r>
              <w:rPr>
                <w:color w:val="auto"/>
                <w:spacing w:val="-76"/>
                <w:highlight w:val="none"/>
              </w:rPr>
              <w:t xml:space="preserve"> </w:t>
            </w:r>
            <w:r>
              <w:rPr>
                <w:color w:val="auto"/>
                <w:spacing w:val="15"/>
                <w:highlight w:val="none"/>
                <w:u w:val="single" w:color="auto"/>
              </w:rPr>
              <w:t xml:space="preserve">  </w:t>
            </w:r>
            <w:r>
              <w:rPr>
                <w:rFonts w:hint="eastAsia"/>
                <w:color w:val="auto"/>
                <w:spacing w:val="15"/>
                <w:highlight w:val="none"/>
                <w:u w:val="single" w:color="auto"/>
                <w:lang w:val="en-US" w:eastAsia="zh-CN"/>
              </w:rPr>
              <w:t>一</w:t>
            </w:r>
            <w:r>
              <w:rPr>
                <w:color w:val="auto"/>
                <w:spacing w:val="15"/>
                <w:highlight w:val="none"/>
                <w:u w:val="single" w:color="auto"/>
              </w:rPr>
              <w:t xml:space="preserve">  </w:t>
            </w:r>
            <w:r>
              <w:rPr>
                <w:color w:val="auto"/>
                <w:spacing w:val="-88"/>
                <w:highlight w:val="none"/>
              </w:rPr>
              <w:t xml:space="preserve"> </w:t>
            </w:r>
            <w:r>
              <w:rPr>
                <w:color w:val="auto"/>
                <w:spacing w:val="17"/>
                <w:highlight w:val="none"/>
              </w:rPr>
              <w:t>级公路造价人员证书；</w:t>
            </w:r>
            <w:r>
              <w:rPr>
                <w:color w:val="auto"/>
                <w:spacing w:val="-55"/>
                <w:highlight w:val="none"/>
              </w:rPr>
              <w:t xml:space="preserve"> </w:t>
            </w:r>
            <w:r>
              <w:rPr>
                <w:color w:val="auto"/>
                <w:spacing w:val="17"/>
                <w:highlight w:val="none"/>
              </w:rPr>
              <w:t>具有</w:t>
            </w:r>
            <w:r>
              <w:rPr>
                <w:color w:val="auto"/>
                <w:spacing w:val="17"/>
                <w:highlight w:val="none"/>
                <w:u w:val="single" w:color="auto"/>
              </w:rPr>
              <w:t>中级及以上</w:t>
            </w:r>
            <w:r>
              <w:rPr>
                <w:color w:val="auto"/>
                <w:spacing w:val="17"/>
                <w:highlight w:val="none"/>
              </w:rPr>
              <w:t>技术职</w:t>
            </w:r>
            <w:r>
              <w:rPr>
                <w:color w:val="auto"/>
                <w:spacing w:val="5"/>
                <w:highlight w:val="none"/>
              </w:rPr>
              <w:t>称，至少</w:t>
            </w:r>
            <w:r>
              <w:rPr>
                <w:color w:val="auto"/>
                <w:spacing w:val="-27"/>
                <w:highlight w:val="none"/>
              </w:rPr>
              <w:t xml:space="preserve"> </w:t>
            </w:r>
            <w:r>
              <w:rPr>
                <w:color w:val="auto"/>
                <w:spacing w:val="5"/>
                <w:highlight w:val="none"/>
              </w:rPr>
              <w:t>5</w:t>
            </w:r>
            <w:r>
              <w:rPr>
                <w:color w:val="auto"/>
                <w:spacing w:val="-37"/>
                <w:highlight w:val="none"/>
              </w:rPr>
              <w:t xml:space="preserve"> </w:t>
            </w:r>
            <w:r>
              <w:rPr>
                <w:color w:val="auto"/>
                <w:spacing w:val="5"/>
                <w:highlight w:val="none"/>
              </w:rPr>
              <w:t>年工作经验。</w:t>
            </w:r>
          </w:p>
        </w:tc>
      </w:tr>
      <w:tr w14:paraId="71AE5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5" w:type="dxa"/>
            <w:vMerge w:val="continue"/>
            <w:tcBorders>
              <w:top w:val="nil"/>
              <w:bottom w:val="nil"/>
            </w:tcBorders>
            <w:textDirection w:val="tbRlV"/>
            <w:vAlign w:val="top"/>
          </w:tcPr>
          <w:p w14:paraId="535BBEFF">
            <w:pPr>
              <w:rPr>
                <w:rFonts w:ascii="Arial"/>
                <w:color w:val="auto"/>
                <w:sz w:val="21"/>
                <w:highlight w:val="none"/>
              </w:rPr>
            </w:pPr>
          </w:p>
        </w:tc>
        <w:tc>
          <w:tcPr>
            <w:tcW w:w="1146" w:type="dxa"/>
            <w:vAlign w:val="top"/>
          </w:tcPr>
          <w:p w14:paraId="1057CE71">
            <w:pPr>
              <w:spacing w:line="304" w:lineRule="auto"/>
              <w:rPr>
                <w:rFonts w:ascii="Arial"/>
                <w:color w:val="auto"/>
                <w:sz w:val="21"/>
                <w:highlight w:val="none"/>
              </w:rPr>
            </w:pPr>
          </w:p>
          <w:p w14:paraId="62904094">
            <w:pPr>
              <w:spacing w:line="305" w:lineRule="auto"/>
              <w:rPr>
                <w:rFonts w:ascii="Arial"/>
                <w:color w:val="auto"/>
                <w:sz w:val="21"/>
                <w:highlight w:val="none"/>
              </w:rPr>
            </w:pPr>
          </w:p>
          <w:p w14:paraId="4B759350">
            <w:pPr>
              <w:pStyle w:val="17"/>
              <w:spacing w:before="65" w:line="228" w:lineRule="auto"/>
              <w:ind w:left="156"/>
              <w:rPr>
                <w:color w:val="auto"/>
                <w:highlight w:val="none"/>
              </w:rPr>
            </w:pPr>
            <w:r>
              <w:rPr>
                <w:color w:val="auto"/>
                <w:spacing w:val="7"/>
                <w:highlight w:val="none"/>
              </w:rPr>
              <w:t>测量工程</w:t>
            </w:r>
          </w:p>
        </w:tc>
        <w:tc>
          <w:tcPr>
            <w:tcW w:w="738" w:type="dxa"/>
            <w:vAlign w:val="center"/>
          </w:tcPr>
          <w:p w14:paraId="48DACD3F">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3E519FAB">
            <w:pPr>
              <w:pStyle w:val="17"/>
              <w:spacing w:before="138" w:line="299" w:lineRule="auto"/>
              <w:ind w:left="111" w:right="109" w:firstLine="5"/>
              <w:jc w:val="both"/>
              <w:rPr>
                <w:color w:val="auto"/>
                <w:highlight w:val="none"/>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或具有交通运输部核发的公路工程专业监理工程师资格证书；具有路桥或测量相关专业</w:t>
            </w:r>
            <w:r>
              <w:rPr>
                <w:color w:val="auto"/>
                <w:spacing w:val="13"/>
                <w:highlight w:val="none"/>
                <w:u w:val="single" w:color="auto"/>
              </w:rPr>
              <w:t>中级及</w:t>
            </w:r>
            <w:r>
              <w:rPr>
                <w:color w:val="auto"/>
                <w:spacing w:val="7"/>
                <w:highlight w:val="none"/>
                <w:u w:val="single" w:color="auto"/>
              </w:rPr>
              <w:t>以上</w:t>
            </w:r>
            <w:r>
              <w:rPr>
                <w:color w:val="auto"/>
                <w:spacing w:val="7"/>
                <w:highlight w:val="none"/>
              </w:rPr>
              <w:t>技术职称；从事监理工作</w:t>
            </w:r>
            <w:r>
              <w:rPr>
                <w:color w:val="auto"/>
                <w:spacing w:val="-29"/>
                <w:highlight w:val="none"/>
              </w:rPr>
              <w:t xml:space="preserve"> </w:t>
            </w:r>
            <w:r>
              <w:rPr>
                <w:color w:val="auto"/>
                <w:spacing w:val="7"/>
                <w:highlight w:val="none"/>
              </w:rPr>
              <w:t>5</w:t>
            </w:r>
            <w:r>
              <w:rPr>
                <w:color w:val="auto"/>
                <w:spacing w:val="-37"/>
                <w:highlight w:val="none"/>
              </w:rPr>
              <w:t xml:space="preserve"> </w:t>
            </w:r>
            <w:r>
              <w:rPr>
                <w:color w:val="auto"/>
                <w:spacing w:val="7"/>
                <w:highlight w:val="none"/>
              </w:rPr>
              <w:t>年以上。</w:t>
            </w:r>
          </w:p>
        </w:tc>
      </w:tr>
      <w:tr w14:paraId="34302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635" w:type="dxa"/>
            <w:vMerge w:val="continue"/>
            <w:tcBorders>
              <w:top w:val="nil"/>
            </w:tcBorders>
            <w:textDirection w:val="tbRlV"/>
            <w:vAlign w:val="top"/>
          </w:tcPr>
          <w:p w14:paraId="2F99150E">
            <w:pPr>
              <w:rPr>
                <w:rFonts w:ascii="Arial"/>
                <w:color w:val="auto"/>
                <w:sz w:val="21"/>
                <w:highlight w:val="none"/>
              </w:rPr>
            </w:pPr>
          </w:p>
        </w:tc>
        <w:tc>
          <w:tcPr>
            <w:tcW w:w="1146" w:type="dxa"/>
            <w:vAlign w:val="top"/>
          </w:tcPr>
          <w:p w14:paraId="1AB6D198">
            <w:pPr>
              <w:spacing w:line="430" w:lineRule="auto"/>
              <w:rPr>
                <w:rFonts w:ascii="Arial"/>
                <w:color w:val="auto"/>
                <w:sz w:val="21"/>
                <w:highlight w:val="none"/>
              </w:rPr>
            </w:pPr>
          </w:p>
          <w:p w14:paraId="38C74617">
            <w:pPr>
              <w:pStyle w:val="17"/>
              <w:spacing w:before="65" w:line="228" w:lineRule="auto"/>
              <w:ind w:left="155"/>
              <w:rPr>
                <w:color w:val="auto"/>
                <w:highlight w:val="none"/>
              </w:rPr>
            </w:pPr>
            <w:r>
              <w:rPr>
                <w:color w:val="auto"/>
                <w:spacing w:val="7"/>
                <w:highlight w:val="none"/>
              </w:rPr>
              <w:t>试验检测</w:t>
            </w:r>
          </w:p>
        </w:tc>
        <w:tc>
          <w:tcPr>
            <w:tcW w:w="738" w:type="dxa"/>
            <w:vAlign w:val="center"/>
          </w:tcPr>
          <w:p w14:paraId="5F3D172F">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0</w:t>
            </w:r>
          </w:p>
        </w:tc>
        <w:tc>
          <w:tcPr>
            <w:tcW w:w="7059" w:type="dxa"/>
            <w:vAlign w:val="top"/>
          </w:tcPr>
          <w:p w14:paraId="47402F93">
            <w:pPr>
              <w:pStyle w:val="17"/>
              <w:spacing w:before="138" w:line="293" w:lineRule="auto"/>
              <w:ind w:left="112" w:right="109" w:firstLine="4"/>
              <w:jc w:val="both"/>
              <w:rPr>
                <w:color w:val="auto"/>
                <w:highlight w:val="none"/>
              </w:rPr>
            </w:pPr>
            <w:r>
              <w:rPr>
                <w:color w:val="auto"/>
                <w:spacing w:val="13"/>
                <w:highlight w:val="none"/>
              </w:rPr>
              <w:t>具有行政主管部门核发的公路水运试验检测师资格证书或试验检测工程师</w:t>
            </w:r>
            <w:r>
              <w:rPr>
                <w:color w:val="auto"/>
                <w:spacing w:val="12"/>
                <w:highlight w:val="none"/>
              </w:rPr>
              <w:t>证书；具有路桥相关专业</w:t>
            </w:r>
            <w:r>
              <w:rPr>
                <w:color w:val="auto"/>
                <w:spacing w:val="12"/>
                <w:highlight w:val="none"/>
                <w:u w:val="single" w:color="auto"/>
              </w:rPr>
              <w:t>中级及以上</w:t>
            </w:r>
            <w:r>
              <w:rPr>
                <w:color w:val="auto"/>
                <w:spacing w:val="12"/>
                <w:highlight w:val="none"/>
              </w:rPr>
              <w:t>技术职称；从事试验检测工作</w:t>
            </w:r>
            <w:r>
              <w:rPr>
                <w:color w:val="auto"/>
                <w:spacing w:val="-19"/>
                <w:highlight w:val="none"/>
              </w:rPr>
              <w:t xml:space="preserve"> </w:t>
            </w:r>
            <w:r>
              <w:rPr>
                <w:color w:val="auto"/>
                <w:spacing w:val="12"/>
                <w:highlight w:val="none"/>
                <w:u w:val="single" w:color="auto"/>
              </w:rPr>
              <w:t>5</w:t>
            </w:r>
            <w:r>
              <w:rPr>
                <w:color w:val="auto"/>
                <w:spacing w:val="-34"/>
                <w:highlight w:val="none"/>
                <w:u w:val="single" w:color="auto"/>
              </w:rPr>
              <w:t xml:space="preserve"> </w:t>
            </w:r>
            <w:r>
              <w:rPr>
                <w:color w:val="auto"/>
                <w:spacing w:val="12"/>
                <w:highlight w:val="none"/>
              </w:rPr>
              <w:t>年以</w:t>
            </w:r>
            <w:r>
              <w:rPr>
                <w:color w:val="auto"/>
                <w:highlight w:val="none"/>
              </w:rPr>
              <w:t>上。</w:t>
            </w:r>
          </w:p>
        </w:tc>
      </w:tr>
    </w:tbl>
    <w:p w14:paraId="02F5048C">
      <w:pPr>
        <w:spacing w:line="315" w:lineRule="auto"/>
        <w:rPr>
          <w:rFonts w:ascii="Arial"/>
          <w:color w:val="auto"/>
          <w:sz w:val="21"/>
          <w:highlight w:val="none"/>
        </w:rPr>
      </w:pPr>
    </w:p>
    <w:p w14:paraId="297930FA">
      <w:pPr>
        <w:rPr>
          <w:rFonts w:ascii="Arial"/>
          <w:color w:val="auto"/>
          <w:sz w:val="21"/>
          <w:highlight w:val="none"/>
        </w:rPr>
      </w:pPr>
      <w:r>
        <w:rPr>
          <w:rFonts w:ascii="Arial"/>
          <w:color w:val="auto"/>
          <w:sz w:val="21"/>
          <w:highlight w:val="none"/>
        </w:rPr>
        <w:br w:type="page"/>
      </w:r>
    </w:p>
    <w:p w14:paraId="2EF50D8D">
      <w:pPr>
        <w:spacing w:line="316" w:lineRule="auto"/>
        <w:rPr>
          <w:rFonts w:ascii="Arial"/>
          <w:color w:val="auto"/>
          <w:sz w:val="21"/>
          <w:highlight w:val="none"/>
        </w:rPr>
      </w:pPr>
    </w:p>
    <w:tbl>
      <w:tblPr>
        <w:tblStyle w:val="16"/>
        <w:tblW w:w="9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46"/>
        <w:gridCol w:w="738"/>
        <w:gridCol w:w="7059"/>
      </w:tblGrid>
      <w:tr w14:paraId="56C58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81" w:type="dxa"/>
            <w:gridSpan w:val="2"/>
            <w:vAlign w:val="top"/>
          </w:tcPr>
          <w:p w14:paraId="71160155">
            <w:pPr>
              <w:pStyle w:val="17"/>
              <w:spacing w:before="201" w:line="229" w:lineRule="auto"/>
              <w:ind w:left="689"/>
              <w:rPr>
                <w:color w:val="auto"/>
                <w:highlight w:val="none"/>
              </w:rPr>
            </w:pPr>
            <w:r>
              <w:rPr>
                <w:color w:val="auto"/>
                <w:spacing w:val="3"/>
                <w:highlight w:val="none"/>
              </w:rPr>
              <w:t>人员</w:t>
            </w:r>
          </w:p>
        </w:tc>
        <w:tc>
          <w:tcPr>
            <w:tcW w:w="738" w:type="dxa"/>
            <w:vAlign w:val="top"/>
          </w:tcPr>
          <w:p w14:paraId="3E8DEF22">
            <w:pPr>
              <w:pStyle w:val="17"/>
              <w:spacing w:before="201" w:line="228" w:lineRule="auto"/>
              <w:ind w:left="165"/>
              <w:rPr>
                <w:color w:val="auto"/>
                <w:highlight w:val="none"/>
              </w:rPr>
            </w:pPr>
            <w:r>
              <w:rPr>
                <w:color w:val="auto"/>
                <w:spacing w:val="3"/>
                <w:highlight w:val="none"/>
              </w:rPr>
              <w:t>数量</w:t>
            </w:r>
          </w:p>
        </w:tc>
        <w:tc>
          <w:tcPr>
            <w:tcW w:w="7059" w:type="dxa"/>
            <w:vAlign w:val="top"/>
          </w:tcPr>
          <w:p w14:paraId="1CFC019B">
            <w:pPr>
              <w:pStyle w:val="17"/>
              <w:spacing w:before="201" w:line="228" w:lineRule="auto"/>
              <w:ind w:left="3123"/>
              <w:rPr>
                <w:color w:val="auto"/>
                <w:highlight w:val="none"/>
              </w:rPr>
            </w:pPr>
            <w:r>
              <w:rPr>
                <w:color w:val="auto"/>
                <w:spacing w:val="5"/>
                <w:highlight w:val="none"/>
              </w:rPr>
              <w:t>资格要求</w:t>
            </w:r>
          </w:p>
        </w:tc>
      </w:tr>
      <w:tr w14:paraId="6BBCF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635" w:type="dxa"/>
            <w:vMerge w:val="restart"/>
            <w:tcBorders>
              <w:bottom w:val="nil"/>
            </w:tcBorders>
            <w:vAlign w:val="top"/>
          </w:tcPr>
          <w:p w14:paraId="6167FDE7">
            <w:pPr>
              <w:rPr>
                <w:rFonts w:ascii="Arial"/>
                <w:color w:val="auto"/>
                <w:sz w:val="21"/>
                <w:highlight w:val="none"/>
              </w:rPr>
            </w:pPr>
          </w:p>
        </w:tc>
        <w:tc>
          <w:tcPr>
            <w:tcW w:w="1146" w:type="dxa"/>
            <w:vAlign w:val="top"/>
          </w:tcPr>
          <w:p w14:paraId="1A00A8AA">
            <w:pPr>
              <w:spacing w:line="256" w:lineRule="auto"/>
              <w:rPr>
                <w:rFonts w:ascii="Arial"/>
                <w:color w:val="auto"/>
                <w:sz w:val="21"/>
                <w:highlight w:val="none"/>
              </w:rPr>
            </w:pPr>
          </w:p>
          <w:p w14:paraId="6EBD6B0D">
            <w:pPr>
              <w:spacing w:line="256" w:lineRule="auto"/>
              <w:rPr>
                <w:rFonts w:ascii="Arial"/>
                <w:color w:val="auto"/>
                <w:sz w:val="21"/>
                <w:highlight w:val="none"/>
              </w:rPr>
            </w:pPr>
          </w:p>
          <w:p w14:paraId="2EE55DE4">
            <w:pPr>
              <w:spacing w:line="257" w:lineRule="auto"/>
              <w:rPr>
                <w:rFonts w:ascii="Arial"/>
                <w:color w:val="auto"/>
                <w:sz w:val="21"/>
                <w:highlight w:val="none"/>
              </w:rPr>
            </w:pPr>
          </w:p>
          <w:p w14:paraId="0F3AED6C">
            <w:pPr>
              <w:pStyle w:val="17"/>
              <w:spacing w:before="65" w:line="228" w:lineRule="auto"/>
              <w:ind w:left="159"/>
              <w:rPr>
                <w:color w:val="auto"/>
                <w:highlight w:val="none"/>
              </w:rPr>
            </w:pPr>
            <w:r>
              <w:rPr>
                <w:color w:val="auto"/>
                <w:spacing w:val="6"/>
                <w:highlight w:val="none"/>
              </w:rPr>
              <w:t>安全环保</w:t>
            </w:r>
          </w:p>
        </w:tc>
        <w:tc>
          <w:tcPr>
            <w:tcW w:w="738" w:type="dxa"/>
            <w:vAlign w:val="center"/>
          </w:tcPr>
          <w:p w14:paraId="2A78A967">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3CBBF616">
            <w:pPr>
              <w:pStyle w:val="17"/>
              <w:spacing w:before="120" w:line="309" w:lineRule="auto"/>
              <w:ind w:left="111" w:right="107" w:firstLine="5"/>
              <w:jc w:val="both"/>
              <w:rPr>
                <w:color w:val="auto"/>
                <w:highlight w:val="none"/>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或具有交通运输部核发的公路工程专业监理工程师资格证书；相关专业</w:t>
            </w:r>
            <w:r>
              <w:rPr>
                <w:color w:val="auto"/>
                <w:spacing w:val="13"/>
                <w:highlight w:val="none"/>
                <w:u w:val="single" w:color="auto"/>
              </w:rPr>
              <w:t>中级及以上</w:t>
            </w:r>
            <w:r>
              <w:rPr>
                <w:color w:val="auto"/>
                <w:spacing w:val="13"/>
                <w:highlight w:val="none"/>
              </w:rPr>
              <w:t>技术职称或应急管理部（原国家安全生产监督管理总局）核发的中级及以上注册安全</w:t>
            </w:r>
            <w:r>
              <w:rPr>
                <w:color w:val="auto"/>
                <w:spacing w:val="7"/>
                <w:highlight w:val="none"/>
              </w:rPr>
              <w:t>工程师证书；从事监理工作</w:t>
            </w:r>
            <w:r>
              <w:rPr>
                <w:color w:val="auto"/>
                <w:spacing w:val="-31"/>
                <w:highlight w:val="none"/>
              </w:rPr>
              <w:t xml:space="preserve"> </w:t>
            </w:r>
            <w:r>
              <w:rPr>
                <w:color w:val="auto"/>
                <w:spacing w:val="7"/>
                <w:highlight w:val="none"/>
                <w:u w:val="single" w:color="auto"/>
              </w:rPr>
              <w:t>5</w:t>
            </w:r>
            <w:r>
              <w:rPr>
                <w:color w:val="auto"/>
                <w:spacing w:val="-37"/>
                <w:highlight w:val="none"/>
                <w:u w:val="single" w:color="auto"/>
              </w:rPr>
              <w:t xml:space="preserve"> </w:t>
            </w:r>
            <w:r>
              <w:rPr>
                <w:color w:val="auto"/>
                <w:spacing w:val="7"/>
                <w:highlight w:val="none"/>
              </w:rPr>
              <w:t>年以上。</w:t>
            </w:r>
          </w:p>
        </w:tc>
      </w:tr>
      <w:tr w14:paraId="67245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5" w:type="dxa"/>
            <w:vMerge w:val="continue"/>
            <w:tcBorders>
              <w:top w:val="nil"/>
              <w:bottom w:val="nil"/>
            </w:tcBorders>
            <w:vAlign w:val="top"/>
          </w:tcPr>
          <w:p w14:paraId="46CBB481">
            <w:pPr>
              <w:rPr>
                <w:rFonts w:ascii="Arial"/>
                <w:color w:val="auto"/>
                <w:sz w:val="21"/>
                <w:highlight w:val="none"/>
              </w:rPr>
            </w:pPr>
          </w:p>
        </w:tc>
        <w:tc>
          <w:tcPr>
            <w:tcW w:w="1146" w:type="dxa"/>
            <w:vAlign w:val="top"/>
          </w:tcPr>
          <w:p w14:paraId="664688B7">
            <w:pPr>
              <w:spacing w:line="413" w:lineRule="auto"/>
              <w:rPr>
                <w:rFonts w:ascii="Arial"/>
                <w:color w:val="auto"/>
                <w:sz w:val="21"/>
                <w:highlight w:val="none"/>
              </w:rPr>
            </w:pPr>
          </w:p>
          <w:p w14:paraId="7A978848">
            <w:pPr>
              <w:pStyle w:val="17"/>
              <w:spacing w:before="65" w:line="334" w:lineRule="auto"/>
              <w:ind w:left="369" w:right="155" w:hanging="210"/>
              <w:rPr>
                <w:color w:val="auto"/>
                <w:highlight w:val="none"/>
              </w:rPr>
            </w:pPr>
            <w:r>
              <w:rPr>
                <w:color w:val="auto"/>
                <w:spacing w:val="6"/>
                <w:highlight w:val="none"/>
              </w:rPr>
              <w:t>交通安全</w:t>
            </w:r>
            <w:r>
              <w:rPr>
                <w:color w:val="auto"/>
                <w:spacing w:val="3"/>
                <w:highlight w:val="none"/>
              </w:rPr>
              <w:t>设施</w:t>
            </w:r>
          </w:p>
        </w:tc>
        <w:tc>
          <w:tcPr>
            <w:tcW w:w="738" w:type="dxa"/>
            <w:vAlign w:val="center"/>
          </w:tcPr>
          <w:p w14:paraId="2B05870C">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0</w:t>
            </w:r>
          </w:p>
        </w:tc>
        <w:tc>
          <w:tcPr>
            <w:tcW w:w="7059" w:type="dxa"/>
            <w:vAlign w:val="top"/>
          </w:tcPr>
          <w:p w14:paraId="6F29346B">
            <w:pPr>
              <w:pStyle w:val="17"/>
              <w:spacing w:before="120" w:line="332" w:lineRule="auto"/>
              <w:ind w:left="111" w:right="109" w:firstLine="5"/>
              <w:rPr>
                <w:color w:val="auto"/>
                <w:highlight w:val="none"/>
              </w:rPr>
            </w:pPr>
            <w:r>
              <w:rPr>
                <w:color w:val="auto"/>
                <w:spacing w:val="20"/>
                <w:highlight w:val="none"/>
              </w:rPr>
              <w:t>具有交通运输部和人力资源和社会保障部用印的交通运输工程（公路工</w:t>
            </w:r>
            <w:r>
              <w:rPr>
                <w:color w:val="auto"/>
                <w:spacing w:val="13"/>
                <w:highlight w:val="none"/>
              </w:rPr>
              <w:t>程）专业监理工程师职业资格证书（或电子证书）或具有交通运输部核发</w:t>
            </w:r>
          </w:p>
          <w:p w14:paraId="6505D576">
            <w:pPr>
              <w:pStyle w:val="17"/>
              <w:spacing w:line="274" w:lineRule="auto"/>
              <w:ind w:left="112" w:right="109" w:firstLine="17"/>
              <w:rPr>
                <w:color w:val="auto"/>
                <w:highlight w:val="none"/>
              </w:rPr>
            </w:pPr>
            <w:r>
              <w:rPr>
                <w:color w:val="auto"/>
                <w:spacing w:val="13"/>
                <w:highlight w:val="none"/>
              </w:rPr>
              <w:t>的专业监理工程师资格证书；具有路桥相关专业</w:t>
            </w:r>
            <w:r>
              <w:rPr>
                <w:color w:val="auto"/>
                <w:spacing w:val="13"/>
                <w:highlight w:val="none"/>
                <w:u w:val="single" w:color="auto"/>
              </w:rPr>
              <w:t>中级及以上</w:t>
            </w:r>
            <w:r>
              <w:rPr>
                <w:color w:val="auto"/>
                <w:spacing w:val="13"/>
                <w:highlight w:val="none"/>
              </w:rPr>
              <w:t>技术职</w:t>
            </w:r>
            <w:r>
              <w:rPr>
                <w:color w:val="auto"/>
                <w:spacing w:val="12"/>
                <w:highlight w:val="none"/>
              </w:rPr>
              <w:t>称；从</w:t>
            </w:r>
            <w:r>
              <w:rPr>
                <w:color w:val="auto"/>
                <w:spacing w:val="7"/>
                <w:highlight w:val="none"/>
              </w:rPr>
              <w:t>事交通安全设施监理工作</w:t>
            </w:r>
            <w:r>
              <w:rPr>
                <w:color w:val="auto"/>
                <w:spacing w:val="-36"/>
                <w:highlight w:val="none"/>
              </w:rPr>
              <w:t xml:space="preserve"> </w:t>
            </w:r>
            <w:r>
              <w:rPr>
                <w:color w:val="auto"/>
                <w:spacing w:val="7"/>
                <w:highlight w:val="none"/>
                <w:u w:val="single" w:color="auto"/>
              </w:rPr>
              <w:t>5</w:t>
            </w:r>
            <w:r>
              <w:rPr>
                <w:color w:val="auto"/>
                <w:spacing w:val="-37"/>
                <w:highlight w:val="none"/>
                <w:u w:val="single" w:color="auto"/>
              </w:rPr>
              <w:t xml:space="preserve"> </w:t>
            </w:r>
            <w:r>
              <w:rPr>
                <w:color w:val="auto"/>
                <w:spacing w:val="7"/>
                <w:highlight w:val="none"/>
              </w:rPr>
              <w:t>年以上。</w:t>
            </w:r>
          </w:p>
        </w:tc>
      </w:tr>
      <w:tr w14:paraId="5B2FA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5" w:type="dxa"/>
            <w:vMerge w:val="continue"/>
            <w:tcBorders>
              <w:top w:val="nil"/>
              <w:bottom w:val="nil"/>
            </w:tcBorders>
            <w:vAlign w:val="top"/>
          </w:tcPr>
          <w:p w14:paraId="44E3630F">
            <w:pPr>
              <w:rPr>
                <w:rFonts w:ascii="Arial"/>
                <w:color w:val="auto"/>
                <w:sz w:val="21"/>
                <w:highlight w:val="none"/>
              </w:rPr>
            </w:pPr>
          </w:p>
        </w:tc>
        <w:tc>
          <w:tcPr>
            <w:tcW w:w="1146" w:type="dxa"/>
            <w:vAlign w:val="top"/>
          </w:tcPr>
          <w:p w14:paraId="413E30D1">
            <w:pPr>
              <w:pStyle w:val="17"/>
              <w:spacing w:before="122" w:line="218" w:lineRule="auto"/>
              <w:ind w:left="155"/>
              <w:rPr>
                <w:color w:val="auto"/>
                <w:highlight w:val="none"/>
              </w:rPr>
            </w:pPr>
            <w:r>
              <w:rPr>
                <w:color w:val="auto"/>
                <w:spacing w:val="7"/>
                <w:highlight w:val="none"/>
              </w:rPr>
              <w:t>通信系统</w:t>
            </w:r>
          </w:p>
        </w:tc>
        <w:tc>
          <w:tcPr>
            <w:tcW w:w="738" w:type="dxa"/>
            <w:vMerge w:val="restart"/>
            <w:tcBorders>
              <w:bottom w:val="nil"/>
            </w:tcBorders>
            <w:vAlign w:val="center"/>
          </w:tcPr>
          <w:p w14:paraId="611855D8">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0</w:t>
            </w:r>
          </w:p>
        </w:tc>
        <w:tc>
          <w:tcPr>
            <w:tcW w:w="7059" w:type="dxa"/>
            <w:vMerge w:val="restart"/>
            <w:tcBorders>
              <w:bottom w:val="nil"/>
            </w:tcBorders>
            <w:vAlign w:val="top"/>
          </w:tcPr>
          <w:p w14:paraId="69361527">
            <w:pPr>
              <w:spacing w:line="250" w:lineRule="auto"/>
              <w:rPr>
                <w:rFonts w:ascii="Arial"/>
                <w:color w:val="auto"/>
                <w:sz w:val="21"/>
                <w:highlight w:val="none"/>
              </w:rPr>
            </w:pPr>
          </w:p>
          <w:p w14:paraId="5C9C5801">
            <w:pPr>
              <w:pStyle w:val="17"/>
              <w:spacing w:before="65" w:line="333" w:lineRule="auto"/>
              <w:ind w:left="111" w:right="109" w:firstLine="5"/>
              <w:jc w:val="both"/>
              <w:rPr>
                <w:color w:val="auto"/>
                <w:highlight w:val="none"/>
              </w:rPr>
            </w:pPr>
            <w:r>
              <w:rPr>
                <w:color w:val="auto"/>
                <w:spacing w:val="20"/>
                <w:highlight w:val="none"/>
              </w:rPr>
              <w:t>具有交通运输部与人力资源和社会保障部用印的交通运输工程（公路工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或具有交通运输部核发的公路工程机电专业监理工程师资格证书或工业；具有</w:t>
            </w:r>
            <w:r>
              <w:rPr>
                <w:color w:val="auto"/>
                <w:spacing w:val="13"/>
                <w:highlight w:val="none"/>
                <w:u w:val="single" w:color="auto"/>
              </w:rPr>
              <w:t>中级及以上</w:t>
            </w:r>
            <w:r>
              <w:rPr>
                <w:color w:val="auto"/>
                <w:spacing w:val="13"/>
                <w:highlight w:val="none"/>
              </w:rPr>
              <w:t>技术</w:t>
            </w:r>
            <w:r>
              <w:rPr>
                <w:color w:val="auto"/>
                <w:spacing w:val="7"/>
                <w:highlight w:val="none"/>
              </w:rPr>
              <w:t>职称；从事各自专业监理工作</w:t>
            </w:r>
            <w:r>
              <w:rPr>
                <w:color w:val="auto"/>
                <w:spacing w:val="-29"/>
                <w:highlight w:val="none"/>
              </w:rPr>
              <w:t xml:space="preserve"> </w:t>
            </w:r>
            <w:r>
              <w:rPr>
                <w:color w:val="auto"/>
                <w:spacing w:val="7"/>
                <w:highlight w:val="none"/>
                <w:u w:val="single" w:color="auto"/>
              </w:rPr>
              <w:t>5</w:t>
            </w:r>
            <w:r>
              <w:rPr>
                <w:color w:val="auto"/>
                <w:spacing w:val="-37"/>
                <w:highlight w:val="none"/>
                <w:u w:val="single" w:color="auto"/>
              </w:rPr>
              <w:t xml:space="preserve"> </w:t>
            </w:r>
            <w:r>
              <w:rPr>
                <w:color w:val="auto"/>
                <w:spacing w:val="7"/>
                <w:highlight w:val="none"/>
              </w:rPr>
              <w:t>年以上。</w:t>
            </w:r>
          </w:p>
        </w:tc>
      </w:tr>
      <w:tr w14:paraId="4B0EE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35" w:type="dxa"/>
            <w:vMerge w:val="continue"/>
            <w:tcBorders>
              <w:top w:val="nil"/>
              <w:bottom w:val="nil"/>
            </w:tcBorders>
            <w:vAlign w:val="top"/>
          </w:tcPr>
          <w:p w14:paraId="739DBBFA">
            <w:pPr>
              <w:rPr>
                <w:rFonts w:ascii="Arial"/>
                <w:color w:val="auto"/>
                <w:sz w:val="21"/>
                <w:highlight w:val="none"/>
              </w:rPr>
            </w:pPr>
          </w:p>
        </w:tc>
        <w:tc>
          <w:tcPr>
            <w:tcW w:w="1146" w:type="dxa"/>
            <w:vAlign w:val="top"/>
          </w:tcPr>
          <w:p w14:paraId="30F5E73F">
            <w:pPr>
              <w:pStyle w:val="17"/>
              <w:spacing w:before="121" w:line="216" w:lineRule="auto"/>
              <w:ind w:left="156"/>
              <w:rPr>
                <w:color w:val="auto"/>
                <w:highlight w:val="none"/>
              </w:rPr>
            </w:pPr>
            <w:r>
              <w:rPr>
                <w:color w:val="auto"/>
                <w:spacing w:val="7"/>
                <w:highlight w:val="none"/>
              </w:rPr>
              <w:t>监控系统</w:t>
            </w:r>
          </w:p>
        </w:tc>
        <w:tc>
          <w:tcPr>
            <w:tcW w:w="738" w:type="dxa"/>
            <w:vMerge w:val="continue"/>
            <w:tcBorders>
              <w:top w:val="nil"/>
              <w:bottom w:val="nil"/>
            </w:tcBorders>
            <w:vAlign w:val="center"/>
          </w:tcPr>
          <w:p w14:paraId="62140E29">
            <w:pPr>
              <w:jc w:val="center"/>
              <w:rPr>
                <w:rFonts w:ascii="Arial"/>
                <w:color w:val="auto"/>
                <w:sz w:val="21"/>
                <w:highlight w:val="none"/>
              </w:rPr>
            </w:pPr>
          </w:p>
        </w:tc>
        <w:tc>
          <w:tcPr>
            <w:tcW w:w="7059" w:type="dxa"/>
            <w:vMerge w:val="continue"/>
            <w:tcBorders>
              <w:top w:val="nil"/>
              <w:bottom w:val="nil"/>
            </w:tcBorders>
            <w:vAlign w:val="top"/>
          </w:tcPr>
          <w:p w14:paraId="0100A419">
            <w:pPr>
              <w:rPr>
                <w:rFonts w:ascii="Arial"/>
                <w:color w:val="auto"/>
                <w:sz w:val="21"/>
                <w:highlight w:val="none"/>
              </w:rPr>
            </w:pPr>
          </w:p>
        </w:tc>
      </w:tr>
      <w:tr w14:paraId="1024C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35" w:type="dxa"/>
            <w:vMerge w:val="continue"/>
            <w:tcBorders>
              <w:top w:val="nil"/>
              <w:bottom w:val="nil"/>
            </w:tcBorders>
            <w:vAlign w:val="top"/>
          </w:tcPr>
          <w:p w14:paraId="4030B5AE">
            <w:pPr>
              <w:rPr>
                <w:rFonts w:ascii="Arial"/>
                <w:color w:val="auto"/>
                <w:sz w:val="21"/>
                <w:highlight w:val="none"/>
              </w:rPr>
            </w:pPr>
          </w:p>
        </w:tc>
        <w:tc>
          <w:tcPr>
            <w:tcW w:w="1146" w:type="dxa"/>
            <w:vAlign w:val="top"/>
          </w:tcPr>
          <w:p w14:paraId="7B5710E4">
            <w:pPr>
              <w:pStyle w:val="17"/>
              <w:spacing w:before="121" w:line="216" w:lineRule="auto"/>
              <w:ind w:left="163"/>
              <w:rPr>
                <w:color w:val="auto"/>
                <w:highlight w:val="none"/>
              </w:rPr>
            </w:pPr>
            <w:r>
              <w:rPr>
                <w:color w:val="auto"/>
                <w:spacing w:val="5"/>
                <w:highlight w:val="none"/>
              </w:rPr>
              <w:t>收费系统</w:t>
            </w:r>
          </w:p>
        </w:tc>
        <w:tc>
          <w:tcPr>
            <w:tcW w:w="738" w:type="dxa"/>
            <w:vMerge w:val="continue"/>
            <w:tcBorders>
              <w:top w:val="nil"/>
              <w:bottom w:val="nil"/>
            </w:tcBorders>
            <w:vAlign w:val="center"/>
          </w:tcPr>
          <w:p w14:paraId="421250DA">
            <w:pPr>
              <w:jc w:val="center"/>
              <w:rPr>
                <w:rFonts w:ascii="Arial"/>
                <w:color w:val="auto"/>
                <w:sz w:val="21"/>
                <w:highlight w:val="none"/>
              </w:rPr>
            </w:pPr>
          </w:p>
        </w:tc>
        <w:tc>
          <w:tcPr>
            <w:tcW w:w="7059" w:type="dxa"/>
            <w:vMerge w:val="continue"/>
            <w:tcBorders>
              <w:top w:val="nil"/>
              <w:bottom w:val="nil"/>
            </w:tcBorders>
            <w:vAlign w:val="top"/>
          </w:tcPr>
          <w:p w14:paraId="798D4189">
            <w:pPr>
              <w:rPr>
                <w:rFonts w:ascii="Arial"/>
                <w:color w:val="auto"/>
                <w:sz w:val="21"/>
                <w:highlight w:val="none"/>
              </w:rPr>
            </w:pPr>
          </w:p>
        </w:tc>
      </w:tr>
      <w:tr w14:paraId="67BD6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5" w:type="dxa"/>
            <w:vMerge w:val="continue"/>
            <w:tcBorders>
              <w:top w:val="nil"/>
              <w:bottom w:val="nil"/>
            </w:tcBorders>
            <w:vAlign w:val="top"/>
          </w:tcPr>
          <w:p w14:paraId="74CE35F7">
            <w:pPr>
              <w:rPr>
                <w:rFonts w:ascii="Arial"/>
                <w:color w:val="auto"/>
                <w:sz w:val="21"/>
                <w:highlight w:val="none"/>
              </w:rPr>
            </w:pPr>
          </w:p>
        </w:tc>
        <w:tc>
          <w:tcPr>
            <w:tcW w:w="1146" w:type="dxa"/>
            <w:vAlign w:val="top"/>
          </w:tcPr>
          <w:p w14:paraId="5BE1BF04">
            <w:pPr>
              <w:pStyle w:val="17"/>
              <w:spacing w:before="123" w:line="273" w:lineRule="auto"/>
              <w:ind w:left="476" w:right="155" w:hanging="321"/>
              <w:rPr>
                <w:color w:val="auto"/>
                <w:highlight w:val="none"/>
              </w:rPr>
            </w:pPr>
            <w:r>
              <w:rPr>
                <w:color w:val="auto"/>
                <w:spacing w:val="7"/>
                <w:highlight w:val="none"/>
              </w:rPr>
              <w:t>供配电系</w:t>
            </w:r>
            <w:r>
              <w:rPr>
                <w:color w:val="auto"/>
                <w:highlight w:val="none"/>
              </w:rPr>
              <w:t>统</w:t>
            </w:r>
          </w:p>
        </w:tc>
        <w:tc>
          <w:tcPr>
            <w:tcW w:w="738" w:type="dxa"/>
            <w:vMerge w:val="continue"/>
            <w:tcBorders>
              <w:top w:val="nil"/>
            </w:tcBorders>
            <w:vAlign w:val="center"/>
          </w:tcPr>
          <w:p w14:paraId="1551014B">
            <w:pPr>
              <w:jc w:val="center"/>
              <w:rPr>
                <w:rFonts w:ascii="Arial"/>
                <w:color w:val="auto"/>
                <w:sz w:val="21"/>
                <w:highlight w:val="none"/>
              </w:rPr>
            </w:pPr>
          </w:p>
        </w:tc>
        <w:tc>
          <w:tcPr>
            <w:tcW w:w="7059" w:type="dxa"/>
            <w:vMerge w:val="continue"/>
            <w:tcBorders>
              <w:top w:val="nil"/>
            </w:tcBorders>
            <w:vAlign w:val="top"/>
          </w:tcPr>
          <w:p w14:paraId="4B75B984">
            <w:pPr>
              <w:rPr>
                <w:rFonts w:ascii="Arial"/>
                <w:color w:val="auto"/>
                <w:sz w:val="21"/>
                <w:highlight w:val="none"/>
              </w:rPr>
            </w:pPr>
          </w:p>
        </w:tc>
      </w:tr>
      <w:tr w14:paraId="24E94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35" w:type="dxa"/>
            <w:vMerge w:val="continue"/>
            <w:tcBorders>
              <w:top w:val="nil"/>
              <w:bottom w:val="nil"/>
            </w:tcBorders>
            <w:vAlign w:val="top"/>
          </w:tcPr>
          <w:p w14:paraId="5A1363DB">
            <w:pPr>
              <w:rPr>
                <w:rFonts w:ascii="Arial"/>
                <w:color w:val="auto"/>
                <w:sz w:val="21"/>
                <w:highlight w:val="none"/>
              </w:rPr>
            </w:pPr>
          </w:p>
        </w:tc>
        <w:tc>
          <w:tcPr>
            <w:tcW w:w="1146" w:type="dxa"/>
            <w:vAlign w:val="top"/>
          </w:tcPr>
          <w:p w14:paraId="3219CEE8">
            <w:pPr>
              <w:spacing w:line="414" w:lineRule="auto"/>
              <w:rPr>
                <w:rFonts w:ascii="Arial"/>
                <w:color w:val="auto"/>
                <w:sz w:val="21"/>
                <w:highlight w:val="none"/>
              </w:rPr>
            </w:pPr>
          </w:p>
          <w:p w14:paraId="4B1FEDE1">
            <w:pPr>
              <w:pStyle w:val="17"/>
              <w:spacing w:before="65" w:line="228" w:lineRule="auto"/>
              <w:ind w:left="156"/>
              <w:rPr>
                <w:color w:val="auto"/>
                <w:highlight w:val="none"/>
              </w:rPr>
            </w:pPr>
            <w:r>
              <w:rPr>
                <w:color w:val="auto"/>
                <w:spacing w:val="7"/>
                <w:highlight w:val="none"/>
              </w:rPr>
              <w:t>房建工程</w:t>
            </w:r>
          </w:p>
        </w:tc>
        <w:tc>
          <w:tcPr>
            <w:tcW w:w="738" w:type="dxa"/>
            <w:vAlign w:val="center"/>
          </w:tcPr>
          <w:p w14:paraId="0C69A13C">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0</w:t>
            </w:r>
          </w:p>
        </w:tc>
        <w:tc>
          <w:tcPr>
            <w:tcW w:w="7059" w:type="dxa"/>
            <w:vAlign w:val="top"/>
          </w:tcPr>
          <w:p w14:paraId="6EFE0AC1">
            <w:pPr>
              <w:pStyle w:val="17"/>
              <w:spacing w:before="121" w:line="293" w:lineRule="auto"/>
              <w:ind w:left="116" w:right="109"/>
              <w:jc w:val="both"/>
              <w:rPr>
                <w:color w:val="auto"/>
                <w:highlight w:val="none"/>
              </w:rPr>
            </w:pPr>
            <w:r>
              <w:rPr>
                <w:color w:val="auto"/>
                <w:spacing w:val="13"/>
                <w:highlight w:val="none"/>
              </w:rPr>
              <w:t>具有住房和城乡建设部核发的监理工程师证书（注册专业为房屋建筑）或具有住房和城乡建设部门核发的监理培训证书；具有建筑相关专业</w:t>
            </w:r>
            <w:r>
              <w:rPr>
                <w:color w:val="auto"/>
                <w:spacing w:val="13"/>
                <w:highlight w:val="none"/>
                <w:u w:val="single" w:color="auto"/>
              </w:rPr>
              <w:t>中级及</w:t>
            </w:r>
            <w:r>
              <w:rPr>
                <w:color w:val="auto"/>
                <w:spacing w:val="7"/>
                <w:highlight w:val="none"/>
                <w:u w:val="single" w:color="auto"/>
              </w:rPr>
              <w:t>以上</w:t>
            </w:r>
            <w:r>
              <w:rPr>
                <w:color w:val="auto"/>
                <w:spacing w:val="7"/>
                <w:highlight w:val="none"/>
              </w:rPr>
              <w:t>技术职称；从事房建工程监理工作</w:t>
            </w:r>
            <w:r>
              <w:rPr>
                <w:color w:val="auto"/>
                <w:spacing w:val="-22"/>
                <w:highlight w:val="none"/>
              </w:rPr>
              <w:t xml:space="preserve"> </w:t>
            </w:r>
            <w:r>
              <w:rPr>
                <w:color w:val="auto"/>
                <w:spacing w:val="7"/>
                <w:highlight w:val="none"/>
                <w:u w:val="single" w:color="auto"/>
              </w:rPr>
              <w:t>5</w:t>
            </w:r>
            <w:r>
              <w:rPr>
                <w:color w:val="auto"/>
                <w:spacing w:val="-37"/>
                <w:highlight w:val="none"/>
                <w:u w:val="single" w:color="auto"/>
              </w:rPr>
              <w:t xml:space="preserve"> </w:t>
            </w:r>
            <w:r>
              <w:rPr>
                <w:color w:val="auto"/>
                <w:spacing w:val="7"/>
                <w:highlight w:val="none"/>
              </w:rPr>
              <w:t>年以上。</w:t>
            </w:r>
          </w:p>
        </w:tc>
      </w:tr>
      <w:tr w14:paraId="31B43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5" w:type="dxa"/>
            <w:vMerge w:val="continue"/>
            <w:tcBorders>
              <w:top w:val="nil"/>
            </w:tcBorders>
            <w:vAlign w:val="top"/>
          </w:tcPr>
          <w:p w14:paraId="53D5073D">
            <w:pPr>
              <w:rPr>
                <w:rFonts w:ascii="Arial"/>
                <w:color w:val="auto"/>
                <w:sz w:val="21"/>
                <w:highlight w:val="none"/>
              </w:rPr>
            </w:pPr>
          </w:p>
        </w:tc>
        <w:tc>
          <w:tcPr>
            <w:tcW w:w="1146" w:type="dxa"/>
            <w:vAlign w:val="top"/>
          </w:tcPr>
          <w:p w14:paraId="6B387705">
            <w:pPr>
              <w:spacing w:line="297" w:lineRule="auto"/>
              <w:rPr>
                <w:rFonts w:ascii="Arial"/>
                <w:color w:val="auto"/>
                <w:sz w:val="21"/>
                <w:highlight w:val="none"/>
              </w:rPr>
            </w:pPr>
          </w:p>
          <w:p w14:paraId="17407ED7">
            <w:pPr>
              <w:spacing w:line="297" w:lineRule="auto"/>
              <w:rPr>
                <w:rFonts w:ascii="Arial"/>
                <w:color w:val="auto"/>
                <w:sz w:val="21"/>
                <w:highlight w:val="none"/>
              </w:rPr>
            </w:pPr>
          </w:p>
          <w:p w14:paraId="17B6A429">
            <w:pPr>
              <w:pStyle w:val="17"/>
              <w:spacing w:before="65" w:line="228" w:lineRule="auto"/>
              <w:ind w:left="155"/>
              <w:rPr>
                <w:color w:val="auto"/>
                <w:highlight w:val="none"/>
              </w:rPr>
            </w:pPr>
            <w:r>
              <w:rPr>
                <w:color w:val="auto"/>
                <w:spacing w:val="7"/>
                <w:highlight w:val="none"/>
              </w:rPr>
              <w:t>地质工程</w:t>
            </w:r>
          </w:p>
        </w:tc>
        <w:tc>
          <w:tcPr>
            <w:tcW w:w="738" w:type="dxa"/>
            <w:vAlign w:val="center"/>
          </w:tcPr>
          <w:p w14:paraId="4E6EACC9">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0</w:t>
            </w:r>
          </w:p>
        </w:tc>
        <w:tc>
          <w:tcPr>
            <w:tcW w:w="7059" w:type="dxa"/>
            <w:vAlign w:val="top"/>
          </w:tcPr>
          <w:p w14:paraId="2FE1000C">
            <w:pPr>
              <w:pStyle w:val="17"/>
              <w:spacing w:before="123" w:line="332" w:lineRule="auto"/>
              <w:ind w:left="111" w:right="109" w:firstLine="5"/>
              <w:rPr>
                <w:color w:val="auto"/>
                <w:highlight w:val="none"/>
              </w:rPr>
            </w:pPr>
            <w:r>
              <w:rPr>
                <w:color w:val="auto"/>
                <w:spacing w:val="20"/>
                <w:highlight w:val="none"/>
              </w:rPr>
              <w:t>具有交通运输部和人力资源和社会保障部用印的交通运输工程（公路工</w:t>
            </w:r>
            <w:r>
              <w:rPr>
                <w:color w:val="auto"/>
                <w:spacing w:val="13"/>
                <w:highlight w:val="none"/>
              </w:rPr>
              <w:t>程）专业监理工程师职业资格证书（或电子证书</w:t>
            </w:r>
            <w:r>
              <w:rPr>
                <w:color w:val="auto"/>
                <w:spacing w:val="-1"/>
                <w:highlight w:val="none"/>
              </w:rPr>
              <w:t>）</w:t>
            </w:r>
            <w:r>
              <w:rPr>
                <w:color w:val="auto"/>
                <w:spacing w:val="-57"/>
                <w:highlight w:val="none"/>
              </w:rPr>
              <w:t xml:space="preserve"> </w:t>
            </w:r>
            <w:r>
              <w:rPr>
                <w:color w:val="auto"/>
                <w:spacing w:val="-1"/>
                <w:highlight w:val="none"/>
              </w:rPr>
              <w:t>，</w:t>
            </w:r>
            <w:r>
              <w:rPr>
                <w:color w:val="auto"/>
                <w:spacing w:val="13"/>
                <w:highlight w:val="none"/>
              </w:rPr>
              <w:t>或具有交通运输部核</w:t>
            </w:r>
          </w:p>
          <w:p w14:paraId="4DEF1086">
            <w:pPr>
              <w:pStyle w:val="17"/>
              <w:spacing w:line="226" w:lineRule="auto"/>
              <w:ind w:left="115"/>
              <w:rPr>
                <w:color w:val="auto"/>
                <w:highlight w:val="none"/>
              </w:rPr>
            </w:pPr>
            <w:r>
              <w:rPr>
                <w:color w:val="auto"/>
                <w:spacing w:val="13"/>
                <w:highlight w:val="none"/>
              </w:rPr>
              <w:t>发的专业监理工程师资格证书；具有路桥或地质或岩土相关专业</w:t>
            </w:r>
            <w:r>
              <w:rPr>
                <w:color w:val="auto"/>
                <w:spacing w:val="13"/>
                <w:highlight w:val="none"/>
                <w:u w:val="single" w:color="auto"/>
              </w:rPr>
              <w:t>中级及以</w:t>
            </w:r>
          </w:p>
          <w:p w14:paraId="30AAFC86">
            <w:pPr>
              <w:pStyle w:val="17"/>
              <w:spacing w:before="113" w:line="214" w:lineRule="auto"/>
              <w:ind w:left="114"/>
              <w:rPr>
                <w:color w:val="auto"/>
                <w:highlight w:val="none"/>
              </w:rPr>
            </w:pPr>
            <w:r>
              <w:rPr>
                <w:color w:val="auto"/>
                <w:spacing w:val="7"/>
                <w:highlight w:val="none"/>
                <w:u w:val="single" w:color="auto"/>
              </w:rPr>
              <w:t>上</w:t>
            </w:r>
            <w:r>
              <w:rPr>
                <w:color w:val="auto"/>
                <w:spacing w:val="7"/>
                <w:highlight w:val="none"/>
              </w:rPr>
              <w:t>技术职称；从事监理工作</w:t>
            </w:r>
            <w:r>
              <w:rPr>
                <w:color w:val="auto"/>
                <w:spacing w:val="-33"/>
                <w:highlight w:val="none"/>
              </w:rPr>
              <w:t xml:space="preserve"> </w:t>
            </w:r>
            <w:r>
              <w:rPr>
                <w:color w:val="auto"/>
                <w:spacing w:val="7"/>
                <w:highlight w:val="none"/>
                <w:u w:val="single" w:color="auto"/>
              </w:rPr>
              <w:t>5</w:t>
            </w:r>
            <w:r>
              <w:rPr>
                <w:color w:val="auto"/>
                <w:spacing w:val="-37"/>
                <w:highlight w:val="none"/>
                <w:u w:val="single" w:color="auto"/>
              </w:rPr>
              <w:t xml:space="preserve"> </w:t>
            </w:r>
            <w:r>
              <w:rPr>
                <w:color w:val="auto"/>
                <w:spacing w:val="7"/>
                <w:highlight w:val="none"/>
              </w:rPr>
              <w:t>年以上。</w:t>
            </w:r>
          </w:p>
        </w:tc>
      </w:tr>
      <w:tr w14:paraId="5D8EB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635" w:type="dxa"/>
            <w:vAlign w:val="top"/>
          </w:tcPr>
          <w:p w14:paraId="46F3AB6C">
            <w:pPr>
              <w:pStyle w:val="17"/>
              <w:spacing w:before="123" w:line="228" w:lineRule="auto"/>
              <w:ind w:left="217"/>
              <w:rPr>
                <w:color w:val="auto"/>
                <w:highlight w:val="none"/>
              </w:rPr>
            </w:pPr>
            <w:r>
              <w:rPr>
                <w:color w:val="auto"/>
                <w:highlight w:val="none"/>
              </w:rPr>
              <w:t>专</w:t>
            </w:r>
          </w:p>
          <w:p w14:paraId="74D1561D">
            <w:pPr>
              <w:pStyle w:val="17"/>
              <w:spacing w:before="112"/>
              <w:ind w:left="216"/>
              <w:rPr>
                <w:color w:val="auto"/>
                <w:highlight w:val="none"/>
              </w:rPr>
            </w:pPr>
            <w:r>
              <w:rPr>
                <w:color w:val="auto"/>
                <w:spacing w:val="1"/>
                <w:highlight w:val="none"/>
              </w:rPr>
              <w:t>业</w:t>
            </w:r>
          </w:p>
          <w:p w14:paraId="3B97C029">
            <w:pPr>
              <w:pStyle w:val="17"/>
              <w:spacing w:before="100" w:line="236" w:lineRule="auto"/>
              <w:ind w:left="217"/>
              <w:rPr>
                <w:color w:val="auto"/>
                <w:highlight w:val="none"/>
              </w:rPr>
            </w:pPr>
            <w:r>
              <w:rPr>
                <w:color w:val="auto"/>
                <w:highlight w:val="none"/>
              </w:rPr>
              <w:t>监</w:t>
            </w:r>
          </w:p>
          <w:p w14:paraId="500B2585">
            <w:pPr>
              <w:pStyle w:val="17"/>
              <w:spacing w:before="103" w:line="238" w:lineRule="auto"/>
              <w:ind w:left="219"/>
              <w:rPr>
                <w:color w:val="auto"/>
                <w:highlight w:val="none"/>
              </w:rPr>
            </w:pPr>
            <w:r>
              <w:rPr>
                <w:color w:val="auto"/>
                <w:highlight w:val="none"/>
              </w:rPr>
              <w:t>理</w:t>
            </w:r>
          </w:p>
          <w:p w14:paraId="7B63D3AF">
            <w:pPr>
              <w:pStyle w:val="17"/>
              <w:spacing w:before="102" w:line="264" w:lineRule="exact"/>
              <w:ind w:left="219"/>
              <w:rPr>
                <w:color w:val="auto"/>
                <w:highlight w:val="none"/>
              </w:rPr>
            </w:pPr>
            <w:r>
              <w:rPr>
                <w:color w:val="auto"/>
                <w:position w:val="1"/>
                <w:highlight w:val="none"/>
              </w:rPr>
              <w:t>工</w:t>
            </w:r>
          </w:p>
          <w:p w14:paraId="56F80456">
            <w:pPr>
              <w:pStyle w:val="17"/>
              <w:spacing w:before="96" w:line="273" w:lineRule="auto"/>
              <w:ind w:left="170" w:right="156" w:firstLine="46"/>
              <w:rPr>
                <w:color w:val="auto"/>
                <w:sz w:val="10"/>
                <w:szCs w:val="10"/>
                <w:highlight w:val="none"/>
              </w:rPr>
            </w:pPr>
            <w:r>
              <w:rPr>
                <w:color w:val="auto"/>
                <w:spacing w:val="1"/>
                <w:highlight w:val="none"/>
              </w:rPr>
              <w:t>程</w:t>
            </w:r>
            <w:r>
              <w:rPr>
                <w:color w:val="auto"/>
                <w:spacing w:val="1"/>
                <w:position w:val="-2"/>
                <w:highlight w:val="none"/>
              </w:rPr>
              <w:t>师</w:t>
            </w:r>
            <w:r>
              <w:rPr>
                <w:color w:val="auto"/>
                <w:highlight w:val="none"/>
              </w:rPr>
              <w:fldChar w:fldCharType="begin"/>
            </w:r>
            <w:r>
              <w:rPr>
                <w:color w:val="auto"/>
                <w:highlight w:val="none"/>
              </w:rPr>
              <w:instrText xml:space="preserve"> HYPERLINK \l "bookmark97" </w:instrText>
            </w:r>
            <w:r>
              <w:rPr>
                <w:color w:val="auto"/>
                <w:highlight w:val="none"/>
              </w:rPr>
              <w:fldChar w:fldCharType="separate"/>
            </w:r>
            <w:r>
              <w:rPr>
                <w:color w:val="auto"/>
                <w:spacing w:val="1"/>
                <w:position w:val="8"/>
                <w:sz w:val="10"/>
                <w:szCs w:val="10"/>
                <w:highlight w:val="none"/>
              </w:rPr>
              <w:t>①</w:t>
            </w:r>
            <w:r>
              <w:rPr>
                <w:color w:val="auto"/>
                <w:spacing w:val="1"/>
                <w:position w:val="8"/>
                <w:sz w:val="10"/>
                <w:szCs w:val="10"/>
                <w:highlight w:val="none"/>
              </w:rPr>
              <w:fldChar w:fldCharType="end"/>
            </w:r>
          </w:p>
        </w:tc>
        <w:tc>
          <w:tcPr>
            <w:tcW w:w="1146" w:type="dxa"/>
            <w:vAlign w:val="top"/>
          </w:tcPr>
          <w:p w14:paraId="6EA7220B">
            <w:pPr>
              <w:spacing w:line="317" w:lineRule="auto"/>
              <w:rPr>
                <w:rFonts w:ascii="Arial"/>
                <w:color w:val="auto"/>
                <w:sz w:val="21"/>
                <w:highlight w:val="none"/>
              </w:rPr>
            </w:pPr>
          </w:p>
          <w:p w14:paraId="3D2ACA20">
            <w:pPr>
              <w:spacing w:line="317" w:lineRule="auto"/>
              <w:rPr>
                <w:rFonts w:ascii="Arial"/>
                <w:color w:val="auto"/>
                <w:sz w:val="21"/>
                <w:highlight w:val="none"/>
              </w:rPr>
            </w:pPr>
          </w:p>
          <w:p w14:paraId="62625F48">
            <w:pPr>
              <w:spacing w:line="317" w:lineRule="auto"/>
              <w:rPr>
                <w:rFonts w:ascii="Arial"/>
                <w:color w:val="auto"/>
                <w:sz w:val="21"/>
                <w:highlight w:val="none"/>
              </w:rPr>
            </w:pPr>
          </w:p>
          <w:p w14:paraId="10C60728">
            <w:pPr>
              <w:pStyle w:val="17"/>
              <w:spacing w:before="65" w:line="334" w:lineRule="auto"/>
              <w:ind w:right="153"/>
              <w:jc w:val="center"/>
              <w:rPr>
                <w:color w:val="auto"/>
                <w:highlight w:val="none"/>
              </w:rPr>
            </w:pPr>
            <w:r>
              <w:rPr>
                <w:color w:val="auto"/>
                <w:spacing w:val="6"/>
                <w:highlight w:val="none"/>
              </w:rPr>
              <w:t>专业工</w:t>
            </w:r>
            <w:r>
              <w:rPr>
                <w:color w:val="auto"/>
                <w:spacing w:val="5"/>
                <w:highlight w:val="none"/>
              </w:rPr>
              <w:t>程师</w:t>
            </w:r>
          </w:p>
        </w:tc>
        <w:tc>
          <w:tcPr>
            <w:tcW w:w="738" w:type="dxa"/>
            <w:vAlign w:val="center"/>
          </w:tcPr>
          <w:p w14:paraId="4272A6D4">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27D4DD42">
            <w:pPr>
              <w:spacing w:line="317" w:lineRule="auto"/>
              <w:rPr>
                <w:rFonts w:ascii="Arial"/>
                <w:color w:val="auto"/>
                <w:sz w:val="21"/>
                <w:highlight w:val="none"/>
              </w:rPr>
            </w:pPr>
          </w:p>
          <w:p w14:paraId="276B3BF4">
            <w:pPr>
              <w:spacing w:line="317" w:lineRule="auto"/>
              <w:rPr>
                <w:rFonts w:ascii="Arial"/>
                <w:color w:val="auto"/>
                <w:sz w:val="21"/>
                <w:highlight w:val="none"/>
              </w:rPr>
            </w:pPr>
          </w:p>
          <w:p w14:paraId="6BBA996C">
            <w:pPr>
              <w:spacing w:line="317" w:lineRule="auto"/>
              <w:rPr>
                <w:rFonts w:ascii="Arial"/>
                <w:color w:val="auto"/>
                <w:sz w:val="21"/>
                <w:highlight w:val="none"/>
              </w:rPr>
            </w:pPr>
          </w:p>
          <w:p w14:paraId="7BC821EC">
            <w:pPr>
              <w:pStyle w:val="17"/>
              <w:spacing w:before="65" w:line="334" w:lineRule="auto"/>
              <w:ind w:left="111" w:right="109" w:firstLine="5"/>
              <w:rPr>
                <w:color w:val="auto"/>
                <w:highlight w:val="none"/>
              </w:rPr>
            </w:pPr>
            <w:r>
              <w:rPr>
                <w:color w:val="auto"/>
                <w:spacing w:val="14"/>
                <w:highlight w:val="none"/>
              </w:rPr>
              <w:t>具有工程类注册执业资格或具有</w:t>
            </w:r>
            <w:r>
              <w:rPr>
                <w:color w:val="auto"/>
                <w:spacing w:val="14"/>
                <w:highlight w:val="none"/>
                <w:u w:val="single" w:color="auto"/>
              </w:rPr>
              <w:t>中级及以上</w:t>
            </w:r>
            <w:r>
              <w:rPr>
                <w:color w:val="auto"/>
                <w:spacing w:val="14"/>
                <w:highlight w:val="none"/>
              </w:rPr>
              <w:t>专业技术职称；</w:t>
            </w:r>
            <w:r>
              <w:rPr>
                <w:color w:val="auto"/>
                <w:spacing w:val="14"/>
                <w:highlight w:val="none"/>
                <w:u w:val="single" w:color="auto"/>
              </w:rPr>
              <w:t>3</w:t>
            </w:r>
            <w:r>
              <w:rPr>
                <w:color w:val="auto"/>
                <w:spacing w:val="-22"/>
                <w:highlight w:val="none"/>
                <w:u w:val="single" w:color="auto"/>
              </w:rPr>
              <w:t xml:space="preserve"> </w:t>
            </w:r>
            <w:r>
              <w:rPr>
                <w:color w:val="auto"/>
                <w:spacing w:val="14"/>
                <w:highlight w:val="none"/>
              </w:rPr>
              <w:t>年及以上工</w:t>
            </w:r>
            <w:r>
              <w:rPr>
                <w:color w:val="auto"/>
                <w:spacing w:val="9"/>
                <w:highlight w:val="none"/>
              </w:rPr>
              <w:t>程实践经验；经过监理业务培训并经建设单位考核合格的监理人员。</w:t>
            </w:r>
          </w:p>
        </w:tc>
      </w:tr>
      <w:tr w14:paraId="489BC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781" w:type="dxa"/>
            <w:gridSpan w:val="2"/>
            <w:vAlign w:val="top"/>
          </w:tcPr>
          <w:p w14:paraId="2F5C75CF">
            <w:pPr>
              <w:pStyle w:val="17"/>
              <w:spacing w:before="123" w:line="273" w:lineRule="auto"/>
              <w:ind w:left="589" w:right="153" w:hanging="427"/>
              <w:rPr>
                <w:color w:val="auto"/>
                <w:highlight w:val="none"/>
              </w:rPr>
            </w:pPr>
            <w:r>
              <w:rPr>
                <w:color w:val="auto"/>
                <w:spacing w:val="8"/>
                <w:highlight w:val="none"/>
              </w:rPr>
              <w:t>档案及竣工资料</w:t>
            </w:r>
            <w:r>
              <w:rPr>
                <w:color w:val="auto"/>
                <w:spacing w:val="4"/>
                <w:highlight w:val="none"/>
              </w:rPr>
              <w:t>负责人</w:t>
            </w:r>
          </w:p>
        </w:tc>
        <w:tc>
          <w:tcPr>
            <w:tcW w:w="738" w:type="dxa"/>
            <w:vAlign w:val="center"/>
          </w:tcPr>
          <w:p w14:paraId="7E88BFF9">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32DEDB1A">
            <w:pPr>
              <w:pStyle w:val="17"/>
              <w:spacing w:before="123" w:line="273" w:lineRule="auto"/>
              <w:ind w:left="111" w:right="109" w:firstLine="5"/>
              <w:rPr>
                <w:color w:val="auto"/>
                <w:highlight w:val="none"/>
              </w:rPr>
            </w:pPr>
            <w:r>
              <w:rPr>
                <w:color w:val="auto"/>
                <w:spacing w:val="13"/>
                <w:highlight w:val="none"/>
              </w:rPr>
              <w:t>具有路桥或土建相关专业</w:t>
            </w:r>
            <w:r>
              <w:rPr>
                <w:color w:val="auto"/>
                <w:spacing w:val="13"/>
                <w:highlight w:val="none"/>
                <w:u w:val="single" w:color="auto"/>
              </w:rPr>
              <w:t>初级及以上</w:t>
            </w:r>
            <w:r>
              <w:rPr>
                <w:color w:val="auto"/>
                <w:spacing w:val="13"/>
                <w:highlight w:val="none"/>
              </w:rPr>
              <w:t>技术职称，至少具有一个高速公路工</w:t>
            </w:r>
            <w:r>
              <w:rPr>
                <w:color w:val="auto"/>
                <w:spacing w:val="9"/>
                <w:highlight w:val="none"/>
              </w:rPr>
              <w:t>程项目竣工档案全过程编制和管理工作经验,熟悉计算机办公软件操作。</w:t>
            </w:r>
          </w:p>
        </w:tc>
      </w:tr>
      <w:tr w14:paraId="024D0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781" w:type="dxa"/>
            <w:gridSpan w:val="2"/>
            <w:vAlign w:val="top"/>
          </w:tcPr>
          <w:p w14:paraId="77761EDB">
            <w:pPr>
              <w:pStyle w:val="17"/>
              <w:spacing w:before="303" w:line="229" w:lineRule="auto"/>
              <w:ind w:left="477"/>
              <w:rPr>
                <w:color w:val="auto"/>
                <w:highlight w:val="none"/>
              </w:rPr>
            </w:pPr>
            <w:r>
              <w:rPr>
                <w:color w:val="auto"/>
                <w:spacing w:val="-1"/>
                <w:highlight w:val="none"/>
              </w:rPr>
              <w:t>监</w:t>
            </w:r>
            <w:r>
              <w:rPr>
                <w:color w:val="auto"/>
                <w:spacing w:val="16"/>
                <w:highlight w:val="none"/>
              </w:rPr>
              <w:t xml:space="preserve"> </w:t>
            </w:r>
            <w:r>
              <w:rPr>
                <w:color w:val="auto"/>
                <w:spacing w:val="-1"/>
                <w:highlight w:val="none"/>
              </w:rPr>
              <w:t>理</w:t>
            </w:r>
            <w:r>
              <w:rPr>
                <w:color w:val="auto"/>
                <w:spacing w:val="24"/>
                <w:highlight w:val="none"/>
              </w:rPr>
              <w:t xml:space="preserve"> </w:t>
            </w:r>
            <w:r>
              <w:rPr>
                <w:color w:val="auto"/>
                <w:spacing w:val="-1"/>
                <w:highlight w:val="none"/>
              </w:rPr>
              <w:t>员</w:t>
            </w:r>
          </w:p>
        </w:tc>
        <w:tc>
          <w:tcPr>
            <w:tcW w:w="738" w:type="dxa"/>
            <w:vAlign w:val="center"/>
          </w:tcPr>
          <w:p w14:paraId="6B63CECC">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c>
          <w:tcPr>
            <w:tcW w:w="7059" w:type="dxa"/>
            <w:vAlign w:val="top"/>
          </w:tcPr>
          <w:p w14:paraId="37E132C6">
            <w:pPr>
              <w:pStyle w:val="17"/>
              <w:spacing w:before="123" w:line="275" w:lineRule="auto"/>
              <w:ind w:left="113" w:right="109" w:firstLine="3"/>
              <w:rPr>
                <w:color w:val="auto"/>
                <w:highlight w:val="none"/>
              </w:rPr>
            </w:pPr>
            <w:r>
              <w:rPr>
                <w:color w:val="auto"/>
                <w:spacing w:val="13"/>
                <w:highlight w:val="none"/>
              </w:rPr>
              <w:t>具有监理人员培训证书，路桥相关专业</w:t>
            </w:r>
            <w:r>
              <w:rPr>
                <w:color w:val="auto"/>
                <w:spacing w:val="13"/>
                <w:highlight w:val="none"/>
                <w:u w:val="single" w:color="auto"/>
              </w:rPr>
              <w:t>初级及以上</w:t>
            </w:r>
            <w:r>
              <w:rPr>
                <w:color w:val="auto"/>
                <w:spacing w:val="13"/>
                <w:highlight w:val="none"/>
              </w:rPr>
              <w:t>技术职称，从事监理工</w:t>
            </w:r>
            <w:r>
              <w:rPr>
                <w:color w:val="auto"/>
                <w:spacing w:val="2"/>
                <w:highlight w:val="none"/>
              </w:rPr>
              <w:t>作</w:t>
            </w:r>
            <w:r>
              <w:rPr>
                <w:color w:val="auto"/>
                <w:spacing w:val="16"/>
                <w:highlight w:val="none"/>
              </w:rPr>
              <w:t xml:space="preserve"> </w:t>
            </w:r>
            <w:r>
              <w:rPr>
                <w:color w:val="auto"/>
                <w:spacing w:val="2"/>
                <w:highlight w:val="none"/>
                <w:u w:val="single" w:color="auto"/>
              </w:rPr>
              <w:t>2</w:t>
            </w:r>
            <w:r>
              <w:rPr>
                <w:color w:val="auto"/>
                <w:spacing w:val="-37"/>
                <w:highlight w:val="none"/>
                <w:u w:val="single" w:color="auto"/>
              </w:rPr>
              <w:t xml:space="preserve"> </w:t>
            </w:r>
            <w:r>
              <w:rPr>
                <w:color w:val="auto"/>
                <w:spacing w:val="2"/>
                <w:highlight w:val="none"/>
              </w:rPr>
              <w:t>年以上。</w:t>
            </w:r>
          </w:p>
        </w:tc>
      </w:tr>
    </w:tbl>
    <w:p w14:paraId="0BD66DD1">
      <w:pPr>
        <w:spacing w:line="241" w:lineRule="auto"/>
        <w:rPr>
          <w:rFonts w:ascii="Arial"/>
          <w:color w:val="auto"/>
          <w:sz w:val="21"/>
          <w:highlight w:val="none"/>
        </w:rPr>
      </w:pPr>
    </w:p>
    <w:p w14:paraId="28785018">
      <w:pPr>
        <w:spacing w:line="241" w:lineRule="auto"/>
        <w:rPr>
          <w:rFonts w:ascii="Arial"/>
          <w:color w:val="auto"/>
          <w:sz w:val="21"/>
          <w:highlight w:val="none"/>
        </w:rPr>
      </w:pPr>
    </w:p>
    <w:p w14:paraId="651DF11B">
      <w:pPr>
        <w:spacing w:line="229" w:lineRule="auto"/>
        <w:rPr>
          <w:rFonts w:ascii="宋体" w:hAnsi="宋体" w:eastAsia="宋体" w:cs="宋体"/>
          <w:color w:val="auto"/>
          <w:sz w:val="18"/>
          <w:szCs w:val="18"/>
          <w:highlight w:val="none"/>
        </w:rPr>
        <w:sectPr>
          <w:footerReference r:id="rId78" w:type="default"/>
          <w:pgSz w:w="11906" w:h="16839"/>
          <w:pgMar w:top="1417" w:right="1418" w:bottom="1297" w:left="1417" w:header="0" w:footer="1067" w:gutter="0"/>
          <w:pgNumType w:fmt="decimal"/>
          <w:cols w:space="720" w:num="1"/>
        </w:sectPr>
      </w:pPr>
      <w:bookmarkStart w:id="265" w:name="bookmark150"/>
      <w:bookmarkEnd w:id="265"/>
    </w:p>
    <w:p w14:paraId="35BBB4AA">
      <w:pPr>
        <w:spacing w:before="173" w:line="263" w:lineRule="exact"/>
        <w:ind w:left="134"/>
        <w:outlineLvl w:val="1"/>
        <w:rPr>
          <w:rFonts w:ascii="宋体" w:hAnsi="宋体" w:eastAsia="宋体" w:cs="宋体"/>
          <w:color w:val="auto"/>
          <w:sz w:val="10"/>
          <w:szCs w:val="10"/>
          <w:highlight w:val="none"/>
        </w:rPr>
      </w:pPr>
      <w:bookmarkStart w:id="266" w:name="bookmark151"/>
      <w:bookmarkEnd w:id="266"/>
      <w:bookmarkStart w:id="267" w:name="_Toc30101"/>
      <w:bookmarkStart w:id="268" w:name="_Toc21761"/>
      <w:r>
        <w:rPr>
          <w:rFonts w:ascii="宋体" w:hAnsi="宋体" w:eastAsia="宋体" w:cs="宋体"/>
          <w:b/>
          <w:bCs/>
          <w:color w:val="auto"/>
          <w:spacing w:val="8"/>
          <w:sz w:val="20"/>
          <w:szCs w:val="20"/>
          <w:highlight w:val="none"/>
        </w:rPr>
        <w:t>附件四：主要试验检测设备最低要求</w:t>
      </w:r>
      <w:bookmarkEnd w:id="267"/>
      <w:bookmarkEnd w:id="268"/>
    </w:p>
    <w:p w14:paraId="184323B1">
      <w:pPr>
        <w:spacing w:line="29" w:lineRule="exact"/>
        <w:rPr>
          <w:color w:val="auto"/>
          <w:highlight w:val="none"/>
        </w:rPr>
      </w:pPr>
    </w:p>
    <w:tbl>
      <w:tblPr>
        <w:tblStyle w:val="16"/>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5"/>
        <w:gridCol w:w="2977"/>
        <w:gridCol w:w="1501"/>
        <w:gridCol w:w="2385"/>
      </w:tblGrid>
      <w:tr w14:paraId="4C3A1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25" w:type="dxa"/>
            <w:vAlign w:val="top"/>
          </w:tcPr>
          <w:p w14:paraId="76AFA38B">
            <w:pPr>
              <w:pStyle w:val="17"/>
              <w:spacing w:before="211" w:line="229" w:lineRule="auto"/>
              <w:ind w:left="802"/>
              <w:rPr>
                <w:color w:val="auto"/>
                <w:highlight w:val="none"/>
              </w:rPr>
            </w:pPr>
            <w:r>
              <w:rPr>
                <w:color w:val="auto"/>
                <w:spacing w:val="6"/>
                <w:highlight w:val="none"/>
              </w:rPr>
              <w:t>设备名称</w:t>
            </w:r>
          </w:p>
        </w:tc>
        <w:tc>
          <w:tcPr>
            <w:tcW w:w="2977" w:type="dxa"/>
            <w:vAlign w:val="top"/>
          </w:tcPr>
          <w:p w14:paraId="2B0F343E">
            <w:pPr>
              <w:pStyle w:val="17"/>
              <w:spacing w:before="211" w:line="228" w:lineRule="auto"/>
              <w:ind w:left="655"/>
              <w:rPr>
                <w:color w:val="auto"/>
                <w:highlight w:val="none"/>
              </w:rPr>
            </w:pPr>
            <w:r>
              <w:rPr>
                <w:color w:val="auto"/>
                <w:spacing w:val="8"/>
                <w:highlight w:val="none"/>
              </w:rPr>
              <w:t>规格、功率及容量</w:t>
            </w:r>
          </w:p>
        </w:tc>
        <w:tc>
          <w:tcPr>
            <w:tcW w:w="1501" w:type="dxa"/>
            <w:vAlign w:val="top"/>
          </w:tcPr>
          <w:p w14:paraId="2DF83887">
            <w:pPr>
              <w:pStyle w:val="17"/>
              <w:spacing w:before="211" w:line="228" w:lineRule="auto"/>
              <w:ind w:left="549"/>
              <w:rPr>
                <w:color w:val="auto"/>
                <w:highlight w:val="none"/>
              </w:rPr>
            </w:pPr>
            <w:r>
              <w:rPr>
                <w:color w:val="auto"/>
                <w:spacing w:val="3"/>
                <w:highlight w:val="none"/>
              </w:rPr>
              <w:t>单位</w:t>
            </w:r>
          </w:p>
        </w:tc>
        <w:tc>
          <w:tcPr>
            <w:tcW w:w="2385" w:type="dxa"/>
            <w:vAlign w:val="top"/>
          </w:tcPr>
          <w:p w14:paraId="24BB2057">
            <w:pPr>
              <w:pStyle w:val="17"/>
              <w:spacing w:before="211" w:line="228" w:lineRule="auto"/>
              <w:ind w:left="570"/>
              <w:rPr>
                <w:color w:val="auto"/>
                <w:highlight w:val="none"/>
              </w:rPr>
            </w:pPr>
            <w:r>
              <w:rPr>
                <w:color w:val="auto"/>
                <w:spacing w:val="7"/>
                <w:highlight w:val="none"/>
              </w:rPr>
              <w:t>最低数量要求</w:t>
            </w:r>
          </w:p>
        </w:tc>
      </w:tr>
      <w:tr w14:paraId="67F95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425" w:type="dxa"/>
            <w:vAlign w:val="center"/>
          </w:tcPr>
          <w:p w14:paraId="64770F2B">
            <w:pPr>
              <w:keepNext w:val="0"/>
              <w:keepLines w:val="0"/>
              <w:bidi w:val="0"/>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w:t>
            </w:r>
          </w:p>
        </w:tc>
        <w:tc>
          <w:tcPr>
            <w:tcW w:w="2977" w:type="dxa"/>
            <w:vAlign w:val="center"/>
          </w:tcPr>
          <w:p w14:paraId="028E41CA">
            <w:pPr>
              <w:keepNext w:val="0"/>
              <w:keepLines w:val="0"/>
              <w:bidi w:val="0"/>
              <w:jc w:val="center"/>
              <w:rPr>
                <w:rFonts w:hint="default" w:ascii="Arial" w:eastAsia="宋体"/>
                <w:color w:val="auto"/>
                <w:sz w:val="21"/>
                <w:highlight w:val="none"/>
                <w:lang w:val="en-US" w:eastAsia="zh-CN"/>
              </w:rPr>
            </w:pPr>
            <w:r>
              <w:rPr>
                <w:rFonts w:hint="eastAsia" w:eastAsia="宋体"/>
                <w:color w:val="auto"/>
                <w:sz w:val="21"/>
                <w:highlight w:val="none"/>
                <w:lang w:val="en-US" w:eastAsia="zh-CN"/>
              </w:rPr>
              <w:t>/</w:t>
            </w:r>
          </w:p>
        </w:tc>
        <w:tc>
          <w:tcPr>
            <w:tcW w:w="1501" w:type="dxa"/>
            <w:vAlign w:val="center"/>
          </w:tcPr>
          <w:p w14:paraId="7046A294">
            <w:pPr>
              <w:keepNext w:val="0"/>
              <w:keepLines w:val="0"/>
              <w:bidi w:val="0"/>
              <w:jc w:val="center"/>
              <w:rPr>
                <w:rFonts w:hint="default" w:ascii="Arial" w:eastAsia="宋体"/>
                <w:color w:val="auto"/>
                <w:sz w:val="21"/>
                <w:highlight w:val="none"/>
                <w:lang w:val="en-US" w:eastAsia="zh-CN"/>
              </w:rPr>
            </w:pPr>
            <w:r>
              <w:rPr>
                <w:rFonts w:hint="eastAsia" w:eastAsia="宋体"/>
                <w:color w:val="auto"/>
                <w:sz w:val="21"/>
                <w:highlight w:val="none"/>
                <w:lang w:val="en-US" w:eastAsia="zh-CN"/>
              </w:rPr>
              <w:t>/</w:t>
            </w:r>
          </w:p>
        </w:tc>
        <w:tc>
          <w:tcPr>
            <w:tcW w:w="2385" w:type="dxa"/>
            <w:vAlign w:val="center"/>
          </w:tcPr>
          <w:p w14:paraId="29196E6B">
            <w:pPr>
              <w:keepNext w:val="0"/>
              <w:keepLines w:val="0"/>
              <w:bidi w:val="0"/>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w:t>
            </w:r>
          </w:p>
        </w:tc>
      </w:tr>
      <w:tr w14:paraId="3608F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5E68E52F">
            <w:pPr>
              <w:keepNext w:val="0"/>
              <w:keepLines w:val="0"/>
              <w:bidi w:val="0"/>
              <w:jc w:val="center"/>
              <w:rPr>
                <w:rFonts w:ascii="Arial"/>
                <w:color w:val="auto"/>
                <w:sz w:val="21"/>
                <w:highlight w:val="none"/>
              </w:rPr>
            </w:pPr>
          </w:p>
        </w:tc>
        <w:tc>
          <w:tcPr>
            <w:tcW w:w="2977" w:type="dxa"/>
            <w:vAlign w:val="center"/>
          </w:tcPr>
          <w:p w14:paraId="7AED7B77">
            <w:pPr>
              <w:keepNext w:val="0"/>
              <w:keepLines w:val="0"/>
              <w:bidi w:val="0"/>
              <w:jc w:val="center"/>
              <w:rPr>
                <w:rFonts w:ascii="Arial"/>
                <w:color w:val="auto"/>
                <w:sz w:val="21"/>
                <w:highlight w:val="none"/>
              </w:rPr>
            </w:pPr>
          </w:p>
        </w:tc>
        <w:tc>
          <w:tcPr>
            <w:tcW w:w="1501" w:type="dxa"/>
            <w:vAlign w:val="center"/>
          </w:tcPr>
          <w:p w14:paraId="5070F49E">
            <w:pPr>
              <w:keepNext w:val="0"/>
              <w:keepLines w:val="0"/>
              <w:bidi w:val="0"/>
              <w:jc w:val="center"/>
              <w:rPr>
                <w:rFonts w:ascii="Arial"/>
                <w:color w:val="auto"/>
                <w:sz w:val="21"/>
                <w:highlight w:val="none"/>
              </w:rPr>
            </w:pPr>
          </w:p>
        </w:tc>
        <w:tc>
          <w:tcPr>
            <w:tcW w:w="2385" w:type="dxa"/>
            <w:vAlign w:val="center"/>
          </w:tcPr>
          <w:p w14:paraId="728F6DDD">
            <w:pPr>
              <w:keepNext w:val="0"/>
              <w:keepLines w:val="0"/>
              <w:bidi w:val="0"/>
              <w:jc w:val="center"/>
              <w:rPr>
                <w:rFonts w:ascii="Arial"/>
                <w:color w:val="auto"/>
                <w:sz w:val="21"/>
                <w:highlight w:val="none"/>
              </w:rPr>
            </w:pPr>
          </w:p>
        </w:tc>
      </w:tr>
      <w:tr w14:paraId="3D3DB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7BF5425D">
            <w:pPr>
              <w:keepNext w:val="0"/>
              <w:keepLines w:val="0"/>
              <w:bidi w:val="0"/>
              <w:jc w:val="center"/>
              <w:rPr>
                <w:rFonts w:ascii="Arial"/>
                <w:color w:val="auto"/>
                <w:sz w:val="21"/>
                <w:highlight w:val="none"/>
              </w:rPr>
            </w:pPr>
          </w:p>
        </w:tc>
        <w:tc>
          <w:tcPr>
            <w:tcW w:w="2977" w:type="dxa"/>
            <w:vAlign w:val="center"/>
          </w:tcPr>
          <w:p w14:paraId="41E5649F">
            <w:pPr>
              <w:keepNext w:val="0"/>
              <w:keepLines w:val="0"/>
              <w:bidi w:val="0"/>
              <w:jc w:val="center"/>
              <w:rPr>
                <w:rFonts w:ascii="Arial"/>
                <w:color w:val="auto"/>
                <w:sz w:val="21"/>
                <w:highlight w:val="none"/>
              </w:rPr>
            </w:pPr>
          </w:p>
        </w:tc>
        <w:tc>
          <w:tcPr>
            <w:tcW w:w="1501" w:type="dxa"/>
            <w:vAlign w:val="center"/>
          </w:tcPr>
          <w:p w14:paraId="7DDC957B">
            <w:pPr>
              <w:keepNext w:val="0"/>
              <w:keepLines w:val="0"/>
              <w:bidi w:val="0"/>
              <w:jc w:val="center"/>
              <w:rPr>
                <w:rFonts w:ascii="Arial"/>
                <w:color w:val="auto"/>
                <w:sz w:val="21"/>
                <w:highlight w:val="none"/>
              </w:rPr>
            </w:pPr>
          </w:p>
        </w:tc>
        <w:tc>
          <w:tcPr>
            <w:tcW w:w="2385" w:type="dxa"/>
            <w:vAlign w:val="center"/>
          </w:tcPr>
          <w:p w14:paraId="653D5FA2">
            <w:pPr>
              <w:keepNext w:val="0"/>
              <w:keepLines w:val="0"/>
              <w:bidi w:val="0"/>
              <w:jc w:val="center"/>
              <w:rPr>
                <w:rFonts w:ascii="Arial"/>
                <w:color w:val="auto"/>
                <w:sz w:val="21"/>
                <w:highlight w:val="none"/>
              </w:rPr>
            </w:pPr>
          </w:p>
        </w:tc>
      </w:tr>
      <w:tr w14:paraId="081DD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425" w:type="dxa"/>
            <w:vAlign w:val="center"/>
          </w:tcPr>
          <w:p w14:paraId="1313DAE9">
            <w:pPr>
              <w:keepNext w:val="0"/>
              <w:keepLines w:val="0"/>
              <w:bidi w:val="0"/>
              <w:jc w:val="center"/>
              <w:rPr>
                <w:rFonts w:ascii="Arial"/>
                <w:color w:val="auto"/>
                <w:sz w:val="21"/>
                <w:highlight w:val="none"/>
              </w:rPr>
            </w:pPr>
          </w:p>
        </w:tc>
        <w:tc>
          <w:tcPr>
            <w:tcW w:w="2977" w:type="dxa"/>
            <w:vAlign w:val="center"/>
          </w:tcPr>
          <w:p w14:paraId="4037E4A4">
            <w:pPr>
              <w:keepNext w:val="0"/>
              <w:keepLines w:val="0"/>
              <w:bidi w:val="0"/>
              <w:jc w:val="center"/>
              <w:rPr>
                <w:rFonts w:ascii="Arial"/>
                <w:color w:val="auto"/>
                <w:sz w:val="21"/>
                <w:highlight w:val="none"/>
              </w:rPr>
            </w:pPr>
          </w:p>
        </w:tc>
        <w:tc>
          <w:tcPr>
            <w:tcW w:w="1501" w:type="dxa"/>
            <w:vAlign w:val="center"/>
          </w:tcPr>
          <w:p w14:paraId="0DE88E2E">
            <w:pPr>
              <w:keepNext w:val="0"/>
              <w:keepLines w:val="0"/>
              <w:bidi w:val="0"/>
              <w:jc w:val="center"/>
              <w:rPr>
                <w:rFonts w:ascii="Arial"/>
                <w:color w:val="auto"/>
                <w:sz w:val="21"/>
                <w:highlight w:val="none"/>
              </w:rPr>
            </w:pPr>
          </w:p>
        </w:tc>
        <w:tc>
          <w:tcPr>
            <w:tcW w:w="2385" w:type="dxa"/>
            <w:vAlign w:val="center"/>
          </w:tcPr>
          <w:p w14:paraId="3B904A98">
            <w:pPr>
              <w:keepNext w:val="0"/>
              <w:keepLines w:val="0"/>
              <w:bidi w:val="0"/>
              <w:jc w:val="center"/>
              <w:rPr>
                <w:rFonts w:ascii="Arial"/>
                <w:color w:val="auto"/>
                <w:sz w:val="21"/>
                <w:highlight w:val="none"/>
              </w:rPr>
            </w:pPr>
          </w:p>
        </w:tc>
      </w:tr>
      <w:tr w14:paraId="22691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07CB837E">
            <w:pPr>
              <w:keepNext w:val="0"/>
              <w:keepLines w:val="0"/>
              <w:bidi w:val="0"/>
              <w:jc w:val="center"/>
              <w:rPr>
                <w:rFonts w:ascii="Arial"/>
                <w:color w:val="auto"/>
                <w:sz w:val="21"/>
                <w:highlight w:val="none"/>
              </w:rPr>
            </w:pPr>
          </w:p>
        </w:tc>
        <w:tc>
          <w:tcPr>
            <w:tcW w:w="2977" w:type="dxa"/>
            <w:vAlign w:val="center"/>
          </w:tcPr>
          <w:p w14:paraId="76CD21A3">
            <w:pPr>
              <w:keepNext w:val="0"/>
              <w:keepLines w:val="0"/>
              <w:bidi w:val="0"/>
              <w:jc w:val="center"/>
              <w:rPr>
                <w:rFonts w:ascii="Arial"/>
                <w:color w:val="auto"/>
                <w:sz w:val="21"/>
                <w:highlight w:val="none"/>
              </w:rPr>
            </w:pPr>
          </w:p>
        </w:tc>
        <w:tc>
          <w:tcPr>
            <w:tcW w:w="1501" w:type="dxa"/>
            <w:vAlign w:val="center"/>
          </w:tcPr>
          <w:p w14:paraId="0CA598D6">
            <w:pPr>
              <w:keepNext w:val="0"/>
              <w:keepLines w:val="0"/>
              <w:bidi w:val="0"/>
              <w:jc w:val="center"/>
              <w:rPr>
                <w:rFonts w:ascii="Arial"/>
                <w:color w:val="auto"/>
                <w:sz w:val="21"/>
                <w:highlight w:val="none"/>
              </w:rPr>
            </w:pPr>
          </w:p>
        </w:tc>
        <w:tc>
          <w:tcPr>
            <w:tcW w:w="2385" w:type="dxa"/>
            <w:vAlign w:val="center"/>
          </w:tcPr>
          <w:p w14:paraId="043E0410">
            <w:pPr>
              <w:keepNext w:val="0"/>
              <w:keepLines w:val="0"/>
              <w:bidi w:val="0"/>
              <w:jc w:val="center"/>
              <w:rPr>
                <w:rFonts w:ascii="Arial"/>
                <w:color w:val="auto"/>
                <w:sz w:val="21"/>
                <w:highlight w:val="none"/>
              </w:rPr>
            </w:pPr>
          </w:p>
        </w:tc>
      </w:tr>
      <w:tr w14:paraId="002A8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425" w:type="dxa"/>
            <w:vAlign w:val="center"/>
          </w:tcPr>
          <w:p w14:paraId="3F2F8CBE">
            <w:pPr>
              <w:keepNext w:val="0"/>
              <w:keepLines w:val="0"/>
              <w:bidi w:val="0"/>
              <w:jc w:val="center"/>
              <w:rPr>
                <w:rFonts w:ascii="Arial"/>
                <w:color w:val="auto"/>
                <w:sz w:val="21"/>
                <w:highlight w:val="none"/>
              </w:rPr>
            </w:pPr>
          </w:p>
        </w:tc>
        <w:tc>
          <w:tcPr>
            <w:tcW w:w="2977" w:type="dxa"/>
            <w:vAlign w:val="center"/>
          </w:tcPr>
          <w:p w14:paraId="4C8C1EDB">
            <w:pPr>
              <w:keepNext w:val="0"/>
              <w:keepLines w:val="0"/>
              <w:bidi w:val="0"/>
              <w:jc w:val="center"/>
              <w:rPr>
                <w:rFonts w:ascii="Arial"/>
                <w:color w:val="auto"/>
                <w:sz w:val="21"/>
                <w:highlight w:val="none"/>
              </w:rPr>
            </w:pPr>
          </w:p>
        </w:tc>
        <w:tc>
          <w:tcPr>
            <w:tcW w:w="1501" w:type="dxa"/>
            <w:vAlign w:val="center"/>
          </w:tcPr>
          <w:p w14:paraId="7E712FD7">
            <w:pPr>
              <w:keepNext w:val="0"/>
              <w:keepLines w:val="0"/>
              <w:bidi w:val="0"/>
              <w:jc w:val="center"/>
              <w:rPr>
                <w:rFonts w:ascii="Arial"/>
                <w:color w:val="auto"/>
                <w:sz w:val="21"/>
                <w:highlight w:val="none"/>
              </w:rPr>
            </w:pPr>
          </w:p>
        </w:tc>
        <w:tc>
          <w:tcPr>
            <w:tcW w:w="2385" w:type="dxa"/>
            <w:vAlign w:val="center"/>
          </w:tcPr>
          <w:p w14:paraId="226B8189">
            <w:pPr>
              <w:keepNext w:val="0"/>
              <w:keepLines w:val="0"/>
              <w:bidi w:val="0"/>
              <w:jc w:val="center"/>
              <w:rPr>
                <w:rFonts w:ascii="Arial"/>
                <w:color w:val="auto"/>
                <w:sz w:val="21"/>
                <w:highlight w:val="none"/>
              </w:rPr>
            </w:pPr>
          </w:p>
        </w:tc>
      </w:tr>
      <w:tr w14:paraId="111F2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425" w:type="dxa"/>
            <w:vAlign w:val="center"/>
          </w:tcPr>
          <w:p w14:paraId="5962E23C">
            <w:pPr>
              <w:keepNext w:val="0"/>
              <w:keepLines w:val="0"/>
              <w:bidi w:val="0"/>
              <w:jc w:val="center"/>
              <w:rPr>
                <w:rFonts w:ascii="Arial"/>
                <w:color w:val="auto"/>
                <w:sz w:val="21"/>
                <w:highlight w:val="none"/>
              </w:rPr>
            </w:pPr>
          </w:p>
        </w:tc>
        <w:tc>
          <w:tcPr>
            <w:tcW w:w="2977" w:type="dxa"/>
            <w:vAlign w:val="center"/>
          </w:tcPr>
          <w:p w14:paraId="72A93747">
            <w:pPr>
              <w:keepNext w:val="0"/>
              <w:keepLines w:val="0"/>
              <w:bidi w:val="0"/>
              <w:jc w:val="center"/>
              <w:rPr>
                <w:rFonts w:ascii="Arial"/>
                <w:color w:val="auto"/>
                <w:sz w:val="21"/>
                <w:highlight w:val="none"/>
              </w:rPr>
            </w:pPr>
          </w:p>
        </w:tc>
        <w:tc>
          <w:tcPr>
            <w:tcW w:w="1501" w:type="dxa"/>
            <w:vAlign w:val="center"/>
          </w:tcPr>
          <w:p w14:paraId="09B5B2A9">
            <w:pPr>
              <w:keepNext w:val="0"/>
              <w:keepLines w:val="0"/>
              <w:bidi w:val="0"/>
              <w:jc w:val="center"/>
              <w:rPr>
                <w:rFonts w:ascii="Arial"/>
                <w:color w:val="auto"/>
                <w:sz w:val="21"/>
                <w:highlight w:val="none"/>
              </w:rPr>
            </w:pPr>
          </w:p>
        </w:tc>
        <w:tc>
          <w:tcPr>
            <w:tcW w:w="2385" w:type="dxa"/>
            <w:vAlign w:val="center"/>
          </w:tcPr>
          <w:p w14:paraId="10DBAA2F">
            <w:pPr>
              <w:keepNext w:val="0"/>
              <w:keepLines w:val="0"/>
              <w:bidi w:val="0"/>
              <w:jc w:val="center"/>
              <w:rPr>
                <w:rFonts w:ascii="Arial"/>
                <w:color w:val="auto"/>
                <w:sz w:val="21"/>
                <w:highlight w:val="none"/>
              </w:rPr>
            </w:pPr>
          </w:p>
        </w:tc>
      </w:tr>
      <w:tr w14:paraId="31B57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45B338F2">
            <w:pPr>
              <w:keepNext w:val="0"/>
              <w:keepLines w:val="0"/>
              <w:bidi w:val="0"/>
              <w:jc w:val="center"/>
              <w:rPr>
                <w:rFonts w:ascii="Arial"/>
                <w:color w:val="auto"/>
                <w:sz w:val="21"/>
                <w:highlight w:val="none"/>
              </w:rPr>
            </w:pPr>
          </w:p>
        </w:tc>
        <w:tc>
          <w:tcPr>
            <w:tcW w:w="2977" w:type="dxa"/>
            <w:vAlign w:val="center"/>
          </w:tcPr>
          <w:p w14:paraId="47384F6E">
            <w:pPr>
              <w:keepNext w:val="0"/>
              <w:keepLines w:val="0"/>
              <w:bidi w:val="0"/>
              <w:jc w:val="center"/>
              <w:rPr>
                <w:rFonts w:ascii="Arial"/>
                <w:color w:val="auto"/>
                <w:sz w:val="21"/>
                <w:highlight w:val="none"/>
              </w:rPr>
            </w:pPr>
          </w:p>
        </w:tc>
        <w:tc>
          <w:tcPr>
            <w:tcW w:w="1501" w:type="dxa"/>
            <w:vAlign w:val="center"/>
          </w:tcPr>
          <w:p w14:paraId="787A27FD">
            <w:pPr>
              <w:keepNext w:val="0"/>
              <w:keepLines w:val="0"/>
              <w:bidi w:val="0"/>
              <w:jc w:val="center"/>
              <w:rPr>
                <w:rFonts w:ascii="Arial"/>
                <w:color w:val="auto"/>
                <w:sz w:val="21"/>
                <w:highlight w:val="none"/>
              </w:rPr>
            </w:pPr>
          </w:p>
        </w:tc>
        <w:tc>
          <w:tcPr>
            <w:tcW w:w="2385" w:type="dxa"/>
            <w:vAlign w:val="center"/>
          </w:tcPr>
          <w:p w14:paraId="2ABAC510">
            <w:pPr>
              <w:keepNext w:val="0"/>
              <w:keepLines w:val="0"/>
              <w:bidi w:val="0"/>
              <w:jc w:val="center"/>
              <w:rPr>
                <w:rFonts w:ascii="Arial"/>
                <w:color w:val="auto"/>
                <w:sz w:val="21"/>
                <w:highlight w:val="none"/>
              </w:rPr>
            </w:pPr>
          </w:p>
        </w:tc>
      </w:tr>
      <w:tr w14:paraId="2A4B1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6DE900DC">
            <w:pPr>
              <w:keepNext w:val="0"/>
              <w:keepLines w:val="0"/>
              <w:bidi w:val="0"/>
              <w:jc w:val="center"/>
              <w:rPr>
                <w:rFonts w:ascii="Arial"/>
                <w:color w:val="auto"/>
                <w:sz w:val="21"/>
                <w:highlight w:val="none"/>
              </w:rPr>
            </w:pPr>
          </w:p>
        </w:tc>
        <w:tc>
          <w:tcPr>
            <w:tcW w:w="2977" w:type="dxa"/>
            <w:vAlign w:val="center"/>
          </w:tcPr>
          <w:p w14:paraId="3DF2A59F">
            <w:pPr>
              <w:keepNext w:val="0"/>
              <w:keepLines w:val="0"/>
              <w:bidi w:val="0"/>
              <w:jc w:val="center"/>
              <w:rPr>
                <w:rFonts w:ascii="Arial"/>
                <w:color w:val="auto"/>
                <w:sz w:val="21"/>
                <w:highlight w:val="none"/>
              </w:rPr>
            </w:pPr>
          </w:p>
        </w:tc>
        <w:tc>
          <w:tcPr>
            <w:tcW w:w="1501" w:type="dxa"/>
            <w:vAlign w:val="center"/>
          </w:tcPr>
          <w:p w14:paraId="466E04DC">
            <w:pPr>
              <w:keepNext w:val="0"/>
              <w:keepLines w:val="0"/>
              <w:bidi w:val="0"/>
              <w:jc w:val="center"/>
              <w:rPr>
                <w:rFonts w:ascii="Arial"/>
                <w:color w:val="auto"/>
                <w:sz w:val="21"/>
                <w:highlight w:val="none"/>
              </w:rPr>
            </w:pPr>
          </w:p>
        </w:tc>
        <w:tc>
          <w:tcPr>
            <w:tcW w:w="2385" w:type="dxa"/>
            <w:vAlign w:val="center"/>
          </w:tcPr>
          <w:p w14:paraId="46D45040">
            <w:pPr>
              <w:keepNext w:val="0"/>
              <w:keepLines w:val="0"/>
              <w:bidi w:val="0"/>
              <w:jc w:val="center"/>
              <w:rPr>
                <w:rFonts w:ascii="Arial"/>
                <w:color w:val="auto"/>
                <w:sz w:val="21"/>
                <w:highlight w:val="none"/>
              </w:rPr>
            </w:pPr>
          </w:p>
        </w:tc>
      </w:tr>
      <w:tr w14:paraId="27F13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7477A87E">
            <w:pPr>
              <w:keepNext w:val="0"/>
              <w:keepLines w:val="0"/>
              <w:bidi w:val="0"/>
              <w:jc w:val="center"/>
              <w:rPr>
                <w:rFonts w:ascii="Arial"/>
                <w:color w:val="auto"/>
                <w:sz w:val="21"/>
                <w:highlight w:val="none"/>
              </w:rPr>
            </w:pPr>
          </w:p>
        </w:tc>
        <w:tc>
          <w:tcPr>
            <w:tcW w:w="2977" w:type="dxa"/>
            <w:vAlign w:val="center"/>
          </w:tcPr>
          <w:p w14:paraId="3B0F9D6F">
            <w:pPr>
              <w:keepNext w:val="0"/>
              <w:keepLines w:val="0"/>
              <w:bidi w:val="0"/>
              <w:jc w:val="center"/>
              <w:rPr>
                <w:rFonts w:ascii="Arial"/>
                <w:color w:val="auto"/>
                <w:sz w:val="21"/>
                <w:highlight w:val="none"/>
              </w:rPr>
            </w:pPr>
          </w:p>
        </w:tc>
        <w:tc>
          <w:tcPr>
            <w:tcW w:w="1501" w:type="dxa"/>
            <w:vAlign w:val="center"/>
          </w:tcPr>
          <w:p w14:paraId="27068763">
            <w:pPr>
              <w:keepNext w:val="0"/>
              <w:keepLines w:val="0"/>
              <w:bidi w:val="0"/>
              <w:jc w:val="center"/>
              <w:rPr>
                <w:rFonts w:ascii="Arial"/>
                <w:color w:val="auto"/>
                <w:sz w:val="21"/>
                <w:highlight w:val="none"/>
              </w:rPr>
            </w:pPr>
          </w:p>
        </w:tc>
        <w:tc>
          <w:tcPr>
            <w:tcW w:w="2385" w:type="dxa"/>
            <w:vAlign w:val="center"/>
          </w:tcPr>
          <w:p w14:paraId="1DD23F6D">
            <w:pPr>
              <w:keepNext w:val="0"/>
              <w:keepLines w:val="0"/>
              <w:bidi w:val="0"/>
              <w:jc w:val="center"/>
              <w:rPr>
                <w:rFonts w:ascii="Arial"/>
                <w:color w:val="auto"/>
                <w:sz w:val="21"/>
                <w:highlight w:val="none"/>
              </w:rPr>
            </w:pPr>
          </w:p>
        </w:tc>
      </w:tr>
      <w:tr w14:paraId="266AC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2B53E715">
            <w:pPr>
              <w:keepNext w:val="0"/>
              <w:keepLines w:val="0"/>
              <w:bidi w:val="0"/>
              <w:jc w:val="center"/>
              <w:rPr>
                <w:rFonts w:ascii="Arial"/>
                <w:color w:val="auto"/>
                <w:sz w:val="21"/>
                <w:highlight w:val="none"/>
              </w:rPr>
            </w:pPr>
          </w:p>
        </w:tc>
        <w:tc>
          <w:tcPr>
            <w:tcW w:w="2977" w:type="dxa"/>
            <w:vAlign w:val="center"/>
          </w:tcPr>
          <w:p w14:paraId="08925B34">
            <w:pPr>
              <w:keepNext w:val="0"/>
              <w:keepLines w:val="0"/>
              <w:bidi w:val="0"/>
              <w:jc w:val="center"/>
              <w:rPr>
                <w:rFonts w:ascii="Arial"/>
                <w:color w:val="auto"/>
                <w:sz w:val="21"/>
                <w:highlight w:val="none"/>
              </w:rPr>
            </w:pPr>
          </w:p>
        </w:tc>
        <w:tc>
          <w:tcPr>
            <w:tcW w:w="1501" w:type="dxa"/>
            <w:vAlign w:val="center"/>
          </w:tcPr>
          <w:p w14:paraId="1F4EE44A">
            <w:pPr>
              <w:keepNext w:val="0"/>
              <w:keepLines w:val="0"/>
              <w:bidi w:val="0"/>
              <w:jc w:val="center"/>
              <w:rPr>
                <w:rFonts w:ascii="Arial"/>
                <w:color w:val="auto"/>
                <w:sz w:val="21"/>
                <w:highlight w:val="none"/>
              </w:rPr>
            </w:pPr>
          </w:p>
        </w:tc>
        <w:tc>
          <w:tcPr>
            <w:tcW w:w="2385" w:type="dxa"/>
            <w:vAlign w:val="center"/>
          </w:tcPr>
          <w:p w14:paraId="06477ECE">
            <w:pPr>
              <w:keepNext w:val="0"/>
              <w:keepLines w:val="0"/>
              <w:bidi w:val="0"/>
              <w:jc w:val="center"/>
              <w:rPr>
                <w:rFonts w:ascii="Arial"/>
                <w:color w:val="auto"/>
                <w:sz w:val="21"/>
                <w:highlight w:val="none"/>
              </w:rPr>
            </w:pPr>
          </w:p>
        </w:tc>
      </w:tr>
      <w:tr w14:paraId="5144A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1EF7F19E">
            <w:pPr>
              <w:keepNext w:val="0"/>
              <w:keepLines w:val="0"/>
              <w:bidi w:val="0"/>
              <w:jc w:val="center"/>
              <w:rPr>
                <w:rFonts w:ascii="Arial"/>
                <w:color w:val="auto"/>
                <w:sz w:val="21"/>
                <w:highlight w:val="none"/>
              </w:rPr>
            </w:pPr>
          </w:p>
        </w:tc>
        <w:tc>
          <w:tcPr>
            <w:tcW w:w="2977" w:type="dxa"/>
            <w:vAlign w:val="center"/>
          </w:tcPr>
          <w:p w14:paraId="01C0002A">
            <w:pPr>
              <w:keepNext w:val="0"/>
              <w:keepLines w:val="0"/>
              <w:bidi w:val="0"/>
              <w:jc w:val="center"/>
              <w:rPr>
                <w:rFonts w:ascii="Arial"/>
                <w:color w:val="auto"/>
                <w:sz w:val="21"/>
                <w:highlight w:val="none"/>
              </w:rPr>
            </w:pPr>
          </w:p>
        </w:tc>
        <w:tc>
          <w:tcPr>
            <w:tcW w:w="1501" w:type="dxa"/>
            <w:vAlign w:val="center"/>
          </w:tcPr>
          <w:p w14:paraId="7ED0E09F">
            <w:pPr>
              <w:keepNext w:val="0"/>
              <w:keepLines w:val="0"/>
              <w:bidi w:val="0"/>
              <w:jc w:val="center"/>
              <w:rPr>
                <w:rFonts w:ascii="Arial"/>
                <w:color w:val="auto"/>
                <w:sz w:val="21"/>
                <w:highlight w:val="none"/>
              </w:rPr>
            </w:pPr>
          </w:p>
        </w:tc>
        <w:tc>
          <w:tcPr>
            <w:tcW w:w="2385" w:type="dxa"/>
            <w:vAlign w:val="center"/>
          </w:tcPr>
          <w:p w14:paraId="28DAD99B">
            <w:pPr>
              <w:keepNext w:val="0"/>
              <w:keepLines w:val="0"/>
              <w:bidi w:val="0"/>
              <w:jc w:val="center"/>
              <w:rPr>
                <w:rFonts w:ascii="Arial"/>
                <w:color w:val="auto"/>
                <w:sz w:val="21"/>
                <w:highlight w:val="none"/>
              </w:rPr>
            </w:pPr>
          </w:p>
        </w:tc>
      </w:tr>
      <w:tr w14:paraId="6D946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03E84E85">
            <w:pPr>
              <w:keepNext w:val="0"/>
              <w:keepLines w:val="0"/>
              <w:bidi w:val="0"/>
              <w:jc w:val="center"/>
              <w:rPr>
                <w:rFonts w:ascii="Arial"/>
                <w:color w:val="auto"/>
                <w:sz w:val="21"/>
                <w:highlight w:val="none"/>
              </w:rPr>
            </w:pPr>
          </w:p>
        </w:tc>
        <w:tc>
          <w:tcPr>
            <w:tcW w:w="2977" w:type="dxa"/>
            <w:vAlign w:val="center"/>
          </w:tcPr>
          <w:p w14:paraId="7D077255">
            <w:pPr>
              <w:keepNext w:val="0"/>
              <w:keepLines w:val="0"/>
              <w:bidi w:val="0"/>
              <w:jc w:val="center"/>
              <w:rPr>
                <w:rFonts w:ascii="Arial"/>
                <w:color w:val="auto"/>
                <w:sz w:val="21"/>
                <w:highlight w:val="none"/>
              </w:rPr>
            </w:pPr>
          </w:p>
        </w:tc>
        <w:tc>
          <w:tcPr>
            <w:tcW w:w="1501" w:type="dxa"/>
            <w:vAlign w:val="center"/>
          </w:tcPr>
          <w:p w14:paraId="46FACEF5">
            <w:pPr>
              <w:keepNext w:val="0"/>
              <w:keepLines w:val="0"/>
              <w:bidi w:val="0"/>
              <w:jc w:val="center"/>
              <w:rPr>
                <w:rFonts w:ascii="Arial"/>
                <w:color w:val="auto"/>
                <w:sz w:val="21"/>
                <w:highlight w:val="none"/>
              </w:rPr>
            </w:pPr>
          </w:p>
        </w:tc>
        <w:tc>
          <w:tcPr>
            <w:tcW w:w="2385" w:type="dxa"/>
            <w:vAlign w:val="center"/>
          </w:tcPr>
          <w:p w14:paraId="3B5112E1">
            <w:pPr>
              <w:keepNext w:val="0"/>
              <w:keepLines w:val="0"/>
              <w:bidi w:val="0"/>
              <w:jc w:val="center"/>
              <w:rPr>
                <w:rFonts w:ascii="Arial"/>
                <w:color w:val="auto"/>
                <w:sz w:val="21"/>
                <w:highlight w:val="none"/>
              </w:rPr>
            </w:pPr>
          </w:p>
        </w:tc>
      </w:tr>
      <w:tr w14:paraId="7EC4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3E074C9A">
            <w:pPr>
              <w:keepNext w:val="0"/>
              <w:keepLines w:val="0"/>
              <w:bidi w:val="0"/>
              <w:jc w:val="center"/>
              <w:rPr>
                <w:rFonts w:ascii="Arial"/>
                <w:color w:val="auto"/>
                <w:sz w:val="21"/>
                <w:highlight w:val="none"/>
              </w:rPr>
            </w:pPr>
          </w:p>
        </w:tc>
        <w:tc>
          <w:tcPr>
            <w:tcW w:w="2977" w:type="dxa"/>
            <w:vAlign w:val="center"/>
          </w:tcPr>
          <w:p w14:paraId="5DF1F5EC">
            <w:pPr>
              <w:keepNext w:val="0"/>
              <w:keepLines w:val="0"/>
              <w:bidi w:val="0"/>
              <w:jc w:val="center"/>
              <w:rPr>
                <w:rFonts w:ascii="Arial"/>
                <w:color w:val="auto"/>
                <w:sz w:val="21"/>
                <w:highlight w:val="none"/>
              </w:rPr>
            </w:pPr>
          </w:p>
        </w:tc>
        <w:tc>
          <w:tcPr>
            <w:tcW w:w="1501" w:type="dxa"/>
            <w:vAlign w:val="center"/>
          </w:tcPr>
          <w:p w14:paraId="4113A06A">
            <w:pPr>
              <w:keepNext w:val="0"/>
              <w:keepLines w:val="0"/>
              <w:bidi w:val="0"/>
              <w:jc w:val="center"/>
              <w:rPr>
                <w:rFonts w:ascii="Arial"/>
                <w:color w:val="auto"/>
                <w:sz w:val="21"/>
                <w:highlight w:val="none"/>
              </w:rPr>
            </w:pPr>
          </w:p>
        </w:tc>
        <w:tc>
          <w:tcPr>
            <w:tcW w:w="2385" w:type="dxa"/>
            <w:vAlign w:val="center"/>
          </w:tcPr>
          <w:p w14:paraId="4BE37F05">
            <w:pPr>
              <w:keepNext w:val="0"/>
              <w:keepLines w:val="0"/>
              <w:bidi w:val="0"/>
              <w:jc w:val="center"/>
              <w:rPr>
                <w:rFonts w:ascii="Arial"/>
                <w:color w:val="auto"/>
                <w:sz w:val="21"/>
                <w:highlight w:val="none"/>
              </w:rPr>
            </w:pPr>
          </w:p>
        </w:tc>
      </w:tr>
      <w:tr w14:paraId="7940F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2C7BB1C9">
            <w:pPr>
              <w:keepNext w:val="0"/>
              <w:keepLines w:val="0"/>
              <w:bidi w:val="0"/>
              <w:jc w:val="center"/>
              <w:rPr>
                <w:rFonts w:ascii="Arial"/>
                <w:color w:val="auto"/>
                <w:sz w:val="21"/>
                <w:highlight w:val="none"/>
              </w:rPr>
            </w:pPr>
          </w:p>
        </w:tc>
        <w:tc>
          <w:tcPr>
            <w:tcW w:w="2977" w:type="dxa"/>
            <w:vAlign w:val="center"/>
          </w:tcPr>
          <w:p w14:paraId="4520F88C">
            <w:pPr>
              <w:keepNext w:val="0"/>
              <w:keepLines w:val="0"/>
              <w:bidi w:val="0"/>
              <w:jc w:val="center"/>
              <w:rPr>
                <w:rFonts w:ascii="Arial"/>
                <w:color w:val="auto"/>
                <w:sz w:val="21"/>
                <w:highlight w:val="none"/>
              </w:rPr>
            </w:pPr>
          </w:p>
        </w:tc>
        <w:tc>
          <w:tcPr>
            <w:tcW w:w="1501" w:type="dxa"/>
            <w:vAlign w:val="center"/>
          </w:tcPr>
          <w:p w14:paraId="1EB095C6">
            <w:pPr>
              <w:keepNext w:val="0"/>
              <w:keepLines w:val="0"/>
              <w:bidi w:val="0"/>
              <w:jc w:val="center"/>
              <w:rPr>
                <w:rFonts w:ascii="Arial"/>
                <w:color w:val="auto"/>
                <w:sz w:val="21"/>
                <w:highlight w:val="none"/>
              </w:rPr>
            </w:pPr>
          </w:p>
        </w:tc>
        <w:tc>
          <w:tcPr>
            <w:tcW w:w="2385" w:type="dxa"/>
            <w:vAlign w:val="center"/>
          </w:tcPr>
          <w:p w14:paraId="7C78BE19">
            <w:pPr>
              <w:keepNext w:val="0"/>
              <w:keepLines w:val="0"/>
              <w:bidi w:val="0"/>
              <w:jc w:val="center"/>
              <w:rPr>
                <w:rFonts w:ascii="Arial"/>
                <w:color w:val="auto"/>
                <w:sz w:val="21"/>
                <w:highlight w:val="none"/>
              </w:rPr>
            </w:pPr>
          </w:p>
        </w:tc>
      </w:tr>
      <w:tr w14:paraId="1FB9D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066D9463">
            <w:pPr>
              <w:keepNext w:val="0"/>
              <w:keepLines w:val="0"/>
              <w:bidi w:val="0"/>
              <w:jc w:val="center"/>
              <w:rPr>
                <w:rFonts w:ascii="Arial"/>
                <w:color w:val="auto"/>
                <w:sz w:val="21"/>
                <w:highlight w:val="none"/>
              </w:rPr>
            </w:pPr>
          </w:p>
        </w:tc>
        <w:tc>
          <w:tcPr>
            <w:tcW w:w="2977" w:type="dxa"/>
            <w:vAlign w:val="center"/>
          </w:tcPr>
          <w:p w14:paraId="30D46177">
            <w:pPr>
              <w:keepNext w:val="0"/>
              <w:keepLines w:val="0"/>
              <w:bidi w:val="0"/>
              <w:jc w:val="center"/>
              <w:rPr>
                <w:rFonts w:ascii="Arial"/>
                <w:color w:val="auto"/>
                <w:sz w:val="21"/>
                <w:highlight w:val="none"/>
              </w:rPr>
            </w:pPr>
          </w:p>
        </w:tc>
        <w:tc>
          <w:tcPr>
            <w:tcW w:w="1501" w:type="dxa"/>
            <w:vAlign w:val="center"/>
          </w:tcPr>
          <w:p w14:paraId="27ABB402">
            <w:pPr>
              <w:keepNext w:val="0"/>
              <w:keepLines w:val="0"/>
              <w:bidi w:val="0"/>
              <w:jc w:val="center"/>
              <w:rPr>
                <w:rFonts w:ascii="Arial"/>
                <w:color w:val="auto"/>
                <w:sz w:val="21"/>
                <w:highlight w:val="none"/>
              </w:rPr>
            </w:pPr>
          </w:p>
        </w:tc>
        <w:tc>
          <w:tcPr>
            <w:tcW w:w="2385" w:type="dxa"/>
            <w:vAlign w:val="center"/>
          </w:tcPr>
          <w:p w14:paraId="58A154CE">
            <w:pPr>
              <w:keepNext w:val="0"/>
              <w:keepLines w:val="0"/>
              <w:bidi w:val="0"/>
              <w:jc w:val="center"/>
              <w:rPr>
                <w:rFonts w:ascii="Arial"/>
                <w:color w:val="auto"/>
                <w:sz w:val="21"/>
                <w:highlight w:val="none"/>
              </w:rPr>
            </w:pPr>
          </w:p>
        </w:tc>
      </w:tr>
      <w:tr w14:paraId="5A3EE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04C4DECB">
            <w:pPr>
              <w:keepNext w:val="0"/>
              <w:keepLines w:val="0"/>
              <w:bidi w:val="0"/>
              <w:jc w:val="center"/>
              <w:rPr>
                <w:rFonts w:ascii="Arial"/>
                <w:color w:val="auto"/>
                <w:sz w:val="21"/>
                <w:highlight w:val="none"/>
              </w:rPr>
            </w:pPr>
          </w:p>
        </w:tc>
        <w:tc>
          <w:tcPr>
            <w:tcW w:w="2977" w:type="dxa"/>
            <w:vAlign w:val="center"/>
          </w:tcPr>
          <w:p w14:paraId="4E5F24AF">
            <w:pPr>
              <w:keepNext w:val="0"/>
              <w:keepLines w:val="0"/>
              <w:bidi w:val="0"/>
              <w:jc w:val="center"/>
              <w:rPr>
                <w:rFonts w:ascii="Arial"/>
                <w:color w:val="auto"/>
                <w:sz w:val="21"/>
                <w:highlight w:val="none"/>
              </w:rPr>
            </w:pPr>
          </w:p>
        </w:tc>
        <w:tc>
          <w:tcPr>
            <w:tcW w:w="1501" w:type="dxa"/>
            <w:vAlign w:val="center"/>
          </w:tcPr>
          <w:p w14:paraId="668F502A">
            <w:pPr>
              <w:keepNext w:val="0"/>
              <w:keepLines w:val="0"/>
              <w:bidi w:val="0"/>
              <w:jc w:val="center"/>
              <w:rPr>
                <w:rFonts w:ascii="Arial"/>
                <w:color w:val="auto"/>
                <w:sz w:val="21"/>
                <w:highlight w:val="none"/>
              </w:rPr>
            </w:pPr>
          </w:p>
        </w:tc>
        <w:tc>
          <w:tcPr>
            <w:tcW w:w="2385" w:type="dxa"/>
            <w:vAlign w:val="center"/>
          </w:tcPr>
          <w:p w14:paraId="43FE1C73">
            <w:pPr>
              <w:keepNext w:val="0"/>
              <w:keepLines w:val="0"/>
              <w:bidi w:val="0"/>
              <w:jc w:val="center"/>
              <w:rPr>
                <w:rFonts w:ascii="Arial"/>
                <w:color w:val="auto"/>
                <w:sz w:val="21"/>
                <w:highlight w:val="none"/>
              </w:rPr>
            </w:pPr>
          </w:p>
        </w:tc>
      </w:tr>
      <w:tr w14:paraId="04AF0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304F7EBE">
            <w:pPr>
              <w:keepNext w:val="0"/>
              <w:keepLines w:val="0"/>
              <w:bidi w:val="0"/>
              <w:jc w:val="center"/>
              <w:rPr>
                <w:rFonts w:ascii="Arial"/>
                <w:color w:val="auto"/>
                <w:sz w:val="21"/>
                <w:highlight w:val="none"/>
              </w:rPr>
            </w:pPr>
          </w:p>
        </w:tc>
        <w:tc>
          <w:tcPr>
            <w:tcW w:w="2977" w:type="dxa"/>
            <w:vAlign w:val="center"/>
          </w:tcPr>
          <w:p w14:paraId="5151385A">
            <w:pPr>
              <w:keepNext w:val="0"/>
              <w:keepLines w:val="0"/>
              <w:bidi w:val="0"/>
              <w:jc w:val="center"/>
              <w:rPr>
                <w:rFonts w:ascii="Arial"/>
                <w:color w:val="auto"/>
                <w:sz w:val="21"/>
                <w:highlight w:val="none"/>
              </w:rPr>
            </w:pPr>
          </w:p>
        </w:tc>
        <w:tc>
          <w:tcPr>
            <w:tcW w:w="1501" w:type="dxa"/>
            <w:vAlign w:val="center"/>
          </w:tcPr>
          <w:p w14:paraId="60E87E76">
            <w:pPr>
              <w:keepNext w:val="0"/>
              <w:keepLines w:val="0"/>
              <w:bidi w:val="0"/>
              <w:jc w:val="center"/>
              <w:rPr>
                <w:rFonts w:ascii="Arial"/>
                <w:color w:val="auto"/>
                <w:sz w:val="21"/>
                <w:highlight w:val="none"/>
              </w:rPr>
            </w:pPr>
          </w:p>
        </w:tc>
        <w:tc>
          <w:tcPr>
            <w:tcW w:w="2385" w:type="dxa"/>
            <w:vAlign w:val="center"/>
          </w:tcPr>
          <w:p w14:paraId="4D919BF5">
            <w:pPr>
              <w:keepNext w:val="0"/>
              <w:keepLines w:val="0"/>
              <w:bidi w:val="0"/>
              <w:jc w:val="center"/>
              <w:rPr>
                <w:rFonts w:ascii="Arial"/>
                <w:color w:val="auto"/>
                <w:sz w:val="21"/>
                <w:highlight w:val="none"/>
              </w:rPr>
            </w:pPr>
          </w:p>
        </w:tc>
      </w:tr>
      <w:tr w14:paraId="326C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4A055BF2">
            <w:pPr>
              <w:keepNext w:val="0"/>
              <w:keepLines w:val="0"/>
              <w:bidi w:val="0"/>
              <w:jc w:val="center"/>
              <w:rPr>
                <w:rFonts w:ascii="Arial"/>
                <w:color w:val="auto"/>
                <w:sz w:val="21"/>
                <w:highlight w:val="none"/>
              </w:rPr>
            </w:pPr>
          </w:p>
        </w:tc>
        <w:tc>
          <w:tcPr>
            <w:tcW w:w="2977" w:type="dxa"/>
            <w:vAlign w:val="center"/>
          </w:tcPr>
          <w:p w14:paraId="5B11A36C">
            <w:pPr>
              <w:keepNext w:val="0"/>
              <w:keepLines w:val="0"/>
              <w:bidi w:val="0"/>
              <w:jc w:val="center"/>
              <w:rPr>
                <w:rFonts w:ascii="Arial"/>
                <w:color w:val="auto"/>
                <w:sz w:val="21"/>
                <w:highlight w:val="none"/>
              </w:rPr>
            </w:pPr>
          </w:p>
        </w:tc>
        <w:tc>
          <w:tcPr>
            <w:tcW w:w="1501" w:type="dxa"/>
            <w:vAlign w:val="center"/>
          </w:tcPr>
          <w:p w14:paraId="54CC9BA6">
            <w:pPr>
              <w:keepNext w:val="0"/>
              <w:keepLines w:val="0"/>
              <w:bidi w:val="0"/>
              <w:jc w:val="center"/>
              <w:rPr>
                <w:rFonts w:ascii="Arial"/>
                <w:color w:val="auto"/>
                <w:sz w:val="21"/>
                <w:highlight w:val="none"/>
              </w:rPr>
            </w:pPr>
          </w:p>
        </w:tc>
        <w:tc>
          <w:tcPr>
            <w:tcW w:w="2385" w:type="dxa"/>
            <w:vAlign w:val="center"/>
          </w:tcPr>
          <w:p w14:paraId="5E04DEBF">
            <w:pPr>
              <w:keepNext w:val="0"/>
              <w:keepLines w:val="0"/>
              <w:bidi w:val="0"/>
              <w:jc w:val="center"/>
              <w:rPr>
                <w:rFonts w:ascii="Arial"/>
                <w:color w:val="auto"/>
                <w:sz w:val="21"/>
                <w:highlight w:val="none"/>
              </w:rPr>
            </w:pPr>
          </w:p>
        </w:tc>
      </w:tr>
      <w:tr w14:paraId="71715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76B673EA">
            <w:pPr>
              <w:keepNext w:val="0"/>
              <w:keepLines w:val="0"/>
              <w:bidi w:val="0"/>
              <w:jc w:val="center"/>
              <w:rPr>
                <w:rFonts w:ascii="Arial"/>
                <w:color w:val="auto"/>
                <w:sz w:val="21"/>
                <w:highlight w:val="none"/>
              </w:rPr>
            </w:pPr>
          </w:p>
        </w:tc>
        <w:tc>
          <w:tcPr>
            <w:tcW w:w="2977" w:type="dxa"/>
            <w:vAlign w:val="center"/>
          </w:tcPr>
          <w:p w14:paraId="1054635A">
            <w:pPr>
              <w:keepNext w:val="0"/>
              <w:keepLines w:val="0"/>
              <w:bidi w:val="0"/>
              <w:jc w:val="center"/>
              <w:rPr>
                <w:rFonts w:ascii="Arial"/>
                <w:color w:val="auto"/>
                <w:sz w:val="21"/>
                <w:highlight w:val="none"/>
              </w:rPr>
            </w:pPr>
          </w:p>
        </w:tc>
        <w:tc>
          <w:tcPr>
            <w:tcW w:w="1501" w:type="dxa"/>
            <w:vAlign w:val="center"/>
          </w:tcPr>
          <w:p w14:paraId="2C64DC52">
            <w:pPr>
              <w:keepNext w:val="0"/>
              <w:keepLines w:val="0"/>
              <w:bidi w:val="0"/>
              <w:jc w:val="center"/>
              <w:rPr>
                <w:rFonts w:ascii="Arial"/>
                <w:color w:val="auto"/>
                <w:sz w:val="21"/>
                <w:highlight w:val="none"/>
              </w:rPr>
            </w:pPr>
          </w:p>
        </w:tc>
        <w:tc>
          <w:tcPr>
            <w:tcW w:w="2385" w:type="dxa"/>
            <w:vAlign w:val="center"/>
          </w:tcPr>
          <w:p w14:paraId="6AEF9300">
            <w:pPr>
              <w:keepNext w:val="0"/>
              <w:keepLines w:val="0"/>
              <w:bidi w:val="0"/>
              <w:jc w:val="center"/>
              <w:rPr>
                <w:rFonts w:ascii="Arial"/>
                <w:color w:val="auto"/>
                <w:sz w:val="21"/>
                <w:highlight w:val="none"/>
              </w:rPr>
            </w:pPr>
          </w:p>
        </w:tc>
      </w:tr>
      <w:tr w14:paraId="25E48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38004F48">
            <w:pPr>
              <w:keepNext w:val="0"/>
              <w:keepLines w:val="0"/>
              <w:bidi w:val="0"/>
              <w:jc w:val="center"/>
              <w:rPr>
                <w:rFonts w:ascii="Arial"/>
                <w:color w:val="auto"/>
                <w:sz w:val="21"/>
                <w:highlight w:val="none"/>
              </w:rPr>
            </w:pPr>
          </w:p>
        </w:tc>
        <w:tc>
          <w:tcPr>
            <w:tcW w:w="2977" w:type="dxa"/>
            <w:vAlign w:val="center"/>
          </w:tcPr>
          <w:p w14:paraId="6D9DC926">
            <w:pPr>
              <w:keepNext w:val="0"/>
              <w:keepLines w:val="0"/>
              <w:bidi w:val="0"/>
              <w:jc w:val="center"/>
              <w:rPr>
                <w:rFonts w:ascii="Arial"/>
                <w:color w:val="auto"/>
                <w:sz w:val="21"/>
                <w:highlight w:val="none"/>
              </w:rPr>
            </w:pPr>
          </w:p>
        </w:tc>
        <w:tc>
          <w:tcPr>
            <w:tcW w:w="1501" w:type="dxa"/>
            <w:vAlign w:val="center"/>
          </w:tcPr>
          <w:p w14:paraId="759D7AE0">
            <w:pPr>
              <w:keepNext w:val="0"/>
              <w:keepLines w:val="0"/>
              <w:bidi w:val="0"/>
              <w:jc w:val="center"/>
              <w:rPr>
                <w:rFonts w:ascii="Arial"/>
                <w:color w:val="auto"/>
                <w:sz w:val="21"/>
                <w:highlight w:val="none"/>
              </w:rPr>
            </w:pPr>
          </w:p>
        </w:tc>
        <w:tc>
          <w:tcPr>
            <w:tcW w:w="2385" w:type="dxa"/>
            <w:vAlign w:val="center"/>
          </w:tcPr>
          <w:p w14:paraId="6E76EB35">
            <w:pPr>
              <w:keepNext w:val="0"/>
              <w:keepLines w:val="0"/>
              <w:bidi w:val="0"/>
              <w:jc w:val="center"/>
              <w:rPr>
                <w:rFonts w:ascii="Arial"/>
                <w:color w:val="auto"/>
                <w:sz w:val="21"/>
                <w:highlight w:val="none"/>
              </w:rPr>
            </w:pPr>
          </w:p>
        </w:tc>
      </w:tr>
      <w:tr w14:paraId="39EB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49D52F96">
            <w:pPr>
              <w:keepNext w:val="0"/>
              <w:keepLines w:val="0"/>
              <w:bidi w:val="0"/>
              <w:jc w:val="center"/>
              <w:rPr>
                <w:rFonts w:ascii="Arial"/>
                <w:color w:val="auto"/>
                <w:sz w:val="21"/>
                <w:highlight w:val="none"/>
              </w:rPr>
            </w:pPr>
          </w:p>
        </w:tc>
        <w:tc>
          <w:tcPr>
            <w:tcW w:w="2977" w:type="dxa"/>
            <w:vAlign w:val="center"/>
          </w:tcPr>
          <w:p w14:paraId="7D355262">
            <w:pPr>
              <w:keepNext w:val="0"/>
              <w:keepLines w:val="0"/>
              <w:bidi w:val="0"/>
              <w:jc w:val="center"/>
              <w:rPr>
                <w:rFonts w:ascii="Arial"/>
                <w:color w:val="auto"/>
                <w:sz w:val="21"/>
                <w:highlight w:val="none"/>
              </w:rPr>
            </w:pPr>
          </w:p>
        </w:tc>
        <w:tc>
          <w:tcPr>
            <w:tcW w:w="1501" w:type="dxa"/>
            <w:vAlign w:val="center"/>
          </w:tcPr>
          <w:p w14:paraId="11429762">
            <w:pPr>
              <w:keepNext w:val="0"/>
              <w:keepLines w:val="0"/>
              <w:bidi w:val="0"/>
              <w:jc w:val="center"/>
              <w:rPr>
                <w:rFonts w:ascii="Arial"/>
                <w:color w:val="auto"/>
                <w:sz w:val="21"/>
                <w:highlight w:val="none"/>
              </w:rPr>
            </w:pPr>
          </w:p>
        </w:tc>
        <w:tc>
          <w:tcPr>
            <w:tcW w:w="2385" w:type="dxa"/>
            <w:vAlign w:val="center"/>
          </w:tcPr>
          <w:p w14:paraId="7FAFBDC4">
            <w:pPr>
              <w:keepNext w:val="0"/>
              <w:keepLines w:val="0"/>
              <w:bidi w:val="0"/>
              <w:jc w:val="center"/>
              <w:rPr>
                <w:rFonts w:ascii="Arial"/>
                <w:color w:val="auto"/>
                <w:sz w:val="21"/>
                <w:highlight w:val="none"/>
              </w:rPr>
            </w:pPr>
          </w:p>
        </w:tc>
      </w:tr>
      <w:tr w14:paraId="10F8D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3B873D5B">
            <w:pPr>
              <w:keepNext w:val="0"/>
              <w:keepLines w:val="0"/>
              <w:bidi w:val="0"/>
              <w:jc w:val="center"/>
              <w:rPr>
                <w:rFonts w:ascii="Arial"/>
                <w:color w:val="auto"/>
                <w:sz w:val="21"/>
                <w:highlight w:val="none"/>
              </w:rPr>
            </w:pPr>
          </w:p>
        </w:tc>
        <w:tc>
          <w:tcPr>
            <w:tcW w:w="2977" w:type="dxa"/>
            <w:vAlign w:val="center"/>
          </w:tcPr>
          <w:p w14:paraId="07386644">
            <w:pPr>
              <w:keepNext w:val="0"/>
              <w:keepLines w:val="0"/>
              <w:bidi w:val="0"/>
              <w:jc w:val="center"/>
              <w:rPr>
                <w:rFonts w:ascii="Arial"/>
                <w:color w:val="auto"/>
                <w:sz w:val="21"/>
                <w:highlight w:val="none"/>
              </w:rPr>
            </w:pPr>
          </w:p>
        </w:tc>
        <w:tc>
          <w:tcPr>
            <w:tcW w:w="1501" w:type="dxa"/>
            <w:vAlign w:val="center"/>
          </w:tcPr>
          <w:p w14:paraId="27C21D83">
            <w:pPr>
              <w:keepNext w:val="0"/>
              <w:keepLines w:val="0"/>
              <w:bidi w:val="0"/>
              <w:jc w:val="center"/>
              <w:rPr>
                <w:rFonts w:ascii="Arial"/>
                <w:color w:val="auto"/>
                <w:sz w:val="21"/>
                <w:highlight w:val="none"/>
              </w:rPr>
            </w:pPr>
          </w:p>
        </w:tc>
        <w:tc>
          <w:tcPr>
            <w:tcW w:w="2385" w:type="dxa"/>
            <w:vAlign w:val="center"/>
          </w:tcPr>
          <w:p w14:paraId="28DF9368">
            <w:pPr>
              <w:keepNext w:val="0"/>
              <w:keepLines w:val="0"/>
              <w:bidi w:val="0"/>
              <w:jc w:val="center"/>
              <w:rPr>
                <w:rFonts w:ascii="Arial"/>
                <w:color w:val="auto"/>
                <w:sz w:val="21"/>
                <w:highlight w:val="none"/>
              </w:rPr>
            </w:pPr>
          </w:p>
        </w:tc>
      </w:tr>
      <w:tr w14:paraId="08108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3CC7B560">
            <w:pPr>
              <w:keepNext w:val="0"/>
              <w:keepLines w:val="0"/>
              <w:bidi w:val="0"/>
              <w:jc w:val="center"/>
              <w:rPr>
                <w:rFonts w:ascii="Arial"/>
                <w:color w:val="auto"/>
                <w:sz w:val="21"/>
                <w:highlight w:val="none"/>
              </w:rPr>
            </w:pPr>
          </w:p>
        </w:tc>
        <w:tc>
          <w:tcPr>
            <w:tcW w:w="2977" w:type="dxa"/>
            <w:vAlign w:val="center"/>
          </w:tcPr>
          <w:p w14:paraId="5E05030B">
            <w:pPr>
              <w:keepNext w:val="0"/>
              <w:keepLines w:val="0"/>
              <w:bidi w:val="0"/>
              <w:jc w:val="center"/>
              <w:rPr>
                <w:rFonts w:ascii="Arial"/>
                <w:color w:val="auto"/>
                <w:sz w:val="21"/>
                <w:highlight w:val="none"/>
              </w:rPr>
            </w:pPr>
          </w:p>
        </w:tc>
        <w:tc>
          <w:tcPr>
            <w:tcW w:w="1501" w:type="dxa"/>
            <w:vAlign w:val="center"/>
          </w:tcPr>
          <w:p w14:paraId="31E611D1">
            <w:pPr>
              <w:keepNext w:val="0"/>
              <w:keepLines w:val="0"/>
              <w:bidi w:val="0"/>
              <w:jc w:val="center"/>
              <w:rPr>
                <w:rFonts w:ascii="Arial"/>
                <w:color w:val="auto"/>
                <w:sz w:val="21"/>
                <w:highlight w:val="none"/>
              </w:rPr>
            </w:pPr>
          </w:p>
        </w:tc>
        <w:tc>
          <w:tcPr>
            <w:tcW w:w="2385" w:type="dxa"/>
            <w:vAlign w:val="center"/>
          </w:tcPr>
          <w:p w14:paraId="4E095BE7">
            <w:pPr>
              <w:keepNext w:val="0"/>
              <w:keepLines w:val="0"/>
              <w:bidi w:val="0"/>
              <w:jc w:val="center"/>
              <w:rPr>
                <w:rFonts w:ascii="Arial"/>
                <w:color w:val="auto"/>
                <w:sz w:val="21"/>
                <w:highlight w:val="none"/>
              </w:rPr>
            </w:pPr>
          </w:p>
        </w:tc>
      </w:tr>
      <w:tr w14:paraId="7CF43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06A7D291">
            <w:pPr>
              <w:keepNext w:val="0"/>
              <w:keepLines w:val="0"/>
              <w:bidi w:val="0"/>
              <w:jc w:val="center"/>
              <w:rPr>
                <w:rFonts w:ascii="Arial"/>
                <w:color w:val="auto"/>
                <w:sz w:val="21"/>
                <w:highlight w:val="none"/>
              </w:rPr>
            </w:pPr>
          </w:p>
        </w:tc>
        <w:tc>
          <w:tcPr>
            <w:tcW w:w="2977" w:type="dxa"/>
            <w:vAlign w:val="center"/>
          </w:tcPr>
          <w:p w14:paraId="6BFB25F3">
            <w:pPr>
              <w:keepNext w:val="0"/>
              <w:keepLines w:val="0"/>
              <w:bidi w:val="0"/>
              <w:jc w:val="center"/>
              <w:rPr>
                <w:rFonts w:ascii="Arial"/>
                <w:color w:val="auto"/>
                <w:sz w:val="21"/>
                <w:highlight w:val="none"/>
              </w:rPr>
            </w:pPr>
          </w:p>
        </w:tc>
        <w:tc>
          <w:tcPr>
            <w:tcW w:w="1501" w:type="dxa"/>
            <w:vAlign w:val="center"/>
          </w:tcPr>
          <w:p w14:paraId="163D8425">
            <w:pPr>
              <w:keepNext w:val="0"/>
              <w:keepLines w:val="0"/>
              <w:bidi w:val="0"/>
              <w:jc w:val="center"/>
              <w:rPr>
                <w:rFonts w:ascii="Arial"/>
                <w:color w:val="auto"/>
                <w:sz w:val="21"/>
                <w:highlight w:val="none"/>
              </w:rPr>
            </w:pPr>
          </w:p>
        </w:tc>
        <w:tc>
          <w:tcPr>
            <w:tcW w:w="2385" w:type="dxa"/>
            <w:vAlign w:val="center"/>
          </w:tcPr>
          <w:p w14:paraId="73D4FD53">
            <w:pPr>
              <w:keepNext w:val="0"/>
              <w:keepLines w:val="0"/>
              <w:bidi w:val="0"/>
              <w:jc w:val="center"/>
              <w:rPr>
                <w:rFonts w:ascii="Arial"/>
                <w:color w:val="auto"/>
                <w:sz w:val="21"/>
                <w:highlight w:val="none"/>
              </w:rPr>
            </w:pPr>
          </w:p>
        </w:tc>
      </w:tr>
      <w:tr w14:paraId="1D870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425" w:type="dxa"/>
            <w:vAlign w:val="center"/>
          </w:tcPr>
          <w:p w14:paraId="6F10048D">
            <w:pPr>
              <w:keepNext w:val="0"/>
              <w:keepLines w:val="0"/>
              <w:bidi w:val="0"/>
              <w:jc w:val="center"/>
              <w:rPr>
                <w:rFonts w:ascii="Arial"/>
                <w:color w:val="auto"/>
                <w:sz w:val="21"/>
                <w:highlight w:val="none"/>
              </w:rPr>
            </w:pPr>
          </w:p>
        </w:tc>
        <w:tc>
          <w:tcPr>
            <w:tcW w:w="2977" w:type="dxa"/>
            <w:vAlign w:val="center"/>
          </w:tcPr>
          <w:p w14:paraId="51D8FBDE">
            <w:pPr>
              <w:keepNext w:val="0"/>
              <w:keepLines w:val="0"/>
              <w:bidi w:val="0"/>
              <w:jc w:val="center"/>
              <w:rPr>
                <w:rFonts w:ascii="Arial"/>
                <w:color w:val="auto"/>
                <w:sz w:val="21"/>
                <w:highlight w:val="none"/>
              </w:rPr>
            </w:pPr>
          </w:p>
        </w:tc>
        <w:tc>
          <w:tcPr>
            <w:tcW w:w="1501" w:type="dxa"/>
            <w:vAlign w:val="center"/>
          </w:tcPr>
          <w:p w14:paraId="74817DDD">
            <w:pPr>
              <w:keepNext w:val="0"/>
              <w:keepLines w:val="0"/>
              <w:bidi w:val="0"/>
              <w:jc w:val="center"/>
              <w:rPr>
                <w:rFonts w:ascii="Arial"/>
                <w:color w:val="auto"/>
                <w:sz w:val="21"/>
                <w:highlight w:val="none"/>
              </w:rPr>
            </w:pPr>
          </w:p>
        </w:tc>
        <w:tc>
          <w:tcPr>
            <w:tcW w:w="2385" w:type="dxa"/>
            <w:vAlign w:val="center"/>
          </w:tcPr>
          <w:p w14:paraId="6821560D">
            <w:pPr>
              <w:keepNext w:val="0"/>
              <w:keepLines w:val="0"/>
              <w:bidi w:val="0"/>
              <w:jc w:val="center"/>
              <w:rPr>
                <w:rFonts w:ascii="Arial"/>
                <w:color w:val="auto"/>
                <w:sz w:val="21"/>
                <w:highlight w:val="none"/>
              </w:rPr>
            </w:pPr>
          </w:p>
        </w:tc>
      </w:tr>
      <w:tr w14:paraId="6B808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12EFEB01">
            <w:pPr>
              <w:keepNext w:val="0"/>
              <w:keepLines w:val="0"/>
              <w:bidi w:val="0"/>
              <w:jc w:val="center"/>
              <w:rPr>
                <w:rFonts w:ascii="Arial"/>
                <w:color w:val="auto"/>
                <w:sz w:val="21"/>
                <w:highlight w:val="none"/>
              </w:rPr>
            </w:pPr>
          </w:p>
        </w:tc>
        <w:tc>
          <w:tcPr>
            <w:tcW w:w="2977" w:type="dxa"/>
            <w:vAlign w:val="center"/>
          </w:tcPr>
          <w:p w14:paraId="278FBAB7">
            <w:pPr>
              <w:keepNext w:val="0"/>
              <w:keepLines w:val="0"/>
              <w:bidi w:val="0"/>
              <w:jc w:val="center"/>
              <w:rPr>
                <w:rFonts w:ascii="Arial"/>
                <w:color w:val="auto"/>
                <w:sz w:val="21"/>
                <w:highlight w:val="none"/>
              </w:rPr>
            </w:pPr>
          </w:p>
        </w:tc>
        <w:tc>
          <w:tcPr>
            <w:tcW w:w="1501" w:type="dxa"/>
            <w:vAlign w:val="center"/>
          </w:tcPr>
          <w:p w14:paraId="68C8930F">
            <w:pPr>
              <w:keepNext w:val="0"/>
              <w:keepLines w:val="0"/>
              <w:bidi w:val="0"/>
              <w:jc w:val="center"/>
              <w:rPr>
                <w:rFonts w:ascii="Arial"/>
                <w:color w:val="auto"/>
                <w:sz w:val="21"/>
                <w:highlight w:val="none"/>
              </w:rPr>
            </w:pPr>
          </w:p>
        </w:tc>
        <w:tc>
          <w:tcPr>
            <w:tcW w:w="2385" w:type="dxa"/>
            <w:vAlign w:val="center"/>
          </w:tcPr>
          <w:p w14:paraId="54B47C69">
            <w:pPr>
              <w:keepNext w:val="0"/>
              <w:keepLines w:val="0"/>
              <w:bidi w:val="0"/>
              <w:jc w:val="center"/>
              <w:rPr>
                <w:rFonts w:ascii="Arial"/>
                <w:color w:val="auto"/>
                <w:sz w:val="21"/>
                <w:highlight w:val="none"/>
              </w:rPr>
            </w:pPr>
          </w:p>
        </w:tc>
      </w:tr>
      <w:tr w14:paraId="24818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7C8C1E6A">
            <w:pPr>
              <w:keepNext w:val="0"/>
              <w:keepLines w:val="0"/>
              <w:bidi w:val="0"/>
              <w:jc w:val="center"/>
              <w:rPr>
                <w:rFonts w:hint="eastAsia" w:ascii="宋体" w:hAnsi="宋体" w:eastAsia="宋体" w:cs="宋体"/>
                <w:color w:val="auto"/>
                <w:sz w:val="24"/>
                <w:szCs w:val="24"/>
                <w:highlight w:val="none"/>
              </w:rPr>
            </w:pPr>
          </w:p>
        </w:tc>
        <w:tc>
          <w:tcPr>
            <w:tcW w:w="2977" w:type="dxa"/>
            <w:vAlign w:val="center"/>
          </w:tcPr>
          <w:p w14:paraId="1D46786C">
            <w:pPr>
              <w:keepNext w:val="0"/>
              <w:keepLines w:val="0"/>
              <w:bidi w:val="0"/>
              <w:jc w:val="center"/>
              <w:rPr>
                <w:rFonts w:ascii="Arial"/>
                <w:color w:val="auto"/>
                <w:sz w:val="21"/>
                <w:highlight w:val="none"/>
              </w:rPr>
            </w:pPr>
          </w:p>
        </w:tc>
        <w:tc>
          <w:tcPr>
            <w:tcW w:w="1501" w:type="dxa"/>
            <w:vAlign w:val="center"/>
          </w:tcPr>
          <w:p w14:paraId="04960AC5">
            <w:pPr>
              <w:keepNext w:val="0"/>
              <w:keepLines w:val="0"/>
              <w:bidi w:val="0"/>
              <w:jc w:val="center"/>
              <w:rPr>
                <w:rFonts w:hint="eastAsia" w:ascii="宋体" w:hAnsi="宋体" w:eastAsia="宋体" w:cs="宋体"/>
                <w:color w:val="auto"/>
                <w:sz w:val="24"/>
                <w:szCs w:val="24"/>
                <w:highlight w:val="none"/>
              </w:rPr>
            </w:pPr>
          </w:p>
        </w:tc>
        <w:tc>
          <w:tcPr>
            <w:tcW w:w="2385" w:type="dxa"/>
            <w:vAlign w:val="center"/>
          </w:tcPr>
          <w:p w14:paraId="5BDBF0F7">
            <w:pPr>
              <w:keepNext w:val="0"/>
              <w:keepLines w:val="0"/>
              <w:bidi w:val="0"/>
              <w:jc w:val="center"/>
              <w:rPr>
                <w:rFonts w:ascii="Arial"/>
                <w:color w:val="auto"/>
                <w:sz w:val="21"/>
                <w:highlight w:val="none"/>
              </w:rPr>
            </w:pPr>
          </w:p>
        </w:tc>
      </w:tr>
      <w:tr w14:paraId="325EA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6E98C576">
            <w:pPr>
              <w:keepNext w:val="0"/>
              <w:keepLines w:val="0"/>
              <w:bidi w:val="0"/>
              <w:jc w:val="center"/>
              <w:rPr>
                <w:rFonts w:hint="eastAsia" w:ascii="宋体" w:hAnsi="宋体" w:eastAsia="宋体" w:cs="宋体"/>
                <w:color w:val="auto"/>
                <w:sz w:val="24"/>
                <w:szCs w:val="24"/>
                <w:highlight w:val="none"/>
              </w:rPr>
            </w:pPr>
          </w:p>
        </w:tc>
        <w:tc>
          <w:tcPr>
            <w:tcW w:w="2977" w:type="dxa"/>
            <w:vAlign w:val="center"/>
          </w:tcPr>
          <w:p w14:paraId="60AD7D11">
            <w:pPr>
              <w:keepNext w:val="0"/>
              <w:keepLines w:val="0"/>
              <w:bidi w:val="0"/>
              <w:jc w:val="center"/>
              <w:rPr>
                <w:rFonts w:ascii="Arial"/>
                <w:color w:val="auto"/>
                <w:sz w:val="21"/>
                <w:highlight w:val="none"/>
              </w:rPr>
            </w:pPr>
          </w:p>
        </w:tc>
        <w:tc>
          <w:tcPr>
            <w:tcW w:w="1501" w:type="dxa"/>
            <w:vAlign w:val="center"/>
          </w:tcPr>
          <w:p w14:paraId="10EBC350">
            <w:pPr>
              <w:keepNext w:val="0"/>
              <w:keepLines w:val="0"/>
              <w:bidi w:val="0"/>
              <w:jc w:val="center"/>
              <w:rPr>
                <w:rFonts w:hint="eastAsia" w:ascii="宋体" w:hAnsi="宋体" w:eastAsia="宋体" w:cs="宋体"/>
                <w:color w:val="auto"/>
                <w:sz w:val="24"/>
                <w:szCs w:val="24"/>
                <w:highlight w:val="none"/>
              </w:rPr>
            </w:pPr>
          </w:p>
        </w:tc>
        <w:tc>
          <w:tcPr>
            <w:tcW w:w="2385" w:type="dxa"/>
            <w:vAlign w:val="center"/>
          </w:tcPr>
          <w:p w14:paraId="3CE0B4DE">
            <w:pPr>
              <w:keepNext w:val="0"/>
              <w:keepLines w:val="0"/>
              <w:bidi w:val="0"/>
              <w:jc w:val="center"/>
              <w:rPr>
                <w:rFonts w:ascii="Arial"/>
                <w:color w:val="auto"/>
                <w:sz w:val="21"/>
                <w:highlight w:val="none"/>
              </w:rPr>
            </w:pPr>
          </w:p>
        </w:tc>
      </w:tr>
      <w:tr w14:paraId="36E7E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06E91ED1">
            <w:pPr>
              <w:keepNext w:val="0"/>
              <w:keepLines w:val="0"/>
              <w:bidi w:val="0"/>
              <w:jc w:val="center"/>
              <w:rPr>
                <w:rFonts w:hint="eastAsia" w:ascii="宋体" w:hAnsi="宋体" w:eastAsia="宋体" w:cs="宋体"/>
                <w:color w:val="auto"/>
                <w:sz w:val="24"/>
                <w:szCs w:val="24"/>
                <w:highlight w:val="none"/>
              </w:rPr>
            </w:pPr>
          </w:p>
        </w:tc>
        <w:tc>
          <w:tcPr>
            <w:tcW w:w="2977" w:type="dxa"/>
            <w:vAlign w:val="center"/>
          </w:tcPr>
          <w:p w14:paraId="1487DFE2">
            <w:pPr>
              <w:keepNext w:val="0"/>
              <w:keepLines w:val="0"/>
              <w:bidi w:val="0"/>
              <w:jc w:val="center"/>
              <w:rPr>
                <w:rFonts w:ascii="Arial"/>
                <w:color w:val="auto"/>
                <w:sz w:val="21"/>
                <w:highlight w:val="none"/>
              </w:rPr>
            </w:pPr>
          </w:p>
        </w:tc>
        <w:tc>
          <w:tcPr>
            <w:tcW w:w="1501" w:type="dxa"/>
            <w:vAlign w:val="center"/>
          </w:tcPr>
          <w:p w14:paraId="1B2A0982">
            <w:pPr>
              <w:keepNext w:val="0"/>
              <w:keepLines w:val="0"/>
              <w:bidi w:val="0"/>
              <w:jc w:val="center"/>
              <w:rPr>
                <w:rFonts w:hint="eastAsia" w:ascii="宋体" w:hAnsi="宋体" w:eastAsia="宋体" w:cs="宋体"/>
                <w:color w:val="auto"/>
                <w:sz w:val="24"/>
                <w:szCs w:val="24"/>
                <w:highlight w:val="none"/>
              </w:rPr>
            </w:pPr>
          </w:p>
        </w:tc>
        <w:tc>
          <w:tcPr>
            <w:tcW w:w="2385" w:type="dxa"/>
            <w:vAlign w:val="center"/>
          </w:tcPr>
          <w:p w14:paraId="3CB8F211">
            <w:pPr>
              <w:keepNext w:val="0"/>
              <w:keepLines w:val="0"/>
              <w:bidi w:val="0"/>
              <w:jc w:val="center"/>
              <w:rPr>
                <w:rFonts w:ascii="Arial"/>
                <w:color w:val="auto"/>
                <w:sz w:val="21"/>
                <w:highlight w:val="none"/>
              </w:rPr>
            </w:pPr>
          </w:p>
        </w:tc>
      </w:tr>
      <w:tr w14:paraId="07590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08497C7B">
            <w:pPr>
              <w:keepNext w:val="0"/>
              <w:keepLines w:val="0"/>
              <w:bidi w:val="0"/>
              <w:jc w:val="center"/>
              <w:rPr>
                <w:rFonts w:hint="eastAsia" w:ascii="宋体" w:hAnsi="宋体" w:eastAsia="宋体" w:cs="宋体"/>
                <w:color w:val="auto"/>
                <w:sz w:val="24"/>
                <w:szCs w:val="24"/>
                <w:highlight w:val="none"/>
              </w:rPr>
            </w:pPr>
          </w:p>
        </w:tc>
        <w:tc>
          <w:tcPr>
            <w:tcW w:w="2977" w:type="dxa"/>
            <w:vAlign w:val="center"/>
          </w:tcPr>
          <w:p w14:paraId="42EC2878">
            <w:pPr>
              <w:keepNext w:val="0"/>
              <w:keepLines w:val="0"/>
              <w:bidi w:val="0"/>
              <w:jc w:val="center"/>
              <w:rPr>
                <w:rFonts w:ascii="Arial"/>
                <w:color w:val="auto"/>
                <w:sz w:val="21"/>
                <w:highlight w:val="none"/>
              </w:rPr>
            </w:pPr>
          </w:p>
        </w:tc>
        <w:tc>
          <w:tcPr>
            <w:tcW w:w="1501" w:type="dxa"/>
            <w:vAlign w:val="center"/>
          </w:tcPr>
          <w:p w14:paraId="75987A0B">
            <w:pPr>
              <w:keepNext w:val="0"/>
              <w:keepLines w:val="0"/>
              <w:bidi w:val="0"/>
              <w:jc w:val="center"/>
              <w:rPr>
                <w:rFonts w:hint="eastAsia" w:ascii="宋体" w:hAnsi="宋体" w:eastAsia="宋体" w:cs="宋体"/>
                <w:color w:val="auto"/>
                <w:sz w:val="24"/>
                <w:szCs w:val="24"/>
                <w:highlight w:val="none"/>
              </w:rPr>
            </w:pPr>
          </w:p>
        </w:tc>
        <w:tc>
          <w:tcPr>
            <w:tcW w:w="2385" w:type="dxa"/>
            <w:vAlign w:val="center"/>
          </w:tcPr>
          <w:p w14:paraId="341C9B39">
            <w:pPr>
              <w:keepNext w:val="0"/>
              <w:keepLines w:val="0"/>
              <w:bidi w:val="0"/>
              <w:jc w:val="center"/>
              <w:rPr>
                <w:rFonts w:ascii="Arial"/>
                <w:color w:val="auto"/>
                <w:sz w:val="21"/>
                <w:highlight w:val="none"/>
              </w:rPr>
            </w:pPr>
          </w:p>
        </w:tc>
      </w:tr>
      <w:tr w14:paraId="1364F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448B24EB">
            <w:pPr>
              <w:keepNext w:val="0"/>
              <w:keepLines w:val="0"/>
              <w:bidi w:val="0"/>
              <w:jc w:val="center"/>
              <w:rPr>
                <w:rFonts w:hint="eastAsia" w:ascii="宋体" w:hAnsi="宋体" w:eastAsia="宋体" w:cs="宋体"/>
                <w:color w:val="auto"/>
                <w:sz w:val="24"/>
                <w:szCs w:val="24"/>
                <w:highlight w:val="none"/>
              </w:rPr>
            </w:pPr>
          </w:p>
        </w:tc>
        <w:tc>
          <w:tcPr>
            <w:tcW w:w="2977" w:type="dxa"/>
            <w:vAlign w:val="center"/>
          </w:tcPr>
          <w:p w14:paraId="158FBB8B">
            <w:pPr>
              <w:keepNext w:val="0"/>
              <w:keepLines w:val="0"/>
              <w:bidi w:val="0"/>
              <w:jc w:val="center"/>
              <w:rPr>
                <w:rFonts w:ascii="Arial"/>
                <w:color w:val="auto"/>
                <w:sz w:val="21"/>
                <w:highlight w:val="none"/>
              </w:rPr>
            </w:pPr>
          </w:p>
        </w:tc>
        <w:tc>
          <w:tcPr>
            <w:tcW w:w="1501" w:type="dxa"/>
            <w:vAlign w:val="center"/>
          </w:tcPr>
          <w:p w14:paraId="19981614">
            <w:pPr>
              <w:keepNext w:val="0"/>
              <w:keepLines w:val="0"/>
              <w:bidi w:val="0"/>
              <w:jc w:val="center"/>
              <w:rPr>
                <w:rFonts w:hint="eastAsia" w:ascii="宋体" w:hAnsi="宋体" w:eastAsia="宋体" w:cs="宋体"/>
                <w:color w:val="auto"/>
                <w:sz w:val="24"/>
                <w:szCs w:val="24"/>
                <w:highlight w:val="none"/>
              </w:rPr>
            </w:pPr>
          </w:p>
        </w:tc>
        <w:tc>
          <w:tcPr>
            <w:tcW w:w="2385" w:type="dxa"/>
            <w:vAlign w:val="center"/>
          </w:tcPr>
          <w:p w14:paraId="7E8D86B5">
            <w:pPr>
              <w:keepNext w:val="0"/>
              <w:keepLines w:val="0"/>
              <w:bidi w:val="0"/>
              <w:jc w:val="center"/>
              <w:rPr>
                <w:rFonts w:ascii="Arial"/>
                <w:color w:val="auto"/>
                <w:sz w:val="21"/>
                <w:highlight w:val="none"/>
              </w:rPr>
            </w:pPr>
          </w:p>
        </w:tc>
      </w:tr>
      <w:tr w14:paraId="3FE33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354A91C0">
            <w:pPr>
              <w:keepNext w:val="0"/>
              <w:keepLines w:val="0"/>
              <w:bidi w:val="0"/>
              <w:jc w:val="center"/>
              <w:rPr>
                <w:rFonts w:hint="eastAsia" w:ascii="宋体" w:hAnsi="宋体" w:eastAsia="宋体" w:cs="宋体"/>
                <w:color w:val="auto"/>
                <w:sz w:val="24"/>
                <w:szCs w:val="24"/>
                <w:highlight w:val="none"/>
              </w:rPr>
            </w:pPr>
          </w:p>
        </w:tc>
        <w:tc>
          <w:tcPr>
            <w:tcW w:w="2977" w:type="dxa"/>
            <w:vAlign w:val="center"/>
          </w:tcPr>
          <w:p w14:paraId="0D5C2FFB">
            <w:pPr>
              <w:keepNext w:val="0"/>
              <w:keepLines w:val="0"/>
              <w:bidi w:val="0"/>
              <w:jc w:val="center"/>
              <w:rPr>
                <w:rFonts w:ascii="Arial"/>
                <w:color w:val="auto"/>
                <w:sz w:val="21"/>
                <w:highlight w:val="none"/>
              </w:rPr>
            </w:pPr>
          </w:p>
        </w:tc>
        <w:tc>
          <w:tcPr>
            <w:tcW w:w="1501" w:type="dxa"/>
            <w:vAlign w:val="center"/>
          </w:tcPr>
          <w:p w14:paraId="6CEC909C">
            <w:pPr>
              <w:keepNext w:val="0"/>
              <w:keepLines w:val="0"/>
              <w:bidi w:val="0"/>
              <w:jc w:val="center"/>
              <w:rPr>
                <w:rFonts w:hint="eastAsia" w:ascii="宋体" w:hAnsi="宋体" w:eastAsia="宋体" w:cs="宋体"/>
                <w:color w:val="auto"/>
                <w:sz w:val="24"/>
                <w:szCs w:val="24"/>
                <w:highlight w:val="none"/>
              </w:rPr>
            </w:pPr>
          </w:p>
        </w:tc>
        <w:tc>
          <w:tcPr>
            <w:tcW w:w="2385" w:type="dxa"/>
            <w:vAlign w:val="center"/>
          </w:tcPr>
          <w:p w14:paraId="37BAE257">
            <w:pPr>
              <w:keepNext w:val="0"/>
              <w:keepLines w:val="0"/>
              <w:bidi w:val="0"/>
              <w:jc w:val="center"/>
              <w:rPr>
                <w:rFonts w:ascii="Arial"/>
                <w:color w:val="auto"/>
                <w:sz w:val="21"/>
                <w:highlight w:val="none"/>
              </w:rPr>
            </w:pPr>
          </w:p>
        </w:tc>
      </w:tr>
      <w:tr w14:paraId="73FFF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204E3DC6">
            <w:pPr>
              <w:keepNext w:val="0"/>
              <w:keepLines w:val="0"/>
              <w:bidi w:val="0"/>
              <w:jc w:val="center"/>
              <w:rPr>
                <w:rFonts w:hint="eastAsia" w:ascii="宋体" w:hAnsi="宋体" w:eastAsia="宋体" w:cs="宋体"/>
                <w:color w:val="auto"/>
                <w:sz w:val="24"/>
                <w:szCs w:val="24"/>
                <w:highlight w:val="none"/>
              </w:rPr>
            </w:pPr>
          </w:p>
        </w:tc>
        <w:tc>
          <w:tcPr>
            <w:tcW w:w="2977" w:type="dxa"/>
            <w:vAlign w:val="center"/>
          </w:tcPr>
          <w:p w14:paraId="09DCBDB8">
            <w:pPr>
              <w:keepNext w:val="0"/>
              <w:keepLines w:val="0"/>
              <w:bidi w:val="0"/>
              <w:jc w:val="center"/>
              <w:rPr>
                <w:rFonts w:ascii="Arial"/>
                <w:color w:val="auto"/>
                <w:sz w:val="21"/>
                <w:highlight w:val="none"/>
              </w:rPr>
            </w:pPr>
          </w:p>
        </w:tc>
        <w:tc>
          <w:tcPr>
            <w:tcW w:w="1501" w:type="dxa"/>
            <w:vAlign w:val="center"/>
          </w:tcPr>
          <w:p w14:paraId="27F3E575">
            <w:pPr>
              <w:keepNext w:val="0"/>
              <w:keepLines w:val="0"/>
              <w:bidi w:val="0"/>
              <w:jc w:val="center"/>
              <w:rPr>
                <w:rFonts w:hint="eastAsia" w:ascii="宋体" w:hAnsi="宋体" w:eastAsia="宋体" w:cs="宋体"/>
                <w:color w:val="auto"/>
                <w:sz w:val="24"/>
                <w:szCs w:val="24"/>
                <w:highlight w:val="none"/>
              </w:rPr>
            </w:pPr>
          </w:p>
        </w:tc>
        <w:tc>
          <w:tcPr>
            <w:tcW w:w="2385" w:type="dxa"/>
            <w:vAlign w:val="center"/>
          </w:tcPr>
          <w:p w14:paraId="787130E9">
            <w:pPr>
              <w:keepNext w:val="0"/>
              <w:keepLines w:val="0"/>
              <w:bidi w:val="0"/>
              <w:jc w:val="center"/>
              <w:rPr>
                <w:rFonts w:ascii="Arial"/>
                <w:color w:val="auto"/>
                <w:sz w:val="21"/>
                <w:highlight w:val="none"/>
              </w:rPr>
            </w:pPr>
          </w:p>
        </w:tc>
      </w:tr>
      <w:tr w14:paraId="72562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25" w:type="dxa"/>
            <w:vAlign w:val="center"/>
          </w:tcPr>
          <w:p w14:paraId="580B0320">
            <w:pPr>
              <w:keepNext w:val="0"/>
              <w:keepLines w:val="0"/>
              <w:bidi w:val="0"/>
              <w:jc w:val="center"/>
              <w:rPr>
                <w:rFonts w:hint="eastAsia" w:ascii="宋体" w:hAnsi="宋体" w:eastAsia="宋体" w:cs="宋体"/>
                <w:color w:val="auto"/>
                <w:sz w:val="24"/>
                <w:szCs w:val="24"/>
                <w:highlight w:val="none"/>
              </w:rPr>
            </w:pPr>
          </w:p>
        </w:tc>
        <w:tc>
          <w:tcPr>
            <w:tcW w:w="2977" w:type="dxa"/>
            <w:vAlign w:val="center"/>
          </w:tcPr>
          <w:p w14:paraId="1034A56F">
            <w:pPr>
              <w:keepNext w:val="0"/>
              <w:keepLines w:val="0"/>
              <w:bidi w:val="0"/>
              <w:jc w:val="center"/>
              <w:rPr>
                <w:rFonts w:ascii="Arial"/>
                <w:color w:val="auto"/>
                <w:sz w:val="21"/>
                <w:highlight w:val="none"/>
              </w:rPr>
            </w:pPr>
          </w:p>
        </w:tc>
        <w:tc>
          <w:tcPr>
            <w:tcW w:w="1501" w:type="dxa"/>
            <w:vAlign w:val="center"/>
          </w:tcPr>
          <w:p w14:paraId="3C5FE105">
            <w:pPr>
              <w:keepNext w:val="0"/>
              <w:keepLines w:val="0"/>
              <w:bidi w:val="0"/>
              <w:jc w:val="center"/>
              <w:rPr>
                <w:rFonts w:hint="eastAsia" w:ascii="宋体" w:hAnsi="宋体" w:eastAsia="宋体" w:cs="宋体"/>
                <w:color w:val="auto"/>
                <w:sz w:val="24"/>
                <w:szCs w:val="24"/>
                <w:highlight w:val="none"/>
              </w:rPr>
            </w:pPr>
          </w:p>
        </w:tc>
        <w:tc>
          <w:tcPr>
            <w:tcW w:w="2385" w:type="dxa"/>
            <w:vAlign w:val="center"/>
          </w:tcPr>
          <w:p w14:paraId="549281B1">
            <w:pPr>
              <w:keepNext w:val="0"/>
              <w:keepLines w:val="0"/>
              <w:bidi w:val="0"/>
              <w:jc w:val="center"/>
              <w:rPr>
                <w:rFonts w:ascii="Arial"/>
                <w:color w:val="auto"/>
                <w:sz w:val="21"/>
                <w:highlight w:val="none"/>
              </w:rPr>
            </w:pPr>
          </w:p>
        </w:tc>
      </w:tr>
    </w:tbl>
    <w:p w14:paraId="4A18ECAC">
      <w:pPr>
        <w:spacing w:line="246" w:lineRule="auto"/>
        <w:rPr>
          <w:rFonts w:ascii="Arial"/>
          <w:color w:val="auto"/>
          <w:sz w:val="21"/>
          <w:highlight w:val="none"/>
        </w:rPr>
      </w:pPr>
    </w:p>
    <w:p w14:paraId="45AB2C85">
      <w:pPr>
        <w:spacing w:line="246" w:lineRule="auto"/>
        <w:rPr>
          <w:rFonts w:ascii="Arial"/>
          <w:color w:val="auto"/>
          <w:sz w:val="21"/>
          <w:highlight w:val="none"/>
        </w:rPr>
      </w:pPr>
    </w:p>
    <w:p w14:paraId="64EDA108">
      <w:pPr>
        <w:spacing w:line="246" w:lineRule="auto"/>
        <w:rPr>
          <w:rFonts w:ascii="Arial"/>
          <w:color w:val="auto"/>
          <w:sz w:val="21"/>
          <w:highlight w:val="none"/>
        </w:rPr>
      </w:pPr>
    </w:p>
    <w:p w14:paraId="22842779">
      <w:pPr>
        <w:spacing w:line="246" w:lineRule="auto"/>
        <w:rPr>
          <w:rFonts w:ascii="Arial"/>
          <w:color w:val="auto"/>
          <w:sz w:val="21"/>
          <w:highlight w:val="none"/>
        </w:rPr>
      </w:pPr>
    </w:p>
    <w:p w14:paraId="7D99061F">
      <w:pPr>
        <w:spacing w:line="246" w:lineRule="auto"/>
        <w:rPr>
          <w:rFonts w:ascii="Arial"/>
          <w:color w:val="auto"/>
          <w:sz w:val="21"/>
          <w:highlight w:val="none"/>
        </w:rPr>
      </w:pPr>
    </w:p>
    <w:p w14:paraId="385160E9">
      <w:pPr>
        <w:spacing w:line="247" w:lineRule="auto"/>
        <w:rPr>
          <w:rFonts w:ascii="Arial"/>
          <w:color w:val="auto"/>
          <w:sz w:val="21"/>
          <w:highlight w:val="none"/>
        </w:rPr>
      </w:pPr>
    </w:p>
    <w:p w14:paraId="4F9072B6">
      <w:pPr>
        <w:spacing w:before="190" w:line="227" w:lineRule="auto"/>
        <w:jc w:val="left"/>
        <w:outlineLvl w:val="1"/>
        <w:rPr>
          <w:rFonts w:ascii="宋体" w:hAnsi="宋体" w:eastAsia="宋体" w:cs="宋体"/>
          <w:b/>
          <w:bCs/>
          <w:color w:val="auto"/>
          <w:spacing w:val="7"/>
          <w:sz w:val="20"/>
          <w:szCs w:val="20"/>
          <w:highlight w:val="none"/>
        </w:rPr>
      </w:pPr>
      <w:bookmarkStart w:id="269" w:name="bookmark152"/>
      <w:bookmarkEnd w:id="269"/>
      <w:bookmarkStart w:id="270" w:name="_Toc6115"/>
      <w:bookmarkStart w:id="271" w:name="_Toc15222"/>
      <w:r>
        <w:rPr>
          <w:rFonts w:ascii="宋体" w:hAnsi="宋体" w:eastAsia="宋体" w:cs="宋体"/>
          <w:b/>
          <w:bCs/>
          <w:color w:val="auto"/>
          <w:spacing w:val="7"/>
          <w:sz w:val="20"/>
          <w:szCs w:val="20"/>
          <w:highlight w:val="none"/>
        </w:rPr>
        <w:t>附件五：主要生活办公设施最低要求</w:t>
      </w:r>
      <w:r>
        <w:rPr>
          <w:rFonts w:ascii="宋体" w:hAnsi="宋体" w:eastAsia="宋体" w:cs="宋体"/>
          <w:b/>
          <w:bCs/>
          <w:color w:val="auto"/>
          <w:spacing w:val="7"/>
          <w:sz w:val="20"/>
          <w:szCs w:val="20"/>
          <w:highlight w:val="none"/>
          <w:vertAlign w:val="superscript"/>
        </w:rPr>
        <w:fldChar w:fldCharType="begin"/>
      </w:r>
      <w:r>
        <w:rPr>
          <w:rFonts w:ascii="宋体" w:hAnsi="宋体" w:eastAsia="宋体" w:cs="宋体"/>
          <w:b/>
          <w:bCs/>
          <w:color w:val="auto"/>
          <w:spacing w:val="7"/>
          <w:sz w:val="20"/>
          <w:szCs w:val="20"/>
          <w:highlight w:val="none"/>
          <w:vertAlign w:val="superscript"/>
        </w:rPr>
        <w:instrText xml:space="preserve"> HYPERLINK \l "bookmark153" </w:instrText>
      </w:r>
      <w:r>
        <w:rPr>
          <w:rFonts w:ascii="宋体" w:hAnsi="宋体" w:eastAsia="宋体" w:cs="宋体"/>
          <w:b/>
          <w:bCs/>
          <w:color w:val="auto"/>
          <w:spacing w:val="7"/>
          <w:sz w:val="20"/>
          <w:szCs w:val="20"/>
          <w:highlight w:val="none"/>
          <w:vertAlign w:val="superscript"/>
        </w:rPr>
        <w:fldChar w:fldCharType="separate"/>
      </w:r>
      <w:r>
        <w:rPr>
          <w:rFonts w:ascii="宋体" w:hAnsi="宋体" w:eastAsia="宋体" w:cs="宋体"/>
          <w:b/>
          <w:bCs/>
          <w:color w:val="auto"/>
          <w:spacing w:val="7"/>
          <w:sz w:val="20"/>
          <w:szCs w:val="20"/>
          <w:highlight w:val="none"/>
          <w:vertAlign w:val="superscript"/>
        </w:rPr>
        <w:t>①</w:t>
      </w:r>
      <w:r>
        <w:rPr>
          <w:rFonts w:ascii="宋体" w:hAnsi="宋体" w:eastAsia="宋体" w:cs="宋体"/>
          <w:b/>
          <w:bCs/>
          <w:color w:val="auto"/>
          <w:spacing w:val="7"/>
          <w:sz w:val="20"/>
          <w:szCs w:val="20"/>
          <w:highlight w:val="none"/>
          <w:vertAlign w:val="superscript"/>
        </w:rPr>
        <w:fldChar w:fldCharType="end"/>
      </w:r>
      <w:bookmarkEnd w:id="270"/>
      <w:bookmarkEnd w:id="271"/>
    </w:p>
    <w:p w14:paraId="3681B23E">
      <w:pPr>
        <w:spacing w:line="29" w:lineRule="exact"/>
        <w:rPr>
          <w:color w:val="auto"/>
          <w:highlight w:val="none"/>
        </w:rPr>
      </w:pPr>
    </w:p>
    <w:tbl>
      <w:tblPr>
        <w:tblStyle w:val="16"/>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4896"/>
        <w:gridCol w:w="1050"/>
        <w:gridCol w:w="2164"/>
      </w:tblGrid>
      <w:tr w14:paraId="0883C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80" w:type="dxa"/>
            <w:vAlign w:val="top"/>
          </w:tcPr>
          <w:p w14:paraId="04A4FC15">
            <w:pPr>
              <w:pStyle w:val="17"/>
              <w:spacing w:before="163" w:line="217" w:lineRule="auto"/>
              <w:ind w:left="384"/>
              <w:rPr>
                <w:color w:val="auto"/>
                <w:highlight w:val="none"/>
              </w:rPr>
            </w:pPr>
            <w:r>
              <w:rPr>
                <w:b/>
                <w:bCs/>
                <w:color w:val="auto"/>
                <w:spacing w:val="4"/>
                <w:highlight w:val="none"/>
              </w:rPr>
              <w:t>序号</w:t>
            </w:r>
          </w:p>
        </w:tc>
        <w:tc>
          <w:tcPr>
            <w:tcW w:w="4896" w:type="dxa"/>
            <w:vAlign w:val="top"/>
          </w:tcPr>
          <w:p w14:paraId="354D8D21">
            <w:pPr>
              <w:pStyle w:val="17"/>
              <w:spacing w:before="163" w:line="217" w:lineRule="auto"/>
              <w:ind w:left="1718"/>
              <w:rPr>
                <w:color w:val="auto"/>
                <w:highlight w:val="none"/>
              </w:rPr>
            </w:pPr>
            <w:r>
              <w:rPr>
                <w:b/>
                <w:bCs/>
                <w:color w:val="auto"/>
                <w:spacing w:val="6"/>
                <w:highlight w:val="none"/>
              </w:rPr>
              <w:t>设备与设施名称</w:t>
            </w:r>
          </w:p>
        </w:tc>
        <w:tc>
          <w:tcPr>
            <w:tcW w:w="1050" w:type="dxa"/>
            <w:vAlign w:val="top"/>
          </w:tcPr>
          <w:p w14:paraId="52BAFF43">
            <w:pPr>
              <w:pStyle w:val="17"/>
              <w:spacing w:before="163" w:line="217" w:lineRule="auto"/>
              <w:ind w:left="322"/>
              <w:rPr>
                <w:color w:val="auto"/>
                <w:highlight w:val="none"/>
              </w:rPr>
            </w:pPr>
            <w:r>
              <w:rPr>
                <w:b/>
                <w:bCs/>
                <w:color w:val="auto"/>
                <w:spacing w:val="3"/>
                <w:highlight w:val="none"/>
              </w:rPr>
              <w:t>单位</w:t>
            </w:r>
          </w:p>
        </w:tc>
        <w:tc>
          <w:tcPr>
            <w:tcW w:w="2164" w:type="dxa"/>
            <w:vAlign w:val="top"/>
          </w:tcPr>
          <w:p w14:paraId="6A84C0F1">
            <w:pPr>
              <w:pStyle w:val="17"/>
              <w:spacing w:before="163" w:line="217" w:lineRule="auto"/>
              <w:ind w:left="667"/>
              <w:rPr>
                <w:color w:val="auto"/>
                <w:highlight w:val="none"/>
              </w:rPr>
            </w:pPr>
            <w:r>
              <w:rPr>
                <w:b/>
                <w:bCs/>
                <w:color w:val="auto"/>
                <w:spacing w:val="6"/>
                <w:highlight w:val="none"/>
              </w:rPr>
              <w:t>数量要求</w:t>
            </w:r>
          </w:p>
        </w:tc>
      </w:tr>
      <w:tr w14:paraId="55600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290" w:type="dxa"/>
            <w:gridSpan w:val="4"/>
            <w:vAlign w:val="top"/>
          </w:tcPr>
          <w:p w14:paraId="0C13928A">
            <w:pPr>
              <w:pStyle w:val="17"/>
              <w:spacing w:before="160" w:line="216" w:lineRule="auto"/>
              <w:ind w:left="4024"/>
              <w:rPr>
                <w:color w:val="auto"/>
                <w:highlight w:val="none"/>
              </w:rPr>
            </w:pPr>
            <w:r>
              <w:rPr>
                <w:color w:val="auto"/>
                <w:spacing w:val="7"/>
                <w:highlight w:val="none"/>
              </w:rPr>
              <w:t>一、办公设备</w:t>
            </w:r>
          </w:p>
        </w:tc>
      </w:tr>
      <w:tr w14:paraId="18C97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80" w:type="dxa"/>
            <w:vAlign w:val="top"/>
          </w:tcPr>
          <w:p w14:paraId="3E24E2AF">
            <w:pPr>
              <w:pStyle w:val="17"/>
              <w:spacing w:before="161" w:line="215" w:lineRule="auto"/>
              <w:ind w:left="559"/>
              <w:rPr>
                <w:color w:val="auto"/>
                <w:highlight w:val="none"/>
              </w:rPr>
            </w:pPr>
            <w:r>
              <w:rPr>
                <w:color w:val="auto"/>
                <w:highlight w:val="none"/>
              </w:rPr>
              <w:t>1</w:t>
            </w:r>
          </w:p>
        </w:tc>
        <w:tc>
          <w:tcPr>
            <w:tcW w:w="4896" w:type="dxa"/>
            <w:vAlign w:val="top"/>
          </w:tcPr>
          <w:p w14:paraId="1E743BDD">
            <w:pPr>
              <w:pStyle w:val="17"/>
              <w:spacing w:before="161" w:line="215" w:lineRule="auto"/>
              <w:ind w:left="1943"/>
              <w:rPr>
                <w:color w:val="auto"/>
                <w:highlight w:val="none"/>
              </w:rPr>
            </w:pPr>
            <w:r>
              <w:rPr>
                <w:color w:val="auto"/>
                <w:spacing w:val="4"/>
                <w:highlight w:val="none"/>
              </w:rPr>
              <w:t>台式计算机</w:t>
            </w:r>
          </w:p>
        </w:tc>
        <w:tc>
          <w:tcPr>
            <w:tcW w:w="1050" w:type="dxa"/>
            <w:vAlign w:val="top"/>
          </w:tcPr>
          <w:p w14:paraId="0ACFE8BB">
            <w:pPr>
              <w:pStyle w:val="17"/>
              <w:spacing w:before="161" w:line="215" w:lineRule="auto"/>
              <w:ind w:left="443"/>
              <w:rPr>
                <w:color w:val="auto"/>
                <w:highlight w:val="none"/>
              </w:rPr>
            </w:pPr>
            <w:r>
              <w:rPr>
                <w:color w:val="auto"/>
                <w:highlight w:val="none"/>
              </w:rPr>
              <w:t>台</w:t>
            </w:r>
          </w:p>
        </w:tc>
        <w:tc>
          <w:tcPr>
            <w:tcW w:w="2164" w:type="dxa"/>
            <w:vAlign w:val="center"/>
          </w:tcPr>
          <w:p w14:paraId="6E077DBB">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2</w:t>
            </w:r>
          </w:p>
        </w:tc>
      </w:tr>
      <w:tr w14:paraId="540C7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80" w:type="dxa"/>
            <w:vAlign w:val="top"/>
          </w:tcPr>
          <w:p w14:paraId="2C06AE0A">
            <w:pPr>
              <w:pStyle w:val="17"/>
              <w:spacing w:before="162" w:line="214" w:lineRule="auto"/>
              <w:ind w:left="546"/>
              <w:rPr>
                <w:color w:val="auto"/>
                <w:highlight w:val="none"/>
              </w:rPr>
            </w:pPr>
            <w:r>
              <w:rPr>
                <w:color w:val="auto"/>
                <w:highlight w:val="none"/>
              </w:rPr>
              <w:t>2</w:t>
            </w:r>
          </w:p>
        </w:tc>
        <w:tc>
          <w:tcPr>
            <w:tcW w:w="4896" w:type="dxa"/>
            <w:vAlign w:val="top"/>
          </w:tcPr>
          <w:p w14:paraId="2DCA5F02">
            <w:pPr>
              <w:pStyle w:val="17"/>
              <w:spacing w:before="162" w:line="214" w:lineRule="auto"/>
              <w:ind w:left="1930"/>
              <w:rPr>
                <w:color w:val="auto"/>
                <w:highlight w:val="none"/>
              </w:rPr>
            </w:pPr>
            <w:r>
              <w:rPr>
                <w:color w:val="auto"/>
                <w:spacing w:val="7"/>
                <w:highlight w:val="none"/>
              </w:rPr>
              <w:t>笔记本电脑</w:t>
            </w:r>
          </w:p>
        </w:tc>
        <w:tc>
          <w:tcPr>
            <w:tcW w:w="1050" w:type="dxa"/>
            <w:vAlign w:val="top"/>
          </w:tcPr>
          <w:p w14:paraId="4EEF27FA">
            <w:pPr>
              <w:pStyle w:val="17"/>
              <w:spacing w:before="162" w:line="214" w:lineRule="auto"/>
              <w:ind w:left="443"/>
              <w:rPr>
                <w:color w:val="auto"/>
                <w:highlight w:val="none"/>
              </w:rPr>
            </w:pPr>
            <w:r>
              <w:rPr>
                <w:color w:val="auto"/>
                <w:highlight w:val="none"/>
              </w:rPr>
              <w:t>台</w:t>
            </w:r>
          </w:p>
        </w:tc>
        <w:tc>
          <w:tcPr>
            <w:tcW w:w="2164" w:type="dxa"/>
            <w:vAlign w:val="center"/>
          </w:tcPr>
          <w:p w14:paraId="181F7EF6">
            <w:pPr>
              <w:jc w:val="center"/>
              <w:rPr>
                <w:rFonts w:hint="eastAsia" w:ascii="Arial" w:eastAsia="宋体"/>
                <w:color w:val="auto"/>
                <w:sz w:val="21"/>
                <w:highlight w:val="none"/>
                <w:lang w:val="en-US" w:eastAsia="zh-CN"/>
              </w:rPr>
            </w:pPr>
            <w:r>
              <w:rPr>
                <w:rFonts w:hint="eastAsia" w:eastAsia="宋体"/>
                <w:color w:val="auto"/>
                <w:sz w:val="21"/>
                <w:highlight w:val="none"/>
                <w:lang w:val="en-US" w:eastAsia="zh-CN"/>
              </w:rPr>
              <w:t>1</w:t>
            </w:r>
          </w:p>
        </w:tc>
      </w:tr>
      <w:tr w14:paraId="63E27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80" w:type="dxa"/>
            <w:vAlign w:val="top"/>
          </w:tcPr>
          <w:p w14:paraId="026C48C5">
            <w:pPr>
              <w:pStyle w:val="17"/>
              <w:spacing w:before="164" w:line="212" w:lineRule="auto"/>
              <w:ind w:left="547"/>
              <w:rPr>
                <w:color w:val="auto"/>
                <w:highlight w:val="none"/>
              </w:rPr>
            </w:pPr>
            <w:r>
              <w:rPr>
                <w:color w:val="auto"/>
                <w:highlight w:val="none"/>
              </w:rPr>
              <w:t>3</w:t>
            </w:r>
          </w:p>
        </w:tc>
        <w:tc>
          <w:tcPr>
            <w:tcW w:w="4896" w:type="dxa"/>
            <w:vAlign w:val="top"/>
          </w:tcPr>
          <w:p w14:paraId="2557ECFF">
            <w:pPr>
              <w:pStyle w:val="17"/>
              <w:spacing w:before="164" w:line="212" w:lineRule="auto"/>
              <w:ind w:left="1742"/>
              <w:rPr>
                <w:color w:val="auto"/>
                <w:highlight w:val="none"/>
              </w:rPr>
            </w:pPr>
            <w:r>
              <w:rPr>
                <w:color w:val="auto"/>
                <w:spacing w:val="3"/>
                <w:highlight w:val="none"/>
              </w:rPr>
              <w:t>电话机（有线）</w:t>
            </w:r>
          </w:p>
        </w:tc>
        <w:tc>
          <w:tcPr>
            <w:tcW w:w="1050" w:type="dxa"/>
            <w:vAlign w:val="top"/>
          </w:tcPr>
          <w:p w14:paraId="55451284">
            <w:pPr>
              <w:pStyle w:val="17"/>
              <w:spacing w:before="164" w:line="212" w:lineRule="auto"/>
              <w:ind w:left="443"/>
              <w:rPr>
                <w:color w:val="auto"/>
                <w:highlight w:val="none"/>
              </w:rPr>
            </w:pPr>
            <w:r>
              <w:rPr>
                <w:color w:val="auto"/>
                <w:highlight w:val="none"/>
              </w:rPr>
              <w:t>台</w:t>
            </w:r>
          </w:p>
        </w:tc>
        <w:tc>
          <w:tcPr>
            <w:tcW w:w="2164" w:type="dxa"/>
            <w:vAlign w:val="center"/>
          </w:tcPr>
          <w:p w14:paraId="44BAEC0F">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1</w:t>
            </w:r>
          </w:p>
        </w:tc>
      </w:tr>
      <w:tr w14:paraId="6CFF2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2DA9910A">
            <w:pPr>
              <w:pStyle w:val="17"/>
              <w:spacing w:before="165" w:line="212" w:lineRule="auto"/>
              <w:ind w:left="542"/>
              <w:rPr>
                <w:color w:val="auto"/>
                <w:highlight w:val="none"/>
              </w:rPr>
            </w:pPr>
            <w:r>
              <w:rPr>
                <w:color w:val="auto"/>
                <w:highlight w:val="none"/>
              </w:rPr>
              <w:t>4</w:t>
            </w:r>
          </w:p>
        </w:tc>
        <w:tc>
          <w:tcPr>
            <w:tcW w:w="4896" w:type="dxa"/>
            <w:vAlign w:val="top"/>
          </w:tcPr>
          <w:p w14:paraId="18C545F4">
            <w:pPr>
              <w:pStyle w:val="17"/>
              <w:spacing w:before="165" w:line="212" w:lineRule="auto"/>
              <w:ind w:left="2136"/>
              <w:rPr>
                <w:color w:val="auto"/>
                <w:highlight w:val="none"/>
              </w:rPr>
            </w:pPr>
            <w:r>
              <w:rPr>
                <w:color w:val="auto"/>
                <w:spacing w:val="7"/>
                <w:highlight w:val="none"/>
              </w:rPr>
              <w:t>传真机</w:t>
            </w:r>
          </w:p>
        </w:tc>
        <w:tc>
          <w:tcPr>
            <w:tcW w:w="1050" w:type="dxa"/>
            <w:vAlign w:val="top"/>
          </w:tcPr>
          <w:p w14:paraId="400B4F89">
            <w:pPr>
              <w:pStyle w:val="17"/>
              <w:spacing w:before="165" w:line="212" w:lineRule="auto"/>
              <w:ind w:left="443"/>
              <w:rPr>
                <w:color w:val="auto"/>
                <w:highlight w:val="none"/>
              </w:rPr>
            </w:pPr>
            <w:r>
              <w:rPr>
                <w:color w:val="auto"/>
                <w:highlight w:val="none"/>
              </w:rPr>
              <w:t>台</w:t>
            </w:r>
          </w:p>
        </w:tc>
        <w:tc>
          <w:tcPr>
            <w:tcW w:w="2164" w:type="dxa"/>
            <w:vAlign w:val="center"/>
          </w:tcPr>
          <w:p w14:paraId="486B2D55">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1</w:t>
            </w:r>
          </w:p>
        </w:tc>
      </w:tr>
      <w:tr w14:paraId="298D6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7C7A15D3">
            <w:pPr>
              <w:pStyle w:val="17"/>
              <w:spacing w:before="163" w:line="214" w:lineRule="auto"/>
              <w:ind w:left="547"/>
              <w:rPr>
                <w:color w:val="auto"/>
                <w:highlight w:val="none"/>
              </w:rPr>
            </w:pPr>
            <w:r>
              <w:rPr>
                <w:color w:val="auto"/>
                <w:highlight w:val="none"/>
              </w:rPr>
              <w:t>5</w:t>
            </w:r>
          </w:p>
        </w:tc>
        <w:tc>
          <w:tcPr>
            <w:tcW w:w="4896" w:type="dxa"/>
            <w:vAlign w:val="top"/>
          </w:tcPr>
          <w:p w14:paraId="799461BE">
            <w:pPr>
              <w:pStyle w:val="17"/>
              <w:spacing w:before="163" w:line="214" w:lineRule="auto"/>
              <w:ind w:left="1925"/>
              <w:rPr>
                <w:color w:val="auto"/>
                <w:highlight w:val="none"/>
              </w:rPr>
            </w:pPr>
            <w:r>
              <w:rPr>
                <w:color w:val="auto"/>
                <w:spacing w:val="8"/>
                <w:highlight w:val="none"/>
              </w:rPr>
              <w:t>激光打印机</w:t>
            </w:r>
          </w:p>
        </w:tc>
        <w:tc>
          <w:tcPr>
            <w:tcW w:w="1050" w:type="dxa"/>
            <w:vAlign w:val="top"/>
          </w:tcPr>
          <w:p w14:paraId="3A49E9D3">
            <w:pPr>
              <w:pStyle w:val="17"/>
              <w:spacing w:before="163" w:line="214" w:lineRule="auto"/>
              <w:ind w:left="443"/>
              <w:rPr>
                <w:color w:val="auto"/>
                <w:highlight w:val="none"/>
              </w:rPr>
            </w:pPr>
            <w:r>
              <w:rPr>
                <w:color w:val="auto"/>
                <w:highlight w:val="none"/>
              </w:rPr>
              <w:t>台</w:t>
            </w:r>
          </w:p>
        </w:tc>
        <w:tc>
          <w:tcPr>
            <w:tcW w:w="2164" w:type="dxa"/>
            <w:vAlign w:val="center"/>
          </w:tcPr>
          <w:p w14:paraId="1128B678">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1</w:t>
            </w:r>
          </w:p>
        </w:tc>
      </w:tr>
      <w:tr w14:paraId="00934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07C4B643">
            <w:pPr>
              <w:pStyle w:val="17"/>
              <w:spacing w:before="164" w:line="213" w:lineRule="auto"/>
              <w:ind w:left="545"/>
              <w:rPr>
                <w:color w:val="auto"/>
                <w:highlight w:val="none"/>
              </w:rPr>
            </w:pPr>
            <w:r>
              <w:rPr>
                <w:color w:val="auto"/>
                <w:highlight w:val="none"/>
              </w:rPr>
              <w:t>6</w:t>
            </w:r>
          </w:p>
        </w:tc>
        <w:tc>
          <w:tcPr>
            <w:tcW w:w="4896" w:type="dxa"/>
            <w:vAlign w:val="top"/>
          </w:tcPr>
          <w:p w14:paraId="1B13EA09">
            <w:pPr>
              <w:pStyle w:val="17"/>
              <w:spacing w:before="164" w:line="213" w:lineRule="auto"/>
              <w:ind w:left="1272"/>
              <w:rPr>
                <w:color w:val="auto"/>
                <w:highlight w:val="none"/>
              </w:rPr>
            </w:pPr>
            <w:r>
              <w:rPr>
                <w:color w:val="auto"/>
                <w:spacing w:val="7"/>
                <w:highlight w:val="none"/>
              </w:rPr>
              <w:t>彩色扫描仪（可扫描</w:t>
            </w:r>
            <w:r>
              <w:rPr>
                <w:color w:val="auto"/>
                <w:spacing w:val="-43"/>
                <w:highlight w:val="none"/>
              </w:rPr>
              <w:t xml:space="preserve"> </w:t>
            </w:r>
            <w:r>
              <w:rPr>
                <w:color w:val="auto"/>
                <w:spacing w:val="7"/>
                <w:highlight w:val="none"/>
              </w:rPr>
              <w:t>A3）</w:t>
            </w:r>
          </w:p>
        </w:tc>
        <w:tc>
          <w:tcPr>
            <w:tcW w:w="1050" w:type="dxa"/>
            <w:vAlign w:val="top"/>
          </w:tcPr>
          <w:p w14:paraId="4A98A132">
            <w:pPr>
              <w:pStyle w:val="17"/>
              <w:spacing w:before="164" w:line="213" w:lineRule="auto"/>
              <w:ind w:left="443"/>
              <w:rPr>
                <w:color w:val="auto"/>
                <w:highlight w:val="none"/>
              </w:rPr>
            </w:pPr>
            <w:r>
              <w:rPr>
                <w:color w:val="auto"/>
                <w:highlight w:val="none"/>
              </w:rPr>
              <w:t>台</w:t>
            </w:r>
          </w:p>
        </w:tc>
        <w:tc>
          <w:tcPr>
            <w:tcW w:w="2164" w:type="dxa"/>
            <w:vAlign w:val="center"/>
          </w:tcPr>
          <w:p w14:paraId="5DBD8B89">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1</w:t>
            </w:r>
          </w:p>
        </w:tc>
      </w:tr>
      <w:tr w14:paraId="1ADB5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4DE108D7">
            <w:pPr>
              <w:pStyle w:val="17"/>
              <w:spacing w:before="164" w:line="213" w:lineRule="auto"/>
              <w:ind w:left="548"/>
              <w:rPr>
                <w:color w:val="auto"/>
                <w:highlight w:val="none"/>
              </w:rPr>
            </w:pPr>
            <w:r>
              <w:rPr>
                <w:color w:val="auto"/>
                <w:highlight w:val="none"/>
              </w:rPr>
              <w:t>7</w:t>
            </w:r>
          </w:p>
        </w:tc>
        <w:tc>
          <w:tcPr>
            <w:tcW w:w="4896" w:type="dxa"/>
            <w:vAlign w:val="top"/>
          </w:tcPr>
          <w:p w14:paraId="408FB7DE">
            <w:pPr>
              <w:pStyle w:val="17"/>
              <w:spacing w:before="164" w:line="213" w:lineRule="auto"/>
              <w:ind w:left="1928"/>
              <w:rPr>
                <w:color w:val="auto"/>
                <w:highlight w:val="none"/>
              </w:rPr>
            </w:pPr>
            <w:r>
              <w:rPr>
                <w:color w:val="auto"/>
                <w:spacing w:val="7"/>
                <w:highlight w:val="none"/>
              </w:rPr>
              <w:t>数码摄像机</w:t>
            </w:r>
          </w:p>
        </w:tc>
        <w:tc>
          <w:tcPr>
            <w:tcW w:w="1050" w:type="dxa"/>
            <w:vAlign w:val="top"/>
          </w:tcPr>
          <w:p w14:paraId="443406E9">
            <w:pPr>
              <w:pStyle w:val="17"/>
              <w:spacing w:before="164" w:line="213" w:lineRule="auto"/>
              <w:ind w:left="443"/>
              <w:rPr>
                <w:color w:val="auto"/>
                <w:highlight w:val="none"/>
              </w:rPr>
            </w:pPr>
            <w:r>
              <w:rPr>
                <w:color w:val="auto"/>
                <w:highlight w:val="none"/>
              </w:rPr>
              <w:t>台</w:t>
            </w:r>
          </w:p>
        </w:tc>
        <w:tc>
          <w:tcPr>
            <w:tcW w:w="2164" w:type="dxa"/>
            <w:vAlign w:val="center"/>
          </w:tcPr>
          <w:p w14:paraId="012AC53F">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1</w:t>
            </w:r>
          </w:p>
        </w:tc>
      </w:tr>
      <w:tr w14:paraId="7BF59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3508EC7D">
            <w:pPr>
              <w:pStyle w:val="17"/>
              <w:spacing w:before="164" w:line="213" w:lineRule="auto"/>
              <w:ind w:left="544"/>
              <w:rPr>
                <w:color w:val="auto"/>
                <w:highlight w:val="none"/>
              </w:rPr>
            </w:pPr>
            <w:r>
              <w:rPr>
                <w:color w:val="auto"/>
                <w:highlight w:val="none"/>
              </w:rPr>
              <w:t>8</w:t>
            </w:r>
          </w:p>
        </w:tc>
        <w:tc>
          <w:tcPr>
            <w:tcW w:w="4896" w:type="dxa"/>
            <w:vAlign w:val="top"/>
          </w:tcPr>
          <w:p w14:paraId="3AF53844">
            <w:pPr>
              <w:pStyle w:val="17"/>
              <w:spacing w:before="164" w:line="213" w:lineRule="auto"/>
              <w:ind w:left="1064"/>
              <w:rPr>
                <w:color w:val="auto"/>
                <w:highlight w:val="none"/>
              </w:rPr>
            </w:pPr>
            <w:r>
              <w:rPr>
                <w:color w:val="auto"/>
                <w:spacing w:val="6"/>
                <w:highlight w:val="none"/>
              </w:rPr>
              <w:t>数码相机（1200</w:t>
            </w:r>
            <w:r>
              <w:rPr>
                <w:color w:val="auto"/>
                <w:spacing w:val="-31"/>
                <w:highlight w:val="none"/>
              </w:rPr>
              <w:t xml:space="preserve"> </w:t>
            </w:r>
            <w:r>
              <w:rPr>
                <w:color w:val="auto"/>
                <w:spacing w:val="6"/>
                <w:highlight w:val="none"/>
              </w:rPr>
              <w:t>万像素以上）</w:t>
            </w:r>
          </w:p>
        </w:tc>
        <w:tc>
          <w:tcPr>
            <w:tcW w:w="1050" w:type="dxa"/>
            <w:vAlign w:val="top"/>
          </w:tcPr>
          <w:p w14:paraId="3B7B8A08">
            <w:pPr>
              <w:pStyle w:val="17"/>
              <w:spacing w:before="164" w:line="213" w:lineRule="auto"/>
              <w:ind w:left="443"/>
              <w:rPr>
                <w:color w:val="auto"/>
                <w:highlight w:val="none"/>
              </w:rPr>
            </w:pPr>
            <w:r>
              <w:rPr>
                <w:color w:val="auto"/>
                <w:highlight w:val="none"/>
              </w:rPr>
              <w:t>台</w:t>
            </w:r>
          </w:p>
        </w:tc>
        <w:tc>
          <w:tcPr>
            <w:tcW w:w="2164" w:type="dxa"/>
            <w:vAlign w:val="center"/>
          </w:tcPr>
          <w:p w14:paraId="7BDA4DEE">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1</w:t>
            </w:r>
          </w:p>
        </w:tc>
      </w:tr>
      <w:tr w14:paraId="7F0C8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786E0BD2">
            <w:pPr>
              <w:pStyle w:val="17"/>
              <w:spacing w:before="165" w:line="212" w:lineRule="auto"/>
              <w:ind w:left="544"/>
              <w:rPr>
                <w:color w:val="auto"/>
                <w:highlight w:val="none"/>
              </w:rPr>
            </w:pPr>
            <w:r>
              <w:rPr>
                <w:color w:val="auto"/>
                <w:highlight w:val="none"/>
              </w:rPr>
              <w:t>9</w:t>
            </w:r>
          </w:p>
        </w:tc>
        <w:tc>
          <w:tcPr>
            <w:tcW w:w="4896" w:type="dxa"/>
            <w:vAlign w:val="top"/>
          </w:tcPr>
          <w:p w14:paraId="0C6BAEC4">
            <w:pPr>
              <w:pStyle w:val="17"/>
              <w:spacing w:before="165" w:line="212" w:lineRule="auto"/>
              <w:ind w:left="1488"/>
              <w:rPr>
                <w:color w:val="auto"/>
                <w:highlight w:val="none"/>
              </w:rPr>
            </w:pPr>
            <w:r>
              <w:rPr>
                <w:color w:val="auto"/>
                <w:spacing w:val="11"/>
                <w:highlight w:val="none"/>
              </w:rPr>
              <w:t>复印机（可复印A3）</w:t>
            </w:r>
          </w:p>
        </w:tc>
        <w:tc>
          <w:tcPr>
            <w:tcW w:w="1050" w:type="dxa"/>
            <w:vAlign w:val="top"/>
          </w:tcPr>
          <w:p w14:paraId="10073144">
            <w:pPr>
              <w:pStyle w:val="17"/>
              <w:spacing w:before="165" w:line="212" w:lineRule="auto"/>
              <w:ind w:left="443"/>
              <w:rPr>
                <w:color w:val="auto"/>
                <w:highlight w:val="none"/>
              </w:rPr>
            </w:pPr>
            <w:r>
              <w:rPr>
                <w:color w:val="auto"/>
                <w:highlight w:val="none"/>
              </w:rPr>
              <w:t>台</w:t>
            </w:r>
          </w:p>
        </w:tc>
        <w:tc>
          <w:tcPr>
            <w:tcW w:w="2164" w:type="dxa"/>
            <w:vAlign w:val="center"/>
          </w:tcPr>
          <w:p w14:paraId="66C3B497">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1</w:t>
            </w:r>
          </w:p>
        </w:tc>
      </w:tr>
      <w:tr w14:paraId="7AD01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90" w:type="dxa"/>
            <w:gridSpan w:val="4"/>
            <w:vAlign w:val="top"/>
          </w:tcPr>
          <w:p w14:paraId="729D00E8">
            <w:pPr>
              <w:pStyle w:val="17"/>
              <w:spacing w:before="165" w:line="212" w:lineRule="auto"/>
              <w:ind w:left="4024"/>
              <w:rPr>
                <w:color w:val="auto"/>
                <w:highlight w:val="none"/>
              </w:rPr>
            </w:pPr>
            <w:r>
              <w:rPr>
                <w:color w:val="auto"/>
                <w:spacing w:val="7"/>
                <w:highlight w:val="none"/>
              </w:rPr>
              <w:t>二、交通设施</w:t>
            </w:r>
          </w:p>
        </w:tc>
      </w:tr>
      <w:tr w14:paraId="26EEF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570BFA93">
            <w:pPr>
              <w:pStyle w:val="17"/>
              <w:spacing w:before="163" w:line="214" w:lineRule="auto"/>
              <w:ind w:left="559"/>
              <w:rPr>
                <w:color w:val="auto"/>
                <w:highlight w:val="none"/>
              </w:rPr>
            </w:pPr>
            <w:r>
              <w:rPr>
                <w:color w:val="auto"/>
                <w:highlight w:val="none"/>
              </w:rPr>
              <w:t>1</w:t>
            </w:r>
          </w:p>
        </w:tc>
        <w:tc>
          <w:tcPr>
            <w:tcW w:w="4896" w:type="dxa"/>
            <w:vAlign w:val="top"/>
          </w:tcPr>
          <w:p w14:paraId="1985E219">
            <w:pPr>
              <w:pStyle w:val="17"/>
              <w:spacing w:before="163" w:line="214" w:lineRule="auto"/>
              <w:ind w:left="370"/>
              <w:rPr>
                <w:color w:val="auto"/>
                <w:highlight w:val="none"/>
              </w:rPr>
            </w:pPr>
            <w:r>
              <w:rPr>
                <w:color w:val="auto"/>
                <w:spacing w:val="4"/>
                <w:highlight w:val="none"/>
              </w:rPr>
              <w:t>交通车辆（4驱越野车（行驶里程＜15万</w:t>
            </w:r>
            <w:r>
              <w:rPr>
                <w:color w:val="auto"/>
                <w:highlight w:val="none"/>
              </w:rPr>
              <w:t>km</w:t>
            </w:r>
            <w:r>
              <w:rPr>
                <w:color w:val="auto"/>
                <w:spacing w:val="1"/>
                <w:highlight w:val="none"/>
              </w:rPr>
              <w:t>））</w:t>
            </w:r>
          </w:p>
        </w:tc>
        <w:tc>
          <w:tcPr>
            <w:tcW w:w="1050" w:type="dxa"/>
            <w:vAlign w:val="top"/>
          </w:tcPr>
          <w:p w14:paraId="162393F8">
            <w:pPr>
              <w:pStyle w:val="17"/>
              <w:spacing w:before="163" w:line="214" w:lineRule="auto"/>
              <w:ind w:left="425"/>
              <w:rPr>
                <w:color w:val="auto"/>
                <w:highlight w:val="none"/>
              </w:rPr>
            </w:pPr>
            <w:r>
              <w:rPr>
                <w:color w:val="auto"/>
                <w:spacing w:val="1"/>
                <w:highlight w:val="none"/>
              </w:rPr>
              <w:t>辆</w:t>
            </w:r>
          </w:p>
        </w:tc>
        <w:tc>
          <w:tcPr>
            <w:tcW w:w="2164" w:type="dxa"/>
            <w:vAlign w:val="center"/>
          </w:tcPr>
          <w:p w14:paraId="1F6CBF3B">
            <w:pPr>
              <w:jc w:val="center"/>
              <w:rPr>
                <w:rFonts w:hint="eastAsia" w:ascii="Arial" w:eastAsia="宋体"/>
                <w:color w:val="auto"/>
                <w:sz w:val="21"/>
                <w:highlight w:val="none"/>
                <w:lang w:val="en-US" w:eastAsia="zh-CN"/>
              </w:rPr>
            </w:pPr>
            <w:r>
              <w:rPr>
                <w:rFonts w:hint="eastAsia" w:ascii="宋体" w:hAnsi="宋体" w:eastAsia="宋体" w:cs="宋体"/>
                <w:color w:val="auto"/>
                <w:sz w:val="24"/>
                <w:szCs w:val="24"/>
                <w:highlight w:val="none"/>
              </w:rPr>
              <w:t>1</w:t>
            </w:r>
          </w:p>
        </w:tc>
      </w:tr>
      <w:tr w14:paraId="3FD00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3A0E308F">
            <w:pPr>
              <w:pStyle w:val="17"/>
              <w:spacing w:before="164" w:line="213" w:lineRule="auto"/>
              <w:ind w:left="546"/>
              <w:rPr>
                <w:color w:val="auto"/>
                <w:highlight w:val="none"/>
              </w:rPr>
            </w:pPr>
            <w:r>
              <w:rPr>
                <w:color w:val="auto"/>
                <w:highlight w:val="none"/>
              </w:rPr>
              <w:t>2</w:t>
            </w:r>
          </w:p>
        </w:tc>
        <w:tc>
          <w:tcPr>
            <w:tcW w:w="4896" w:type="dxa"/>
            <w:vAlign w:val="top"/>
          </w:tcPr>
          <w:p w14:paraId="0FCDF16B">
            <w:pPr>
              <w:pStyle w:val="17"/>
              <w:spacing w:before="164" w:line="213" w:lineRule="auto"/>
              <w:ind w:left="1926"/>
              <w:rPr>
                <w:color w:val="auto"/>
                <w:highlight w:val="none"/>
              </w:rPr>
            </w:pPr>
            <w:r>
              <w:rPr>
                <w:color w:val="auto"/>
                <w:spacing w:val="8"/>
                <w:highlight w:val="none"/>
              </w:rPr>
              <w:t>双排人货车</w:t>
            </w:r>
          </w:p>
        </w:tc>
        <w:tc>
          <w:tcPr>
            <w:tcW w:w="1050" w:type="dxa"/>
            <w:vAlign w:val="top"/>
          </w:tcPr>
          <w:p w14:paraId="256B84A9">
            <w:pPr>
              <w:pStyle w:val="17"/>
              <w:spacing w:before="164" w:line="213" w:lineRule="auto"/>
              <w:ind w:left="425"/>
              <w:rPr>
                <w:color w:val="auto"/>
                <w:highlight w:val="none"/>
              </w:rPr>
            </w:pPr>
            <w:r>
              <w:rPr>
                <w:color w:val="auto"/>
                <w:spacing w:val="1"/>
                <w:highlight w:val="none"/>
              </w:rPr>
              <w:t>辆</w:t>
            </w:r>
          </w:p>
        </w:tc>
        <w:tc>
          <w:tcPr>
            <w:tcW w:w="2164" w:type="dxa"/>
            <w:vAlign w:val="center"/>
          </w:tcPr>
          <w:p w14:paraId="0ADD5C40">
            <w:pPr>
              <w:jc w:val="center"/>
              <w:rPr>
                <w:rFonts w:hint="eastAsia" w:ascii="Arial" w:eastAsia="宋体"/>
                <w:color w:val="auto"/>
                <w:sz w:val="21"/>
                <w:highlight w:val="none"/>
                <w:lang w:val="en-US" w:eastAsia="zh-CN"/>
              </w:rPr>
            </w:pPr>
            <w:r>
              <w:rPr>
                <w:rFonts w:hint="eastAsia" w:ascii="宋体" w:hAnsi="宋体" w:eastAsia="宋体" w:cs="宋体"/>
                <w:color w:val="auto"/>
                <w:sz w:val="24"/>
                <w:szCs w:val="24"/>
                <w:highlight w:val="none"/>
              </w:rPr>
              <w:t>1</w:t>
            </w:r>
          </w:p>
        </w:tc>
      </w:tr>
      <w:tr w14:paraId="1DC5E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90" w:type="dxa"/>
            <w:gridSpan w:val="4"/>
            <w:vAlign w:val="top"/>
          </w:tcPr>
          <w:p w14:paraId="1206A306">
            <w:pPr>
              <w:pStyle w:val="17"/>
              <w:spacing w:before="164" w:line="213" w:lineRule="auto"/>
              <w:ind w:left="3706"/>
              <w:rPr>
                <w:color w:val="auto"/>
                <w:highlight w:val="none"/>
              </w:rPr>
            </w:pPr>
            <w:r>
              <w:rPr>
                <w:color w:val="auto"/>
                <w:spacing w:val="8"/>
                <w:highlight w:val="none"/>
              </w:rPr>
              <w:t>三、办公、生活设施</w:t>
            </w:r>
          </w:p>
        </w:tc>
      </w:tr>
      <w:tr w14:paraId="5A669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2DB04329">
            <w:pPr>
              <w:pStyle w:val="17"/>
              <w:spacing w:before="164" w:line="213" w:lineRule="auto"/>
              <w:ind w:left="559"/>
              <w:rPr>
                <w:color w:val="auto"/>
                <w:highlight w:val="none"/>
              </w:rPr>
            </w:pPr>
            <w:r>
              <w:rPr>
                <w:color w:val="auto"/>
                <w:highlight w:val="none"/>
              </w:rPr>
              <w:t>1</w:t>
            </w:r>
          </w:p>
        </w:tc>
        <w:tc>
          <w:tcPr>
            <w:tcW w:w="4896" w:type="dxa"/>
            <w:vAlign w:val="top"/>
          </w:tcPr>
          <w:p w14:paraId="4A7CFFC6">
            <w:pPr>
              <w:pStyle w:val="17"/>
              <w:spacing w:before="164" w:line="213" w:lineRule="auto"/>
              <w:ind w:left="2137"/>
              <w:rPr>
                <w:color w:val="auto"/>
                <w:highlight w:val="none"/>
              </w:rPr>
            </w:pPr>
            <w:r>
              <w:rPr>
                <w:color w:val="auto"/>
                <w:spacing w:val="7"/>
                <w:highlight w:val="none"/>
              </w:rPr>
              <w:t>会议室</w:t>
            </w:r>
          </w:p>
        </w:tc>
        <w:tc>
          <w:tcPr>
            <w:tcW w:w="1050" w:type="dxa"/>
            <w:vAlign w:val="top"/>
          </w:tcPr>
          <w:p w14:paraId="1BDF4271">
            <w:pPr>
              <w:pStyle w:val="17"/>
              <w:spacing w:before="148" w:line="228" w:lineRule="auto"/>
              <w:ind w:left="447"/>
              <w:rPr>
                <w:color w:val="auto"/>
                <w:sz w:val="10"/>
                <w:szCs w:val="10"/>
                <w:highlight w:val="none"/>
              </w:rPr>
            </w:pPr>
            <w:r>
              <w:rPr>
                <w:color w:val="auto"/>
                <w:spacing w:val="3"/>
                <w:position w:val="-2"/>
                <w:highlight w:val="none"/>
              </w:rPr>
              <w:t>m</w:t>
            </w:r>
            <w:r>
              <w:rPr>
                <w:color w:val="auto"/>
                <w:spacing w:val="3"/>
                <w:position w:val="8"/>
                <w:sz w:val="10"/>
                <w:szCs w:val="10"/>
                <w:highlight w:val="none"/>
              </w:rPr>
              <w:t>2</w:t>
            </w:r>
          </w:p>
        </w:tc>
        <w:tc>
          <w:tcPr>
            <w:tcW w:w="2164" w:type="dxa"/>
            <w:vAlign w:val="center"/>
          </w:tcPr>
          <w:p w14:paraId="028E9C36">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≥50</w:t>
            </w:r>
          </w:p>
        </w:tc>
      </w:tr>
      <w:tr w14:paraId="6E401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0" w:type="dxa"/>
            <w:vAlign w:val="top"/>
          </w:tcPr>
          <w:p w14:paraId="57B3DAE1">
            <w:pPr>
              <w:pStyle w:val="17"/>
              <w:spacing w:before="165" w:line="212" w:lineRule="auto"/>
              <w:ind w:left="546"/>
              <w:rPr>
                <w:color w:val="auto"/>
                <w:highlight w:val="none"/>
              </w:rPr>
            </w:pPr>
            <w:r>
              <w:rPr>
                <w:color w:val="auto"/>
                <w:highlight w:val="none"/>
              </w:rPr>
              <w:t>2</w:t>
            </w:r>
          </w:p>
        </w:tc>
        <w:tc>
          <w:tcPr>
            <w:tcW w:w="4896" w:type="dxa"/>
            <w:vAlign w:val="top"/>
          </w:tcPr>
          <w:p w14:paraId="09917005">
            <w:pPr>
              <w:pStyle w:val="17"/>
              <w:spacing w:before="165" w:line="212" w:lineRule="auto"/>
              <w:ind w:left="1929"/>
              <w:rPr>
                <w:color w:val="auto"/>
                <w:highlight w:val="none"/>
              </w:rPr>
            </w:pPr>
            <w:r>
              <w:rPr>
                <w:color w:val="auto"/>
                <w:spacing w:val="7"/>
                <w:highlight w:val="none"/>
              </w:rPr>
              <w:t>综合办公室</w:t>
            </w:r>
          </w:p>
        </w:tc>
        <w:tc>
          <w:tcPr>
            <w:tcW w:w="1050" w:type="dxa"/>
            <w:vAlign w:val="top"/>
          </w:tcPr>
          <w:p w14:paraId="5EFCBFF4">
            <w:pPr>
              <w:pStyle w:val="17"/>
              <w:spacing w:before="148" w:line="228" w:lineRule="auto"/>
              <w:ind w:left="447"/>
              <w:rPr>
                <w:color w:val="auto"/>
                <w:sz w:val="10"/>
                <w:szCs w:val="10"/>
                <w:highlight w:val="none"/>
              </w:rPr>
            </w:pPr>
            <w:r>
              <w:rPr>
                <w:color w:val="auto"/>
                <w:spacing w:val="3"/>
                <w:position w:val="-2"/>
                <w:highlight w:val="none"/>
              </w:rPr>
              <w:t>m</w:t>
            </w:r>
            <w:r>
              <w:rPr>
                <w:color w:val="auto"/>
                <w:spacing w:val="3"/>
                <w:position w:val="8"/>
                <w:sz w:val="10"/>
                <w:szCs w:val="10"/>
                <w:highlight w:val="none"/>
              </w:rPr>
              <w:t>2</w:t>
            </w:r>
          </w:p>
        </w:tc>
        <w:tc>
          <w:tcPr>
            <w:tcW w:w="2164" w:type="dxa"/>
            <w:vAlign w:val="center"/>
          </w:tcPr>
          <w:p w14:paraId="3B88FE89">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≥6</w:t>
            </w:r>
          </w:p>
        </w:tc>
      </w:tr>
      <w:tr w14:paraId="7498B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80" w:type="dxa"/>
            <w:vAlign w:val="top"/>
          </w:tcPr>
          <w:p w14:paraId="16D06613">
            <w:pPr>
              <w:pStyle w:val="17"/>
              <w:spacing w:before="165" w:line="216" w:lineRule="auto"/>
              <w:ind w:left="547"/>
              <w:rPr>
                <w:color w:val="auto"/>
                <w:highlight w:val="none"/>
              </w:rPr>
            </w:pPr>
            <w:r>
              <w:rPr>
                <w:color w:val="auto"/>
                <w:highlight w:val="none"/>
              </w:rPr>
              <w:t>3</w:t>
            </w:r>
          </w:p>
        </w:tc>
        <w:tc>
          <w:tcPr>
            <w:tcW w:w="4896" w:type="dxa"/>
            <w:vAlign w:val="top"/>
          </w:tcPr>
          <w:p w14:paraId="21885D1A">
            <w:pPr>
              <w:pStyle w:val="17"/>
              <w:spacing w:before="165" w:line="216" w:lineRule="auto"/>
              <w:ind w:left="2138"/>
              <w:rPr>
                <w:color w:val="auto"/>
                <w:highlight w:val="none"/>
              </w:rPr>
            </w:pPr>
            <w:r>
              <w:rPr>
                <w:color w:val="auto"/>
                <w:spacing w:val="6"/>
                <w:highlight w:val="none"/>
              </w:rPr>
              <w:t>档案室</w:t>
            </w:r>
          </w:p>
        </w:tc>
        <w:tc>
          <w:tcPr>
            <w:tcW w:w="1050" w:type="dxa"/>
            <w:vAlign w:val="top"/>
          </w:tcPr>
          <w:p w14:paraId="141FF11C">
            <w:pPr>
              <w:pStyle w:val="17"/>
              <w:spacing w:before="148" w:line="231" w:lineRule="auto"/>
              <w:ind w:left="447"/>
              <w:rPr>
                <w:color w:val="auto"/>
                <w:sz w:val="10"/>
                <w:szCs w:val="10"/>
                <w:highlight w:val="none"/>
              </w:rPr>
            </w:pPr>
            <w:r>
              <w:rPr>
                <w:color w:val="auto"/>
                <w:spacing w:val="3"/>
                <w:position w:val="-2"/>
                <w:highlight w:val="none"/>
              </w:rPr>
              <w:t>m</w:t>
            </w:r>
            <w:r>
              <w:rPr>
                <w:color w:val="auto"/>
                <w:spacing w:val="3"/>
                <w:position w:val="8"/>
                <w:sz w:val="10"/>
                <w:szCs w:val="10"/>
                <w:highlight w:val="none"/>
              </w:rPr>
              <w:t>2</w:t>
            </w:r>
          </w:p>
        </w:tc>
        <w:tc>
          <w:tcPr>
            <w:tcW w:w="2164" w:type="dxa"/>
            <w:vAlign w:val="center"/>
          </w:tcPr>
          <w:p w14:paraId="5C541E35">
            <w:pPr>
              <w:keepNext w:val="0"/>
              <w:keepLines w:val="0"/>
              <w:bidi w:val="0"/>
              <w:jc w:val="center"/>
              <w:rPr>
                <w:rFonts w:ascii="Arial"/>
                <w:color w:val="auto"/>
                <w:sz w:val="21"/>
                <w:highlight w:val="none"/>
              </w:rPr>
            </w:pPr>
            <w:r>
              <w:rPr>
                <w:rFonts w:hint="eastAsia" w:ascii="宋体" w:hAnsi="宋体" w:eastAsia="宋体" w:cs="宋体"/>
                <w:color w:val="auto"/>
                <w:sz w:val="24"/>
                <w:szCs w:val="24"/>
                <w:highlight w:val="none"/>
              </w:rPr>
              <w:t>≥20</w:t>
            </w:r>
          </w:p>
        </w:tc>
      </w:tr>
    </w:tbl>
    <w:p w14:paraId="20B3BD9B">
      <w:pPr>
        <w:spacing w:before="31" w:line="232" w:lineRule="auto"/>
        <w:ind w:left="118"/>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6131F7C1">
      <w:pPr>
        <w:spacing w:before="19" w:line="227" w:lineRule="auto"/>
        <w:ind w:left="55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1、本表数量为最低要求，办公生活用房应执行省交通运输厅对高速公路标准化管理的规定。</w:t>
      </w:r>
    </w:p>
    <w:p w14:paraId="22D3DCB9">
      <w:pPr>
        <w:spacing w:before="27" w:line="227" w:lineRule="auto"/>
        <w:ind w:left="54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2、监理驻地需与网络连接，充分考虑可视化管理的手段，网络流量达</w:t>
      </w:r>
      <w:r>
        <w:rPr>
          <w:rFonts w:ascii="宋体" w:hAnsi="宋体" w:eastAsia="宋体" w:cs="宋体"/>
          <w:color w:val="auto"/>
          <w:spacing w:val="-11"/>
          <w:sz w:val="20"/>
          <w:szCs w:val="20"/>
          <w:highlight w:val="none"/>
        </w:rPr>
        <w:t xml:space="preserve"> </w:t>
      </w:r>
      <w:r>
        <w:rPr>
          <w:rFonts w:ascii="宋体" w:hAnsi="宋体" w:eastAsia="宋体" w:cs="宋体"/>
          <w:color w:val="auto"/>
          <w:spacing w:val="7"/>
          <w:sz w:val="20"/>
          <w:szCs w:val="20"/>
          <w:highlight w:val="none"/>
        </w:rPr>
        <w:t>10M</w:t>
      </w:r>
      <w:r>
        <w:rPr>
          <w:rFonts w:ascii="宋体" w:hAnsi="宋体" w:eastAsia="宋体" w:cs="宋体"/>
          <w:color w:val="auto"/>
          <w:spacing w:val="-17"/>
          <w:sz w:val="20"/>
          <w:szCs w:val="20"/>
          <w:highlight w:val="none"/>
        </w:rPr>
        <w:t xml:space="preserve"> </w:t>
      </w:r>
      <w:r>
        <w:rPr>
          <w:rFonts w:ascii="宋体" w:hAnsi="宋体" w:eastAsia="宋体" w:cs="宋体"/>
          <w:color w:val="auto"/>
          <w:spacing w:val="7"/>
          <w:sz w:val="20"/>
          <w:szCs w:val="20"/>
          <w:highlight w:val="none"/>
        </w:rPr>
        <w:t>以上。</w:t>
      </w:r>
    </w:p>
    <w:p w14:paraId="3F70B4A1">
      <w:pPr>
        <w:spacing w:line="253" w:lineRule="auto"/>
        <w:rPr>
          <w:rFonts w:ascii="Arial"/>
          <w:color w:val="auto"/>
          <w:sz w:val="21"/>
          <w:highlight w:val="none"/>
        </w:rPr>
      </w:pPr>
    </w:p>
    <w:p w14:paraId="189D5338">
      <w:pPr>
        <w:spacing w:line="254" w:lineRule="auto"/>
        <w:rPr>
          <w:rFonts w:ascii="Arial"/>
          <w:color w:val="auto"/>
          <w:sz w:val="21"/>
          <w:highlight w:val="none"/>
        </w:rPr>
      </w:pPr>
    </w:p>
    <w:p w14:paraId="2C30521A">
      <w:pPr>
        <w:spacing w:line="254" w:lineRule="auto"/>
        <w:rPr>
          <w:rFonts w:ascii="Arial"/>
          <w:color w:val="auto"/>
          <w:sz w:val="21"/>
          <w:highlight w:val="none"/>
        </w:rPr>
      </w:pPr>
    </w:p>
    <w:p w14:paraId="518BB642">
      <w:pPr>
        <w:spacing w:line="254" w:lineRule="auto"/>
        <w:rPr>
          <w:rFonts w:ascii="Arial"/>
          <w:color w:val="auto"/>
          <w:sz w:val="21"/>
          <w:highlight w:val="none"/>
        </w:rPr>
      </w:pPr>
    </w:p>
    <w:p w14:paraId="138DFA23">
      <w:pPr>
        <w:spacing w:line="254" w:lineRule="auto"/>
        <w:rPr>
          <w:rFonts w:ascii="Arial"/>
          <w:color w:val="auto"/>
          <w:sz w:val="21"/>
          <w:highlight w:val="none"/>
        </w:rPr>
      </w:pPr>
    </w:p>
    <w:p w14:paraId="7F9831E9">
      <w:pPr>
        <w:spacing w:line="254" w:lineRule="auto"/>
        <w:rPr>
          <w:rFonts w:ascii="Arial"/>
          <w:color w:val="auto"/>
          <w:sz w:val="21"/>
          <w:highlight w:val="none"/>
        </w:rPr>
      </w:pPr>
    </w:p>
    <w:p w14:paraId="2B1EAB98">
      <w:pPr>
        <w:spacing w:line="254" w:lineRule="auto"/>
        <w:rPr>
          <w:rFonts w:ascii="Arial"/>
          <w:color w:val="auto"/>
          <w:sz w:val="21"/>
          <w:highlight w:val="none"/>
        </w:rPr>
      </w:pPr>
    </w:p>
    <w:p w14:paraId="729AA6BF">
      <w:pPr>
        <w:spacing w:line="254" w:lineRule="auto"/>
        <w:rPr>
          <w:rFonts w:ascii="Arial"/>
          <w:color w:val="auto"/>
          <w:sz w:val="21"/>
          <w:highlight w:val="none"/>
        </w:rPr>
      </w:pPr>
    </w:p>
    <w:p w14:paraId="736D2885">
      <w:pPr>
        <w:spacing w:line="254" w:lineRule="auto"/>
        <w:rPr>
          <w:rFonts w:ascii="Arial"/>
          <w:color w:val="auto"/>
          <w:sz w:val="21"/>
          <w:highlight w:val="none"/>
        </w:rPr>
      </w:pPr>
    </w:p>
    <w:p w14:paraId="77AAADCF">
      <w:pPr>
        <w:spacing w:line="254" w:lineRule="auto"/>
        <w:rPr>
          <w:rFonts w:ascii="Arial"/>
          <w:color w:val="auto"/>
          <w:sz w:val="21"/>
          <w:highlight w:val="none"/>
        </w:rPr>
      </w:pPr>
    </w:p>
    <w:p w14:paraId="6E8E862E">
      <w:pPr>
        <w:spacing w:line="254" w:lineRule="auto"/>
        <w:rPr>
          <w:rFonts w:ascii="Arial"/>
          <w:color w:val="auto"/>
          <w:sz w:val="21"/>
          <w:highlight w:val="none"/>
        </w:rPr>
      </w:pPr>
    </w:p>
    <w:p w14:paraId="2E5DB1DB">
      <w:pPr>
        <w:spacing w:line="254" w:lineRule="auto"/>
        <w:rPr>
          <w:rFonts w:ascii="Arial"/>
          <w:color w:val="auto"/>
          <w:sz w:val="21"/>
          <w:highlight w:val="none"/>
        </w:rPr>
      </w:pPr>
    </w:p>
    <w:p w14:paraId="03ECFF64">
      <w:pPr>
        <w:spacing w:line="254" w:lineRule="auto"/>
        <w:rPr>
          <w:rFonts w:ascii="Arial"/>
          <w:color w:val="auto"/>
          <w:sz w:val="21"/>
          <w:highlight w:val="none"/>
        </w:rPr>
      </w:pPr>
    </w:p>
    <w:p w14:paraId="233278BF">
      <w:pPr>
        <w:spacing w:line="254" w:lineRule="auto"/>
        <w:rPr>
          <w:rFonts w:ascii="Arial"/>
          <w:color w:val="auto"/>
          <w:sz w:val="21"/>
          <w:highlight w:val="none"/>
        </w:rPr>
      </w:pPr>
    </w:p>
    <w:p w14:paraId="40F9FA15">
      <w:pPr>
        <w:spacing w:line="254" w:lineRule="auto"/>
        <w:rPr>
          <w:rFonts w:ascii="Arial"/>
          <w:color w:val="auto"/>
          <w:sz w:val="21"/>
          <w:highlight w:val="none"/>
        </w:rPr>
      </w:pPr>
    </w:p>
    <w:p w14:paraId="199363BC">
      <w:pPr>
        <w:spacing w:line="254" w:lineRule="auto"/>
        <w:rPr>
          <w:rFonts w:ascii="Arial"/>
          <w:color w:val="auto"/>
          <w:sz w:val="21"/>
          <w:highlight w:val="none"/>
        </w:rPr>
      </w:pPr>
    </w:p>
    <w:p w14:paraId="1EF275AF">
      <w:pPr>
        <w:spacing w:line="235" w:lineRule="auto"/>
        <w:rPr>
          <w:rFonts w:ascii="宋体" w:hAnsi="宋体" w:eastAsia="宋体" w:cs="宋体"/>
          <w:color w:val="auto"/>
          <w:sz w:val="18"/>
          <w:szCs w:val="18"/>
          <w:highlight w:val="none"/>
        </w:rPr>
        <w:sectPr>
          <w:footerReference r:id="rId79" w:type="default"/>
          <w:pgSz w:w="11906" w:h="16839"/>
          <w:pgMar w:top="1431" w:right="1305" w:bottom="1297" w:left="1305" w:header="0" w:footer="1067" w:gutter="0"/>
          <w:pgNumType w:fmt="decimal"/>
          <w:cols w:space="720" w:num="1"/>
        </w:sectPr>
      </w:pPr>
    </w:p>
    <w:p w14:paraId="524C3098">
      <w:pPr>
        <w:spacing w:before="190" w:line="227" w:lineRule="auto"/>
        <w:jc w:val="right"/>
        <w:outlineLvl w:val="1"/>
        <w:rPr>
          <w:rFonts w:ascii="宋体" w:hAnsi="宋体" w:eastAsia="宋体" w:cs="宋体"/>
          <w:color w:val="auto"/>
          <w:sz w:val="20"/>
          <w:szCs w:val="20"/>
          <w:highlight w:val="none"/>
        </w:rPr>
      </w:pPr>
      <w:bookmarkStart w:id="272" w:name="bookmark15"/>
      <w:bookmarkEnd w:id="272"/>
      <w:bookmarkStart w:id="273" w:name="_Toc28192"/>
      <w:bookmarkStart w:id="274" w:name="_Toc5803"/>
      <w:r>
        <w:rPr>
          <w:rFonts w:ascii="宋体" w:hAnsi="宋体" w:eastAsia="宋体" w:cs="宋体"/>
          <w:b/>
          <w:bCs/>
          <w:color w:val="auto"/>
          <w:spacing w:val="7"/>
          <w:sz w:val="20"/>
          <w:szCs w:val="20"/>
          <w:highlight w:val="none"/>
        </w:rPr>
        <w:t>附件六：履约保证金格式（详见《交通运输部公路工程标准施工监理招标文件（2018</w:t>
      </w:r>
      <w:r>
        <w:rPr>
          <w:rFonts w:ascii="宋体" w:hAnsi="宋体" w:eastAsia="宋体" w:cs="宋体"/>
          <w:color w:val="auto"/>
          <w:spacing w:val="-35"/>
          <w:sz w:val="20"/>
          <w:szCs w:val="20"/>
          <w:highlight w:val="none"/>
        </w:rPr>
        <w:t xml:space="preserve"> </w:t>
      </w:r>
      <w:r>
        <w:rPr>
          <w:rFonts w:ascii="宋体" w:hAnsi="宋体" w:eastAsia="宋体" w:cs="宋体"/>
          <w:b/>
          <w:bCs/>
          <w:color w:val="auto"/>
          <w:spacing w:val="7"/>
          <w:sz w:val="20"/>
          <w:szCs w:val="20"/>
          <w:highlight w:val="none"/>
        </w:rPr>
        <w:t>年版）》</w:t>
      </w:r>
      <w:bookmarkEnd w:id="273"/>
      <w:bookmarkEnd w:id="274"/>
    </w:p>
    <w:p w14:paraId="5D4C12F1">
      <w:pPr>
        <w:spacing w:line="227" w:lineRule="auto"/>
        <w:rPr>
          <w:rFonts w:ascii="宋体" w:hAnsi="宋体" w:eastAsia="宋体" w:cs="宋体"/>
          <w:color w:val="auto"/>
          <w:sz w:val="20"/>
          <w:szCs w:val="20"/>
          <w:highlight w:val="none"/>
        </w:rPr>
        <w:sectPr>
          <w:footerReference r:id="rId80" w:type="default"/>
          <w:pgSz w:w="11906" w:h="16839"/>
          <w:pgMar w:top="1431" w:right="1785" w:bottom="1297" w:left="1440" w:header="0" w:footer="1067" w:gutter="0"/>
          <w:pgNumType w:fmt="decimal"/>
          <w:cols w:space="720" w:num="1"/>
        </w:sectPr>
      </w:pPr>
    </w:p>
    <w:p w14:paraId="3A13F7E7">
      <w:pPr>
        <w:spacing w:before="190" w:line="227" w:lineRule="auto"/>
        <w:jc w:val="left"/>
        <w:outlineLvl w:val="1"/>
        <w:rPr>
          <w:rFonts w:ascii="宋体" w:hAnsi="宋体" w:eastAsia="宋体" w:cs="宋体"/>
          <w:b/>
          <w:bCs/>
          <w:color w:val="auto"/>
          <w:spacing w:val="7"/>
          <w:sz w:val="20"/>
          <w:szCs w:val="20"/>
          <w:highlight w:val="none"/>
        </w:rPr>
      </w:pPr>
      <w:bookmarkStart w:id="275" w:name="_Toc19243"/>
      <w:bookmarkStart w:id="276" w:name="_Toc28212"/>
      <w:r>
        <w:rPr>
          <w:rFonts w:ascii="宋体" w:hAnsi="宋体" w:eastAsia="宋体" w:cs="宋体"/>
          <w:b/>
          <w:bCs/>
          <w:color w:val="auto"/>
          <w:spacing w:val="7"/>
          <w:sz w:val="20"/>
          <w:szCs w:val="20"/>
          <w:highlight w:val="none"/>
        </w:rPr>
        <w:t>附件七： 安全生产合同</w:t>
      </w:r>
      <w:bookmarkEnd w:id="275"/>
      <w:bookmarkEnd w:id="276"/>
    </w:p>
    <w:p w14:paraId="5C89269F">
      <w:pPr>
        <w:spacing w:line="388" w:lineRule="auto"/>
        <w:rPr>
          <w:rFonts w:ascii="Arial"/>
          <w:color w:val="auto"/>
          <w:sz w:val="21"/>
          <w:highlight w:val="none"/>
        </w:rPr>
      </w:pPr>
    </w:p>
    <w:p w14:paraId="2691FDDF">
      <w:pPr>
        <w:spacing w:before="101" w:line="225" w:lineRule="auto"/>
        <w:ind w:left="3583"/>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安全生产合同</w:t>
      </w:r>
    </w:p>
    <w:p w14:paraId="301950A5">
      <w:pPr>
        <w:spacing w:line="412" w:lineRule="auto"/>
        <w:rPr>
          <w:rFonts w:ascii="Arial"/>
          <w:color w:val="auto"/>
          <w:sz w:val="21"/>
          <w:highlight w:val="none"/>
        </w:rPr>
      </w:pPr>
    </w:p>
    <w:p w14:paraId="6CE186D9">
      <w:pPr>
        <w:spacing w:before="78" w:line="359" w:lineRule="auto"/>
        <w:ind w:left="1" w:firstLine="47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根据《中华人民共和国安全生产法》、国务院《建设工程安全生产管理条例》、交通运输部《公路水运工程安全生产监督管理办法》《公路水运工程施</w:t>
      </w:r>
      <w:r>
        <w:rPr>
          <w:rFonts w:ascii="宋体" w:hAnsi="宋体" w:eastAsia="宋体" w:cs="宋体"/>
          <w:color w:val="auto"/>
          <w:spacing w:val="4"/>
          <w:sz w:val="24"/>
          <w:szCs w:val="24"/>
          <w:highlight w:val="none"/>
        </w:rPr>
        <w:t>工安全标准化指南》以及《公路工程施工监理规范》等有关规定，为切实做好</w:t>
      </w:r>
      <w:r>
        <w:rPr>
          <w:rFonts w:ascii="宋体" w:hAnsi="宋体" w:eastAsia="宋体" w:cs="宋体"/>
          <w:color w:val="auto"/>
          <w:spacing w:val="-109"/>
          <w:sz w:val="24"/>
          <w:szCs w:val="24"/>
          <w:highlight w:val="none"/>
        </w:rPr>
        <w:t xml:space="preserve"> </w:t>
      </w:r>
      <w:r>
        <w:rPr>
          <w:rFonts w:ascii="宋体" w:hAnsi="宋体" w:eastAsia="宋体" w:cs="宋体"/>
          <w:color w:val="auto"/>
          <w:spacing w:val="4"/>
          <w:sz w:val="24"/>
          <w:szCs w:val="24"/>
          <w:highlight w:val="none"/>
          <w:u w:val="single" w:color="auto"/>
        </w:rPr>
        <w:t xml:space="preserve">          工程</w:t>
      </w:r>
      <w:r>
        <w:rPr>
          <w:rFonts w:ascii="宋体" w:hAnsi="宋体" w:eastAsia="宋体" w:cs="宋体"/>
          <w:color w:val="auto"/>
          <w:spacing w:val="4"/>
          <w:sz w:val="24"/>
          <w:szCs w:val="24"/>
          <w:highlight w:val="none"/>
        </w:rPr>
        <w:t>安全</w:t>
      </w:r>
      <w:r>
        <w:rPr>
          <w:rFonts w:ascii="宋体" w:hAnsi="宋体" w:eastAsia="宋体" w:cs="宋体"/>
          <w:color w:val="auto"/>
          <w:spacing w:val="-2"/>
          <w:sz w:val="24"/>
          <w:szCs w:val="24"/>
          <w:highlight w:val="none"/>
        </w:rPr>
        <w:t>生产管理工作，明确项目参建各方的安全生产责任，促进实现工程项目安全管理目标，</w:t>
      </w:r>
      <w:r>
        <w:rPr>
          <w:rFonts w:ascii="宋体" w:hAnsi="宋体" w:eastAsia="宋体" w:cs="宋体"/>
          <w:color w:val="auto"/>
          <w:spacing w:val="3"/>
          <w:sz w:val="24"/>
          <w:szCs w:val="24"/>
          <w:highlight w:val="none"/>
        </w:rPr>
        <w:t>建设单位全称（以下简称“委托人</w:t>
      </w:r>
      <w:r>
        <w:rPr>
          <w:rFonts w:ascii="宋体" w:hAnsi="宋体" w:eastAsia="宋体" w:cs="宋体"/>
          <w:color w:val="auto"/>
          <w:spacing w:val="-81"/>
          <w:sz w:val="24"/>
          <w:szCs w:val="24"/>
          <w:highlight w:val="none"/>
        </w:rPr>
        <w:t xml:space="preserve"> </w:t>
      </w:r>
      <w:r>
        <w:rPr>
          <w:rFonts w:ascii="宋体" w:hAnsi="宋体" w:eastAsia="宋体" w:cs="宋体"/>
          <w:color w:val="auto"/>
          <w:spacing w:val="3"/>
          <w:sz w:val="24"/>
          <w:szCs w:val="24"/>
          <w:highlight w:val="none"/>
        </w:rPr>
        <w:t>”）与监理单位全称（以下</w:t>
      </w:r>
      <w:r>
        <w:rPr>
          <w:rFonts w:ascii="宋体" w:hAnsi="宋体" w:eastAsia="宋体" w:cs="宋体"/>
          <w:color w:val="auto"/>
          <w:spacing w:val="2"/>
          <w:sz w:val="24"/>
          <w:szCs w:val="24"/>
          <w:highlight w:val="none"/>
        </w:rPr>
        <w:t>简称“监理人</w:t>
      </w:r>
      <w:r>
        <w:rPr>
          <w:rFonts w:ascii="宋体" w:hAnsi="宋体" w:eastAsia="宋体" w:cs="宋体"/>
          <w:color w:val="auto"/>
          <w:spacing w:val="-81"/>
          <w:sz w:val="24"/>
          <w:szCs w:val="24"/>
          <w:highlight w:val="none"/>
        </w:rPr>
        <w:t xml:space="preserve"> </w:t>
      </w:r>
      <w:r>
        <w:rPr>
          <w:rFonts w:ascii="宋体" w:hAnsi="宋体" w:eastAsia="宋体" w:cs="宋体"/>
          <w:color w:val="auto"/>
          <w:spacing w:val="2"/>
          <w:sz w:val="24"/>
          <w:szCs w:val="24"/>
          <w:highlight w:val="none"/>
        </w:rPr>
        <w:t>”）签订</w:t>
      </w:r>
      <w:r>
        <w:rPr>
          <w:rFonts w:ascii="宋体" w:hAnsi="宋体" w:eastAsia="宋体" w:cs="宋体"/>
          <w:color w:val="auto"/>
          <w:spacing w:val="-2"/>
          <w:sz w:val="24"/>
          <w:szCs w:val="24"/>
          <w:highlight w:val="none"/>
        </w:rPr>
        <w:t>如下安全生产合同：</w:t>
      </w:r>
    </w:p>
    <w:p w14:paraId="555DF057">
      <w:pPr>
        <w:spacing w:before="1" w:line="220" w:lineRule="auto"/>
        <w:ind w:left="48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一、委托人职责</w:t>
      </w:r>
    </w:p>
    <w:p w14:paraId="3425D907">
      <w:pPr>
        <w:spacing w:before="180"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1.按照法律法规及合同文件约定督促、检查监理人落实安全生产责任。</w:t>
      </w:r>
    </w:p>
    <w:p w14:paraId="354BA485">
      <w:pPr>
        <w:spacing w:before="180" w:line="290" w:lineRule="auto"/>
        <w:ind w:left="4" w:firstLine="47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2.按照有关规定对监理人的安全生产条件、安全生产信用情况、安全生产管</w:t>
      </w:r>
      <w:r>
        <w:rPr>
          <w:rFonts w:ascii="宋体" w:hAnsi="宋体" w:eastAsia="宋体" w:cs="宋体"/>
          <w:color w:val="auto"/>
          <w:spacing w:val="4"/>
          <w:sz w:val="24"/>
          <w:szCs w:val="24"/>
          <w:highlight w:val="none"/>
        </w:rPr>
        <w:t>理体</w:t>
      </w:r>
      <w:r>
        <w:rPr>
          <w:rFonts w:ascii="宋体" w:hAnsi="宋体" w:eastAsia="宋体" w:cs="宋体"/>
          <w:color w:val="auto"/>
          <w:spacing w:val="-1"/>
          <w:sz w:val="24"/>
          <w:szCs w:val="24"/>
          <w:highlight w:val="none"/>
        </w:rPr>
        <w:t>系及保障措施等提出明确要求并检查实施情况。</w:t>
      </w:r>
    </w:p>
    <w:p w14:paraId="6F023AA6">
      <w:pPr>
        <w:spacing w:before="180" w:line="221" w:lineRule="auto"/>
        <w:ind w:left="48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二、监理人职责</w:t>
      </w:r>
    </w:p>
    <w:p w14:paraId="63BDBD16">
      <w:pPr>
        <w:spacing w:before="181"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1.严格遵守安全生产有关法律法规，落实合同中有关安全生产的要求。</w:t>
      </w:r>
    </w:p>
    <w:p w14:paraId="288C7D91">
      <w:pPr>
        <w:spacing w:before="181" w:line="219" w:lineRule="auto"/>
        <w:ind w:left="482"/>
        <w:rPr>
          <w:rFonts w:ascii="宋体" w:hAnsi="宋体" w:eastAsia="宋体" w:cs="宋体"/>
          <w:color w:val="auto"/>
          <w:sz w:val="24"/>
          <w:szCs w:val="24"/>
          <w:highlight w:val="none"/>
        </w:rPr>
      </w:pPr>
      <w:r>
        <w:rPr>
          <w:rFonts w:ascii="宋体" w:hAnsi="宋体" w:eastAsia="宋体" w:cs="宋体"/>
          <w:color w:val="auto"/>
          <w:sz w:val="24"/>
          <w:szCs w:val="24"/>
          <w:highlight w:val="none"/>
        </w:rPr>
        <w:t>2.具备相应的安全生产条件及安全生产资质，</w:t>
      </w:r>
      <w:r>
        <w:rPr>
          <w:rFonts w:ascii="宋体" w:hAnsi="宋体" w:eastAsia="宋体" w:cs="宋体"/>
          <w:color w:val="auto"/>
          <w:spacing w:val="-1"/>
          <w:sz w:val="24"/>
          <w:szCs w:val="24"/>
          <w:highlight w:val="none"/>
        </w:rPr>
        <w:t>对工程安全生产承担监理责任。</w:t>
      </w:r>
    </w:p>
    <w:p w14:paraId="5022344A">
      <w:pPr>
        <w:spacing w:before="184" w:line="289" w:lineRule="auto"/>
        <w:ind w:left="1" w:right="10"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3.建立健全安全生产制度、责任、组织机构等内部管理体系，配齐安全管理人员，</w:t>
      </w:r>
      <w:r>
        <w:rPr>
          <w:rFonts w:ascii="宋体" w:hAnsi="宋体" w:eastAsia="宋体" w:cs="宋体"/>
          <w:color w:val="auto"/>
          <w:sz w:val="24"/>
          <w:szCs w:val="24"/>
          <w:highlight w:val="none"/>
        </w:rPr>
        <w:t>落实安全生产培训教育，依法参加各类安全保险</w:t>
      </w:r>
      <w:r>
        <w:rPr>
          <w:rFonts w:ascii="宋体" w:hAnsi="宋体" w:eastAsia="宋体" w:cs="宋体"/>
          <w:color w:val="auto"/>
          <w:spacing w:val="-1"/>
          <w:sz w:val="24"/>
          <w:szCs w:val="24"/>
          <w:highlight w:val="none"/>
        </w:rPr>
        <w:t>，落实本单位安全管理责任。</w:t>
      </w:r>
    </w:p>
    <w:p w14:paraId="2E0D787F">
      <w:pPr>
        <w:spacing w:before="180" w:line="289" w:lineRule="auto"/>
        <w:ind w:firstLine="47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4.对施工单位的施工安全提出明确要求并督促落实，检查施工单位安全生产管理</w:t>
      </w:r>
      <w:r>
        <w:rPr>
          <w:rFonts w:ascii="宋体" w:hAnsi="宋体" w:eastAsia="宋体" w:cs="宋体"/>
          <w:color w:val="auto"/>
          <w:sz w:val="24"/>
          <w:szCs w:val="24"/>
          <w:highlight w:val="none"/>
        </w:rPr>
        <w:t>体系建立及落实情况，检查有关人员资格及设备设</w:t>
      </w:r>
      <w:r>
        <w:rPr>
          <w:rFonts w:ascii="宋体" w:hAnsi="宋体" w:eastAsia="宋体" w:cs="宋体"/>
          <w:color w:val="auto"/>
          <w:spacing w:val="-1"/>
          <w:sz w:val="24"/>
          <w:szCs w:val="24"/>
          <w:highlight w:val="none"/>
        </w:rPr>
        <w:t>施相关安全手续等情况。</w:t>
      </w:r>
    </w:p>
    <w:p w14:paraId="46A3A504">
      <w:pPr>
        <w:spacing w:before="183" w:line="288" w:lineRule="auto"/>
        <w:ind w:left="2" w:firstLine="48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5.核查施工单位安全生产条件，审查施工组织设计安全技术措施、应急</w:t>
      </w:r>
      <w:r>
        <w:rPr>
          <w:rFonts w:ascii="宋体" w:hAnsi="宋体" w:eastAsia="宋体" w:cs="宋体"/>
          <w:color w:val="auto"/>
          <w:spacing w:val="4"/>
          <w:sz w:val="24"/>
          <w:szCs w:val="24"/>
          <w:highlight w:val="none"/>
        </w:rPr>
        <w:t>预案及施</w:t>
      </w:r>
      <w:r>
        <w:rPr>
          <w:rFonts w:ascii="宋体" w:hAnsi="宋体" w:eastAsia="宋体" w:cs="宋体"/>
          <w:color w:val="auto"/>
          <w:spacing w:val="-1"/>
          <w:sz w:val="24"/>
          <w:szCs w:val="24"/>
          <w:highlight w:val="none"/>
        </w:rPr>
        <w:t>工安全风险评估报告等，检查危险性较大工程专项施工方案实施情况。</w:t>
      </w:r>
    </w:p>
    <w:p w14:paraId="7141FD12">
      <w:pPr>
        <w:spacing w:before="185" w:line="289" w:lineRule="auto"/>
        <w:ind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6.按有关规定对施工单位开展各类安全生产检查，发现生产安全事故隐患按有关</w:t>
      </w:r>
      <w:r>
        <w:rPr>
          <w:rFonts w:ascii="宋体" w:hAnsi="宋体" w:eastAsia="宋体" w:cs="宋体"/>
          <w:color w:val="auto"/>
          <w:spacing w:val="-2"/>
          <w:sz w:val="24"/>
          <w:szCs w:val="24"/>
          <w:highlight w:val="none"/>
        </w:rPr>
        <w:t>要求及时处理和报告。</w:t>
      </w:r>
    </w:p>
    <w:p w14:paraId="0591FD8B">
      <w:pPr>
        <w:spacing w:before="183" w:line="219" w:lineRule="auto"/>
        <w:ind w:left="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7.建立安全监理内业台账档案。</w:t>
      </w:r>
    </w:p>
    <w:p w14:paraId="258603B2">
      <w:pPr>
        <w:spacing w:before="183"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8.落实安全生产法律法规、政策等规定的其他职责。</w:t>
      </w:r>
    </w:p>
    <w:p w14:paraId="4C9FFD4D">
      <w:pPr>
        <w:spacing w:before="181" w:line="219" w:lineRule="auto"/>
        <w:ind w:left="48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三、违约责任</w:t>
      </w:r>
    </w:p>
    <w:p w14:paraId="7A4F00AE">
      <w:pPr>
        <w:spacing w:before="182" w:line="219" w:lineRule="auto"/>
        <w:ind w:left="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如因一方违约造成安全事故，将依法追究法律责任。</w:t>
      </w:r>
    </w:p>
    <w:p w14:paraId="02A5F463">
      <w:pPr>
        <w:spacing w:before="181" w:line="219" w:lineRule="auto"/>
        <w:ind w:left="507"/>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四、本合同正本一式两份，甲、乙双方各执一份；副本一式八份，甲、乙</w:t>
      </w:r>
      <w:r>
        <w:rPr>
          <w:rFonts w:ascii="宋体" w:hAnsi="宋体" w:eastAsia="宋体" w:cs="宋体"/>
          <w:b/>
          <w:bCs/>
          <w:color w:val="auto"/>
          <w:spacing w:val="-2"/>
          <w:sz w:val="24"/>
          <w:szCs w:val="24"/>
          <w:highlight w:val="none"/>
        </w:rPr>
        <w:t>双方各</w:t>
      </w:r>
    </w:p>
    <w:p w14:paraId="5667FAFA">
      <w:pPr>
        <w:spacing w:line="219" w:lineRule="auto"/>
        <w:rPr>
          <w:rFonts w:ascii="宋体" w:hAnsi="宋体" w:eastAsia="宋体" w:cs="宋体"/>
          <w:color w:val="auto"/>
          <w:sz w:val="24"/>
          <w:szCs w:val="24"/>
          <w:highlight w:val="none"/>
        </w:rPr>
        <w:sectPr>
          <w:footerReference r:id="rId81" w:type="default"/>
          <w:pgSz w:w="11906" w:h="16839"/>
          <w:pgMar w:top="1431" w:right="1418" w:bottom="1297" w:left="1425" w:header="0" w:footer="1066" w:gutter="0"/>
          <w:pgNumType w:fmt="decimal"/>
          <w:cols w:space="720" w:num="1"/>
        </w:sectPr>
      </w:pPr>
    </w:p>
    <w:p w14:paraId="28FFD9F8">
      <w:pPr>
        <w:spacing w:before="48" w:line="360" w:lineRule="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执四份。合同由双方法定代表人或其授权的</w:t>
      </w:r>
      <w:r>
        <w:rPr>
          <w:rFonts w:ascii="宋体" w:hAnsi="宋体" w:eastAsia="宋体" w:cs="宋体"/>
          <w:b/>
          <w:bCs/>
          <w:color w:val="auto"/>
          <w:spacing w:val="-1"/>
          <w:sz w:val="24"/>
          <w:szCs w:val="24"/>
          <w:highlight w:val="none"/>
        </w:rPr>
        <w:t>代理人签署并加盖公章后生效，全部工程</w:t>
      </w:r>
      <w:r>
        <w:rPr>
          <w:rFonts w:ascii="宋体" w:hAnsi="宋体" w:eastAsia="宋体" w:cs="宋体"/>
          <w:b/>
          <w:bCs/>
          <w:color w:val="auto"/>
          <w:spacing w:val="-4"/>
          <w:sz w:val="24"/>
          <w:szCs w:val="24"/>
          <w:highlight w:val="none"/>
        </w:rPr>
        <w:t>竣工验收后失效。</w:t>
      </w:r>
    </w:p>
    <w:p w14:paraId="1D22C6B9">
      <w:pPr>
        <w:spacing w:before="19"/>
        <w:rPr>
          <w:color w:val="auto"/>
          <w:highlight w:val="none"/>
        </w:rPr>
      </w:pPr>
    </w:p>
    <w:p w14:paraId="5620BDAB">
      <w:pPr>
        <w:spacing w:before="19"/>
        <w:rPr>
          <w:color w:val="auto"/>
          <w:highlight w:val="none"/>
        </w:rPr>
      </w:pPr>
    </w:p>
    <w:p w14:paraId="6753A132">
      <w:pPr>
        <w:spacing w:before="19"/>
        <w:rPr>
          <w:color w:val="auto"/>
          <w:highlight w:val="none"/>
        </w:rPr>
      </w:pPr>
    </w:p>
    <w:p w14:paraId="2A86770A">
      <w:pPr>
        <w:spacing w:before="18"/>
        <w:rPr>
          <w:color w:val="auto"/>
          <w:highlight w:val="none"/>
        </w:rPr>
      </w:pPr>
    </w:p>
    <w:p w14:paraId="4B80FA3B">
      <w:pPr>
        <w:rPr>
          <w:color w:val="auto"/>
          <w:highlight w:val="none"/>
        </w:rPr>
        <w:sectPr>
          <w:footerReference r:id="rId82" w:type="default"/>
          <w:pgSz w:w="11906" w:h="16839"/>
          <w:pgMar w:top="1405" w:right="1523" w:bottom="1297" w:left="1424" w:header="0" w:footer="1067" w:gutter="0"/>
          <w:pgNumType w:fmt="decimal"/>
          <w:cols w:equalWidth="0" w:num="1">
            <w:col w:w="8958"/>
          </w:cols>
        </w:sectPr>
      </w:pPr>
    </w:p>
    <w:p w14:paraId="05D85C2E">
      <w:pPr>
        <w:spacing w:before="47" w:line="219" w:lineRule="auto"/>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委托人</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4"/>
          <w:sz w:val="24"/>
          <w:szCs w:val="24"/>
          <w:highlight w:val="none"/>
        </w:rPr>
        <w:t>盖章）</w:t>
      </w:r>
    </w:p>
    <w:p w14:paraId="7D927317">
      <w:pPr>
        <w:spacing w:line="415" w:lineRule="auto"/>
        <w:rPr>
          <w:rFonts w:ascii="Arial"/>
          <w:color w:val="auto"/>
          <w:sz w:val="21"/>
          <w:highlight w:val="none"/>
        </w:rPr>
      </w:pPr>
    </w:p>
    <w:p w14:paraId="254DA553">
      <w:pPr>
        <w:spacing w:before="78" w:line="219" w:lineRule="auto"/>
        <w:ind w:left="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法定代表人或</w:t>
      </w:r>
    </w:p>
    <w:p w14:paraId="56F1E69E">
      <w:pPr>
        <w:spacing w:line="414" w:lineRule="auto"/>
        <w:rPr>
          <w:rFonts w:ascii="Arial"/>
          <w:color w:val="auto"/>
          <w:sz w:val="21"/>
          <w:highlight w:val="none"/>
        </w:rPr>
      </w:pPr>
    </w:p>
    <w:p w14:paraId="73D41C81">
      <w:pPr>
        <w:spacing w:before="78" w:line="219" w:lineRule="auto"/>
        <w:ind w:left="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其授权的代理人</w:t>
      </w:r>
      <w:r>
        <w:rPr>
          <w:rFonts w:ascii="宋体" w:hAnsi="宋体" w:eastAsia="宋体" w:cs="宋体"/>
          <w:color w:val="auto"/>
          <w:spacing w:val="-16"/>
          <w:sz w:val="24"/>
          <w:szCs w:val="24"/>
          <w:highlight w:val="none"/>
        </w:rPr>
        <w:t>：</w:t>
      </w:r>
      <w:r>
        <w:rPr>
          <w:rFonts w:ascii="宋体" w:hAnsi="宋体" w:eastAsia="宋体" w:cs="宋体"/>
          <w:color w:val="auto"/>
          <w:spacing w:val="-16"/>
          <w:sz w:val="24"/>
          <w:szCs w:val="24"/>
          <w:highlight w:val="none"/>
          <w:u w:val="single" w:color="auto"/>
        </w:rPr>
        <w:t>（</w:t>
      </w:r>
      <w:r>
        <w:rPr>
          <w:rFonts w:ascii="宋体" w:hAnsi="宋体" w:eastAsia="宋体" w:cs="宋体"/>
          <w:color w:val="auto"/>
          <w:spacing w:val="2"/>
          <w:sz w:val="24"/>
          <w:szCs w:val="24"/>
          <w:highlight w:val="none"/>
          <w:u w:val="single" w:color="auto"/>
        </w:rPr>
        <w:t>签名）</w:t>
      </w:r>
      <w:r>
        <w:rPr>
          <w:rFonts w:ascii="宋体" w:hAnsi="宋体" w:eastAsia="宋体" w:cs="宋体"/>
          <w:color w:val="auto"/>
          <w:sz w:val="24"/>
          <w:szCs w:val="24"/>
          <w:highlight w:val="none"/>
          <w:u w:val="single" w:color="auto"/>
        </w:rPr>
        <w:t xml:space="preserve">   </w:t>
      </w:r>
    </w:p>
    <w:p w14:paraId="5BECBB67">
      <w:pPr>
        <w:spacing w:line="411" w:lineRule="auto"/>
        <w:rPr>
          <w:rFonts w:ascii="Arial"/>
          <w:color w:val="auto"/>
          <w:sz w:val="21"/>
          <w:highlight w:val="none"/>
        </w:rPr>
      </w:pPr>
    </w:p>
    <w:p w14:paraId="40A2A0CD">
      <w:pPr>
        <w:spacing w:before="79" w:line="229" w:lineRule="auto"/>
        <w:ind w:left="6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14:paraId="5A87D17A">
      <w:pPr>
        <w:spacing w:before="171" w:line="221" w:lineRule="auto"/>
        <w:ind w:left="89"/>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电话：</w:t>
      </w:r>
      <w:r>
        <w:rPr>
          <w:rFonts w:ascii="宋体" w:hAnsi="宋体" w:eastAsia="宋体" w:cs="宋体"/>
          <w:color w:val="auto"/>
          <w:sz w:val="24"/>
          <w:szCs w:val="24"/>
          <w:highlight w:val="none"/>
          <w:u w:val="single" w:color="auto"/>
        </w:rPr>
        <w:t xml:space="preserve">                    </w:t>
      </w:r>
    </w:p>
    <w:p w14:paraId="2AB498C9">
      <w:pPr>
        <w:spacing w:line="283" w:lineRule="auto"/>
        <w:rPr>
          <w:rFonts w:ascii="Arial"/>
          <w:color w:val="auto"/>
          <w:sz w:val="21"/>
          <w:highlight w:val="none"/>
        </w:rPr>
      </w:pPr>
    </w:p>
    <w:p w14:paraId="00DE6780">
      <w:pPr>
        <w:spacing w:line="284" w:lineRule="auto"/>
        <w:rPr>
          <w:rFonts w:ascii="Arial"/>
          <w:color w:val="auto"/>
          <w:sz w:val="21"/>
          <w:highlight w:val="none"/>
        </w:rPr>
      </w:pPr>
    </w:p>
    <w:p w14:paraId="789D90F2">
      <w:pPr>
        <w:spacing w:before="78" w:line="184" w:lineRule="auto"/>
        <w:ind w:left="102"/>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13"/>
          <w:sz w:val="24"/>
          <w:szCs w:val="24"/>
          <w:highlight w:val="none"/>
        </w:rPr>
        <w:t>日</w:t>
      </w:r>
    </w:p>
    <w:p w14:paraId="7504D3BB">
      <w:pPr>
        <w:spacing w:line="14" w:lineRule="auto"/>
        <w:rPr>
          <w:rFonts w:ascii="Arial"/>
          <w:color w:val="auto"/>
          <w:sz w:val="2"/>
          <w:highlight w:val="none"/>
        </w:rPr>
      </w:pPr>
      <w:r>
        <w:rPr>
          <w:rFonts w:ascii="Arial" w:hAnsi="Arial" w:eastAsia="Arial" w:cs="Arial"/>
          <w:color w:val="auto"/>
          <w:sz w:val="2"/>
          <w:szCs w:val="2"/>
          <w:highlight w:val="none"/>
        </w:rPr>
        <w:br w:type="column"/>
      </w:r>
    </w:p>
    <w:p w14:paraId="15ECCCCF">
      <w:pPr>
        <w:spacing w:before="46" w:line="219" w:lineRule="auto"/>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监理人</w:t>
      </w:r>
      <w:r>
        <w:rPr>
          <w:rFonts w:ascii="宋体" w:hAnsi="宋体" w:eastAsia="宋体" w:cs="宋体"/>
          <w:color w:val="auto"/>
          <w:spacing w:val="-17"/>
          <w:sz w:val="24"/>
          <w:szCs w:val="24"/>
          <w:highlight w:val="none"/>
        </w:rPr>
        <w:t>：</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7"/>
          <w:sz w:val="24"/>
          <w:szCs w:val="24"/>
          <w:highlight w:val="none"/>
          <w:u w:val="single" w:color="auto"/>
        </w:rPr>
        <w:t>全称</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7"/>
          <w:sz w:val="24"/>
          <w:szCs w:val="24"/>
          <w:highlight w:val="none"/>
          <w:u w:val="single" w:color="auto"/>
        </w:rPr>
        <w:t>盖章）</w:t>
      </w:r>
      <w:r>
        <w:rPr>
          <w:rFonts w:ascii="宋体" w:hAnsi="宋体" w:eastAsia="宋体" w:cs="宋体"/>
          <w:color w:val="auto"/>
          <w:sz w:val="24"/>
          <w:szCs w:val="24"/>
          <w:highlight w:val="none"/>
          <w:u w:val="single" w:color="auto"/>
        </w:rPr>
        <w:t xml:space="preserve">   </w:t>
      </w:r>
    </w:p>
    <w:p w14:paraId="4AB99E27">
      <w:pPr>
        <w:spacing w:line="415" w:lineRule="auto"/>
        <w:rPr>
          <w:rFonts w:ascii="Arial"/>
          <w:color w:val="auto"/>
          <w:sz w:val="21"/>
          <w:highlight w:val="none"/>
        </w:rPr>
      </w:pPr>
    </w:p>
    <w:p w14:paraId="2E5254B0">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法定代表人或</w:t>
      </w:r>
    </w:p>
    <w:p w14:paraId="5FE8569B">
      <w:pPr>
        <w:spacing w:line="414" w:lineRule="auto"/>
        <w:rPr>
          <w:rFonts w:ascii="Arial"/>
          <w:color w:val="auto"/>
          <w:sz w:val="21"/>
          <w:highlight w:val="none"/>
        </w:rPr>
      </w:pPr>
    </w:p>
    <w:p w14:paraId="2E2946DE">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其授权的代理人</w:t>
      </w:r>
      <w:r>
        <w:rPr>
          <w:rFonts w:ascii="宋体" w:hAnsi="宋体" w:eastAsia="宋体" w:cs="宋体"/>
          <w:color w:val="auto"/>
          <w:spacing w:val="-16"/>
          <w:sz w:val="24"/>
          <w:szCs w:val="24"/>
          <w:highlight w:val="none"/>
        </w:rPr>
        <w:t>：</w:t>
      </w:r>
      <w:r>
        <w:rPr>
          <w:rFonts w:ascii="宋体" w:hAnsi="宋体" w:eastAsia="宋体" w:cs="宋体"/>
          <w:color w:val="auto"/>
          <w:spacing w:val="-16"/>
          <w:sz w:val="24"/>
          <w:szCs w:val="24"/>
          <w:highlight w:val="none"/>
          <w:u w:val="single" w:color="auto"/>
        </w:rPr>
        <w:t>（</w:t>
      </w:r>
      <w:r>
        <w:rPr>
          <w:rFonts w:ascii="宋体" w:hAnsi="宋体" w:eastAsia="宋体" w:cs="宋体"/>
          <w:color w:val="auto"/>
          <w:spacing w:val="2"/>
          <w:sz w:val="24"/>
          <w:szCs w:val="24"/>
          <w:highlight w:val="none"/>
          <w:u w:val="single" w:color="auto"/>
        </w:rPr>
        <w:t>签名）</w:t>
      </w:r>
      <w:r>
        <w:rPr>
          <w:rFonts w:ascii="宋体" w:hAnsi="宋体" w:eastAsia="宋体" w:cs="宋体"/>
          <w:color w:val="auto"/>
          <w:sz w:val="24"/>
          <w:szCs w:val="24"/>
          <w:highlight w:val="none"/>
          <w:u w:val="single" w:color="auto"/>
        </w:rPr>
        <w:t xml:space="preserve">   </w:t>
      </w:r>
    </w:p>
    <w:p w14:paraId="13539A90">
      <w:pPr>
        <w:spacing w:line="411" w:lineRule="auto"/>
        <w:rPr>
          <w:rFonts w:ascii="Arial"/>
          <w:color w:val="auto"/>
          <w:sz w:val="21"/>
          <w:highlight w:val="none"/>
        </w:rPr>
      </w:pPr>
    </w:p>
    <w:p w14:paraId="34F5113F">
      <w:pPr>
        <w:spacing w:before="78" w:line="229" w:lineRule="auto"/>
        <w:ind w:left="5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14:paraId="3A067DB0">
      <w:pPr>
        <w:spacing w:before="172" w:line="221" w:lineRule="auto"/>
        <w:ind w:left="87"/>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电话：</w:t>
      </w:r>
      <w:r>
        <w:rPr>
          <w:rFonts w:ascii="宋体" w:hAnsi="宋体" w:eastAsia="宋体" w:cs="宋体"/>
          <w:color w:val="auto"/>
          <w:sz w:val="24"/>
          <w:szCs w:val="24"/>
          <w:highlight w:val="none"/>
          <w:u w:val="single" w:color="auto"/>
        </w:rPr>
        <w:t xml:space="preserve">                    </w:t>
      </w:r>
    </w:p>
    <w:p w14:paraId="7A769DC8">
      <w:pPr>
        <w:spacing w:line="283" w:lineRule="auto"/>
        <w:rPr>
          <w:rFonts w:ascii="Arial"/>
          <w:color w:val="auto"/>
          <w:sz w:val="21"/>
          <w:highlight w:val="none"/>
        </w:rPr>
      </w:pPr>
    </w:p>
    <w:p w14:paraId="6E66402A">
      <w:pPr>
        <w:spacing w:line="284" w:lineRule="auto"/>
        <w:rPr>
          <w:rFonts w:ascii="Arial"/>
          <w:color w:val="auto"/>
          <w:sz w:val="21"/>
          <w:highlight w:val="none"/>
        </w:rPr>
      </w:pPr>
    </w:p>
    <w:p w14:paraId="72CD9E81">
      <w:pPr>
        <w:spacing w:before="78" w:line="184" w:lineRule="auto"/>
        <w:ind w:left="10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13"/>
          <w:sz w:val="24"/>
          <w:szCs w:val="24"/>
          <w:highlight w:val="none"/>
        </w:rPr>
        <w:t>日</w:t>
      </w:r>
    </w:p>
    <w:p w14:paraId="1CE8787C">
      <w:pPr>
        <w:spacing w:line="184" w:lineRule="auto"/>
        <w:rPr>
          <w:rFonts w:ascii="宋体" w:hAnsi="宋体" w:eastAsia="宋体" w:cs="宋体"/>
          <w:color w:val="auto"/>
          <w:sz w:val="24"/>
          <w:szCs w:val="24"/>
          <w:highlight w:val="none"/>
        </w:rPr>
        <w:sectPr>
          <w:type w:val="continuous"/>
          <w:pgSz w:w="11906" w:h="16839"/>
          <w:pgMar w:top="1405" w:right="1523" w:bottom="1297" w:left="1424" w:header="0" w:footer="1067" w:gutter="0"/>
          <w:pgNumType w:fmt="decimal"/>
          <w:cols w:equalWidth="0" w:num="2">
            <w:col w:w="4582" w:space="100"/>
            <w:col w:w="4276"/>
          </w:cols>
        </w:sectPr>
      </w:pPr>
    </w:p>
    <w:p w14:paraId="349EDECE">
      <w:pPr>
        <w:spacing w:line="243" w:lineRule="auto"/>
        <w:rPr>
          <w:rFonts w:ascii="Arial"/>
          <w:color w:val="auto"/>
          <w:sz w:val="21"/>
          <w:highlight w:val="none"/>
        </w:rPr>
      </w:pPr>
    </w:p>
    <w:p w14:paraId="3ABCC03E">
      <w:pPr>
        <w:spacing w:line="243" w:lineRule="auto"/>
        <w:rPr>
          <w:rFonts w:ascii="Arial"/>
          <w:color w:val="auto"/>
          <w:sz w:val="21"/>
          <w:highlight w:val="none"/>
        </w:rPr>
      </w:pPr>
    </w:p>
    <w:p w14:paraId="4C66B57C">
      <w:pPr>
        <w:spacing w:line="243" w:lineRule="auto"/>
        <w:rPr>
          <w:rFonts w:ascii="Arial"/>
          <w:color w:val="auto"/>
          <w:sz w:val="21"/>
          <w:highlight w:val="none"/>
        </w:rPr>
      </w:pPr>
    </w:p>
    <w:p w14:paraId="302BAFE5">
      <w:pPr>
        <w:spacing w:line="244" w:lineRule="auto"/>
        <w:rPr>
          <w:rFonts w:ascii="Arial"/>
          <w:color w:val="auto"/>
          <w:sz w:val="21"/>
          <w:highlight w:val="none"/>
        </w:rPr>
      </w:pPr>
    </w:p>
    <w:p w14:paraId="36F32211">
      <w:pPr>
        <w:spacing w:line="244" w:lineRule="auto"/>
        <w:rPr>
          <w:rFonts w:ascii="Arial"/>
          <w:color w:val="auto"/>
          <w:sz w:val="21"/>
          <w:highlight w:val="none"/>
        </w:rPr>
      </w:pPr>
    </w:p>
    <w:p w14:paraId="44569E2D">
      <w:pPr>
        <w:spacing w:line="244" w:lineRule="auto"/>
        <w:rPr>
          <w:rFonts w:ascii="Arial"/>
          <w:color w:val="auto"/>
          <w:sz w:val="21"/>
          <w:highlight w:val="none"/>
        </w:rPr>
      </w:pPr>
    </w:p>
    <w:p w14:paraId="24548ED1">
      <w:pPr>
        <w:spacing w:line="244" w:lineRule="auto"/>
        <w:rPr>
          <w:rFonts w:ascii="Arial"/>
          <w:color w:val="auto"/>
          <w:sz w:val="21"/>
          <w:highlight w:val="none"/>
        </w:rPr>
      </w:pPr>
    </w:p>
    <w:p w14:paraId="5D449A1F">
      <w:pPr>
        <w:spacing w:line="244" w:lineRule="auto"/>
        <w:rPr>
          <w:rFonts w:ascii="Arial"/>
          <w:color w:val="auto"/>
          <w:sz w:val="21"/>
          <w:highlight w:val="none"/>
        </w:rPr>
      </w:pPr>
    </w:p>
    <w:p w14:paraId="272D11C5">
      <w:pPr>
        <w:spacing w:line="244" w:lineRule="auto"/>
        <w:rPr>
          <w:rFonts w:ascii="Arial"/>
          <w:color w:val="auto"/>
          <w:sz w:val="21"/>
          <w:highlight w:val="none"/>
        </w:rPr>
      </w:pPr>
    </w:p>
    <w:p w14:paraId="2479C554">
      <w:pPr>
        <w:spacing w:line="244" w:lineRule="auto"/>
        <w:rPr>
          <w:rFonts w:ascii="Arial"/>
          <w:color w:val="auto"/>
          <w:sz w:val="21"/>
          <w:highlight w:val="none"/>
        </w:rPr>
      </w:pPr>
    </w:p>
    <w:p w14:paraId="11ECDD0C">
      <w:pPr>
        <w:spacing w:line="244" w:lineRule="auto"/>
        <w:rPr>
          <w:rFonts w:ascii="Arial"/>
          <w:color w:val="auto"/>
          <w:sz w:val="21"/>
          <w:highlight w:val="none"/>
        </w:rPr>
      </w:pPr>
    </w:p>
    <w:p w14:paraId="5A608180">
      <w:pPr>
        <w:spacing w:line="244" w:lineRule="auto"/>
        <w:rPr>
          <w:rFonts w:ascii="Arial"/>
          <w:color w:val="auto"/>
          <w:sz w:val="21"/>
          <w:highlight w:val="none"/>
        </w:rPr>
      </w:pPr>
    </w:p>
    <w:p w14:paraId="340C54FA">
      <w:pPr>
        <w:pStyle w:val="5"/>
        <w:spacing w:before="231" w:line="224" w:lineRule="auto"/>
        <w:ind w:left="3114"/>
        <w:outlineLvl w:val="1"/>
        <w:rPr>
          <w:color w:val="auto"/>
          <w:sz w:val="71"/>
          <w:szCs w:val="71"/>
          <w:highlight w:val="none"/>
        </w:rPr>
      </w:pPr>
      <w:bookmarkStart w:id="277" w:name="bookmark15"/>
      <w:bookmarkEnd w:id="277"/>
      <w:bookmarkStart w:id="278" w:name="bookmark154"/>
      <w:bookmarkEnd w:id="278"/>
      <w:bookmarkStart w:id="279" w:name="_Toc8050"/>
      <w:r>
        <w:rPr>
          <w:color w:val="auto"/>
          <w:sz w:val="71"/>
          <w:szCs w:val="71"/>
          <w:highlight w:val="none"/>
        </w:rPr>
        <w:t>第二卷</w:t>
      </w:r>
      <w:bookmarkEnd w:id="279"/>
    </w:p>
    <w:p w14:paraId="70F56585">
      <w:pPr>
        <w:spacing w:line="224" w:lineRule="auto"/>
        <w:rPr>
          <w:color w:val="auto"/>
          <w:sz w:val="71"/>
          <w:szCs w:val="71"/>
          <w:highlight w:val="none"/>
        </w:rPr>
        <w:sectPr>
          <w:footerReference r:id="rId83" w:type="default"/>
          <w:pgSz w:w="11906" w:h="16839"/>
          <w:pgMar w:top="1431" w:right="1785" w:bottom="1297" w:left="1785" w:header="0" w:footer="1069" w:gutter="0"/>
          <w:pgNumType w:fmt="decimal"/>
          <w:cols w:space="720" w:num="1"/>
        </w:sectPr>
      </w:pPr>
    </w:p>
    <w:p w14:paraId="7BD43710">
      <w:pPr>
        <w:spacing w:line="243" w:lineRule="auto"/>
        <w:rPr>
          <w:rFonts w:ascii="Arial"/>
          <w:color w:val="auto"/>
          <w:sz w:val="21"/>
          <w:highlight w:val="none"/>
        </w:rPr>
      </w:pPr>
    </w:p>
    <w:p w14:paraId="1358C101">
      <w:pPr>
        <w:spacing w:line="243" w:lineRule="auto"/>
        <w:rPr>
          <w:rFonts w:ascii="Arial"/>
          <w:color w:val="auto"/>
          <w:sz w:val="21"/>
          <w:highlight w:val="none"/>
        </w:rPr>
      </w:pPr>
    </w:p>
    <w:p w14:paraId="4F459D6D">
      <w:pPr>
        <w:spacing w:line="243" w:lineRule="auto"/>
        <w:rPr>
          <w:rFonts w:ascii="Arial"/>
          <w:color w:val="auto"/>
          <w:sz w:val="21"/>
          <w:highlight w:val="none"/>
        </w:rPr>
      </w:pPr>
    </w:p>
    <w:p w14:paraId="3C041AAD">
      <w:pPr>
        <w:spacing w:line="243" w:lineRule="auto"/>
        <w:rPr>
          <w:rFonts w:ascii="Arial"/>
          <w:color w:val="auto"/>
          <w:sz w:val="21"/>
          <w:highlight w:val="none"/>
        </w:rPr>
      </w:pPr>
    </w:p>
    <w:p w14:paraId="7D7440FA">
      <w:pPr>
        <w:spacing w:line="243" w:lineRule="auto"/>
        <w:rPr>
          <w:rFonts w:ascii="Arial"/>
          <w:color w:val="auto"/>
          <w:sz w:val="21"/>
          <w:highlight w:val="none"/>
        </w:rPr>
      </w:pPr>
    </w:p>
    <w:p w14:paraId="253D33C3">
      <w:pPr>
        <w:spacing w:line="243" w:lineRule="auto"/>
        <w:rPr>
          <w:rFonts w:ascii="Arial"/>
          <w:color w:val="auto"/>
          <w:sz w:val="21"/>
          <w:highlight w:val="none"/>
        </w:rPr>
      </w:pPr>
    </w:p>
    <w:p w14:paraId="1C110F33">
      <w:pPr>
        <w:spacing w:line="244" w:lineRule="auto"/>
        <w:rPr>
          <w:rFonts w:ascii="Arial"/>
          <w:color w:val="auto"/>
          <w:sz w:val="21"/>
          <w:highlight w:val="none"/>
        </w:rPr>
      </w:pPr>
    </w:p>
    <w:p w14:paraId="374275A2">
      <w:pPr>
        <w:spacing w:line="244" w:lineRule="auto"/>
        <w:rPr>
          <w:rFonts w:ascii="Arial"/>
          <w:color w:val="auto"/>
          <w:sz w:val="21"/>
          <w:highlight w:val="none"/>
        </w:rPr>
      </w:pPr>
    </w:p>
    <w:p w14:paraId="6CECD2EB">
      <w:pPr>
        <w:spacing w:line="244" w:lineRule="auto"/>
        <w:rPr>
          <w:rFonts w:ascii="Arial"/>
          <w:color w:val="auto"/>
          <w:sz w:val="21"/>
          <w:highlight w:val="none"/>
        </w:rPr>
      </w:pPr>
    </w:p>
    <w:p w14:paraId="3F1697D4">
      <w:pPr>
        <w:spacing w:line="244" w:lineRule="auto"/>
        <w:rPr>
          <w:rFonts w:ascii="Arial"/>
          <w:color w:val="auto"/>
          <w:sz w:val="21"/>
          <w:highlight w:val="none"/>
        </w:rPr>
      </w:pPr>
    </w:p>
    <w:p w14:paraId="58096F0A">
      <w:pPr>
        <w:spacing w:line="244" w:lineRule="auto"/>
        <w:rPr>
          <w:rFonts w:ascii="Arial"/>
          <w:color w:val="auto"/>
          <w:sz w:val="21"/>
          <w:highlight w:val="none"/>
        </w:rPr>
      </w:pPr>
    </w:p>
    <w:p w14:paraId="4B2E44CA">
      <w:pPr>
        <w:spacing w:line="244" w:lineRule="auto"/>
        <w:rPr>
          <w:rFonts w:ascii="Arial"/>
          <w:color w:val="auto"/>
          <w:sz w:val="21"/>
          <w:highlight w:val="none"/>
        </w:rPr>
      </w:pPr>
    </w:p>
    <w:p w14:paraId="1619CD64">
      <w:pPr>
        <w:spacing w:line="244" w:lineRule="auto"/>
        <w:rPr>
          <w:rFonts w:ascii="Arial"/>
          <w:color w:val="auto"/>
          <w:sz w:val="21"/>
          <w:highlight w:val="none"/>
        </w:rPr>
      </w:pPr>
    </w:p>
    <w:p w14:paraId="588411BA">
      <w:pPr>
        <w:spacing w:line="244" w:lineRule="auto"/>
        <w:rPr>
          <w:rFonts w:ascii="Arial"/>
          <w:color w:val="auto"/>
          <w:sz w:val="21"/>
          <w:highlight w:val="none"/>
        </w:rPr>
      </w:pPr>
    </w:p>
    <w:p w14:paraId="7F51607A">
      <w:pPr>
        <w:spacing w:line="244" w:lineRule="auto"/>
        <w:rPr>
          <w:rFonts w:ascii="Arial"/>
          <w:color w:val="auto"/>
          <w:sz w:val="21"/>
          <w:highlight w:val="none"/>
        </w:rPr>
      </w:pPr>
    </w:p>
    <w:p w14:paraId="3FB4EB73">
      <w:pPr>
        <w:spacing w:line="244" w:lineRule="auto"/>
        <w:rPr>
          <w:rFonts w:ascii="Arial"/>
          <w:color w:val="auto"/>
          <w:sz w:val="21"/>
          <w:highlight w:val="none"/>
        </w:rPr>
      </w:pPr>
    </w:p>
    <w:p w14:paraId="12CDE7FF">
      <w:pPr>
        <w:spacing w:line="244" w:lineRule="auto"/>
        <w:rPr>
          <w:rFonts w:ascii="Arial"/>
          <w:color w:val="auto"/>
          <w:sz w:val="21"/>
          <w:highlight w:val="none"/>
        </w:rPr>
      </w:pPr>
    </w:p>
    <w:p w14:paraId="1F8E66B2">
      <w:pPr>
        <w:spacing w:line="244" w:lineRule="auto"/>
        <w:rPr>
          <w:rFonts w:ascii="Arial"/>
          <w:color w:val="auto"/>
          <w:sz w:val="21"/>
          <w:highlight w:val="none"/>
        </w:rPr>
      </w:pPr>
    </w:p>
    <w:p w14:paraId="2A50A664">
      <w:pPr>
        <w:spacing w:line="244" w:lineRule="auto"/>
        <w:rPr>
          <w:rFonts w:ascii="Arial"/>
          <w:color w:val="auto"/>
          <w:sz w:val="21"/>
          <w:highlight w:val="none"/>
        </w:rPr>
      </w:pPr>
    </w:p>
    <w:p w14:paraId="643AFB74">
      <w:pPr>
        <w:spacing w:line="244" w:lineRule="auto"/>
        <w:rPr>
          <w:rFonts w:ascii="Arial"/>
          <w:color w:val="auto"/>
          <w:sz w:val="21"/>
          <w:highlight w:val="none"/>
        </w:rPr>
      </w:pPr>
    </w:p>
    <w:p w14:paraId="512A2968">
      <w:pPr>
        <w:spacing w:line="244" w:lineRule="auto"/>
        <w:rPr>
          <w:rFonts w:ascii="Arial"/>
          <w:color w:val="auto"/>
          <w:sz w:val="21"/>
          <w:highlight w:val="none"/>
        </w:rPr>
      </w:pPr>
    </w:p>
    <w:p w14:paraId="178D1C90">
      <w:pPr>
        <w:spacing w:line="244" w:lineRule="auto"/>
        <w:rPr>
          <w:rFonts w:ascii="Arial"/>
          <w:color w:val="auto"/>
          <w:sz w:val="21"/>
          <w:highlight w:val="none"/>
        </w:rPr>
      </w:pPr>
    </w:p>
    <w:p w14:paraId="0B3B20DA">
      <w:pPr>
        <w:spacing w:before="169" w:line="219" w:lineRule="auto"/>
        <w:ind w:left="1839"/>
        <w:outlineLvl w:val="0"/>
        <w:rPr>
          <w:rFonts w:ascii="宋体" w:hAnsi="宋体" w:eastAsia="宋体" w:cs="宋体"/>
          <w:color w:val="auto"/>
          <w:sz w:val="52"/>
          <w:szCs w:val="52"/>
          <w:highlight w:val="none"/>
        </w:rPr>
      </w:pPr>
      <w:bookmarkStart w:id="280" w:name="bookmark15"/>
      <w:bookmarkEnd w:id="280"/>
      <w:bookmarkStart w:id="281" w:name="_Toc88"/>
      <w:r>
        <w:rPr>
          <w:rFonts w:ascii="宋体" w:hAnsi="宋体" w:eastAsia="宋体" w:cs="宋体"/>
          <w:b/>
          <w:bCs/>
          <w:color w:val="auto"/>
          <w:spacing w:val="-5"/>
          <w:sz w:val="52"/>
          <w:szCs w:val="52"/>
          <w:highlight w:val="none"/>
        </w:rPr>
        <w:t>第五章</w:t>
      </w:r>
      <w:r>
        <w:rPr>
          <w:rFonts w:ascii="宋体" w:hAnsi="宋体" w:eastAsia="宋体" w:cs="宋体"/>
          <w:color w:val="auto"/>
          <w:spacing w:val="-5"/>
          <w:sz w:val="52"/>
          <w:szCs w:val="52"/>
          <w:highlight w:val="none"/>
        </w:rPr>
        <w:t xml:space="preserve">  </w:t>
      </w:r>
      <w:r>
        <w:rPr>
          <w:rFonts w:ascii="宋体" w:hAnsi="宋体" w:eastAsia="宋体" w:cs="宋体"/>
          <w:b/>
          <w:bCs/>
          <w:color w:val="auto"/>
          <w:spacing w:val="-5"/>
          <w:sz w:val="52"/>
          <w:szCs w:val="52"/>
          <w:highlight w:val="none"/>
        </w:rPr>
        <w:t>委托人要求</w:t>
      </w:r>
      <w:bookmarkEnd w:id="281"/>
    </w:p>
    <w:p w14:paraId="1B652385">
      <w:pPr>
        <w:spacing w:line="219" w:lineRule="auto"/>
        <w:rPr>
          <w:rFonts w:ascii="宋体" w:hAnsi="宋体" w:eastAsia="宋体" w:cs="宋体"/>
          <w:color w:val="auto"/>
          <w:sz w:val="52"/>
          <w:szCs w:val="52"/>
          <w:highlight w:val="none"/>
        </w:rPr>
        <w:sectPr>
          <w:footerReference r:id="rId84" w:type="default"/>
          <w:pgSz w:w="11906" w:h="16839"/>
          <w:pgMar w:top="1431" w:right="1785" w:bottom="1297" w:left="1785" w:header="0" w:footer="1067" w:gutter="0"/>
          <w:pgNumType w:fmt="decimal"/>
          <w:cols w:space="720" w:num="1"/>
        </w:sectPr>
      </w:pPr>
    </w:p>
    <w:p w14:paraId="0C1CB090">
      <w:pPr>
        <w:spacing w:before="59" w:line="221" w:lineRule="auto"/>
        <w:ind w:left="3789"/>
        <w:rPr>
          <w:rFonts w:ascii="宋体" w:hAnsi="宋体" w:eastAsia="宋体" w:cs="宋体"/>
          <w:color w:val="auto"/>
          <w:sz w:val="30"/>
          <w:szCs w:val="30"/>
          <w:highlight w:val="none"/>
        </w:rPr>
      </w:pPr>
      <w:bookmarkStart w:id="282" w:name="bookmark155"/>
      <w:bookmarkEnd w:id="282"/>
      <w:r>
        <w:rPr>
          <w:rFonts w:ascii="宋体" w:hAnsi="宋体" w:eastAsia="宋体" w:cs="宋体"/>
          <w:color w:val="auto"/>
          <w:spacing w:val="-3"/>
          <w:sz w:val="30"/>
          <w:szCs w:val="30"/>
          <w:highlight w:val="none"/>
        </w:rPr>
        <w:t>委托人要求</w:t>
      </w:r>
    </w:p>
    <w:p w14:paraId="4AE556D4">
      <w:pPr>
        <w:spacing w:line="265" w:lineRule="auto"/>
        <w:rPr>
          <w:rFonts w:ascii="Arial"/>
          <w:color w:val="auto"/>
          <w:sz w:val="21"/>
          <w:highlight w:val="none"/>
        </w:rPr>
      </w:pPr>
    </w:p>
    <w:p w14:paraId="40341282">
      <w:pPr>
        <w:spacing w:line="265" w:lineRule="auto"/>
        <w:rPr>
          <w:rFonts w:ascii="Arial"/>
          <w:color w:val="auto"/>
          <w:sz w:val="21"/>
          <w:highlight w:val="none"/>
        </w:rPr>
      </w:pPr>
    </w:p>
    <w:p w14:paraId="2FF474E9">
      <w:pPr>
        <w:spacing w:line="227" w:lineRule="auto"/>
        <w:ind w:left="419"/>
        <w:rPr>
          <w:rFonts w:ascii="宋体" w:hAnsi="宋体" w:eastAsia="宋体" w:cs="宋体"/>
          <w:color w:val="auto"/>
          <w:sz w:val="20"/>
          <w:szCs w:val="20"/>
          <w:highlight w:val="none"/>
        </w:rPr>
      </w:pPr>
    </w:p>
    <w:p w14:paraId="68475CBB">
      <w:pPr>
        <w:spacing w:before="199" w:line="221" w:lineRule="auto"/>
        <w:ind w:left="5"/>
        <w:outlineLvl w:val="1"/>
        <w:rPr>
          <w:rFonts w:ascii="宋体" w:hAnsi="宋体" w:eastAsia="宋体" w:cs="宋体"/>
          <w:color w:val="auto"/>
          <w:sz w:val="24"/>
          <w:szCs w:val="24"/>
          <w:highlight w:val="none"/>
        </w:rPr>
      </w:pPr>
      <w:bookmarkStart w:id="283" w:name="_Toc9383"/>
      <w:bookmarkStart w:id="284" w:name="_Toc12007"/>
      <w:r>
        <w:rPr>
          <w:rFonts w:ascii="宋体" w:hAnsi="宋体" w:eastAsia="宋体" w:cs="宋体"/>
          <w:b/>
          <w:bCs/>
          <w:color w:val="auto"/>
          <w:spacing w:val="-4"/>
          <w:sz w:val="24"/>
          <w:szCs w:val="24"/>
          <w:highlight w:val="none"/>
        </w:rPr>
        <w:t>一、监理要求</w:t>
      </w:r>
      <w:bookmarkEnd w:id="283"/>
      <w:bookmarkEnd w:id="284"/>
    </w:p>
    <w:p w14:paraId="5E280F15">
      <w:pPr>
        <w:spacing w:before="161" w:line="219" w:lineRule="auto"/>
        <w:ind w:left="482"/>
        <w:rPr>
          <w:rFonts w:ascii="宋体" w:hAnsi="宋体" w:eastAsia="宋体" w:cs="宋体"/>
          <w:color w:val="auto"/>
          <w:sz w:val="24"/>
          <w:szCs w:val="24"/>
          <w:highlight w:val="none"/>
        </w:rPr>
      </w:pPr>
      <w:r>
        <w:rPr>
          <w:rFonts w:ascii="宋体" w:hAnsi="宋体" w:eastAsia="宋体" w:cs="宋体"/>
          <w:color w:val="auto"/>
          <w:sz w:val="24"/>
          <w:szCs w:val="24"/>
          <w:highlight w:val="none"/>
        </w:rPr>
        <w:t>招标人应当根据项目情况在本章中明确相应的监理要</w:t>
      </w:r>
      <w:r>
        <w:rPr>
          <w:rFonts w:ascii="宋体" w:hAnsi="宋体" w:eastAsia="宋体" w:cs="宋体"/>
          <w:color w:val="auto"/>
          <w:spacing w:val="-1"/>
          <w:sz w:val="24"/>
          <w:szCs w:val="24"/>
          <w:highlight w:val="none"/>
        </w:rPr>
        <w:t>求，一般应包括以下内容：</w:t>
      </w:r>
    </w:p>
    <w:p w14:paraId="16E5B8A9">
      <w:pPr>
        <w:spacing w:before="155"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（一）项目概况</w:t>
      </w:r>
    </w:p>
    <w:p w14:paraId="21DBC70F">
      <w:pPr>
        <w:spacing w:before="152" w:line="309" w:lineRule="auto"/>
        <w:ind w:left="1" w:firstLine="497"/>
        <w:rPr>
          <w:rFonts w:hint="eastAsia" w:ascii="宋体" w:hAnsi="宋体" w:eastAsia="宋体" w:cs="宋体"/>
          <w:color w:val="auto"/>
          <w:spacing w:val="-2"/>
          <w:sz w:val="24"/>
          <w:szCs w:val="24"/>
          <w:highlight w:val="none"/>
          <w:lang w:val="en-US" w:eastAsia="zh-CN"/>
        </w:rPr>
      </w:pPr>
      <w:r>
        <w:rPr>
          <w:rFonts w:ascii="宋体" w:hAnsi="宋体" w:eastAsia="宋体" w:cs="宋体"/>
          <w:color w:val="auto"/>
          <w:spacing w:val="-2"/>
          <w:sz w:val="24"/>
          <w:szCs w:val="24"/>
          <w:highlight w:val="none"/>
        </w:rPr>
        <w:t>1. 项目名称</w:t>
      </w:r>
      <w:r>
        <w:rPr>
          <w:rFonts w:hint="eastAsia" w:ascii="宋体" w:hAnsi="宋体" w:eastAsia="宋体" w:cs="宋体"/>
          <w:color w:val="auto"/>
          <w:spacing w:val="-2"/>
          <w:sz w:val="24"/>
          <w:szCs w:val="24"/>
          <w:highlight w:val="none"/>
          <w:lang w:val="en-US" w:eastAsia="zh-CN"/>
        </w:rPr>
        <w:t>：</w:t>
      </w:r>
      <w:r>
        <w:rPr>
          <w:rFonts w:ascii="宋体" w:hAnsi="宋体" w:eastAsia="宋体" w:cs="宋体"/>
          <w:color w:val="auto"/>
          <w:sz w:val="24"/>
          <w:szCs w:val="24"/>
          <w:highlight w:val="none"/>
          <w:lang w:val="en-US" w:eastAsia="zh-CN"/>
        </w:rPr>
        <w:t>乳源瑶族自治县大东至岭溪公路新建工程施工监理</w:t>
      </w:r>
    </w:p>
    <w:p w14:paraId="3307FA82">
      <w:pPr>
        <w:spacing w:before="152" w:line="309" w:lineRule="auto"/>
        <w:ind w:left="1" w:firstLine="497"/>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建设单位</w:t>
      </w:r>
      <w:r>
        <w:rPr>
          <w:rFonts w:hint="eastAsia" w:ascii="宋体" w:hAnsi="宋体" w:eastAsia="宋体" w:cs="宋体"/>
          <w:color w:val="auto"/>
          <w:spacing w:val="-2"/>
          <w:sz w:val="24"/>
          <w:szCs w:val="24"/>
          <w:highlight w:val="none"/>
          <w:lang w:eastAsia="zh-CN"/>
        </w:rPr>
        <w:t>：</w:t>
      </w:r>
      <w:r>
        <w:rPr>
          <w:rFonts w:hint="default" w:ascii="宋体" w:hAnsi="宋体" w:eastAsia="宋体" w:cs="宋体"/>
          <w:color w:val="auto"/>
          <w:spacing w:val="-2"/>
          <w:sz w:val="24"/>
          <w:szCs w:val="24"/>
          <w:highlight w:val="none"/>
          <w:lang w:val="en-US" w:eastAsia="zh-CN"/>
        </w:rPr>
        <w:t>乳源瑶族自治县地方公路事务中心</w:t>
      </w:r>
      <w:r>
        <w:rPr>
          <w:rFonts w:hint="eastAsia" w:ascii="宋体" w:hAnsi="宋体" w:eastAsia="宋体" w:cs="宋体"/>
          <w:color w:val="auto"/>
          <w:spacing w:val="-2"/>
          <w:sz w:val="24"/>
          <w:szCs w:val="24"/>
          <w:highlight w:val="none"/>
          <w:lang w:val="en-US" w:eastAsia="zh-CN"/>
        </w:rPr>
        <w:t>。</w:t>
      </w:r>
    </w:p>
    <w:p w14:paraId="374AEB0E">
      <w:pPr>
        <w:spacing w:before="152" w:line="309" w:lineRule="auto"/>
        <w:ind w:left="1" w:firstLine="497"/>
        <w:rPr>
          <w:rFonts w:hint="eastAsia" w:ascii="宋体" w:hAnsi="宋体" w:eastAsia="宋体" w:cs="宋体"/>
          <w:color w:val="auto"/>
          <w:spacing w:val="-2"/>
          <w:sz w:val="24"/>
          <w:szCs w:val="24"/>
          <w:highlight w:val="none"/>
          <w:lang w:val="en-US" w:eastAsia="zh-CN"/>
        </w:rPr>
      </w:pPr>
      <w:r>
        <w:rPr>
          <w:rFonts w:ascii="宋体" w:hAnsi="宋体" w:eastAsia="宋体" w:cs="宋体"/>
          <w:color w:val="auto"/>
          <w:spacing w:val="-2"/>
          <w:sz w:val="24"/>
          <w:szCs w:val="24"/>
          <w:highlight w:val="none"/>
        </w:rPr>
        <w:t>建设规模、技术标准、项目地理位置</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建设地点：项目建设地点位于韶关市乳源瑶族自治县，路线起于省道S246线肖屋村附近，起点桩号为K0+000，路线往北延伸，沿线途经石寨下、旱坑背、庙湾、陈江、岭溪，终于国道G323线，终点桩号为K9+703.02，路线全长9.703公里。K0+000-K8+660段为新建，K8+660-K9+703.02段尽量利用现有公路进行改建。</w:t>
      </w:r>
    </w:p>
    <w:p w14:paraId="1CE5FB8C">
      <w:pPr>
        <w:spacing w:before="152" w:line="309" w:lineRule="auto"/>
        <w:ind w:left="1" w:firstLine="497"/>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招标范围及规模：项目采用三级公路的技术标准建设，路线全长9.703公里，主要内容为：路基土石方344165m³,路面工程69330㎡，挡土墙26232.9m³，排水与防护工程9.703公里，新建小桥53.4m/2座，中桥71m/1座，涵洞45道，等级路平面交叉2处，与等外路交叉5处。</w:t>
      </w:r>
    </w:p>
    <w:p w14:paraId="7F65427A">
      <w:pPr>
        <w:spacing w:before="157" w:line="220"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 项目周边环境、文物情况</w:t>
      </w:r>
      <w:r>
        <w:rPr>
          <w:rFonts w:hint="eastAsia" w:ascii="宋体" w:hAnsi="宋体" w:eastAsia="宋体" w:cs="宋体"/>
          <w:color w:val="auto"/>
          <w:spacing w:val="-1"/>
          <w:sz w:val="24"/>
          <w:szCs w:val="24"/>
          <w:highlight w:val="none"/>
          <w:lang w:eastAsia="zh-CN"/>
        </w:rPr>
        <w:t>：详见施工图</w:t>
      </w:r>
      <w:r>
        <w:rPr>
          <w:rFonts w:ascii="宋体" w:hAnsi="宋体" w:eastAsia="宋体" w:cs="宋体"/>
          <w:color w:val="auto"/>
          <w:spacing w:val="-1"/>
          <w:sz w:val="24"/>
          <w:szCs w:val="24"/>
          <w:highlight w:val="none"/>
        </w:rPr>
        <w:t>；</w:t>
      </w:r>
    </w:p>
    <w:p w14:paraId="47C013F3">
      <w:pPr>
        <w:spacing w:before="152"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 水文、气候、气象及地质简况</w:t>
      </w:r>
      <w:r>
        <w:rPr>
          <w:rFonts w:hint="eastAsia" w:ascii="宋体" w:hAnsi="宋体" w:eastAsia="宋体" w:cs="宋体"/>
          <w:color w:val="auto"/>
          <w:spacing w:val="-1"/>
          <w:sz w:val="24"/>
          <w:szCs w:val="24"/>
          <w:highlight w:val="none"/>
          <w:lang w:eastAsia="zh-CN"/>
        </w:rPr>
        <w:t>：详见施工图</w:t>
      </w:r>
      <w:r>
        <w:rPr>
          <w:rFonts w:ascii="宋体" w:hAnsi="宋体" w:eastAsia="宋体" w:cs="宋体"/>
          <w:color w:val="auto"/>
          <w:spacing w:val="-1"/>
          <w:sz w:val="24"/>
          <w:szCs w:val="24"/>
          <w:highlight w:val="none"/>
        </w:rPr>
        <w:t>；</w:t>
      </w:r>
    </w:p>
    <w:p w14:paraId="17E28811">
      <w:pPr>
        <w:spacing w:before="156"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 交通、电力、通讯及其他条件等</w:t>
      </w:r>
      <w:r>
        <w:rPr>
          <w:rFonts w:hint="eastAsia" w:ascii="宋体" w:hAnsi="宋体" w:eastAsia="宋体" w:cs="宋体"/>
          <w:color w:val="auto"/>
          <w:spacing w:val="-1"/>
          <w:sz w:val="24"/>
          <w:szCs w:val="24"/>
          <w:highlight w:val="none"/>
          <w:lang w:eastAsia="zh-CN"/>
        </w:rPr>
        <w:t>：详见施工图</w:t>
      </w:r>
      <w:r>
        <w:rPr>
          <w:rFonts w:ascii="宋体" w:hAnsi="宋体" w:eastAsia="宋体" w:cs="宋体"/>
          <w:color w:val="auto"/>
          <w:spacing w:val="-1"/>
          <w:sz w:val="24"/>
          <w:szCs w:val="24"/>
          <w:highlight w:val="none"/>
        </w:rPr>
        <w:t>。</w:t>
      </w:r>
    </w:p>
    <w:p w14:paraId="2075830D">
      <w:pPr>
        <w:spacing w:before="157"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（二）监理范围及内容</w:t>
      </w:r>
    </w:p>
    <w:p w14:paraId="4300E31E">
      <w:pPr>
        <w:spacing w:before="153" w:line="339" w:lineRule="auto"/>
        <w:ind w:right="128" w:firstLine="480"/>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w:t>
      </w:r>
      <w:r>
        <w:rPr>
          <w:rFonts w:ascii="宋体" w:hAnsi="宋体" w:eastAsia="宋体" w:cs="宋体"/>
          <w:color w:val="auto"/>
          <w:spacing w:val="5"/>
          <w:sz w:val="24"/>
          <w:szCs w:val="24"/>
          <w:highlight w:val="none"/>
        </w:rPr>
        <w:t>包括监理范围及主要监理内容</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详见监理合同相关条款。</w:t>
      </w:r>
    </w:p>
    <w:p w14:paraId="7AB7F7F8">
      <w:pPr>
        <w:spacing w:before="153" w:line="339" w:lineRule="auto"/>
        <w:ind w:right="128" w:firstLine="480"/>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2、</w:t>
      </w:r>
      <w:r>
        <w:rPr>
          <w:rFonts w:ascii="宋体" w:hAnsi="宋体" w:eastAsia="宋体" w:cs="宋体"/>
          <w:color w:val="auto"/>
          <w:spacing w:val="5"/>
          <w:sz w:val="24"/>
          <w:szCs w:val="24"/>
          <w:highlight w:val="none"/>
        </w:rPr>
        <w:t>与监理范围对应的施工标段划分及各标段主要工程数量表等</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详见施工图</w:t>
      </w:r>
      <w:r>
        <w:rPr>
          <w:rFonts w:ascii="宋体" w:hAnsi="宋体" w:eastAsia="宋体" w:cs="宋体"/>
          <w:color w:val="auto"/>
          <w:spacing w:val="5"/>
          <w:sz w:val="24"/>
          <w:szCs w:val="24"/>
          <w:highlight w:val="none"/>
        </w:rPr>
        <w:t>。</w:t>
      </w:r>
    </w:p>
    <w:p w14:paraId="5CF3EF3F">
      <w:pPr>
        <w:spacing w:before="153" w:line="339" w:lineRule="auto"/>
        <w:ind w:right="128" w:firstLine="480"/>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en-US"/>
        </w:rPr>
        <w:t>（三）</w:t>
      </w:r>
      <w:r>
        <w:rPr>
          <w:rFonts w:ascii="宋体" w:hAnsi="宋体" w:eastAsia="宋体" w:cs="宋体"/>
          <w:color w:val="auto"/>
          <w:spacing w:val="5"/>
          <w:sz w:val="24"/>
          <w:szCs w:val="24"/>
          <w:highlight w:val="none"/>
        </w:rPr>
        <w:t>监理依据</w:t>
      </w:r>
    </w:p>
    <w:p w14:paraId="6D3509FA">
      <w:pPr>
        <w:spacing w:before="153" w:line="339" w:lineRule="auto"/>
        <w:ind w:right="128" w:firstLine="480"/>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执行《公路工程施工监理规范》</w:t>
      </w:r>
    </w:p>
    <w:p w14:paraId="042FA3DC">
      <w:pPr>
        <w:spacing w:before="153" w:line="339" w:lineRule="auto"/>
        <w:ind w:right="128"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（四）监理人员和试验检测仪器设备要</w:t>
      </w:r>
      <w:r>
        <w:rPr>
          <w:rFonts w:ascii="宋体" w:hAnsi="宋体" w:eastAsia="宋体" w:cs="宋体"/>
          <w:color w:val="auto"/>
          <w:spacing w:val="-2"/>
          <w:sz w:val="24"/>
          <w:szCs w:val="24"/>
          <w:highlight w:val="none"/>
        </w:rPr>
        <w:t>求</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详见监理合同相关条款。</w:t>
      </w:r>
    </w:p>
    <w:p w14:paraId="1B60BEBF">
      <w:pPr>
        <w:spacing w:before="155" w:line="220"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（五）其他要求</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详见监理合同相关条款。</w:t>
      </w:r>
    </w:p>
    <w:p w14:paraId="19F7BBB1">
      <w:pPr>
        <w:spacing w:before="186" w:line="220" w:lineRule="auto"/>
        <w:ind w:left="5"/>
        <w:outlineLvl w:val="1"/>
        <w:rPr>
          <w:rFonts w:ascii="宋体" w:hAnsi="宋体" w:eastAsia="宋体" w:cs="宋体"/>
          <w:color w:val="auto"/>
          <w:sz w:val="24"/>
          <w:szCs w:val="24"/>
          <w:highlight w:val="none"/>
        </w:rPr>
      </w:pPr>
      <w:bookmarkStart w:id="285" w:name="_Toc23072"/>
      <w:bookmarkStart w:id="286" w:name="_Toc552"/>
      <w:r>
        <w:rPr>
          <w:rFonts w:ascii="宋体" w:hAnsi="宋体" w:eastAsia="宋体" w:cs="宋体"/>
          <w:b/>
          <w:bCs/>
          <w:color w:val="auto"/>
          <w:spacing w:val="-4"/>
          <w:sz w:val="24"/>
          <w:szCs w:val="24"/>
          <w:highlight w:val="none"/>
        </w:rPr>
        <w:t>二、适用规范标准</w:t>
      </w:r>
      <w:bookmarkEnd w:id="285"/>
      <w:bookmarkEnd w:id="286"/>
    </w:p>
    <w:p w14:paraId="713C305C">
      <w:pPr>
        <w:spacing w:before="163" w:line="221"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（一）通用施工监理规范</w:t>
      </w:r>
    </w:p>
    <w:p w14:paraId="36B6450D">
      <w:pPr>
        <w:spacing w:before="152"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执行最新《公路工程施工监理规范》。</w:t>
      </w:r>
    </w:p>
    <w:p w14:paraId="42FB74B6">
      <w:pPr>
        <w:spacing w:before="155" w:line="220"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（二）专用施工监理规范</w:t>
      </w:r>
    </w:p>
    <w:p w14:paraId="335C0FE9">
      <w:pPr>
        <w:spacing w:before="180" w:line="406" w:lineRule="auto"/>
        <w:ind w:left="1" w:right="128" w:firstLine="419"/>
        <w:jc w:val="both"/>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专用施工监理规范由招标人根据工程的实际情况，在最新《公路工</w:t>
      </w:r>
      <w:r>
        <w:rPr>
          <w:rFonts w:ascii="宋体" w:hAnsi="宋体" w:eastAsia="宋体" w:cs="宋体"/>
          <w:color w:val="auto"/>
          <w:spacing w:val="10"/>
          <w:sz w:val="24"/>
          <w:szCs w:val="24"/>
          <w:highlight w:val="none"/>
        </w:rPr>
        <w:t>程施工监理规范》的基础上自行编制并纳入“委托人要求</w:t>
      </w:r>
      <w:r>
        <w:rPr>
          <w:rFonts w:ascii="宋体" w:hAnsi="宋体" w:eastAsia="宋体" w:cs="宋体"/>
          <w:color w:val="auto"/>
          <w:spacing w:val="-69"/>
          <w:sz w:val="24"/>
          <w:szCs w:val="24"/>
          <w:highlight w:val="none"/>
        </w:rPr>
        <w:t xml:space="preserve"> </w:t>
      </w:r>
      <w:r>
        <w:rPr>
          <w:rFonts w:ascii="宋体" w:hAnsi="宋体" w:eastAsia="宋体" w:cs="宋体"/>
          <w:color w:val="auto"/>
          <w:spacing w:val="10"/>
          <w:sz w:val="24"/>
          <w:szCs w:val="24"/>
          <w:highlight w:val="none"/>
        </w:rPr>
        <w:t>”中，但不得与国家、交通运输部及有关部门的法规、标准、规范等</w:t>
      </w:r>
      <w:r>
        <w:rPr>
          <w:rFonts w:ascii="宋体" w:hAnsi="宋体" w:eastAsia="宋体" w:cs="宋体"/>
          <w:color w:val="auto"/>
          <w:spacing w:val="2"/>
          <w:sz w:val="24"/>
          <w:szCs w:val="24"/>
          <w:highlight w:val="none"/>
        </w:rPr>
        <w:t>矛盾。</w:t>
      </w:r>
    </w:p>
    <w:p w14:paraId="20AA2243">
      <w:pPr>
        <w:spacing w:before="1" w:line="409" w:lineRule="auto"/>
        <w:ind w:left="19" w:right="30" w:firstLine="40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针对本工程或仅在本地区实行的与监理工作有</w:t>
      </w:r>
      <w:r>
        <w:rPr>
          <w:rFonts w:ascii="宋体" w:hAnsi="宋体" w:eastAsia="宋体" w:cs="宋体"/>
          <w:color w:val="auto"/>
          <w:spacing w:val="12"/>
          <w:sz w:val="24"/>
          <w:szCs w:val="24"/>
          <w:highlight w:val="none"/>
        </w:rPr>
        <w:t>关的管理办法、制度应一并纳入“委托人要求</w:t>
      </w:r>
      <w:r>
        <w:rPr>
          <w:rFonts w:ascii="宋体" w:hAnsi="宋体" w:eastAsia="宋体" w:cs="宋体"/>
          <w:color w:val="auto"/>
          <w:spacing w:val="-72"/>
          <w:sz w:val="24"/>
          <w:szCs w:val="24"/>
          <w:highlight w:val="none"/>
        </w:rPr>
        <w:t xml:space="preserve"> </w:t>
      </w:r>
      <w:r>
        <w:rPr>
          <w:rFonts w:ascii="宋体" w:hAnsi="宋体" w:eastAsia="宋体" w:cs="宋体"/>
          <w:color w:val="auto"/>
          <w:spacing w:val="12"/>
          <w:sz w:val="24"/>
          <w:szCs w:val="24"/>
          <w:highlight w:val="none"/>
        </w:rPr>
        <w:t>”</w:t>
      </w:r>
      <w:r>
        <w:rPr>
          <w:rFonts w:ascii="宋体" w:hAnsi="宋体" w:eastAsia="宋体" w:cs="宋体"/>
          <w:color w:val="auto"/>
          <w:spacing w:val="-10"/>
          <w:sz w:val="24"/>
          <w:szCs w:val="24"/>
          <w:highlight w:val="none"/>
        </w:rPr>
        <w:t>中。</w:t>
      </w:r>
    </w:p>
    <w:p w14:paraId="44C00550">
      <w:pPr>
        <w:spacing w:before="132" w:line="219" w:lineRule="auto"/>
        <w:ind w:left="49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（三）施工技术规范</w:t>
      </w:r>
    </w:p>
    <w:p w14:paraId="598F8D4E">
      <w:pPr>
        <w:spacing w:before="154" w:line="219"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施工技术规范包括以下内容：</w:t>
      </w:r>
    </w:p>
    <w:p w14:paraId="5A8B74C0">
      <w:pPr>
        <w:spacing w:before="155" w:line="219" w:lineRule="auto"/>
        <w:ind w:left="49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 本工程施工标段招标文件中的技术规范；</w:t>
      </w:r>
    </w:p>
    <w:p w14:paraId="55827F7A">
      <w:pPr>
        <w:spacing w:before="155" w:line="219" w:lineRule="auto"/>
        <w:ind w:left="482"/>
        <w:rPr>
          <w:rFonts w:ascii="宋体" w:hAnsi="宋体" w:eastAsia="宋体" w:cs="宋体"/>
          <w:color w:val="auto"/>
          <w:sz w:val="24"/>
          <w:szCs w:val="24"/>
          <w:highlight w:val="none"/>
        </w:rPr>
      </w:pPr>
      <w:r>
        <w:rPr>
          <w:rFonts w:ascii="宋体" w:hAnsi="宋体" w:eastAsia="宋体" w:cs="宋体"/>
          <w:color w:val="auto"/>
          <w:sz w:val="24"/>
          <w:szCs w:val="24"/>
          <w:highlight w:val="none"/>
        </w:rPr>
        <w:t>2. 所有与工程施工有关的国家现行的公路建设</w:t>
      </w:r>
      <w:r>
        <w:rPr>
          <w:rFonts w:ascii="宋体" w:hAnsi="宋体" w:eastAsia="宋体" w:cs="宋体"/>
          <w:color w:val="auto"/>
          <w:spacing w:val="-1"/>
          <w:sz w:val="24"/>
          <w:szCs w:val="24"/>
          <w:highlight w:val="none"/>
        </w:rPr>
        <w:t>标准、规范、规程及相关文件。</w:t>
      </w:r>
    </w:p>
    <w:p w14:paraId="6980B037">
      <w:pPr>
        <w:spacing w:before="154" w:line="218"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（四）执行广东省《公路工程造价管理指南》。</w:t>
      </w:r>
    </w:p>
    <w:p w14:paraId="684A326D">
      <w:pPr>
        <w:spacing w:before="158" w:line="219"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（五）国家、行业、项目所在地适用本工程的其他规范、标准或规程。</w:t>
      </w:r>
    </w:p>
    <w:p w14:paraId="2E08914E">
      <w:pPr>
        <w:spacing w:before="187" w:line="219" w:lineRule="auto"/>
        <w:outlineLvl w:val="1"/>
        <w:rPr>
          <w:rFonts w:ascii="宋体" w:hAnsi="宋体" w:eastAsia="宋体" w:cs="宋体"/>
          <w:color w:val="auto"/>
          <w:sz w:val="24"/>
          <w:szCs w:val="24"/>
          <w:highlight w:val="none"/>
        </w:rPr>
      </w:pPr>
      <w:bookmarkStart w:id="287" w:name="_Toc13224"/>
      <w:bookmarkStart w:id="288" w:name="_Toc27662"/>
      <w:r>
        <w:rPr>
          <w:rFonts w:ascii="宋体" w:hAnsi="宋体" w:eastAsia="宋体" w:cs="宋体"/>
          <w:b/>
          <w:bCs/>
          <w:color w:val="auto"/>
          <w:spacing w:val="-3"/>
          <w:sz w:val="24"/>
          <w:szCs w:val="24"/>
          <w:highlight w:val="none"/>
        </w:rPr>
        <w:t>三、成果文件要求</w:t>
      </w:r>
      <w:bookmarkEnd w:id="287"/>
      <w:bookmarkEnd w:id="288"/>
    </w:p>
    <w:p w14:paraId="41496A23">
      <w:pPr>
        <w:spacing w:before="164" w:line="219" w:lineRule="auto"/>
        <w:ind w:left="491"/>
        <w:rPr>
          <w:rFonts w:hint="default" w:ascii="宋体" w:hAnsi="宋体" w:eastAsia="宋体" w:cs="宋体"/>
          <w:color w:val="auto"/>
          <w:sz w:val="24"/>
          <w:szCs w:val="24"/>
          <w:highlight w:val="none"/>
          <w:lang w:val="en-US"/>
        </w:rPr>
      </w:pPr>
      <w:r>
        <w:rPr>
          <w:rFonts w:ascii="宋体" w:hAnsi="宋体" w:eastAsia="宋体" w:cs="宋体"/>
          <w:color w:val="auto"/>
          <w:spacing w:val="-3"/>
          <w:sz w:val="24"/>
          <w:szCs w:val="24"/>
          <w:highlight w:val="none"/>
        </w:rPr>
        <w:t>（一）成果文件的组成</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587CAEC9">
      <w:pPr>
        <w:spacing w:before="154" w:line="219" w:lineRule="auto"/>
        <w:ind w:left="49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（二）成果文件的深度</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2F35895C">
      <w:pPr>
        <w:spacing w:before="157"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（三）成果文件的格式要求</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1258A444">
      <w:pPr>
        <w:spacing w:before="155"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（四）成果文件的份数要求</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1DE1ED4E">
      <w:pPr>
        <w:spacing w:before="154"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（五）成果文件的载体要求</w:t>
      </w:r>
    </w:p>
    <w:p w14:paraId="1FAB8E64">
      <w:pPr>
        <w:spacing w:before="157" w:line="220" w:lineRule="auto"/>
        <w:ind w:left="49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 纸质版的要求</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04892D5C">
      <w:pPr>
        <w:spacing w:before="153" w:line="220" w:lineRule="auto"/>
        <w:ind w:left="48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w:t>
      </w:r>
      <w:r>
        <w:rPr>
          <w:rFonts w:ascii="宋体" w:hAnsi="宋体" w:eastAsia="宋体" w:cs="宋体"/>
          <w:color w:val="auto"/>
          <w:spacing w:val="40"/>
          <w:sz w:val="24"/>
          <w:szCs w:val="24"/>
          <w:highlight w:val="none"/>
        </w:rPr>
        <w:t xml:space="preserve"> </w:t>
      </w:r>
      <w:r>
        <w:rPr>
          <w:rFonts w:ascii="宋体" w:hAnsi="宋体" w:eastAsia="宋体" w:cs="宋体"/>
          <w:color w:val="auto"/>
          <w:spacing w:val="-6"/>
          <w:sz w:val="24"/>
          <w:szCs w:val="24"/>
          <w:highlight w:val="none"/>
        </w:rPr>
        <w:t>电子版的要求</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68AF3D27">
      <w:pPr>
        <w:spacing w:before="153" w:line="220"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 其他要求</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z w:val="24"/>
          <w:szCs w:val="24"/>
          <w:highlight w:val="none"/>
          <w:u w:val="single"/>
          <w:lang w:val="en-US" w:eastAsia="zh-CN"/>
        </w:rPr>
        <w:t>/</w:t>
      </w:r>
      <w:r>
        <w:rPr>
          <w:rFonts w:ascii="宋体" w:hAnsi="宋体" w:eastAsia="宋体" w:cs="宋体"/>
          <w:color w:val="auto"/>
          <w:spacing w:val="-2"/>
          <w:sz w:val="24"/>
          <w:szCs w:val="24"/>
          <w:highlight w:val="none"/>
        </w:rPr>
        <w:t>。</w:t>
      </w:r>
    </w:p>
    <w:p w14:paraId="7A50AC41">
      <w:pPr>
        <w:spacing w:before="156"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（六）成果文件的其他要求</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26FD9EED">
      <w:pPr>
        <w:spacing w:before="186" w:line="219" w:lineRule="auto"/>
        <w:ind w:left="22"/>
        <w:outlineLvl w:val="1"/>
        <w:rPr>
          <w:rFonts w:ascii="宋体" w:hAnsi="宋体" w:eastAsia="宋体" w:cs="宋体"/>
          <w:color w:val="auto"/>
          <w:sz w:val="24"/>
          <w:szCs w:val="24"/>
          <w:highlight w:val="none"/>
        </w:rPr>
      </w:pPr>
      <w:bookmarkStart w:id="289" w:name="_Toc8609"/>
      <w:bookmarkStart w:id="290" w:name="_Toc16909"/>
      <w:r>
        <w:rPr>
          <w:rFonts w:ascii="宋体" w:hAnsi="宋体" w:eastAsia="宋体" w:cs="宋体"/>
          <w:b/>
          <w:bCs/>
          <w:color w:val="auto"/>
          <w:spacing w:val="-6"/>
          <w:sz w:val="24"/>
          <w:szCs w:val="24"/>
          <w:highlight w:val="none"/>
        </w:rPr>
        <w:t>四、委托人财产清单</w:t>
      </w:r>
      <w:bookmarkEnd w:id="289"/>
      <w:bookmarkEnd w:id="290"/>
    </w:p>
    <w:p w14:paraId="616DC61A">
      <w:pPr>
        <w:spacing w:before="163"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（一）委托人提供的设备、设施</w:t>
      </w:r>
    </w:p>
    <w:p w14:paraId="27F8414D">
      <w:pPr>
        <w:spacing w:before="154" w:line="219" w:lineRule="auto"/>
        <w:ind w:left="48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不提供。</w:t>
      </w:r>
    </w:p>
    <w:p w14:paraId="75EC69BF">
      <w:pPr>
        <w:spacing w:before="157"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（二）委托人提供的资料</w:t>
      </w:r>
    </w:p>
    <w:p w14:paraId="57FD2BD2">
      <w:pPr>
        <w:spacing w:before="155" w:line="299" w:lineRule="auto"/>
        <w:ind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 施工场地及毗邻区域内的供水、排水、供电、供气、供热、通信、广播电视等</w:t>
      </w:r>
      <w:r>
        <w:rPr>
          <w:rFonts w:ascii="宋体" w:hAnsi="宋体" w:eastAsia="宋体" w:cs="宋体"/>
          <w:color w:val="auto"/>
          <w:spacing w:val="5"/>
          <w:sz w:val="24"/>
          <w:szCs w:val="24"/>
          <w:highlight w:val="none"/>
        </w:rPr>
        <w:t>地下管线资料、气象和水文观测资料，相邻建筑物和构筑物、地下工程的有</w:t>
      </w:r>
      <w:r>
        <w:rPr>
          <w:rFonts w:ascii="宋体" w:hAnsi="宋体" w:eastAsia="宋体" w:cs="宋体"/>
          <w:color w:val="auto"/>
          <w:spacing w:val="4"/>
          <w:sz w:val="24"/>
          <w:szCs w:val="24"/>
          <w:highlight w:val="none"/>
        </w:rPr>
        <w:t>关资料，</w:t>
      </w:r>
      <w:r>
        <w:rPr>
          <w:rFonts w:ascii="宋体" w:hAnsi="宋体" w:eastAsia="宋体" w:cs="宋体"/>
          <w:color w:val="auto"/>
          <w:spacing w:val="-1"/>
          <w:sz w:val="24"/>
          <w:szCs w:val="24"/>
          <w:highlight w:val="none"/>
        </w:rPr>
        <w:t>以及其他与公路工程有关的原始资料</w:t>
      </w:r>
    </w:p>
    <w:p w14:paraId="56625574">
      <w:pPr>
        <w:spacing w:before="155"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 定位放线的基准点、基准线和基准标高</w:t>
      </w:r>
    </w:p>
    <w:p w14:paraId="1BE38ED6">
      <w:pPr>
        <w:spacing w:before="153"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 委托人取得的有关审批、核准和备案材料</w:t>
      </w:r>
    </w:p>
    <w:p w14:paraId="6C8B6753">
      <w:pPr>
        <w:spacing w:before="158" w:line="219"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 勘察文件、设计文件等资料</w:t>
      </w:r>
    </w:p>
    <w:p w14:paraId="425AF2A8">
      <w:pPr>
        <w:spacing w:before="155" w:line="219"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 技术标准、规范</w:t>
      </w:r>
    </w:p>
    <w:p w14:paraId="615AD7AF">
      <w:pPr>
        <w:spacing w:before="154"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 工程承包合同及其他相关合同</w:t>
      </w:r>
    </w:p>
    <w:p w14:paraId="1064D375">
      <w:pPr>
        <w:spacing w:before="157" w:line="220" w:lineRule="auto"/>
        <w:ind w:left="48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w:t>
      </w:r>
      <w:r>
        <w:rPr>
          <w:rFonts w:ascii="宋体" w:hAnsi="宋体" w:eastAsia="宋体" w:cs="宋体"/>
          <w:color w:val="auto"/>
          <w:spacing w:val="13"/>
          <w:sz w:val="24"/>
          <w:szCs w:val="24"/>
          <w:highlight w:val="none"/>
        </w:rPr>
        <w:t xml:space="preserve"> </w:t>
      </w:r>
      <w:r>
        <w:rPr>
          <w:rFonts w:ascii="宋体" w:hAnsi="宋体" w:eastAsia="宋体" w:cs="宋体"/>
          <w:color w:val="auto"/>
          <w:spacing w:val="-5"/>
          <w:sz w:val="24"/>
          <w:szCs w:val="24"/>
          <w:highlight w:val="none"/>
        </w:rPr>
        <w:t>其他资料</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z w:val="24"/>
          <w:szCs w:val="24"/>
          <w:highlight w:val="none"/>
          <w:u w:val="single"/>
          <w:lang w:val="en-US" w:eastAsia="zh-CN"/>
        </w:rPr>
        <w:t>/</w:t>
      </w:r>
    </w:p>
    <w:p w14:paraId="76027344">
      <w:pPr>
        <w:spacing w:before="153" w:line="378" w:lineRule="exact"/>
        <w:ind w:left="495"/>
        <w:rPr>
          <w:rFonts w:ascii="宋体" w:hAnsi="宋体" w:eastAsia="宋体" w:cs="宋体"/>
          <w:color w:val="auto"/>
          <w:sz w:val="24"/>
          <w:szCs w:val="24"/>
          <w:highlight w:val="none"/>
        </w:rPr>
      </w:pPr>
    </w:p>
    <w:p w14:paraId="1A7E2A26">
      <w:pPr>
        <w:spacing w:before="61"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（三）委托人财产使用要求及退还要求</w:t>
      </w:r>
    </w:p>
    <w:p w14:paraId="3C7BE0AB">
      <w:pPr>
        <w:spacing w:line="219" w:lineRule="auto"/>
        <w:ind w:firstLine="468" w:firstLineChars="200"/>
        <w:rPr>
          <w:rFonts w:ascii="宋体" w:hAnsi="宋体" w:eastAsia="宋体" w:cs="宋体"/>
          <w:color w:val="auto"/>
          <w:spacing w:val="-3"/>
          <w:sz w:val="24"/>
          <w:szCs w:val="24"/>
          <w:highlight w:val="none"/>
        </w:rPr>
      </w:pPr>
    </w:p>
    <w:p w14:paraId="7FD04D03">
      <w:pPr>
        <w:spacing w:line="219" w:lineRule="auto"/>
        <w:ind w:firstLine="468" w:firstLineChars="20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 委托人财产使用要求</w:t>
      </w:r>
      <w:r>
        <w:rPr>
          <w:rFonts w:hint="eastAsia" w:ascii="宋体" w:hAnsi="宋体" w:eastAsia="宋体" w:cs="宋体"/>
          <w:color w:val="auto"/>
          <w:spacing w:val="-2"/>
          <w:sz w:val="24"/>
          <w:szCs w:val="24"/>
          <w:highlight w:val="none"/>
          <w:lang w:val="en-US" w:eastAsia="zh-CN"/>
        </w:rPr>
        <w:t>:/</w:t>
      </w:r>
    </w:p>
    <w:p w14:paraId="642CB0B8">
      <w:pPr>
        <w:spacing w:before="154" w:line="219"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 委托人财产退还要求</w:t>
      </w:r>
      <w:r>
        <w:rPr>
          <w:rFonts w:hint="eastAsia" w:ascii="宋体" w:hAnsi="宋体" w:eastAsia="宋体" w:cs="宋体"/>
          <w:color w:val="auto"/>
          <w:spacing w:val="-2"/>
          <w:sz w:val="24"/>
          <w:szCs w:val="24"/>
          <w:highlight w:val="none"/>
          <w:lang w:val="en-US" w:eastAsia="zh-CN"/>
        </w:rPr>
        <w:t>:/</w:t>
      </w:r>
    </w:p>
    <w:p w14:paraId="28B4236F">
      <w:pPr>
        <w:spacing w:before="91" w:line="219" w:lineRule="auto"/>
        <w:ind w:left="4"/>
        <w:outlineLvl w:val="1"/>
        <w:rPr>
          <w:rFonts w:ascii="宋体" w:hAnsi="宋体" w:eastAsia="宋体" w:cs="宋体"/>
          <w:color w:val="auto"/>
          <w:sz w:val="24"/>
          <w:szCs w:val="24"/>
          <w:highlight w:val="none"/>
        </w:rPr>
      </w:pPr>
      <w:bookmarkStart w:id="291" w:name="_Toc29738"/>
      <w:bookmarkStart w:id="292" w:name="_Toc887"/>
      <w:r>
        <w:rPr>
          <w:rFonts w:ascii="宋体" w:hAnsi="宋体" w:eastAsia="宋体" w:cs="宋体"/>
          <w:b/>
          <w:bCs/>
          <w:color w:val="auto"/>
          <w:spacing w:val="-3"/>
          <w:sz w:val="24"/>
          <w:szCs w:val="24"/>
          <w:highlight w:val="none"/>
        </w:rPr>
        <w:t>五、委托人提供的便利条件</w:t>
      </w:r>
      <w:bookmarkEnd w:id="291"/>
      <w:bookmarkEnd w:id="292"/>
    </w:p>
    <w:p w14:paraId="46B4260C">
      <w:pPr>
        <w:spacing w:before="164" w:line="219" w:lineRule="auto"/>
        <w:ind w:left="492"/>
        <w:rPr>
          <w:rFonts w:hint="default" w:ascii="宋体" w:hAnsi="宋体" w:eastAsia="宋体" w:cs="宋体"/>
          <w:color w:val="auto"/>
          <w:sz w:val="24"/>
          <w:szCs w:val="24"/>
          <w:highlight w:val="none"/>
          <w:lang w:val="en-US"/>
        </w:rPr>
      </w:pPr>
      <w:r>
        <w:rPr>
          <w:rFonts w:ascii="宋体" w:hAnsi="宋体" w:eastAsia="宋体" w:cs="宋体"/>
          <w:color w:val="auto"/>
          <w:spacing w:val="-2"/>
          <w:sz w:val="24"/>
          <w:szCs w:val="24"/>
          <w:highlight w:val="none"/>
        </w:rPr>
        <w:t>（一）委托人提供的生活条件</w:t>
      </w:r>
      <w:r>
        <w:rPr>
          <w:rFonts w:hint="eastAsia" w:ascii="宋体" w:hAnsi="宋体" w:eastAsia="宋体" w:cs="宋体"/>
          <w:color w:val="auto"/>
          <w:spacing w:val="-2"/>
          <w:sz w:val="24"/>
          <w:szCs w:val="24"/>
          <w:highlight w:val="none"/>
          <w:lang w:val="en-US" w:eastAsia="zh-CN"/>
        </w:rPr>
        <w:t>:无</w:t>
      </w:r>
    </w:p>
    <w:p w14:paraId="1725CDE5">
      <w:pPr>
        <w:spacing w:before="155"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（二）委托人提供的交通条件</w:t>
      </w:r>
      <w:r>
        <w:rPr>
          <w:rFonts w:hint="eastAsia" w:ascii="宋体" w:hAnsi="宋体" w:eastAsia="宋体" w:cs="宋体"/>
          <w:color w:val="auto"/>
          <w:spacing w:val="-2"/>
          <w:sz w:val="24"/>
          <w:szCs w:val="24"/>
          <w:highlight w:val="none"/>
          <w:lang w:val="en-US" w:eastAsia="zh-CN"/>
        </w:rPr>
        <w:t>:/</w:t>
      </w:r>
    </w:p>
    <w:p w14:paraId="69041AAD">
      <w:pPr>
        <w:spacing w:before="157"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（三）委托人提供的网络、通讯条件</w:t>
      </w:r>
      <w:r>
        <w:rPr>
          <w:rFonts w:hint="eastAsia" w:ascii="宋体" w:hAnsi="宋体" w:eastAsia="宋体" w:cs="宋体"/>
          <w:color w:val="auto"/>
          <w:spacing w:val="-2"/>
          <w:sz w:val="24"/>
          <w:szCs w:val="24"/>
          <w:highlight w:val="none"/>
          <w:lang w:val="en-US" w:eastAsia="zh-CN"/>
        </w:rPr>
        <w:t>:/</w:t>
      </w:r>
    </w:p>
    <w:p w14:paraId="38FD49D7">
      <w:pPr>
        <w:spacing w:before="154" w:line="219" w:lineRule="auto"/>
        <w:ind w:left="492"/>
        <w:rPr>
          <w:rFonts w:hint="default" w:ascii="宋体" w:hAnsi="宋体" w:eastAsia="宋体" w:cs="宋体"/>
          <w:color w:val="auto"/>
          <w:sz w:val="24"/>
          <w:szCs w:val="24"/>
          <w:highlight w:val="none"/>
          <w:lang w:val="en-US" w:eastAsia="zh-CN"/>
        </w:rPr>
      </w:pPr>
      <w:r>
        <w:rPr>
          <w:rFonts w:ascii="宋体" w:hAnsi="宋体" w:eastAsia="宋体" w:cs="宋体"/>
          <w:color w:val="auto"/>
          <w:spacing w:val="-2"/>
          <w:sz w:val="24"/>
          <w:szCs w:val="24"/>
          <w:highlight w:val="none"/>
        </w:rPr>
        <w:t>（四）委托人提供的协助人员</w:t>
      </w:r>
      <w:r>
        <w:rPr>
          <w:rFonts w:hint="eastAsia" w:ascii="宋体" w:hAnsi="宋体" w:eastAsia="宋体" w:cs="宋体"/>
          <w:color w:val="auto"/>
          <w:spacing w:val="-2"/>
          <w:sz w:val="24"/>
          <w:szCs w:val="24"/>
          <w:highlight w:val="none"/>
          <w:lang w:val="en-US" w:eastAsia="zh-CN"/>
        </w:rPr>
        <w:t>:/</w:t>
      </w:r>
    </w:p>
    <w:p w14:paraId="4368C681">
      <w:pPr>
        <w:spacing w:before="95" w:line="219" w:lineRule="auto"/>
        <w:ind w:left="2"/>
        <w:outlineLvl w:val="1"/>
        <w:rPr>
          <w:rFonts w:ascii="宋体" w:hAnsi="宋体" w:eastAsia="宋体" w:cs="宋体"/>
          <w:color w:val="auto"/>
          <w:sz w:val="24"/>
          <w:szCs w:val="24"/>
          <w:highlight w:val="none"/>
        </w:rPr>
      </w:pPr>
      <w:bookmarkStart w:id="293" w:name="_Toc18535"/>
      <w:bookmarkStart w:id="294" w:name="_Toc13303"/>
      <w:r>
        <w:rPr>
          <w:rFonts w:ascii="宋体" w:hAnsi="宋体" w:eastAsia="宋体" w:cs="宋体"/>
          <w:b/>
          <w:bCs/>
          <w:color w:val="auto"/>
          <w:spacing w:val="-3"/>
          <w:sz w:val="24"/>
          <w:szCs w:val="24"/>
          <w:highlight w:val="none"/>
        </w:rPr>
        <w:t>六、监理人需要自备的工作条件</w:t>
      </w:r>
      <w:bookmarkEnd w:id="293"/>
      <w:bookmarkEnd w:id="294"/>
    </w:p>
    <w:p w14:paraId="45CC1857">
      <w:pPr>
        <w:spacing w:before="164"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（一）监理人自备的工作手册：如本项目必备的规范标准、图集等</w:t>
      </w:r>
    </w:p>
    <w:p w14:paraId="63D864A1">
      <w:pPr>
        <w:spacing w:before="154" w:line="279" w:lineRule="auto"/>
        <w:ind w:left="2" w:firstLine="48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（二）监理人自备的办公设备：如电脑、软件、投影、打印机、复</w:t>
      </w:r>
      <w:r>
        <w:rPr>
          <w:rFonts w:ascii="宋体" w:hAnsi="宋体" w:eastAsia="宋体" w:cs="宋体"/>
          <w:color w:val="auto"/>
          <w:spacing w:val="4"/>
          <w:sz w:val="24"/>
          <w:szCs w:val="24"/>
          <w:highlight w:val="none"/>
        </w:rPr>
        <w:t>印机、照相机</w:t>
      </w:r>
      <w:r>
        <w:rPr>
          <w:rFonts w:ascii="宋体" w:hAnsi="宋体" w:eastAsia="宋体" w:cs="宋体"/>
          <w:color w:val="auto"/>
          <w:sz w:val="24"/>
          <w:szCs w:val="24"/>
          <w:highlight w:val="none"/>
        </w:rPr>
        <w:t>等</w:t>
      </w:r>
    </w:p>
    <w:p w14:paraId="00F9B887">
      <w:pPr>
        <w:spacing w:before="156"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（三）监理人自备的交通工具：如出行车辆等</w:t>
      </w:r>
    </w:p>
    <w:p w14:paraId="0E7EE4FA">
      <w:pPr>
        <w:spacing w:before="155"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（四）监理人自备的现场办公设施：如办公桌椅、文件柜等</w:t>
      </w:r>
    </w:p>
    <w:p w14:paraId="167F1C76">
      <w:pPr>
        <w:spacing w:before="154"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（五）监理人自备的安全设施：如安全帽、安全鞋、手电筒等</w:t>
      </w:r>
    </w:p>
    <w:p w14:paraId="29F7C15D">
      <w:pPr>
        <w:spacing w:before="157"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（六）监理人自备的试验检测仪器、设备、工具</w:t>
      </w:r>
    </w:p>
    <w:p w14:paraId="7D333C1D">
      <w:pPr>
        <w:spacing w:before="155"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（七）监理人自备的试验用房、样品用房</w:t>
      </w:r>
    </w:p>
    <w:p w14:paraId="58B5233C">
      <w:pPr>
        <w:spacing w:before="95" w:line="220" w:lineRule="auto"/>
        <w:outlineLvl w:val="1"/>
        <w:rPr>
          <w:rFonts w:ascii="宋体" w:hAnsi="宋体" w:eastAsia="宋体" w:cs="宋体"/>
          <w:color w:val="auto"/>
          <w:sz w:val="24"/>
          <w:szCs w:val="24"/>
          <w:highlight w:val="none"/>
        </w:rPr>
      </w:pPr>
      <w:bookmarkStart w:id="295" w:name="_Toc12595"/>
      <w:bookmarkStart w:id="296" w:name="_Toc23256"/>
      <w:r>
        <w:rPr>
          <w:rFonts w:ascii="宋体" w:hAnsi="宋体" w:eastAsia="宋体" w:cs="宋体"/>
          <w:b/>
          <w:bCs/>
          <w:color w:val="auto"/>
          <w:spacing w:val="-3"/>
          <w:sz w:val="24"/>
          <w:szCs w:val="24"/>
          <w:highlight w:val="none"/>
        </w:rPr>
        <w:t>七、委托人的其他要求</w:t>
      </w:r>
      <w:bookmarkEnd w:id="295"/>
      <w:bookmarkEnd w:id="296"/>
    </w:p>
    <w:p w14:paraId="68904EAB">
      <w:pPr>
        <w:spacing w:before="163" w:line="220" w:lineRule="auto"/>
        <w:ind w:left="480"/>
        <w:rPr>
          <w:rFonts w:hint="eastAsia" w:ascii="宋体" w:hAnsi="宋体" w:eastAsia="宋体" w:cs="宋体"/>
          <w:color w:val="auto"/>
          <w:sz w:val="24"/>
          <w:szCs w:val="24"/>
          <w:highlight w:val="none"/>
          <w:lang w:val="en-US" w:eastAsia="zh-CN"/>
        </w:rPr>
      </w:pPr>
      <w:r>
        <w:rPr>
          <w:rFonts w:ascii="宋体" w:hAnsi="宋体" w:eastAsia="宋体" w:cs="宋体"/>
          <w:color w:val="auto"/>
          <w:spacing w:val="-2"/>
          <w:sz w:val="24"/>
          <w:szCs w:val="24"/>
          <w:highlight w:val="none"/>
        </w:rPr>
        <w:t>委托人的其他要求</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5"/>
          <w:sz w:val="24"/>
          <w:szCs w:val="24"/>
          <w:highlight w:val="none"/>
          <w:lang w:val="en-US" w:eastAsia="zh-CN"/>
        </w:rPr>
        <w:t>按</w:t>
      </w:r>
      <w:r>
        <w:rPr>
          <w:rFonts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省、市</w:t>
      </w:r>
      <w:r>
        <w:rPr>
          <w:rFonts w:ascii="宋体" w:hAnsi="宋体" w:eastAsia="宋体" w:cs="宋体"/>
          <w:color w:val="auto"/>
          <w:sz w:val="24"/>
          <w:szCs w:val="24"/>
          <w:highlight w:val="none"/>
        </w:rPr>
        <w:t>现行的公路建设</w:t>
      </w:r>
      <w:r>
        <w:rPr>
          <w:rFonts w:ascii="宋体" w:hAnsi="宋体" w:eastAsia="宋体" w:cs="宋体"/>
          <w:color w:val="auto"/>
          <w:spacing w:val="-1"/>
          <w:sz w:val="24"/>
          <w:szCs w:val="24"/>
          <w:highlight w:val="none"/>
        </w:rPr>
        <w:t>标准、规范、规程及相关文件</w:t>
      </w:r>
      <w:r>
        <w:rPr>
          <w:rFonts w:hint="eastAsia" w:ascii="宋体" w:hAnsi="宋体" w:eastAsia="宋体" w:cs="宋体"/>
          <w:color w:val="auto"/>
          <w:spacing w:val="-1"/>
          <w:sz w:val="24"/>
          <w:szCs w:val="24"/>
          <w:highlight w:val="none"/>
          <w:lang w:val="en-US" w:eastAsia="zh-CN"/>
        </w:rPr>
        <w:t>执行</w:t>
      </w:r>
      <w:r>
        <w:rPr>
          <w:rFonts w:ascii="宋体" w:hAnsi="宋体" w:eastAsia="宋体" w:cs="宋体"/>
          <w:color w:val="auto"/>
          <w:spacing w:val="-1"/>
          <w:sz w:val="24"/>
          <w:szCs w:val="24"/>
          <w:highlight w:val="none"/>
        </w:rPr>
        <w:t>。</w:t>
      </w:r>
    </w:p>
    <w:p w14:paraId="6F644AB3">
      <w:pPr>
        <w:spacing w:line="243" w:lineRule="auto"/>
        <w:rPr>
          <w:rFonts w:ascii="Arial"/>
          <w:color w:val="auto"/>
          <w:sz w:val="21"/>
          <w:highlight w:val="none"/>
        </w:rPr>
      </w:pPr>
    </w:p>
    <w:p w14:paraId="0761C77C">
      <w:pPr>
        <w:spacing w:line="56" w:lineRule="exact"/>
        <w:ind w:firstLine="496"/>
        <w:rPr>
          <w:color w:val="auto"/>
          <w:highlight w:val="none"/>
        </w:rPr>
      </w:pPr>
    </w:p>
    <w:p w14:paraId="0720E5B3">
      <w:pPr>
        <w:spacing w:line="56" w:lineRule="exact"/>
        <w:rPr>
          <w:color w:val="auto"/>
          <w:highlight w:val="none"/>
        </w:rPr>
        <w:sectPr>
          <w:footerReference r:id="rId85" w:type="default"/>
          <w:pgSz w:w="11906" w:h="16839"/>
          <w:pgMar w:top="1431" w:right="1418" w:bottom="1297" w:left="1424" w:header="0" w:footer="1067" w:gutter="0"/>
          <w:pgNumType w:fmt="decimal"/>
          <w:cols w:space="720" w:num="1"/>
        </w:sectPr>
      </w:pPr>
    </w:p>
    <w:p w14:paraId="158310F5">
      <w:pPr>
        <w:spacing w:line="243" w:lineRule="auto"/>
        <w:rPr>
          <w:rFonts w:ascii="Arial"/>
          <w:color w:val="auto"/>
          <w:sz w:val="21"/>
          <w:highlight w:val="none"/>
        </w:rPr>
      </w:pPr>
    </w:p>
    <w:p w14:paraId="33AB70F8">
      <w:pPr>
        <w:spacing w:line="243" w:lineRule="auto"/>
        <w:rPr>
          <w:rFonts w:ascii="Arial"/>
          <w:color w:val="auto"/>
          <w:sz w:val="21"/>
          <w:highlight w:val="none"/>
        </w:rPr>
      </w:pPr>
    </w:p>
    <w:p w14:paraId="5500CCB7">
      <w:pPr>
        <w:spacing w:line="243" w:lineRule="auto"/>
        <w:rPr>
          <w:rFonts w:ascii="Arial"/>
          <w:color w:val="auto"/>
          <w:sz w:val="21"/>
          <w:highlight w:val="none"/>
        </w:rPr>
      </w:pPr>
    </w:p>
    <w:p w14:paraId="4BD5BE88">
      <w:pPr>
        <w:spacing w:line="243" w:lineRule="auto"/>
        <w:rPr>
          <w:rFonts w:ascii="Arial"/>
          <w:color w:val="auto"/>
          <w:sz w:val="21"/>
          <w:highlight w:val="none"/>
        </w:rPr>
      </w:pPr>
    </w:p>
    <w:p w14:paraId="54474325">
      <w:pPr>
        <w:spacing w:line="243" w:lineRule="auto"/>
        <w:rPr>
          <w:rFonts w:ascii="Arial"/>
          <w:color w:val="auto"/>
          <w:sz w:val="21"/>
          <w:highlight w:val="none"/>
        </w:rPr>
      </w:pPr>
    </w:p>
    <w:p w14:paraId="1A78CDC6">
      <w:pPr>
        <w:spacing w:line="243" w:lineRule="auto"/>
        <w:rPr>
          <w:rFonts w:ascii="Arial"/>
          <w:color w:val="auto"/>
          <w:sz w:val="21"/>
          <w:highlight w:val="none"/>
        </w:rPr>
      </w:pPr>
    </w:p>
    <w:p w14:paraId="1FD9D7AD">
      <w:pPr>
        <w:spacing w:line="243" w:lineRule="auto"/>
        <w:rPr>
          <w:rFonts w:ascii="Arial"/>
          <w:color w:val="auto"/>
          <w:sz w:val="21"/>
          <w:highlight w:val="none"/>
        </w:rPr>
      </w:pPr>
    </w:p>
    <w:p w14:paraId="6D78775C">
      <w:pPr>
        <w:spacing w:line="243" w:lineRule="auto"/>
        <w:rPr>
          <w:rFonts w:ascii="Arial"/>
          <w:color w:val="auto"/>
          <w:sz w:val="21"/>
          <w:highlight w:val="none"/>
        </w:rPr>
      </w:pPr>
    </w:p>
    <w:p w14:paraId="34510040">
      <w:pPr>
        <w:spacing w:line="244" w:lineRule="auto"/>
        <w:rPr>
          <w:rFonts w:ascii="Arial"/>
          <w:color w:val="auto"/>
          <w:sz w:val="21"/>
          <w:highlight w:val="none"/>
        </w:rPr>
      </w:pPr>
    </w:p>
    <w:p w14:paraId="7230F849">
      <w:pPr>
        <w:spacing w:line="244" w:lineRule="auto"/>
        <w:rPr>
          <w:rFonts w:ascii="Arial"/>
          <w:color w:val="auto"/>
          <w:sz w:val="21"/>
          <w:highlight w:val="none"/>
        </w:rPr>
      </w:pPr>
    </w:p>
    <w:p w14:paraId="7E825A33">
      <w:pPr>
        <w:spacing w:line="244" w:lineRule="auto"/>
        <w:rPr>
          <w:rFonts w:ascii="Arial"/>
          <w:color w:val="auto"/>
          <w:sz w:val="21"/>
          <w:highlight w:val="none"/>
        </w:rPr>
      </w:pPr>
    </w:p>
    <w:p w14:paraId="69D34383">
      <w:pPr>
        <w:spacing w:line="244" w:lineRule="auto"/>
        <w:rPr>
          <w:rFonts w:ascii="Arial"/>
          <w:color w:val="auto"/>
          <w:sz w:val="21"/>
          <w:highlight w:val="none"/>
        </w:rPr>
      </w:pPr>
    </w:p>
    <w:p w14:paraId="4742CB84">
      <w:pPr>
        <w:spacing w:line="244" w:lineRule="auto"/>
        <w:rPr>
          <w:rFonts w:ascii="Arial"/>
          <w:color w:val="auto"/>
          <w:sz w:val="21"/>
          <w:highlight w:val="none"/>
        </w:rPr>
      </w:pPr>
    </w:p>
    <w:p w14:paraId="207ACE7A">
      <w:pPr>
        <w:spacing w:line="244" w:lineRule="auto"/>
        <w:rPr>
          <w:rFonts w:ascii="Arial"/>
          <w:color w:val="auto"/>
          <w:sz w:val="21"/>
          <w:highlight w:val="none"/>
        </w:rPr>
      </w:pPr>
    </w:p>
    <w:p w14:paraId="682BAF62">
      <w:pPr>
        <w:spacing w:line="244" w:lineRule="auto"/>
        <w:rPr>
          <w:rFonts w:ascii="Arial"/>
          <w:color w:val="auto"/>
          <w:sz w:val="21"/>
          <w:highlight w:val="none"/>
        </w:rPr>
      </w:pPr>
    </w:p>
    <w:p w14:paraId="79838B68">
      <w:pPr>
        <w:spacing w:line="244" w:lineRule="auto"/>
        <w:rPr>
          <w:rFonts w:ascii="Arial"/>
          <w:color w:val="auto"/>
          <w:sz w:val="21"/>
          <w:highlight w:val="none"/>
        </w:rPr>
      </w:pPr>
    </w:p>
    <w:p w14:paraId="218A7FFE">
      <w:pPr>
        <w:spacing w:line="244" w:lineRule="auto"/>
        <w:rPr>
          <w:rFonts w:ascii="Arial"/>
          <w:color w:val="auto"/>
          <w:sz w:val="21"/>
          <w:highlight w:val="none"/>
        </w:rPr>
      </w:pPr>
    </w:p>
    <w:p w14:paraId="09582810">
      <w:pPr>
        <w:spacing w:line="244" w:lineRule="auto"/>
        <w:rPr>
          <w:rFonts w:ascii="Arial"/>
          <w:color w:val="auto"/>
          <w:sz w:val="21"/>
          <w:highlight w:val="none"/>
        </w:rPr>
      </w:pPr>
    </w:p>
    <w:p w14:paraId="3FFD06BE">
      <w:pPr>
        <w:spacing w:before="169" w:line="219" w:lineRule="auto"/>
        <w:ind w:left="1839"/>
        <w:outlineLvl w:val="0"/>
        <w:rPr>
          <w:rFonts w:ascii="宋体" w:hAnsi="宋体" w:eastAsia="宋体" w:cs="宋体"/>
          <w:color w:val="auto"/>
          <w:sz w:val="52"/>
          <w:szCs w:val="52"/>
          <w:highlight w:val="none"/>
        </w:rPr>
      </w:pPr>
      <w:bookmarkStart w:id="297" w:name="_Toc14666"/>
      <w:r>
        <w:rPr>
          <w:rFonts w:ascii="宋体" w:hAnsi="宋体" w:eastAsia="宋体" w:cs="宋体"/>
          <w:b/>
          <w:bCs/>
          <w:color w:val="auto"/>
          <w:spacing w:val="-16"/>
          <w:sz w:val="52"/>
          <w:szCs w:val="52"/>
          <w:highlight w:val="none"/>
        </w:rPr>
        <w:t>第六章</w:t>
      </w:r>
      <w:r>
        <w:rPr>
          <w:rFonts w:ascii="宋体" w:hAnsi="宋体" w:eastAsia="宋体" w:cs="宋体"/>
          <w:color w:val="auto"/>
          <w:spacing w:val="39"/>
          <w:sz w:val="52"/>
          <w:szCs w:val="52"/>
          <w:highlight w:val="none"/>
        </w:rPr>
        <w:t xml:space="preserve">  </w:t>
      </w:r>
      <w:r>
        <w:rPr>
          <w:rFonts w:ascii="宋体" w:hAnsi="宋体" w:eastAsia="宋体" w:cs="宋体"/>
          <w:b/>
          <w:bCs/>
          <w:color w:val="auto"/>
          <w:spacing w:val="-16"/>
          <w:sz w:val="52"/>
          <w:szCs w:val="52"/>
          <w:highlight w:val="none"/>
        </w:rPr>
        <w:t>图纸和资料</w:t>
      </w:r>
      <w:bookmarkEnd w:id="297"/>
    </w:p>
    <w:p w14:paraId="1A77A73D">
      <w:pPr>
        <w:spacing w:line="306" w:lineRule="auto"/>
        <w:rPr>
          <w:rFonts w:ascii="Arial"/>
          <w:color w:val="auto"/>
          <w:sz w:val="21"/>
          <w:highlight w:val="none"/>
        </w:rPr>
      </w:pPr>
    </w:p>
    <w:p w14:paraId="37C1887E">
      <w:pPr>
        <w:spacing w:line="306" w:lineRule="auto"/>
        <w:rPr>
          <w:rFonts w:ascii="Arial"/>
          <w:color w:val="auto"/>
          <w:sz w:val="21"/>
          <w:highlight w:val="none"/>
        </w:rPr>
      </w:pPr>
    </w:p>
    <w:p w14:paraId="6A79C18C">
      <w:pPr>
        <w:spacing w:before="134" w:line="225" w:lineRule="auto"/>
        <w:ind w:left="3356"/>
        <w:rPr>
          <w:rFonts w:ascii="宋体" w:hAnsi="宋体" w:eastAsia="宋体" w:cs="宋体"/>
          <w:color w:val="auto"/>
          <w:sz w:val="41"/>
          <w:szCs w:val="41"/>
          <w:highlight w:val="none"/>
        </w:rPr>
      </w:pPr>
      <w:r>
        <w:rPr>
          <w:rFonts w:ascii="宋体" w:hAnsi="宋体" w:eastAsia="宋体" w:cs="宋体"/>
          <w:b/>
          <w:bCs/>
          <w:color w:val="auto"/>
          <w:spacing w:val="-5"/>
          <w:sz w:val="41"/>
          <w:szCs w:val="41"/>
          <w:highlight w:val="none"/>
        </w:rPr>
        <w:t>（另册）</w:t>
      </w:r>
    </w:p>
    <w:p w14:paraId="60BBFD7B">
      <w:pPr>
        <w:spacing w:line="225" w:lineRule="auto"/>
        <w:rPr>
          <w:rFonts w:ascii="宋体" w:hAnsi="宋体" w:eastAsia="宋体" w:cs="宋体"/>
          <w:color w:val="auto"/>
          <w:sz w:val="41"/>
          <w:szCs w:val="41"/>
          <w:highlight w:val="none"/>
        </w:rPr>
        <w:sectPr>
          <w:footerReference r:id="rId86" w:type="default"/>
          <w:pgSz w:w="11906" w:h="16839"/>
          <w:pgMar w:top="1431" w:right="1785" w:bottom="1297" w:left="1785" w:header="0" w:footer="1065" w:gutter="0"/>
          <w:pgNumType w:fmt="decimal"/>
          <w:cols w:space="720" w:num="1"/>
        </w:sectPr>
      </w:pPr>
    </w:p>
    <w:p w14:paraId="1FDECDD9">
      <w:pPr>
        <w:spacing w:line="243" w:lineRule="auto"/>
        <w:rPr>
          <w:rFonts w:ascii="Arial"/>
          <w:color w:val="auto"/>
          <w:sz w:val="21"/>
          <w:highlight w:val="none"/>
        </w:rPr>
      </w:pPr>
    </w:p>
    <w:p w14:paraId="7199A0CD">
      <w:pPr>
        <w:spacing w:line="243" w:lineRule="auto"/>
        <w:rPr>
          <w:rFonts w:ascii="Arial"/>
          <w:color w:val="auto"/>
          <w:sz w:val="21"/>
          <w:highlight w:val="none"/>
        </w:rPr>
      </w:pPr>
    </w:p>
    <w:p w14:paraId="39E9B75B">
      <w:pPr>
        <w:spacing w:line="243" w:lineRule="auto"/>
        <w:rPr>
          <w:rFonts w:ascii="Arial"/>
          <w:color w:val="auto"/>
          <w:sz w:val="21"/>
          <w:highlight w:val="none"/>
        </w:rPr>
      </w:pPr>
    </w:p>
    <w:p w14:paraId="299E7202">
      <w:pPr>
        <w:spacing w:line="244" w:lineRule="auto"/>
        <w:rPr>
          <w:rFonts w:ascii="Arial"/>
          <w:color w:val="auto"/>
          <w:sz w:val="21"/>
          <w:highlight w:val="none"/>
        </w:rPr>
      </w:pPr>
    </w:p>
    <w:p w14:paraId="1E2BA71D">
      <w:pPr>
        <w:spacing w:line="244" w:lineRule="auto"/>
        <w:rPr>
          <w:rFonts w:ascii="Arial"/>
          <w:color w:val="auto"/>
          <w:sz w:val="21"/>
          <w:highlight w:val="none"/>
        </w:rPr>
      </w:pPr>
    </w:p>
    <w:p w14:paraId="2C6F2BA6">
      <w:pPr>
        <w:spacing w:line="244" w:lineRule="auto"/>
        <w:rPr>
          <w:rFonts w:ascii="Arial"/>
          <w:color w:val="auto"/>
          <w:sz w:val="21"/>
          <w:highlight w:val="none"/>
        </w:rPr>
      </w:pPr>
    </w:p>
    <w:p w14:paraId="780D76E9">
      <w:pPr>
        <w:spacing w:line="244" w:lineRule="auto"/>
        <w:rPr>
          <w:rFonts w:ascii="Arial"/>
          <w:color w:val="auto"/>
          <w:sz w:val="21"/>
          <w:highlight w:val="none"/>
        </w:rPr>
      </w:pPr>
    </w:p>
    <w:p w14:paraId="002C9C3C">
      <w:pPr>
        <w:spacing w:line="244" w:lineRule="auto"/>
        <w:rPr>
          <w:rFonts w:ascii="Arial"/>
          <w:color w:val="auto"/>
          <w:sz w:val="21"/>
          <w:highlight w:val="none"/>
        </w:rPr>
      </w:pPr>
    </w:p>
    <w:p w14:paraId="02900021">
      <w:pPr>
        <w:spacing w:line="244" w:lineRule="auto"/>
        <w:rPr>
          <w:rFonts w:ascii="Arial"/>
          <w:color w:val="auto"/>
          <w:sz w:val="21"/>
          <w:highlight w:val="none"/>
        </w:rPr>
      </w:pPr>
    </w:p>
    <w:p w14:paraId="48C366DC">
      <w:pPr>
        <w:spacing w:line="244" w:lineRule="auto"/>
        <w:rPr>
          <w:rFonts w:ascii="Arial"/>
          <w:color w:val="auto"/>
          <w:sz w:val="21"/>
          <w:highlight w:val="none"/>
        </w:rPr>
      </w:pPr>
    </w:p>
    <w:p w14:paraId="0CF5E706">
      <w:pPr>
        <w:spacing w:line="244" w:lineRule="auto"/>
        <w:rPr>
          <w:rFonts w:ascii="Arial"/>
          <w:color w:val="auto"/>
          <w:sz w:val="21"/>
          <w:highlight w:val="none"/>
        </w:rPr>
      </w:pPr>
    </w:p>
    <w:p w14:paraId="77E17EA7">
      <w:pPr>
        <w:spacing w:line="244" w:lineRule="auto"/>
        <w:rPr>
          <w:rFonts w:ascii="Arial"/>
          <w:color w:val="auto"/>
          <w:sz w:val="21"/>
          <w:highlight w:val="none"/>
        </w:rPr>
      </w:pPr>
    </w:p>
    <w:p w14:paraId="17C56F22">
      <w:pPr>
        <w:pStyle w:val="5"/>
        <w:spacing w:before="231" w:line="224" w:lineRule="auto"/>
        <w:ind w:left="3114"/>
        <w:outlineLvl w:val="1"/>
        <w:rPr>
          <w:color w:val="auto"/>
          <w:sz w:val="71"/>
          <w:szCs w:val="71"/>
          <w:highlight w:val="none"/>
        </w:rPr>
      </w:pPr>
      <w:bookmarkStart w:id="298" w:name="bookmark20"/>
      <w:bookmarkEnd w:id="298"/>
      <w:bookmarkStart w:id="299" w:name="_Toc21219"/>
      <w:r>
        <w:rPr>
          <w:color w:val="auto"/>
          <w:sz w:val="71"/>
          <w:szCs w:val="71"/>
          <w:highlight w:val="none"/>
        </w:rPr>
        <w:t>第三卷</w:t>
      </w:r>
      <w:bookmarkEnd w:id="299"/>
    </w:p>
    <w:p w14:paraId="26155A8C">
      <w:pPr>
        <w:spacing w:line="224" w:lineRule="auto"/>
        <w:rPr>
          <w:color w:val="auto"/>
          <w:sz w:val="71"/>
          <w:szCs w:val="71"/>
          <w:highlight w:val="none"/>
        </w:rPr>
        <w:sectPr>
          <w:footerReference r:id="rId87" w:type="default"/>
          <w:pgSz w:w="11906" w:h="16839"/>
          <w:pgMar w:top="1431" w:right="1785" w:bottom="1297" w:left="1785" w:header="0" w:footer="1067" w:gutter="0"/>
          <w:pgNumType w:fmt="decimal"/>
          <w:cols w:space="720" w:num="1"/>
        </w:sectPr>
      </w:pPr>
    </w:p>
    <w:p w14:paraId="47771A2C">
      <w:pPr>
        <w:spacing w:line="243" w:lineRule="auto"/>
        <w:rPr>
          <w:rFonts w:ascii="Arial"/>
          <w:color w:val="auto"/>
          <w:sz w:val="21"/>
          <w:highlight w:val="none"/>
        </w:rPr>
      </w:pPr>
    </w:p>
    <w:p w14:paraId="5B5A831D">
      <w:pPr>
        <w:spacing w:line="243" w:lineRule="auto"/>
        <w:rPr>
          <w:rFonts w:ascii="Arial"/>
          <w:color w:val="auto"/>
          <w:sz w:val="21"/>
          <w:highlight w:val="none"/>
        </w:rPr>
      </w:pPr>
    </w:p>
    <w:p w14:paraId="2E7EAE0B">
      <w:pPr>
        <w:spacing w:line="243" w:lineRule="auto"/>
        <w:rPr>
          <w:rFonts w:ascii="Arial"/>
          <w:color w:val="auto"/>
          <w:sz w:val="21"/>
          <w:highlight w:val="none"/>
        </w:rPr>
      </w:pPr>
    </w:p>
    <w:p w14:paraId="67CECBB9">
      <w:pPr>
        <w:spacing w:line="243" w:lineRule="auto"/>
        <w:rPr>
          <w:rFonts w:ascii="Arial"/>
          <w:color w:val="auto"/>
          <w:sz w:val="21"/>
          <w:highlight w:val="none"/>
        </w:rPr>
      </w:pPr>
    </w:p>
    <w:p w14:paraId="56EB2642">
      <w:pPr>
        <w:spacing w:line="243" w:lineRule="auto"/>
        <w:rPr>
          <w:rFonts w:ascii="Arial"/>
          <w:color w:val="auto"/>
          <w:sz w:val="21"/>
          <w:highlight w:val="none"/>
        </w:rPr>
      </w:pPr>
    </w:p>
    <w:p w14:paraId="3F9114BE">
      <w:pPr>
        <w:spacing w:line="243" w:lineRule="auto"/>
        <w:rPr>
          <w:rFonts w:ascii="Arial"/>
          <w:color w:val="auto"/>
          <w:sz w:val="21"/>
          <w:highlight w:val="none"/>
        </w:rPr>
      </w:pPr>
    </w:p>
    <w:p w14:paraId="2E39EA42">
      <w:pPr>
        <w:spacing w:line="243" w:lineRule="auto"/>
        <w:rPr>
          <w:rFonts w:ascii="Arial"/>
          <w:color w:val="auto"/>
          <w:sz w:val="21"/>
          <w:highlight w:val="none"/>
        </w:rPr>
      </w:pPr>
    </w:p>
    <w:p w14:paraId="45B58D13">
      <w:pPr>
        <w:spacing w:line="243" w:lineRule="auto"/>
        <w:rPr>
          <w:rFonts w:ascii="Arial"/>
          <w:color w:val="auto"/>
          <w:sz w:val="21"/>
          <w:highlight w:val="none"/>
        </w:rPr>
      </w:pPr>
    </w:p>
    <w:p w14:paraId="5087DA5F">
      <w:pPr>
        <w:spacing w:line="244" w:lineRule="auto"/>
        <w:rPr>
          <w:rFonts w:ascii="Arial"/>
          <w:color w:val="auto"/>
          <w:sz w:val="21"/>
          <w:highlight w:val="none"/>
        </w:rPr>
      </w:pPr>
    </w:p>
    <w:p w14:paraId="11687619">
      <w:pPr>
        <w:spacing w:line="244" w:lineRule="auto"/>
        <w:rPr>
          <w:rFonts w:ascii="Arial"/>
          <w:color w:val="auto"/>
          <w:sz w:val="21"/>
          <w:highlight w:val="none"/>
        </w:rPr>
      </w:pPr>
    </w:p>
    <w:p w14:paraId="5DBB55DB">
      <w:pPr>
        <w:spacing w:line="244" w:lineRule="auto"/>
        <w:rPr>
          <w:rFonts w:ascii="Arial"/>
          <w:color w:val="auto"/>
          <w:sz w:val="21"/>
          <w:highlight w:val="none"/>
        </w:rPr>
      </w:pPr>
    </w:p>
    <w:p w14:paraId="69B7A2D0">
      <w:pPr>
        <w:spacing w:line="244" w:lineRule="auto"/>
        <w:rPr>
          <w:rFonts w:ascii="Arial"/>
          <w:color w:val="auto"/>
          <w:sz w:val="21"/>
          <w:highlight w:val="none"/>
        </w:rPr>
      </w:pPr>
    </w:p>
    <w:p w14:paraId="1FE52FFF">
      <w:pPr>
        <w:spacing w:line="244" w:lineRule="auto"/>
        <w:rPr>
          <w:rFonts w:ascii="Arial"/>
          <w:color w:val="auto"/>
          <w:sz w:val="21"/>
          <w:highlight w:val="none"/>
        </w:rPr>
      </w:pPr>
    </w:p>
    <w:p w14:paraId="011E50A9">
      <w:pPr>
        <w:spacing w:line="244" w:lineRule="auto"/>
        <w:rPr>
          <w:rFonts w:ascii="Arial"/>
          <w:color w:val="auto"/>
          <w:sz w:val="21"/>
          <w:highlight w:val="none"/>
        </w:rPr>
      </w:pPr>
    </w:p>
    <w:p w14:paraId="4DC17F18">
      <w:pPr>
        <w:spacing w:line="244" w:lineRule="auto"/>
        <w:rPr>
          <w:rFonts w:ascii="Arial"/>
          <w:color w:val="auto"/>
          <w:sz w:val="21"/>
          <w:highlight w:val="none"/>
        </w:rPr>
      </w:pPr>
    </w:p>
    <w:p w14:paraId="302A93B5">
      <w:pPr>
        <w:spacing w:line="244" w:lineRule="auto"/>
        <w:rPr>
          <w:rFonts w:ascii="Arial"/>
          <w:color w:val="auto"/>
          <w:sz w:val="21"/>
          <w:highlight w:val="none"/>
        </w:rPr>
      </w:pPr>
    </w:p>
    <w:p w14:paraId="7E0A313A">
      <w:pPr>
        <w:spacing w:line="244" w:lineRule="auto"/>
        <w:rPr>
          <w:rFonts w:ascii="Arial"/>
          <w:color w:val="auto"/>
          <w:sz w:val="21"/>
          <w:highlight w:val="none"/>
        </w:rPr>
      </w:pPr>
    </w:p>
    <w:p w14:paraId="2009EEF8">
      <w:pPr>
        <w:spacing w:line="244" w:lineRule="auto"/>
        <w:rPr>
          <w:rFonts w:ascii="Arial"/>
          <w:color w:val="auto"/>
          <w:sz w:val="21"/>
          <w:highlight w:val="none"/>
        </w:rPr>
      </w:pPr>
    </w:p>
    <w:p w14:paraId="6F6ABAE8">
      <w:pPr>
        <w:spacing w:line="244" w:lineRule="auto"/>
        <w:rPr>
          <w:rFonts w:ascii="Arial"/>
          <w:color w:val="auto"/>
          <w:sz w:val="21"/>
          <w:highlight w:val="none"/>
        </w:rPr>
      </w:pPr>
    </w:p>
    <w:p w14:paraId="38FE54C0">
      <w:pPr>
        <w:spacing w:line="244" w:lineRule="auto"/>
        <w:rPr>
          <w:rFonts w:ascii="Arial"/>
          <w:color w:val="auto"/>
          <w:sz w:val="21"/>
          <w:highlight w:val="none"/>
        </w:rPr>
      </w:pPr>
    </w:p>
    <w:p w14:paraId="25B0B79B">
      <w:pPr>
        <w:spacing w:before="169" w:line="236" w:lineRule="auto"/>
        <w:ind w:left="1804"/>
        <w:outlineLvl w:val="0"/>
        <w:rPr>
          <w:rFonts w:ascii="宋体" w:hAnsi="宋体" w:eastAsia="宋体" w:cs="宋体"/>
          <w:color w:val="auto"/>
          <w:sz w:val="28"/>
          <w:szCs w:val="28"/>
          <w:highlight w:val="none"/>
        </w:rPr>
      </w:pPr>
      <w:bookmarkStart w:id="300" w:name="bookmark20"/>
      <w:bookmarkEnd w:id="300"/>
      <w:bookmarkStart w:id="301" w:name="_Toc7356"/>
      <w:r>
        <w:rPr>
          <w:rFonts w:ascii="宋体" w:hAnsi="宋体" w:eastAsia="宋体" w:cs="宋体"/>
          <w:b/>
          <w:bCs/>
          <w:color w:val="auto"/>
          <w:spacing w:val="-5"/>
          <w:sz w:val="52"/>
          <w:szCs w:val="52"/>
          <w:highlight w:val="none"/>
        </w:rPr>
        <w:t>第七章</w:t>
      </w:r>
      <w:r>
        <w:rPr>
          <w:rFonts w:ascii="宋体" w:hAnsi="宋体" w:eastAsia="宋体" w:cs="宋体"/>
          <w:color w:val="auto"/>
          <w:spacing w:val="-5"/>
          <w:sz w:val="52"/>
          <w:szCs w:val="52"/>
          <w:highlight w:val="none"/>
        </w:rPr>
        <w:t xml:space="preserve">  </w:t>
      </w:r>
      <w:r>
        <w:rPr>
          <w:rFonts w:ascii="宋体" w:hAnsi="宋体" w:eastAsia="宋体" w:cs="宋体"/>
          <w:b/>
          <w:bCs/>
          <w:color w:val="auto"/>
          <w:spacing w:val="-5"/>
          <w:sz w:val="52"/>
          <w:szCs w:val="52"/>
          <w:highlight w:val="none"/>
        </w:rPr>
        <w:t>投标文件格式</w:t>
      </w:r>
      <w:bookmarkEnd w:id="301"/>
    </w:p>
    <w:p w14:paraId="47EBE993">
      <w:pPr>
        <w:spacing w:line="247" w:lineRule="auto"/>
        <w:rPr>
          <w:rFonts w:ascii="Arial"/>
          <w:color w:val="auto"/>
          <w:sz w:val="21"/>
          <w:highlight w:val="none"/>
        </w:rPr>
      </w:pPr>
    </w:p>
    <w:p w14:paraId="5D2060C9">
      <w:pPr>
        <w:spacing w:line="247" w:lineRule="auto"/>
        <w:rPr>
          <w:rFonts w:ascii="Arial"/>
          <w:color w:val="auto"/>
          <w:sz w:val="21"/>
          <w:highlight w:val="none"/>
        </w:rPr>
      </w:pPr>
    </w:p>
    <w:p w14:paraId="01626967">
      <w:pPr>
        <w:spacing w:line="247" w:lineRule="auto"/>
        <w:rPr>
          <w:rFonts w:ascii="Arial"/>
          <w:color w:val="auto"/>
          <w:sz w:val="21"/>
          <w:highlight w:val="none"/>
        </w:rPr>
      </w:pPr>
    </w:p>
    <w:p w14:paraId="6D778963">
      <w:pPr>
        <w:spacing w:line="247" w:lineRule="auto"/>
        <w:rPr>
          <w:rFonts w:ascii="Arial"/>
          <w:color w:val="auto"/>
          <w:sz w:val="21"/>
          <w:highlight w:val="none"/>
        </w:rPr>
      </w:pPr>
    </w:p>
    <w:p w14:paraId="3A0E90C5">
      <w:pPr>
        <w:spacing w:line="247" w:lineRule="auto"/>
        <w:rPr>
          <w:rFonts w:ascii="Arial"/>
          <w:color w:val="auto"/>
          <w:sz w:val="21"/>
          <w:highlight w:val="none"/>
        </w:rPr>
      </w:pPr>
    </w:p>
    <w:p w14:paraId="63606F8C">
      <w:pPr>
        <w:spacing w:line="247" w:lineRule="auto"/>
        <w:rPr>
          <w:rFonts w:ascii="Arial"/>
          <w:color w:val="auto"/>
          <w:sz w:val="21"/>
          <w:highlight w:val="none"/>
        </w:rPr>
      </w:pPr>
    </w:p>
    <w:p w14:paraId="54D4216A">
      <w:pPr>
        <w:spacing w:line="247" w:lineRule="auto"/>
        <w:rPr>
          <w:rFonts w:ascii="Arial"/>
          <w:color w:val="auto"/>
          <w:sz w:val="21"/>
          <w:highlight w:val="none"/>
        </w:rPr>
      </w:pPr>
    </w:p>
    <w:p w14:paraId="770381A1">
      <w:pPr>
        <w:spacing w:line="247" w:lineRule="auto"/>
        <w:rPr>
          <w:rFonts w:ascii="Arial"/>
          <w:color w:val="auto"/>
          <w:sz w:val="21"/>
          <w:highlight w:val="none"/>
        </w:rPr>
      </w:pPr>
    </w:p>
    <w:p w14:paraId="6803D823">
      <w:pPr>
        <w:spacing w:line="247" w:lineRule="auto"/>
        <w:rPr>
          <w:rFonts w:ascii="Arial"/>
          <w:color w:val="auto"/>
          <w:sz w:val="21"/>
          <w:highlight w:val="none"/>
        </w:rPr>
      </w:pPr>
    </w:p>
    <w:p w14:paraId="477D55AF">
      <w:pPr>
        <w:spacing w:line="247" w:lineRule="auto"/>
        <w:rPr>
          <w:rFonts w:ascii="Arial"/>
          <w:color w:val="auto"/>
          <w:sz w:val="21"/>
          <w:highlight w:val="none"/>
        </w:rPr>
      </w:pPr>
    </w:p>
    <w:p w14:paraId="39CA16E2">
      <w:pPr>
        <w:spacing w:line="247" w:lineRule="auto"/>
        <w:rPr>
          <w:rFonts w:ascii="Arial"/>
          <w:color w:val="auto"/>
          <w:sz w:val="21"/>
          <w:highlight w:val="none"/>
        </w:rPr>
      </w:pPr>
    </w:p>
    <w:p w14:paraId="5F86102C">
      <w:pPr>
        <w:spacing w:line="247" w:lineRule="auto"/>
        <w:rPr>
          <w:rFonts w:ascii="Arial"/>
          <w:color w:val="auto"/>
          <w:sz w:val="21"/>
          <w:highlight w:val="none"/>
        </w:rPr>
      </w:pPr>
    </w:p>
    <w:p w14:paraId="10F0F41C">
      <w:pPr>
        <w:spacing w:line="247" w:lineRule="auto"/>
        <w:rPr>
          <w:rFonts w:ascii="Arial"/>
          <w:color w:val="auto"/>
          <w:sz w:val="21"/>
          <w:highlight w:val="none"/>
        </w:rPr>
      </w:pPr>
    </w:p>
    <w:p w14:paraId="15B94292">
      <w:pPr>
        <w:spacing w:line="247" w:lineRule="auto"/>
        <w:rPr>
          <w:rFonts w:ascii="Arial"/>
          <w:color w:val="auto"/>
          <w:sz w:val="21"/>
          <w:highlight w:val="none"/>
        </w:rPr>
      </w:pPr>
    </w:p>
    <w:p w14:paraId="23242EB9">
      <w:pPr>
        <w:spacing w:line="247" w:lineRule="auto"/>
        <w:rPr>
          <w:rFonts w:ascii="Arial"/>
          <w:color w:val="auto"/>
          <w:sz w:val="21"/>
          <w:highlight w:val="none"/>
        </w:rPr>
      </w:pPr>
    </w:p>
    <w:p w14:paraId="447F8DD9">
      <w:pPr>
        <w:spacing w:line="247" w:lineRule="auto"/>
        <w:rPr>
          <w:rFonts w:ascii="Arial"/>
          <w:color w:val="auto"/>
          <w:sz w:val="21"/>
          <w:highlight w:val="none"/>
        </w:rPr>
      </w:pPr>
    </w:p>
    <w:p w14:paraId="52671475">
      <w:pPr>
        <w:spacing w:line="247" w:lineRule="auto"/>
        <w:rPr>
          <w:rFonts w:ascii="Arial"/>
          <w:color w:val="auto"/>
          <w:sz w:val="21"/>
          <w:highlight w:val="none"/>
        </w:rPr>
      </w:pPr>
    </w:p>
    <w:p w14:paraId="37F1572A">
      <w:pPr>
        <w:spacing w:line="247" w:lineRule="auto"/>
        <w:rPr>
          <w:rFonts w:ascii="Arial"/>
          <w:color w:val="auto"/>
          <w:sz w:val="21"/>
          <w:highlight w:val="none"/>
        </w:rPr>
      </w:pPr>
    </w:p>
    <w:p w14:paraId="5277BA27">
      <w:pPr>
        <w:spacing w:line="247" w:lineRule="auto"/>
        <w:rPr>
          <w:rFonts w:ascii="Arial"/>
          <w:color w:val="auto"/>
          <w:sz w:val="21"/>
          <w:highlight w:val="none"/>
        </w:rPr>
      </w:pPr>
    </w:p>
    <w:p w14:paraId="6B602C50">
      <w:pPr>
        <w:spacing w:line="247" w:lineRule="auto"/>
        <w:rPr>
          <w:rFonts w:ascii="Arial"/>
          <w:color w:val="auto"/>
          <w:sz w:val="21"/>
          <w:highlight w:val="none"/>
        </w:rPr>
      </w:pPr>
    </w:p>
    <w:p w14:paraId="3F2BCC74">
      <w:pPr>
        <w:spacing w:line="247" w:lineRule="auto"/>
        <w:rPr>
          <w:rFonts w:ascii="Arial"/>
          <w:color w:val="auto"/>
          <w:sz w:val="21"/>
          <w:highlight w:val="none"/>
        </w:rPr>
      </w:pPr>
    </w:p>
    <w:p w14:paraId="700046AC">
      <w:pPr>
        <w:spacing w:line="247" w:lineRule="auto"/>
        <w:rPr>
          <w:rFonts w:ascii="Arial"/>
          <w:color w:val="auto"/>
          <w:sz w:val="21"/>
          <w:highlight w:val="none"/>
        </w:rPr>
      </w:pPr>
    </w:p>
    <w:p w14:paraId="4325B0BE">
      <w:pPr>
        <w:spacing w:line="247" w:lineRule="auto"/>
        <w:rPr>
          <w:rFonts w:ascii="Arial"/>
          <w:color w:val="auto"/>
          <w:sz w:val="21"/>
          <w:highlight w:val="none"/>
        </w:rPr>
      </w:pPr>
    </w:p>
    <w:p w14:paraId="4642BA22">
      <w:pPr>
        <w:spacing w:line="247" w:lineRule="auto"/>
        <w:rPr>
          <w:rFonts w:ascii="Arial"/>
          <w:color w:val="auto"/>
          <w:sz w:val="21"/>
          <w:highlight w:val="none"/>
        </w:rPr>
      </w:pPr>
    </w:p>
    <w:p w14:paraId="228A10A4">
      <w:pPr>
        <w:spacing w:line="247" w:lineRule="auto"/>
        <w:rPr>
          <w:rFonts w:ascii="Arial"/>
          <w:color w:val="auto"/>
          <w:sz w:val="21"/>
          <w:highlight w:val="none"/>
        </w:rPr>
      </w:pPr>
    </w:p>
    <w:p w14:paraId="6F70EE54">
      <w:pPr>
        <w:spacing w:line="247" w:lineRule="auto"/>
        <w:rPr>
          <w:rFonts w:ascii="Arial"/>
          <w:color w:val="auto"/>
          <w:sz w:val="21"/>
          <w:highlight w:val="none"/>
        </w:rPr>
      </w:pPr>
    </w:p>
    <w:p w14:paraId="6316EBF7">
      <w:pPr>
        <w:spacing w:line="248" w:lineRule="auto"/>
        <w:rPr>
          <w:rFonts w:ascii="Arial"/>
          <w:color w:val="auto"/>
          <w:sz w:val="21"/>
          <w:highlight w:val="none"/>
        </w:rPr>
      </w:pPr>
    </w:p>
    <w:p w14:paraId="7A8A1BF6">
      <w:pPr>
        <w:spacing w:line="248" w:lineRule="auto"/>
        <w:rPr>
          <w:rFonts w:ascii="Arial"/>
          <w:color w:val="auto"/>
          <w:sz w:val="21"/>
          <w:highlight w:val="none"/>
        </w:rPr>
      </w:pPr>
    </w:p>
    <w:p w14:paraId="572B010E">
      <w:pPr>
        <w:spacing w:line="248" w:lineRule="auto"/>
        <w:rPr>
          <w:rFonts w:ascii="Arial"/>
          <w:color w:val="auto"/>
          <w:sz w:val="21"/>
          <w:highlight w:val="none"/>
        </w:rPr>
      </w:pPr>
    </w:p>
    <w:p w14:paraId="5DABFEC9">
      <w:pPr>
        <w:spacing w:line="248" w:lineRule="auto"/>
        <w:rPr>
          <w:rFonts w:ascii="Arial"/>
          <w:color w:val="auto"/>
          <w:sz w:val="21"/>
          <w:highlight w:val="none"/>
        </w:rPr>
      </w:pPr>
    </w:p>
    <w:p w14:paraId="600C43CF">
      <w:pPr>
        <w:spacing w:line="248" w:lineRule="auto"/>
        <w:rPr>
          <w:rFonts w:ascii="Arial"/>
          <w:color w:val="auto"/>
          <w:sz w:val="21"/>
          <w:highlight w:val="none"/>
        </w:rPr>
      </w:pPr>
    </w:p>
    <w:p w14:paraId="26209C43">
      <w:pPr>
        <w:spacing w:line="220" w:lineRule="auto"/>
        <w:rPr>
          <w:rFonts w:ascii="宋体" w:hAnsi="宋体" w:eastAsia="宋体" w:cs="宋体"/>
          <w:color w:val="auto"/>
          <w:sz w:val="18"/>
          <w:szCs w:val="18"/>
          <w:highlight w:val="none"/>
        </w:rPr>
        <w:sectPr>
          <w:footerReference r:id="rId88" w:type="default"/>
          <w:pgSz w:w="11906" w:h="16839"/>
          <w:pgMar w:top="1431" w:right="1785" w:bottom="1297" w:left="1417" w:header="0" w:footer="1067" w:gutter="0"/>
          <w:pgNumType w:fmt="decimal"/>
          <w:cols w:space="720" w:num="1"/>
        </w:sectPr>
      </w:pPr>
    </w:p>
    <w:p w14:paraId="5414F153">
      <w:pPr>
        <w:spacing w:line="289" w:lineRule="auto"/>
        <w:rPr>
          <w:rFonts w:ascii="Arial"/>
          <w:color w:val="auto"/>
          <w:sz w:val="21"/>
          <w:highlight w:val="none"/>
        </w:rPr>
      </w:pPr>
    </w:p>
    <w:p w14:paraId="452ECB8F">
      <w:pPr>
        <w:spacing w:line="290" w:lineRule="auto"/>
        <w:rPr>
          <w:rFonts w:ascii="Arial"/>
          <w:color w:val="auto"/>
          <w:sz w:val="21"/>
          <w:highlight w:val="none"/>
        </w:rPr>
      </w:pPr>
    </w:p>
    <w:p w14:paraId="3DC9E811">
      <w:pPr>
        <w:spacing w:line="290" w:lineRule="auto"/>
        <w:rPr>
          <w:rFonts w:ascii="Arial"/>
          <w:color w:val="auto"/>
          <w:sz w:val="21"/>
          <w:highlight w:val="none"/>
        </w:rPr>
      </w:pPr>
    </w:p>
    <w:p w14:paraId="790CF9E9">
      <w:pPr>
        <w:spacing w:line="290" w:lineRule="auto"/>
        <w:rPr>
          <w:rFonts w:ascii="Arial"/>
          <w:color w:val="auto"/>
          <w:sz w:val="21"/>
          <w:highlight w:val="none"/>
        </w:rPr>
      </w:pPr>
    </w:p>
    <w:p w14:paraId="29E948D6">
      <w:pPr>
        <w:spacing w:before="130" w:line="220" w:lineRule="auto"/>
        <w:ind w:left="3581"/>
        <w:rPr>
          <w:rFonts w:ascii="宋体" w:hAnsi="宋体" w:eastAsia="宋体" w:cs="宋体"/>
          <w:color w:val="auto"/>
          <w:sz w:val="40"/>
          <w:szCs w:val="40"/>
          <w:highlight w:val="none"/>
        </w:rPr>
      </w:pPr>
      <w:r>
        <w:rPr>
          <w:rFonts w:ascii="宋体" w:hAnsi="宋体" w:eastAsia="宋体" w:cs="宋体"/>
          <w:color w:val="auto"/>
          <w:spacing w:val="-5"/>
          <w:sz w:val="40"/>
          <w:szCs w:val="40"/>
          <w:highlight w:val="none"/>
        </w:rPr>
        <w:t>广东省</w:t>
      </w:r>
    </w:p>
    <w:p w14:paraId="50D64DC7">
      <w:pPr>
        <w:spacing w:line="367" w:lineRule="auto"/>
        <w:rPr>
          <w:rFonts w:ascii="Arial"/>
          <w:color w:val="auto"/>
          <w:sz w:val="21"/>
          <w:highlight w:val="none"/>
        </w:rPr>
      </w:pPr>
    </w:p>
    <w:p w14:paraId="2FE2E5BE">
      <w:pPr>
        <w:tabs>
          <w:tab w:val="left" w:pos="2256"/>
        </w:tabs>
        <w:spacing w:before="130" w:line="221" w:lineRule="auto"/>
        <w:ind w:left="630"/>
        <w:rPr>
          <w:rFonts w:ascii="宋体" w:hAnsi="宋体" w:eastAsia="宋体" w:cs="宋体"/>
          <w:color w:val="auto"/>
          <w:sz w:val="40"/>
          <w:szCs w:val="40"/>
          <w:highlight w:val="none"/>
        </w:rPr>
      </w:pPr>
      <w:r>
        <w:rPr>
          <w:rFonts w:ascii="宋体" w:hAnsi="宋体" w:eastAsia="宋体" w:cs="宋体"/>
          <w:color w:val="auto"/>
          <w:sz w:val="40"/>
          <w:szCs w:val="40"/>
          <w:highlight w:val="none"/>
          <w:u w:val="single" w:color="auto"/>
        </w:rPr>
        <w:tab/>
      </w:r>
      <w:r>
        <w:rPr>
          <w:rFonts w:ascii="宋体" w:hAnsi="宋体" w:eastAsia="宋体" w:cs="宋体"/>
          <w:color w:val="auto"/>
          <w:spacing w:val="-16"/>
          <w:sz w:val="40"/>
          <w:szCs w:val="40"/>
          <w:highlight w:val="none"/>
          <w:u w:val="single" w:color="auto"/>
        </w:rPr>
        <w:t xml:space="preserve">（项目名称）  </w:t>
      </w:r>
      <w:r>
        <w:rPr>
          <w:rFonts w:ascii="宋体" w:hAnsi="宋体" w:eastAsia="宋体" w:cs="宋体"/>
          <w:color w:val="auto"/>
          <w:spacing w:val="-170"/>
          <w:sz w:val="40"/>
          <w:szCs w:val="40"/>
          <w:highlight w:val="none"/>
        </w:rPr>
        <w:t xml:space="preserve"> </w:t>
      </w:r>
      <w:r>
        <w:rPr>
          <w:rFonts w:ascii="宋体" w:hAnsi="宋体" w:eastAsia="宋体" w:cs="宋体"/>
          <w:color w:val="auto"/>
          <w:spacing w:val="-16"/>
          <w:sz w:val="40"/>
          <w:szCs w:val="40"/>
          <w:highlight w:val="none"/>
        </w:rPr>
        <w:t>标段施工监理招标</w:t>
      </w:r>
    </w:p>
    <w:p w14:paraId="2C010A2A">
      <w:pPr>
        <w:spacing w:line="258" w:lineRule="auto"/>
        <w:rPr>
          <w:rFonts w:ascii="Arial"/>
          <w:color w:val="auto"/>
          <w:sz w:val="21"/>
          <w:highlight w:val="none"/>
        </w:rPr>
      </w:pPr>
    </w:p>
    <w:p w14:paraId="1CF17D29">
      <w:pPr>
        <w:spacing w:line="258" w:lineRule="auto"/>
        <w:rPr>
          <w:rFonts w:ascii="Arial"/>
          <w:color w:val="auto"/>
          <w:sz w:val="21"/>
          <w:highlight w:val="none"/>
        </w:rPr>
      </w:pPr>
    </w:p>
    <w:p w14:paraId="7ACF5ED1">
      <w:pPr>
        <w:spacing w:line="258" w:lineRule="auto"/>
        <w:rPr>
          <w:rFonts w:ascii="Arial"/>
          <w:color w:val="auto"/>
          <w:sz w:val="21"/>
          <w:highlight w:val="none"/>
        </w:rPr>
      </w:pPr>
    </w:p>
    <w:p w14:paraId="7A0EB04C">
      <w:pPr>
        <w:spacing w:line="258" w:lineRule="auto"/>
        <w:rPr>
          <w:rFonts w:ascii="Arial"/>
          <w:color w:val="auto"/>
          <w:sz w:val="21"/>
          <w:highlight w:val="none"/>
        </w:rPr>
      </w:pPr>
    </w:p>
    <w:p w14:paraId="5A1AECEF">
      <w:pPr>
        <w:spacing w:line="259" w:lineRule="auto"/>
        <w:rPr>
          <w:rFonts w:ascii="Arial"/>
          <w:color w:val="auto"/>
          <w:sz w:val="21"/>
          <w:highlight w:val="none"/>
        </w:rPr>
      </w:pPr>
    </w:p>
    <w:p w14:paraId="21922929">
      <w:pPr>
        <w:spacing w:line="259" w:lineRule="auto"/>
        <w:rPr>
          <w:rFonts w:ascii="Arial"/>
          <w:color w:val="auto"/>
          <w:sz w:val="21"/>
          <w:highlight w:val="none"/>
        </w:rPr>
      </w:pPr>
    </w:p>
    <w:p w14:paraId="10C0C30E">
      <w:pPr>
        <w:spacing w:line="259" w:lineRule="auto"/>
        <w:rPr>
          <w:rFonts w:ascii="Arial"/>
          <w:color w:val="auto"/>
          <w:sz w:val="21"/>
          <w:highlight w:val="none"/>
        </w:rPr>
      </w:pPr>
    </w:p>
    <w:p w14:paraId="5F6DE5A4">
      <w:pPr>
        <w:spacing w:line="259" w:lineRule="auto"/>
        <w:rPr>
          <w:rFonts w:ascii="Arial"/>
          <w:color w:val="auto"/>
          <w:sz w:val="21"/>
          <w:highlight w:val="none"/>
        </w:rPr>
      </w:pPr>
    </w:p>
    <w:p w14:paraId="7864EBA7">
      <w:pPr>
        <w:spacing w:before="140" w:line="223" w:lineRule="auto"/>
        <w:ind w:left="2642"/>
        <w:rPr>
          <w:rFonts w:ascii="宋体" w:hAnsi="宋体" w:eastAsia="宋体" w:cs="宋体"/>
          <w:color w:val="auto"/>
          <w:sz w:val="43"/>
          <w:szCs w:val="43"/>
          <w:highlight w:val="none"/>
        </w:rPr>
      </w:pPr>
      <w:r>
        <w:rPr>
          <w:rFonts w:ascii="宋体" w:hAnsi="宋体" w:eastAsia="宋体" w:cs="宋体"/>
          <w:b/>
          <w:bCs/>
          <w:color w:val="auto"/>
          <w:spacing w:val="-14"/>
          <w:sz w:val="43"/>
          <w:szCs w:val="43"/>
          <w:highlight w:val="none"/>
        </w:rPr>
        <w:t>投</w:t>
      </w:r>
      <w:r>
        <w:rPr>
          <w:rFonts w:ascii="宋体" w:hAnsi="宋体" w:eastAsia="宋体" w:cs="宋体"/>
          <w:color w:val="auto"/>
          <w:spacing w:val="17"/>
          <w:sz w:val="43"/>
          <w:szCs w:val="43"/>
          <w:highlight w:val="none"/>
        </w:rPr>
        <w:t xml:space="preserve">  </w:t>
      </w:r>
      <w:r>
        <w:rPr>
          <w:rFonts w:ascii="宋体" w:hAnsi="宋体" w:eastAsia="宋体" w:cs="宋体"/>
          <w:b/>
          <w:bCs/>
          <w:color w:val="auto"/>
          <w:spacing w:val="-14"/>
          <w:sz w:val="43"/>
          <w:szCs w:val="43"/>
          <w:highlight w:val="none"/>
        </w:rPr>
        <w:t>标</w:t>
      </w:r>
      <w:r>
        <w:rPr>
          <w:rFonts w:ascii="宋体" w:hAnsi="宋体" w:eastAsia="宋体" w:cs="宋体"/>
          <w:color w:val="auto"/>
          <w:spacing w:val="17"/>
          <w:sz w:val="43"/>
          <w:szCs w:val="43"/>
          <w:highlight w:val="none"/>
        </w:rPr>
        <w:t xml:space="preserve">  </w:t>
      </w:r>
      <w:r>
        <w:rPr>
          <w:rFonts w:ascii="宋体" w:hAnsi="宋体" w:eastAsia="宋体" w:cs="宋体"/>
          <w:b/>
          <w:bCs/>
          <w:color w:val="auto"/>
          <w:spacing w:val="-14"/>
          <w:sz w:val="43"/>
          <w:szCs w:val="43"/>
          <w:highlight w:val="none"/>
        </w:rPr>
        <w:t>文</w:t>
      </w:r>
      <w:r>
        <w:rPr>
          <w:rFonts w:ascii="宋体" w:hAnsi="宋体" w:eastAsia="宋体" w:cs="宋体"/>
          <w:color w:val="auto"/>
          <w:spacing w:val="15"/>
          <w:sz w:val="43"/>
          <w:szCs w:val="43"/>
          <w:highlight w:val="none"/>
        </w:rPr>
        <w:t xml:space="preserve">  </w:t>
      </w:r>
      <w:r>
        <w:rPr>
          <w:rFonts w:ascii="宋体" w:hAnsi="宋体" w:eastAsia="宋体" w:cs="宋体"/>
          <w:b/>
          <w:bCs/>
          <w:color w:val="auto"/>
          <w:spacing w:val="-14"/>
          <w:sz w:val="43"/>
          <w:szCs w:val="43"/>
          <w:highlight w:val="none"/>
        </w:rPr>
        <w:t>件</w:t>
      </w:r>
    </w:p>
    <w:p w14:paraId="5F5EF3F4">
      <w:pPr>
        <w:spacing w:before="317" w:line="225" w:lineRule="auto"/>
        <w:ind w:left="2746"/>
        <w:outlineLvl w:val="0"/>
        <w:rPr>
          <w:rFonts w:ascii="宋体" w:hAnsi="宋体" w:eastAsia="宋体" w:cs="宋体"/>
          <w:color w:val="auto"/>
          <w:sz w:val="31"/>
          <w:szCs w:val="31"/>
          <w:highlight w:val="none"/>
        </w:rPr>
      </w:pPr>
      <w:bookmarkStart w:id="302" w:name="_Toc21593"/>
      <w:bookmarkStart w:id="303" w:name="_Toc16911"/>
      <w:bookmarkStart w:id="304" w:name="_Toc2139"/>
      <w:bookmarkStart w:id="305" w:name="_Toc6901"/>
      <w:bookmarkStart w:id="306" w:name="_Toc17235"/>
      <w:r>
        <w:rPr>
          <w:rFonts w:ascii="宋体" w:hAnsi="宋体" w:eastAsia="宋体" w:cs="宋体"/>
          <w:b/>
          <w:bCs/>
          <w:color w:val="auto"/>
          <w:spacing w:val="3"/>
          <w:sz w:val="31"/>
          <w:szCs w:val="31"/>
          <w:highlight w:val="none"/>
        </w:rPr>
        <w:t>（商务及技术文件）</w:t>
      </w:r>
      <w:bookmarkEnd w:id="302"/>
      <w:bookmarkEnd w:id="303"/>
      <w:bookmarkEnd w:id="304"/>
      <w:bookmarkEnd w:id="305"/>
      <w:bookmarkEnd w:id="306"/>
    </w:p>
    <w:p w14:paraId="698F7D04">
      <w:pPr>
        <w:spacing w:line="249" w:lineRule="auto"/>
        <w:rPr>
          <w:rFonts w:ascii="Arial"/>
          <w:color w:val="auto"/>
          <w:sz w:val="21"/>
          <w:highlight w:val="none"/>
        </w:rPr>
      </w:pPr>
    </w:p>
    <w:p w14:paraId="49FF1E71">
      <w:pPr>
        <w:spacing w:line="249" w:lineRule="auto"/>
        <w:rPr>
          <w:rFonts w:ascii="Arial"/>
          <w:color w:val="auto"/>
          <w:sz w:val="21"/>
          <w:highlight w:val="none"/>
        </w:rPr>
      </w:pPr>
    </w:p>
    <w:p w14:paraId="31A521F0">
      <w:pPr>
        <w:spacing w:line="249" w:lineRule="auto"/>
        <w:rPr>
          <w:rFonts w:ascii="Arial"/>
          <w:color w:val="auto"/>
          <w:sz w:val="21"/>
          <w:highlight w:val="none"/>
        </w:rPr>
      </w:pPr>
    </w:p>
    <w:p w14:paraId="7ED90251">
      <w:pPr>
        <w:spacing w:line="249" w:lineRule="auto"/>
        <w:rPr>
          <w:rFonts w:ascii="Arial"/>
          <w:color w:val="auto"/>
          <w:sz w:val="21"/>
          <w:highlight w:val="none"/>
        </w:rPr>
      </w:pPr>
    </w:p>
    <w:p w14:paraId="6E256A7E">
      <w:pPr>
        <w:spacing w:line="249" w:lineRule="auto"/>
        <w:rPr>
          <w:rFonts w:ascii="Arial"/>
          <w:color w:val="auto"/>
          <w:sz w:val="21"/>
          <w:highlight w:val="none"/>
        </w:rPr>
      </w:pPr>
    </w:p>
    <w:p w14:paraId="280039C0">
      <w:pPr>
        <w:spacing w:line="249" w:lineRule="auto"/>
        <w:rPr>
          <w:rFonts w:ascii="Arial"/>
          <w:color w:val="auto"/>
          <w:sz w:val="21"/>
          <w:highlight w:val="none"/>
        </w:rPr>
      </w:pPr>
    </w:p>
    <w:p w14:paraId="6E368366">
      <w:pPr>
        <w:spacing w:line="249" w:lineRule="auto"/>
        <w:rPr>
          <w:rFonts w:ascii="Arial"/>
          <w:color w:val="auto"/>
          <w:sz w:val="21"/>
          <w:highlight w:val="none"/>
        </w:rPr>
      </w:pPr>
    </w:p>
    <w:p w14:paraId="2A9C02DB">
      <w:pPr>
        <w:spacing w:line="249" w:lineRule="auto"/>
        <w:rPr>
          <w:rFonts w:ascii="Arial"/>
          <w:color w:val="auto"/>
          <w:sz w:val="21"/>
          <w:highlight w:val="none"/>
        </w:rPr>
      </w:pPr>
    </w:p>
    <w:p w14:paraId="3405E12C">
      <w:pPr>
        <w:spacing w:line="249" w:lineRule="auto"/>
        <w:rPr>
          <w:rFonts w:ascii="Arial"/>
          <w:color w:val="auto"/>
          <w:sz w:val="21"/>
          <w:highlight w:val="none"/>
        </w:rPr>
      </w:pPr>
    </w:p>
    <w:p w14:paraId="4D5338AA">
      <w:pPr>
        <w:spacing w:line="249" w:lineRule="auto"/>
        <w:rPr>
          <w:rFonts w:ascii="Arial"/>
          <w:color w:val="auto"/>
          <w:sz w:val="21"/>
          <w:highlight w:val="none"/>
        </w:rPr>
      </w:pPr>
    </w:p>
    <w:p w14:paraId="79919F46">
      <w:pPr>
        <w:spacing w:line="249" w:lineRule="auto"/>
        <w:rPr>
          <w:rFonts w:ascii="Arial"/>
          <w:color w:val="auto"/>
          <w:sz w:val="21"/>
          <w:highlight w:val="none"/>
        </w:rPr>
      </w:pPr>
    </w:p>
    <w:p w14:paraId="1BD4257F">
      <w:pPr>
        <w:spacing w:line="249" w:lineRule="auto"/>
        <w:rPr>
          <w:rFonts w:ascii="Arial"/>
          <w:color w:val="auto"/>
          <w:sz w:val="21"/>
          <w:highlight w:val="none"/>
        </w:rPr>
      </w:pPr>
    </w:p>
    <w:p w14:paraId="11C6400F">
      <w:pPr>
        <w:spacing w:line="249" w:lineRule="auto"/>
        <w:rPr>
          <w:rFonts w:ascii="Arial"/>
          <w:color w:val="auto"/>
          <w:sz w:val="21"/>
          <w:highlight w:val="none"/>
        </w:rPr>
      </w:pPr>
    </w:p>
    <w:p w14:paraId="27CB1442">
      <w:pPr>
        <w:spacing w:line="249" w:lineRule="auto"/>
        <w:rPr>
          <w:rFonts w:ascii="Arial"/>
          <w:color w:val="auto"/>
          <w:sz w:val="21"/>
          <w:highlight w:val="none"/>
        </w:rPr>
      </w:pPr>
    </w:p>
    <w:p w14:paraId="7CE0BC07">
      <w:pPr>
        <w:spacing w:line="249" w:lineRule="auto"/>
        <w:rPr>
          <w:rFonts w:ascii="Arial"/>
          <w:color w:val="auto"/>
          <w:sz w:val="21"/>
          <w:highlight w:val="none"/>
        </w:rPr>
      </w:pPr>
    </w:p>
    <w:p w14:paraId="5CC89F2C">
      <w:pPr>
        <w:spacing w:line="249" w:lineRule="auto"/>
        <w:rPr>
          <w:rFonts w:ascii="Arial"/>
          <w:color w:val="auto"/>
          <w:sz w:val="21"/>
          <w:highlight w:val="none"/>
        </w:rPr>
      </w:pPr>
    </w:p>
    <w:p w14:paraId="582AFE6A">
      <w:pPr>
        <w:spacing w:line="250" w:lineRule="auto"/>
        <w:rPr>
          <w:rFonts w:ascii="Arial"/>
          <w:color w:val="auto"/>
          <w:sz w:val="21"/>
          <w:highlight w:val="none"/>
        </w:rPr>
      </w:pPr>
    </w:p>
    <w:p w14:paraId="0540F53E">
      <w:pPr>
        <w:spacing w:line="250" w:lineRule="auto"/>
        <w:rPr>
          <w:rFonts w:ascii="Arial"/>
          <w:color w:val="auto"/>
          <w:sz w:val="21"/>
          <w:highlight w:val="none"/>
        </w:rPr>
      </w:pPr>
    </w:p>
    <w:p w14:paraId="45F6656B">
      <w:pPr>
        <w:spacing w:line="250" w:lineRule="auto"/>
        <w:rPr>
          <w:rFonts w:ascii="Arial"/>
          <w:color w:val="auto"/>
          <w:sz w:val="21"/>
          <w:highlight w:val="none"/>
        </w:rPr>
      </w:pPr>
    </w:p>
    <w:p w14:paraId="7DA28317">
      <w:pPr>
        <w:spacing w:line="250" w:lineRule="auto"/>
        <w:rPr>
          <w:rFonts w:ascii="Arial"/>
          <w:color w:val="auto"/>
          <w:sz w:val="21"/>
          <w:highlight w:val="none"/>
        </w:rPr>
      </w:pPr>
    </w:p>
    <w:p w14:paraId="1B830357">
      <w:pPr>
        <w:spacing w:line="250" w:lineRule="auto"/>
        <w:rPr>
          <w:rFonts w:ascii="Arial"/>
          <w:color w:val="auto"/>
          <w:sz w:val="21"/>
          <w:highlight w:val="none"/>
        </w:rPr>
      </w:pPr>
    </w:p>
    <w:p w14:paraId="724E783C">
      <w:pPr>
        <w:spacing w:before="91" w:line="219" w:lineRule="auto"/>
        <w:ind w:left="400"/>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投标人</w:t>
      </w:r>
      <w:r>
        <w:rPr>
          <w:rFonts w:ascii="宋体" w:hAnsi="宋体" w:eastAsia="宋体" w:cs="宋体"/>
          <w:color w:val="auto"/>
          <w:spacing w:val="-19"/>
          <w:sz w:val="28"/>
          <w:szCs w:val="28"/>
          <w:highlight w:val="none"/>
        </w:rPr>
        <w:t>：</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9"/>
          <w:sz w:val="28"/>
          <w:szCs w:val="28"/>
          <w:highlight w:val="none"/>
        </w:rPr>
        <w:t>（</w:t>
      </w:r>
      <w:r>
        <w:rPr>
          <w:rFonts w:ascii="宋体" w:hAnsi="宋体" w:eastAsia="宋体" w:cs="宋体"/>
          <w:color w:val="auto"/>
          <w:spacing w:val="3"/>
          <w:sz w:val="28"/>
          <w:szCs w:val="28"/>
          <w:highlight w:val="none"/>
        </w:rPr>
        <w:t>盖单位章）</w:t>
      </w:r>
    </w:p>
    <w:p w14:paraId="2F0660B9">
      <w:pPr>
        <w:spacing w:line="452" w:lineRule="auto"/>
        <w:rPr>
          <w:rFonts w:ascii="Arial"/>
          <w:color w:val="auto"/>
          <w:sz w:val="21"/>
          <w:highlight w:val="none"/>
        </w:rPr>
      </w:pPr>
    </w:p>
    <w:p w14:paraId="152F62E0">
      <w:pPr>
        <w:tabs>
          <w:tab w:val="left" w:pos="3117"/>
        </w:tabs>
        <w:spacing w:before="91" w:line="220" w:lineRule="auto"/>
        <w:ind w:left="1996"/>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127"/>
          <w:sz w:val="28"/>
          <w:szCs w:val="28"/>
          <w:highlight w:val="none"/>
        </w:rPr>
        <w:t xml:space="preserve"> </w:t>
      </w:r>
      <w:r>
        <w:rPr>
          <w:rFonts w:ascii="宋体" w:hAnsi="宋体" w:eastAsia="宋体" w:cs="宋体"/>
          <w:color w:val="auto"/>
          <w:spacing w:val="-10"/>
          <w:sz w:val="28"/>
          <w:szCs w:val="28"/>
          <w:highlight w:val="none"/>
        </w:rPr>
        <w:t>年</w:t>
      </w:r>
      <w:r>
        <w:rPr>
          <w:rFonts w:ascii="宋体" w:hAnsi="宋体" w:eastAsia="宋体" w:cs="宋体"/>
          <w:color w:val="auto"/>
          <w:spacing w:val="19"/>
          <w:sz w:val="28"/>
          <w:szCs w:val="28"/>
          <w:highlight w:val="none"/>
          <w:u w:val="single" w:color="auto"/>
        </w:rPr>
        <w:t xml:space="preserve">       </w:t>
      </w:r>
      <w:r>
        <w:rPr>
          <w:rFonts w:ascii="宋体" w:hAnsi="宋体" w:eastAsia="宋体" w:cs="宋体"/>
          <w:color w:val="auto"/>
          <w:spacing w:val="-117"/>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pacing w:val="17"/>
          <w:sz w:val="28"/>
          <w:szCs w:val="28"/>
          <w:highlight w:val="none"/>
          <w:u w:val="single" w:color="auto"/>
        </w:rPr>
        <w:t xml:space="preserve">        </w:t>
      </w:r>
      <w:r>
        <w:rPr>
          <w:rFonts w:ascii="宋体" w:hAnsi="宋体" w:eastAsia="宋体" w:cs="宋体"/>
          <w:color w:val="auto"/>
          <w:spacing w:val="-77"/>
          <w:sz w:val="28"/>
          <w:szCs w:val="28"/>
          <w:highlight w:val="none"/>
        </w:rPr>
        <w:t xml:space="preserve"> </w:t>
      </w:r>
      <w:r>
        <w:rPr>
          <w:rFonts w:ascii="宋体" w:hAnsi="宋体" w:eastAsia="宋体" w:cs="宋体"/>
          <w:color w:val="auto"/>
          <w:spacing w:val="-10"/>
          <w:sz w:val="28"/>
          <w:szCs w:val="28"/>
          <w:highlight w:val="none"/>
        </w:rPr>
        <w:t>日</w:t>
      </w:r>
    </w:p>
    <w:p w14:paraId="1F6E3517">
      <w:pPr>
        <w:spacing w:line="220" w:lineRule="auto"/>
        <w:rPr>
          <w:rFonts w:ascii="宋体" w:hAnsi="宋体" w:eastAsia="宋体" w:cs="宋体"/>
          <w:color w:val="auto"/>
          <w:sz w:val="28"/>
          <w:szCs w:val="28"/>
          <w:highlight w:val="none"/>
        </w:rPr>
        <w:sectPr>
          <w:footerReference r:id="rId89" w:type="default"/>
          <w:pgSz w:w="11906" w:h="16839"/>
          <w:pgMar w:top="1431" w:right="1785" w:bottom="1297" w:left="1785" w:header="0" w:footer="1066" w:gutter="0"/>
          <w:pgNumType w:fmt="decimal"/>
          <w:cols w:space="720" w:num="1"/>
        </w:sectPr>
      </w:pPr>
    </w:p>
    <w:p w14:paraId="1B7FB406">
      <w:pPr>
        <w:spacing w:before="63" w:line="227" w:lineRule="auto"/>
        <w:ind w:left="3517"/>
        <w:rPr>
          <w:rFonts w:ascii="宋体" w:hAnsi="宋体" w:eastAsia="宋体" w:cs="宋体"/>
          <w:color w:val="auto"/>
          <w:sz w:val="31"/>
          <w:szCs w:val="31"/>
          <w:highlight w:val="none"/>
        </w:rPr>
      </w:pPr>
      <w:r>
        <w:rPr>
          <w:rFonts w:ascii="宋体" w:hAnsi="宋体" w:eastAsia="宋体" w:cs="宋体"/>
          <w:b/>
          <w:bCs/>
          <w:color w:val="auto"/>
          <w:spacing w:val="-36"/>
          <w:sz w:val="31"/>
          <w:szCs w:val="31"/>
          <w:highlight w:val="none"/>
        </w:rPr>
        <w:t>目</w:t>
      </w:r>
      <w:r>
        <w:rPr>
          <w:rFonts w:ascii="宋体" w:hAnsi="宋体" w:eastAsia="宋体" w:cs="宋体"/>
          <w:color w:val="auto"/>
          <w:spacing w:val="8"/>
          <w:sz w:val="31"/>
          <w:szCs w:val="31"/>
          <w:highlight w:val="none"/>
        </w:rPr>
        <w:t xml:space="preserve">     </w:t>
      </w:r>
      <w:r>
        <w:rPr>
          <w:rFonts w:ascii="宋体" w:hAnsi="宋体" w:eastAsia="宋体" w:cs="宋体"/>
          <w:b/>
          <w:bCs/>
          <w:color w:val="auto"/>
          <w:spacing w:val="-36"/>
          <w:sz w:val="31"/>
          <w:szCs w:val="31"/>
          <w:highlight w:val="none"/>
        </w:rPr>
        <w:t>录</w:t>
      </w:r>
    </w:p>
    <w:p w14:paraId="0C0F7EE8">
      <w:pPr>
        <w:spacing w:line="348" w:lineRule="auto"/>
        <w:rPr>
          <w:rFonts w:ascii="Arial"/>
          <w:color w:val="auto"/>
          <w:sz w:val="21"/>
          <w:highlight w:val="none"/>
        </w:rPr>
      </w:pPr>
    </w:p>
    <w:p w14:paraId="71252B2B">
      <w:pPr>
        <w:spacing w:line="348" w:lineRule="auto"/>
        <w:rPr>
          <w:rFonts w:ascii="Arial"/>
          <w:color w:val="auto"/>
          <w:sz w:val="21"/>
          <w:highlight w:val="none"/>
        </w:rPr>
      </w:pPr>
    </w:p>
    <w:p w14:paraId="0B6EBB14">
      <w:pPr>
        <w:spacing w:before="78" w:line="220" w:lineRule="auto"/>
        <w:ind w:left="495"/>
        <w:outlineLvl w:val="1"/>
        <w:rPr>
          <w:rFonts w:ascii="宋体" w:hAnsi="宋体" w:eastAsia="宋体" w:cs="宋体"/>
          <w:color w:val="auto"/>
          <w:sz w:val="24"/>
          <w:szCs w:val="24"/>
          <w:highlight w:val="none"/>
        </w:rPr>
      </w:pPr>
      <w:bookmarkStart w:id="307" w:name="_Toc8188"/>
      <w:bookmarkStart w:id="308" w:name="_Toc13893"/>
      <w:bookmarkStart w:id="309" w:name="_Toc16430"/>
      <w:bookmarkStart w:id="310" w:name="_Toc31035"/>
      <w:bookmarkStart w:id="311" w:name="_Toc28143"/>
      <w:r>
        <w:rPr>
          <w:rFonts w:ascii="宋体" w:hAnsi="宋体" w:eastAsia="宋体" w:cs="宋体"/>
          <w:color w:val="auto"/>
          <w:spacing w:val="-3"/>
          <w:sz w:val="24"/>
          <w:szCs w:val="24"/>
          <w:highlight w:val="none"/>
        </w:rPr>
        <w:t>一、投标函</w:t>
      </w:r>
      <w:bookmarkEnd w:id="307"/>
      <w:bookmarkEnd w:id="308"/>
      <w:bookmarkEnd w:id="309"/>
      <w:bookmarkEnd w:id="310"/>
      <w:bookmarkEnd w:id="311"/>
    </w:p>
    <w:p w14:paraId="40D3DCDB">
      <w:pPr>
        <w:spacing w:before="152" w:line="219" w:lineRule="auto"/>
        <w:ind w:left="4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二、授权委托书或法定代表人身份证明</w:t>
      </w:r>
    </w:p>
    <w:p w14:paraId="4715BBFB">
      <w:pPr>
        <w:spacing w:before="154" w:line="219"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三、联合体协议书（如有）</w:t>
      </w:r>
    </w:p>
    <w:p w14:paraId="1A88DFED">
      <w:pPr>
        <w:spacing w:before="157" w:line="220" w:lineRule="auto"/>
        <w:ind w:left="51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四、投标保证金</w:t>
      </w:r>
    </w:p>
    <w:p w14:paraId="665E960F">
      <w:pPr>
        <w:spacing w:before="154" w:line="219" w:lineRule="auto"/>
        <w:ind w:left="49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五、资格审查资料</w:t>
      </w:r>
    </w:p>
    <w:p w14:paraId="78DA508E">
      <w:pPr>
        <w:spacing w:before="154" w:line="220"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六、其他资料</w:t>
      </w:r>
    </w:p>
    <w:p w14:paraId="26C30D62">
      <w:pPr>
        <w:spacing w:before="155" w:line="219" w:lineRule="auto"/>
        <w:ind w:left="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七、技术建议书</w:t>
      </w:r>
    </w:p>
    <w:p w14:paraId="4D0DA677">
      <w:pPr>
        <w:spacing w:line="219" w:lineRule="auto"/>
        <w:rPr>
          <w:rFonts w:ascii="宋体" w:hAnsi="宋体" w:eastAsia="宋体" w:cs="宋体"/>
          <w:color w:val="auto"/>
          <w:sz w:val="24"/>
          <w:szCs w:val="24"/>
          <w:highlight w:val="none"/>
        </w:rPr>
        <w:sectPr>
          <w:footerReference r:id="rId90" w:type="default"/>
          <w:pgSz w:w="11906" w:h="16839"/>
          <w:pgMar w:top="1403" w:right="1785" w:bottom="1297" w:left="1785" w:header="0" w:footer="1067" w:gutter="0"/>
          <w:pgNumType w:fmt="decimal"/>
          <w:cols w:space="720" w:num="1"/>
        </w:sectPr>
      </w:pPr>
    </w:p>
    <w:p w14:paraId="694C96DB">
      <w:pPr>
        <w:spacing w:before="163" w:line="220" w:lineRule="auto"/>
        <w:ind w:left="394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一、投标函</w:t>
      </w:r>
    </w:p>
    <w:p w14:paraId="095EBFB7">
      <w:pPr>
        <w:spacing w:line="320" w:lineRule="auto"/>
        <w:rPr>
          <w:rFonts w:ascii="Arial"/>
          <w:color w:val="auto"/>
          <w:sz w:val="21"/>
          <w:highlight w:val="none"/>
        </w:rPr>
      </w:pPr>
    </w:p>
    <w:p w14:paraId="1FBBFF27">
      <w:pPr>
        <w:tabs>
          <w:tab w:val="left" w:pos="2880"/>
        </w:tabs>
        <w:spacing w:before="78" w:line="22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
          <w:sz w:val="24"/>
          <w:szCs w:val="24"/>
          <w:highlight w:val="none"/>
        </w:rPr>
        <w:t>（招标人名称</w:t>
      </w:r>
      <w:r>
        <w:rPr>
          <w:rFonts w:ascii="宋体" w:hAnsi="宋体" w:eastAsia="宋体" w:cs="宋体"/>
          <w:color w:val="auto"/>
          <w:spacing w:val="2"/>
          <w:sz w:val="24"/>
          <w:szCs w:val="24"/>
          <w:highlight w:val="none"/>
        </w:rPr>
        <w:t>）：</w:t>
      </w:r>
    </w:p>
    <w:p w14:paraId="22E39AC8">
      <w:pPr>
        <w:spacing w:before="233" w:line="286" w:lineRule="auto"/>
        <w:ind w:left="12" w:right="8" w:firstLine="49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1．我方已仔细研究</w:t>
      </w:r>
      <w:r>
        <w:rPr>
          <w:rFonts w:ascii="宋体" w:hAnsi="宋体" w:eastAsia="宋体" w:cs="宋体"/>
          <w:color w:val="auto"/>
          <w:spacing w:val="1"/>
          <w:sz w:val="24"/>
          <w:szCs w:val="24"/>
          <w:highlight w:val="none"/>
          <w:u w:val="single" w:color="auto"/>
        </w:rPr>
        <w:t xml:space="preserve">                  （项目名称</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z w:val="24"/>
          <w:szCs w:val="24"/>
          <w:highlight w:val="none"/>
        </w:rPr>
        <w:t>标段施工监理招标文件</w:t>
      </w:r>
      <w:r>
        <w:rPr>
          <w:rFonts w:ascii="宋体" w:hAnsi="宋体" w:eastAsia="宋体" w:cs="宋体"/>
          <w:color w:val="auto"/>
          <w:spacing w:val="4"/>
          <w:sz w:val="24"/>
          <w:szCs w:val="24"/>
          <w:highlight w:val="none"/>
        </w:rPr>
        <w:t>的全部内容（含补遗书</w:t>
      </w:r>
      <w:r>
        <w:rPr>
          <w:rFonts w:ascii="宋体" w:hAnsi="宋体" w:eastAsia="宋体" w:cs="宋体"/>
          <w:color w:val="auto"/>
          <w:spacing w:val="19"/>
          <w:sz w:val="24"/>
          <w:szCs w:val="24"/>
          <w:highlight w:val="none"/>
        </w:rPr>
        <w:t>），</w:t>
      </w:r>
      <w:r>
        <w:rPr>
          <w:rFonts w:ascii="宋体" w:hAnsi="宋体" w:eastAsia="宋体" w:cs="宋体"/>
          <w:color w:val="auto"/>
          <w:spacing w:val="4"/>
          <w:sz w:val="24"/>
          <w:szCs w:val="24"/>
          <w:highlight w:val="none"/>
        </w:rPr>
        <w:t>在考察工程现场后，愿意以第二个信封（报价文件）中的投标总报价（或根据招标文件规定修正核实后确定的另一金额</w:t>
      </w:r>
      <w:r>
        <w:rPr>
          <w:rFonts w:ascii="宋体" w:hAnsi="宋体" w:eastAsia="宋体" w:cs="宋体"/>
          <w:color w:val="auto"/>
          <w:spacing w:val="19"/>
          <w:sz w:val="24"/>
          <w:szCs w:val="24"/>
          <w:highlight w:val="none"/>
        </w:rPr>
        <w:t>），</w:t>
      </w:r>
      <w:r>
        <w:rPr>
          <w:rFonts w:ascii="宋体" w:hAnsi="宋体" w:eastAsia="宋体" w:cs="宋体"/>
          <w:color w:val="auto"/>
          <w:spacing w:val="4"/>
          <w:sz w:val="24"/>
          <w:szCs w:val="24"/>
          <w:highlight w:val="none"/>
        </w:rPr>
        <w:t>按合同约定完成施</w:t>
      </w:r>
      <w:r>
        <w:rPr>
          <w:rFonts w:ascii="宋体" w:hAnsi="宋体" w:eastAsia="宋体" w:cs="宋体"/>
          <w:color w:val="auto"/>
          <w:spacing w:val="-3"/>
          <w:sz w:val="24"/>
          <w:szCs w:val="24"/>
          <w:highlight w:val="none"/>
        </w:rPr>
        <w:t>工监理工作。</w:t>
      </w:r>
    </w:p>
    <w:p w14:paraId="08FDE320">
      <w:pPr>
        <w:spacing w:before="115"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2．我方承诺在招标文件规定的投标有效期内不撤销投标文件。</w:t>
      </w:r>
    </w:p>
    <w:p w14:paraId="79E621C1">
      <w:pPr>
        <w:spacing w:before="114" w:line="263" w:lineRule="auto"/>
        <w:ind w:left="8" w:right="8" w:firstLine="485"/>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3．总监理工程师或驻地监理工程师姓名</w:t>
      </w:r>
      <w:r>
        <w:rPr>
          <w:rFonts w:ascii="宋体" w:hAnsi="宋体" w:eastAsia="宋体" w:cs="宋体"/>
          <w:color w:val="auto"/>
          <w:spacing w:val="5"/>
          <w:sz w:val="24"/>
          <w:szCs w:val="24"/>
          <w:highlight w:val="none"/>
        </w:rPr>
        <w:t>：</w:t>
      </w:r>
      <w:r>
        <w:rPr>
          <w:rFonts w:ascii="宋体" w:hAnsi="宋体" w:eastAsia="宋体" w:cs="宋体"/>
          <w:color w:val="auto"/>
          <w:spacing w:val="10"/>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pacing w:val="7"/>
          <w:sz w:val="24"/>
          <w:szCs w:val="24"/>
          <w:highlight w:val="none"/>
        </w:rPr>
        <w:t>年龄</w:t>
      </w:r>
      <w:r>
        <w:rPr>
          <w:rFonts w:ascii="宋体" w:hAnsi="宋体" w:eastAsia="宋体" w:cs="宋体"/>
          <w:color w:val="auto"/>
          <w:spacing w:val="5"/>
          <w:sz w:val="24"/>
          <w:szCs w:val="24"/>
          <w:highlight w:val="none"/>
        </w:rPr>
        <w:t>：</w:t>
      </w:r>
      <w:r>
        <w:rPr>
          <w:rFonts w:ascii="宋体" w:hAnsi="宋体" w:eastAsia="宋体" w:cs="宋体"/>
          <w:color w:val="auto"/>
          <w:spacing w:val="10"/>
          <w:sz w:val="24"/>
          <w:szCs w:val="24"/>
          <w:highlight w:val="none"/>
          <w:u w:val="single" w:color="auto"/>
        </w:rPr>
        <w:t xml:space="preserve">         </w:t>
      </w:r>
      <w:r>
        <w:rPr>
          <w:rFonts w:ascii="宋体" w:hAnsi="宋体" w:eastAsia="宋体" w:cs="宋体"/>
          <w:color w:val="auto"/>
          <w:spacing w:val="-90"/>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pacing w:val="7"/>
          <w:sz w:val="24"/>
          <w:szCs w:val="24"/>
          <w:highlight w:val="none"/>
        </w:rPr>
        <w:t>职</w:t>
      </w:r>
      <w:r>
        <w:rPr>
          <w:rFonts w:ascii="宋体" w:hAnsi="宋体" w:eastAsia="宋体" w:cs="宋体"/>
          <w:color w:val="auto"/>
          <w:spacing w:val="1"/>
          <w:sz w:val="24"/>
          <w:szCs w:val="24"/>
          <w:highlight w:val="none"/>
        </w:rPr>
        <w:t>称</w:t>
      </w:r>
      <w:r>
        <w:rPr>
          <w:rFonts w:ascii="宋体" w:hAnsi="宋体" w:eastAsia="宋体" w:cs="宋体"/>
          <w:color w:val="auto"/>
          <w:spacing w:val="-2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90"/>
          <w:sz w:val="24"/>
          <w:szCs w:val="24"/>
          <w:highlight w:val="none"/>
        </w:rPr>
        <w:t xml:space="preserve"> </w:t>
      </w:r>
      <w:r>
        <w:rPr>
          <w:rFonts w:ascii="宋体" w:hAnsi="宋体" w:eastAsia="宋体" w:cs="宋体"/>
          <w:color w:val="auto"/>
          <w:spacing w:val="-25"/>
          <w:sz w:val="24"/>
          <w:szCs w:val="24"/>
          <w:highlight w:val="none"/>
        </w:rPr>
        <w:t>，</w:t>
      </w:r>
      <w:r>
        <w:rPr>
          <w:rFonts w:ascii="宋体" w:hAnsi="宋体" w:eastAsia="宋体" w:cs="宋体"/>
          <w:color w:val="auto"/>
          <w:spacing w:val="1"/>
          <w:sz w:val="24"/>
          <w:szCs w:val="24"/>
          <w:highlight w:val="none"/>
        </w:rPr>
        <w:t>监理工程师证书：</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rPr>
        <w:t>。</w:t>
      </w:r>
    </w:p>
    <w:p w14:paraId="5B22F083">
      <w:pPr>
        <w:spacing w:before="117" w:line="219" w:lineRule="auto"/>
        <w:jc w:val="right"/>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 质量要求</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89"/>
          <w:sz w:val="24"/>
          <w:szCs w:val="24"/>
          <w:highlight w:val="none"/>
        </w:rPr>
        <w:t xml:space="preserve"> </w:t>
      </w:r>
      <w:r>
        <w:rPr>
          <w:rFonts w:ascii="宋体" w:hAnsi="宋体" w:eastAsia="宋体" w:cs="宋体"/>
          <w:color w:val="auto"/>
          <w:spacing w:val="-8"/>
          <w:sz w:val="24"/>
          <w:szCs w:val="24"/>
          <w:highlight w:val="none"/>
        </w:rPr>
        <w:t>，</w:t>
      </w:r>
      <w:r>
        <w:rPr>
          <w:rFonts w:ascii="宋体" w:hAnsi="宋体" w:eastAsia="宋体" w:cs="宋体"/>
          <w:color w:val="auto"/>
          <w:spacing w:val="-3"/>
          <w:sz w:val="24"/>
          <w:szCs w:val="24"/>
          <w:highlight w:val="none"/>
        </w:rPr>
        <w:t>安全目标</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8"/>
          <w:sz w:val="24"/>
          <w:szCs w:val="24"/>
          <w:highlight w:val="none"/>
        </w:rPr>
        <w:t>，</w:t>
      </w:r>
      <w:r>
        <w:rPr>
          <w:rFonts w:ascii="宋体" w:hAnsi="宋体" w:eastAsia="宋体" w:cs="宋体"/>
          <w:color w:val="auto"/>
          <w:spacing w:val="-3"/>
          <w:sz w:val="24"/>
          <w:szCs w:val="24"/>
          <w:highlight w:val="none"/>
        </w:rPr>
        <w:t>监理服务期限：</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w:t>
      </w:r>
    </w:p>
    <w:p w14:paraId="49CE6DE3">
      <w:pPr>
        <w:spacing w:before="114" w:line="219" w:lineRule="auto"/>
        <w:ind w:left="49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 如我方中标，我方承诺：</w:t>
      </w:r>
    </w:p>
    <w:p w14:paraId="038E7D11">
      <w:pPr>
        <w:spacing w:before="115" w:line="219" w:lineRule="auto"/>
        <w:ind w:left="5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（1）在收到中标通知书后，在规定的期限内与你方签订合同；</w:t>
      </w:r>
    </w:p>
    <w:p w14:paraId="3128A02E">
      <w:pPr>
        <w:spacing w:before="116" w:line="219" w:lineRule="auto"/>
        <w:ind w:left="5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（2）在签订合同时不向你方提出附加条件；</w:t>
      </w:r>
    </w:p>
    <w:p w14:paraId="471DFFE5">
      <w:pPr>
        <w:spacing w:before="114" w:line="219" w:lineRule="auto"/>
        <w:ind w:left="5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（3）按照招标文件要求提交履约保证金；</w:t>
      </w:r>
    </w:p>
    <w:p w14:paraId="1C66A29C">
      <w:pPr>
        <w:spacing w:before="117" w:line="219" w:lineRule="auto"/>
        <w:ind w:left="5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（4）在合同约定的期限内完成合同规定的全部义务；</w:t>
      </w:r>
    </w:p>
    <w:p w14:paraId="19EC4497">
      <w:pPr>
        <w:spacing w:before="117" w:line="290" w:lineRule="auto"/>
        <w:ind w:left="11" w:right="8" w:firstLine="489"/>
        <w:rPr>
          <w:rFonts w:ascii="宋体" w:hAnsi="宋体" w:eastAsia="宋体" w:cs="宋体"/>
          <w:color w:val="auto"/>
          <w:sz w:val="12"/>
          <w:szCs w:val="12"/>
          <w:highlight w:val="none"/>
        </w:rPr>
      </w:pPr>
      <w:r>
        <w:rPr>
          <w:rFonts w:ascii="宋体" w:hAnsi="宋体" w:eastAsia="宋体" w:cs="宋体"/>
          <w:color w:val="auto"/>
          <w:spacing w:val="1"/>
          <w:sz w:val="24"/>
          <w:szCs w:val="24"/>
          <w:highlight w:val="none"/>
        </w:rPr>
        <w:t>（5）在你方和我方进行合同谈判之前，我方将按照合同附件提出的最低要求填报</w:t>
      </w:r>
      <w:r>
        <w:rPr>
          <w:rFonts w:ascii="宋体" w:hAnsi="宋体" w:eastAsia="宋体" w:cs="宋体"/>
          <w:color w:val="auto"/>
          <w:spacing w:val="5"/>
          <w:sz w:val="24"/>
          <w:szCs w:val="24"/>
          <w:highlight w:val="none"/>
        </w:rPr>
        <w:t>派驻本标段的其他主要监理人员及主要试验检测设备，经你方审批后作</w:t>
      </w:r>
      <w:r>
        <w:rPr>
          <w:rFonts w:ascii="宋体" w:hAnsi="宋体" w:eastAsia="宋体" w:cs="宋体"/>
          <w:color w:val="auto"/>
          <w:spacing w:val="4"/>
          <w:sz w:val="24"/>
          <w:szCs w:val="24"/>
          <w:highlight w:val="none"/>
        </w:rPr>
        <w:t>为派驻本标段</w:t>
      </w:r>
      <w:r>
        <w:rPr>
          <w:rFonts w:ascii="宋体" w:hAnsi="宋体" w:eastAsia="宋体" w:cs="宋体"/>
          <w:color w:val="auto"/>
          <w:spacing w:val="5"/>
          <w:sz w:val="24"/>
          <w:szCs w:val="24"/>
          <w:highlight w:val="none"/>
        </w:rPr>
        <w:t>的主要监理人员和主要试验检测设备且不进行更换。如我方拟派驻的人</w:t>
      </w:r>
      <w:r>
        <w:rPr>
          <w:rFonts w:ascii="宋体" w:hAnsi="宋体" w:eastAsia="宋体" w:cs="宋体"/>
          <w:color w:val="auto"/>
          <w:spacing w:val="4"/>
          <w:sz w:val="24"/>
          <w:szCs w:val="24"/>
          <w:highlight w:val="none"/>
        </w:rPr>
        <w:t>员和设备不满</w:t>
      </w:r>
      <w:r>
        <w:rPr>
          <w:rFonts w:ascii="宋体" w:hAnsi="宋体" w:eastAsia="宋体" w:cs="宋体"/>
          <w:color w:val="auto"/>
          <w:spacing w:val="-1"/>
          <w:sz w:val="24"/>
          <w:szCs w:val="24"/>
          <w:highlight w:val="none"/>
        </w:rPr>
        <w:t>足合同附件要求，你方有权取消我方中标资格。</w:t>
      </w:r>
    </w:p>
    <w:p w14:paraId="3334E57E">
      <w:pPr>
        <w:spacing w:before="2" w:line="311" w:lineRule="auto"/>
        <w:ind w:left="13" w:right="8"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（6）我方在此承诺：拟投入本项目的总监理工程师（包括备选人，如有）无在岗</w:t>
      </w:r>
      <w:r>
        <w:rPr>
          <w:rFonts w:ascii="宋体" w:hAnsi="宋体" w:eastAsia="宋体" w:cs="宋体"/>
          <w:color w:val="auto"/>
          <w:spacing w:val="5"/>
          <w:sz w:val="24"/>
          <w:szCs w:val="24"/>
          <w:highlight w:val="none"/>
        </w:rPr>
        <w:t>项目（指目前未在其他项目上任职，或虽在其他项目上任职但本项</w:t>
      </w:r>
      <w:r>
        <w:rPr>
          <w:rFonts w:ascii="宋体" w:hAnsi="宋体" w:eastAsia="宋体" w:cs="宋体"/>
          <w:color w:val="auto"/>
          <w:spacing w:val="4"/>
          <w:sz w:val="24"/>
          <w:szCs w:val="24"/>
          <w:highlight w:val="none"/>
        </w:rPr>
        <w:t>目中标后能够从该</w:t>
      </w:r>
      <w:r>
        <w:rPr>
          <w:rFonts w:ascii="宋体" w:hAnsi="宋体" w:eastAsia="宋体" w:cs="宋体"/>
          <w:color w:val="auto"/>
          <w:spacing w:val="-1"/>
          <w:sz w:val="24"/>
          <w:szCs w:val="24"/>
          <w:highlight w:val="none"/>
        </w:rPr>
        <w:t>项目撤离）,否则自愿按照招标人的有关规定接受处罚。</w:t>
      </w:r>
    </w:p>
    <w:p w14:paraId="06522E06">
      <w:pPr>
        <w:spacing w:before="185" w:line="289" w:lineRule="auto"/>
        <w:ind w:left="8" w:right="8"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6．我方在此声明，所递交的投标文件及有关资料内</w:t>
      </w:r>
      <w:r>
        <w:rPr>
          <w:rFonts w:ascii="宋体" w:hAnsi="宋体" w:eastAsia="宋体" w:cs="宋体"/>
          <w:color w:val="auto"/>
          <w:spacing w:val="1"/>
          <w:sz w:val="24"/>
          <w:szCs w:val="24"/>
          <w:highlight w:val="none"/>
        </w:rPr>
        <w:t>容完整、真实和准确，且不存</w:t>
      </w:r>
      <w:r>
        <w:rPr>
          <w:rFonts w:ascii="宋体" w:hAnsi="宋体" w:eastAsia="宋体" w:cs="宋体"/>
          <w:color w:val="auto"/>
          <w:spacing w:val="-3"/>
          <w:sz w:val="24"/>
          <w:szCs w:val="24"/>
          <w:highlight w:val="none"/>
        </w:rPr>
        <w:t>在招标文件第二章“投标人须知</w:t>
      </w:r>
      <w:r>
        <w:rPr>
          <w:rFonts w:ascii="宋体" w:hAnsi="宋体" w:eastAsia="宋体" w:cs="宋体"/>
          <w:color w:val="auto"/>
          <w:spacing w:val="-89"/>
          <w:sz w:val="24"/>
          <w:szCs w:val="24"/>
          <w:highlight w:val="none"/>
        </w:rPr>
        <w:t xml:space="preserve"> </w:t>
      </w:r>
      <w:r>
        <w:rPr>
          <w:rFonts w:ascii="宋体" w:hAnsi="宋体" w:eastAsia="宋体" w:cs="宋体"/>
          <w:color w:val="auto"/>
          <w:spacing w:val="-3"/>
          <w:sz w:val="24"/>
          <w:szCs w:val="24"/>
          <w:highlight w:val="none"/>
        </w:rPr>
        <w:t>”第</w:t>
      </w:r>
      <w:r>
        <w:rPr>
          <w:rFonts w:ascii="宋体" w:hAnsi="宋体" w:eastAsia="宋体" w:cs="宋体"/>
          <w:color w:val="auto"/>
          <w:spacing w:val="-32"/>
          <w:sz w:val="24"/>
          <w:szCs w:val="24"/>
          <w:highlight w:val="none"/>
        </w:rPr>
        <w:t xml:space="preserve"> </w:t>
      </w:r>
      <w:r>
        <w:rPr>
          <w:rFonts w:ascii="宋体" w:hAnsi="宋体" w:eastAsia="宋体" w:cs="宋体"/>
          <w:color w:val="auto"/>
          <w:spacing w:val="-3"/>
          <w:sz w:val="24"/>
          <w:szCs w:val="24"/>
          <w:highlight w:val="none"/>
        </w:rPr>
        <w:t>1.4.3</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项和第</w:t>
      </w:r>
      <w:r>
        <w:rPr>
          <w:rFonts w:ascii="宋体" w:hAnsi="宋体" w:eastAsia="宋体" w:cs="宋体"/>
          <w:color w:val="auto"/>
          <w:spacing w:val="-33"/>
          <w:sz w:val="24"/>
          <w:szCs w:val="24"/>
          <w:highlight w:val="none"/>
        </w:rPr>
        <w:t xml:space="preserve"> </w:t>
      </w:r>
      <w:r>
        <w:rPr>
          <w:rFonts w:ascii="宋体" w:hAnsi="宋体" w:eastAsia="宋体" w:cs="宋体"/>
          <w:color w:val="auto"/>
          <w:spacing w:val="-3"/>
          <w:sz w:val="24"/>
          <w:szCs w:val="24"/>
          <w:highlight w:val="none"/>
        </w:rPr>
        <w:t>1.4.4</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项规定的任何一种情</w:t>
      </w:r>
      <w:r>
        <w:rPr>
          <w:rFonts w:ascii="宋体" w:hAnsi="宋体" w:eastAsia="宋体" w:cs="宋体"/>
          <w:color w:val="auto"/>
          <w:spacing w:val="-4"/>
          <w:sz w:val="24"/>
          <w:szCs w:val="24"/>
          <w:highlight w:val="none"/>
        </w:rPr>
        <w:t>形。</w:t>
      </w:r>
    </w:p>
    <w:p w14:paraId="0E438464">
      <w:pPr>
        <w:spacing w:before="184" w:line="219" w:lineRule="auto"/>
        <w:ind w:left="4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7.我方在此承诺：权利义务满足招标文件规定。</w:t>
      </w:r>
    </w:p>
    <w:p w14:paraId="7E762C09">
      <w:pPr>
        <w:spacing w:before="180" w:line="290" w:lineRule="auto"/>
        <w:ind w:left="9" w:right="8"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8．在合同协议书正式签署生效之前，本投标函连同你</w:t>
      </w:r>
      <w:r>
        <w:rPr>
          <w:rFonts w:ascii="宋体" w:hAnsi="宋体" w:eastAsia="宋体" w:cs="宋体"/>
          <w:color w:val="auto"/>
          <w:spacing w:val="1"/>
          <w:sz w:val="24"/>
          <w:szCs w:val="24"/>
          <w:highlight w:val="none"/>
        </w:rPr>
        <w:t>方的中标通知书将构成我们</w:t>
      </w:r>
      <w:r>
        <w:rPr>
          <w:rFonts w:ascii="宋体" w:hAnsi="宋体" w:eastAsia="宋体" w:cs="宋体"/>
          <w:color w:val="auto"/>
          <w:spacing w:val="-1"/>
          <w:sz w:val="24"/>
          <w:szCs w:val="24"/>
          <w:highlight w:val="none"/>
        </w:rPr>
        <w:t>双方之间共同遵守的文件，对双方具有约束力。</w:t>
      </w:r>
    </w:p>
    <w:p w14:paraId="5E735DED">
      <w:pPr>
        <w:spacing w:before="269" w:line="219" w:lineRule="auto"/>
        <w:ind w:left="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5"/>
          <w:sz w:val="24"/>
          <w:szCs w:val="24"/>
          <w:highlight w:val="none"/>
        </w:rPr>
        <w:t>（</w:t>
      </w:r>
      <w:r>
        <w:rPr>
          <w:rFonts w:ascii="宋体" w:hAnsi="宋体" w:eastAsia="宋体" w:cs="宋体"/>
          <w:color w:val="auto"/>
          <w:spacing w:val="2"/>
          <w:sz w:val="24"/>
          <w:szCs w:val="24"/>
          <w:highlight w:val="none"/>
        </w:rPr>
        <w:t>其他补充说明）。</w:t>
      </w:r>
    </w:p>
    <w:p w14:paraId="67E70F46">
      <w:pPr>
        <w:spacing w:line="311" w:lineRule="auto"/>
        <w:rPr>
          <w:rFonts w:ascii="Arial"/>
          <w:color w:val="auto"/>
          <w:sz w:val="21"/>
          <w:highlight w:val="none"/>
        </w:rPr>
      </w:pPr>
    </w:p>
    <w:p w14:paraId="08DD06E5">
      <w:pPr>
        <w:spacing w:before="79" w:line="342" w:lineRule="auto"/>
        <w:ind w:left="3432"/>
        <w:rPr>
          <w:rFonts w:ascii="宋体" w:hAnsi="宋体" w:eastAsia="宋体" w:cs="宋体"/>
          <w:color w:val="auto"/>
          <w:sz w:val="12"/>
          <w:szCs w:val="12"/>
          <w:highlight w:val="none"/>
        </w:rPr>
      </w:pPr>
      <w:r>
        <w:rPr>
          <w:rFonts w:ascii="宋体" w:hAnsi="宋体" w:eastAsia="宋体" w:cs="宋体"/>
          <w:color w:val="auto"/>
          <w:spacing w:val="4"/>
          <w:sz w:val="24"/>
          <w:szCs w:val="24"/>
          <w:highlight w:val="none"/>
        </w:rPr>
        <w:t>投 标 人</w:t>
      </w:r>
      <w:r>
        <w:rPr>
          <w:rFonts w:ascii="宋体" w:hAnsi="宋体" w:eastAsia="宋体" w:cs="宋体"/>
          <w:color w:val="auto"/>
          <w:spacing w:val="-29"/>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9"/>
          <w:sz w:val="24"/>
          <w:szCs w:val="24"/>
          <w:highlight w:val="none"/>
        </w:rPr>
        <w:t>（</w:t>
      </w:r>
      <w:r>
        <w:rPr>
          <w:rFonts w:ascii="宋体" w:hAnsi="宋体" w:eastAsia="宋体" w:cs="宋体"/>
          <w:color w:val="auto"/>
          <w:spacing w:val="4"/>
          <w:sz w:val="24"/>
          <w:szCs w:val="24"/>
          <w:highlight w:val="none"/>
        </w:rPr>
        <w:t>盖单位章）</w:t>
      </w:r>
      <w:r>
        <w:rPr>
          <w:color w:val="auto"/>
          <w:highlight w:val="none"/>
        </w:rPr>
        <w:fldChar w:fldCharType="begin"/>
      </w:r>
      <w:r>
        <w:rPr>
          <w:color w:val="auto"/>
          <w:highlight w:val="none"/>
        </w:rPr>
        <w:instrText xml:space="preserve"> HYPERLINK \l "bookmark162" </w:instrText>
      </w:r>
      <w:r>
        <w:rPr>
          <w:color w:val="auto"/>
          <w:highlight w:val="none"/>
        </w:rPr>
        <w:fldChar w:fldCharType="separate"/>
      </w:r>
      <w:r>
        <w:rPr>
          <w:rFonts w:ascii="宋体" w:hAnsi="宋体" w:eastAsia="宋体" w:cs="宋体"/>
          <w:color w:val="auto"/>
          <w:spacing w:val="4"/>
          <w:position w:val="11"/>
          <w:sz w:val="12"/>
          <w:szCs w:val="12"/>
          <w:highlight w:val="none"/>
        </w:rPr>
        <w:t>①</w:t>
      </w:r>
      <w:r>
        <w:rPr>
          <w:rFonts w:ascii="宋体" w:hAnsi="宋体" w:eastAsia="宋体" w:cs="宋体"/>
          <w:color w:val="auto"/>
          <w:spacing w:val="4"/>
          <w:position w:val="11"/>
          <w:sz w:val="12"/>
          <w:szCs w:val="12"/>
          <w:highlight w:val="none"/>
        </w:rPr>
        <w:fldChar w:fldCharType="end"/>
      </w:r>
    </w:p>
    <w:p w14:paraId="412CCDBE">
      <w:pPr>
        <w:spacing w:line="220" w:lineRule="auto"/>
        <w:rPr>
          <w:rFonts w:ascii="宋体" w:hAnsi="宋体" w:eastAsia="宋体" w:cs="宋体"/>
          <w:color w:val="auto"/>
          <w:sz w:val="18"/>
          <w:szCs w:val="18"/>
          <w:highlight w:val="none"/>
        </w:rPr>
      </w:pPr>
    </w:p>
    <w:p w14:paraId="74E6E092">
      <w:pPr>
        <w:spacing w:before="18" w:line="220" w:lineRule="auto"/>
        <w:ind w:left="5"/>
        <w:rPr>
          <w:rFonts w:ascii="宋体" w:hAnsi="宋体" w:eastAsia="宋体" w:cs="宋体"/>
          <w:color w:val="auto"/>
          <w:sz w:val="18"/>
          <w:szCs w:val="18"/>
          <w:highlight w:val="none"/>
        </w:rPr>
      </w:pPr>
    </w:p>
    <w:p w14:paraId="112D30F5">
      <w:pPr>
        <w:spacing w:line="249" w:lineRule="auto"/>
        <w:rPr>
          <w:rFonts w:ascii="Arial"/>
          <w:color w:val="auto"/>
          <w:sz w:val="21"/>
          <w:highlight w:val="none"/>
        </w:rPr>
      </w:pPr>
      <w:r>
        <w:rPr>
          <w:color w:val="auto"/>
          <w:highlight w:val="none"/>
        </w:rPr>
        <mc:AlternateContent>
          <mc:Choice Requires="wps">
            <w:drawing>
              <wp:anchor distT="0" distB="0" distL="114300" distR="114300" simplePos="0" relativeHeight="251758592" behindDoc="0" locked="0" layoutInCell="1" allowOverlap="1">
                <wp:simplePos x="0" y="0"/>
                <wp:positionH relativeFrom="column">
                  <wp:posOffset>0</wp:posOffset>
                </wp:positionH>
                <wp:positionV relativeFrom="paragraph">
                  <wp:posOffset>59690</wp:posOffset>
                </wp:positionV>
                <wp:extent cx="1828800" cy="0"/>
                <wp:effectExtent l="4445" t="4445" r="5080" b="5080"/>
                <wp:wrapNone/>
                <wp:docPr id="45" name="任意多边形 45"/>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4.7pt;height:0pt;width:144pt;z-index:251758592;mso-width-relative:page;mso-height-relative:page;" filled="f" stroked="t" coordsize="2880,1" o:gfxdata="UEsDBAoAAAAAAIdO4kAAAAAAAAAAAAAAAAAEAAAAZHJzL1BLAwQUAAAACACHTuJAdHL2StEAAAAE&#10;AQAADwAAAGRycy9kb3ducmV2LnhtbE2PwU7DMBBE70j8g7VI3KjdUqE0xKkEEpx6oQl3x16SiHgd&#10;YqcNfD0LFzg+zWrmbbFf/CBOOMU+kIb1SoFAssH11Gqoq6ebDERMhpwZAqGGT4ywLy8vCpO7cKYX&#10;PB1TK7iEYm40dCmNuZTRduhNXIURibO3MHmTGKdWusmcudwPcqPUnfSmJ17ozIiPHdr34+w1VItV&#10;8fbr9VB91PVu3h6ebfPgtb6+Wqt7EAmX9HcMP/qsDiU7NWEmF8WggR9JGnZbEBxusoy5+WVZFvK/&#10;fPkNUEsDBBQAAAAIAIdO4kAB4D6rKQIAAIkEAAAOAAAAZHJzL2Uyb0RvYy54bWytVM2O0zAQviPx&#10;DpbvNGkFqKqa7oGyXBCstMsDuLaTWPIfHjdp79y5c0S8BFrB0+wiHoOx0z/KpQdySD57xt98M+PJ&#10;/GpjNOlkAOVsRcejkhJpuRPKNhX9cHf9bEoJRGYF087Kim4l0KvF0yfz3s/kxLVOCxkIkliY9b6i&#10;bYx+VhTAW2kYjJyXFo21C4ZFXIamEIH1yG50MSnLl0XvgvDBcQmAu8vBSHeM4RJCV9eKy6XjayNt&#10;HFiD1CxiStAqD3SR1da15PF9XYOMRFcUM435jUEQr9K7WMzZrAnMt4rvJLBLJJzlZJiyGPRAtWSR&#10;kXVQ/1AZxYMDV8cRd6YYEskVwSzG5VltblvmZc4FSw3+UHT4f7T8XXcTiBIVff6CEssMdvzh/v7X&#10;p8+P3778/vn98cdXghYsU+9hht63/ibsVoAw5bypg0lfzIZscmm3h9LKTSQcN8fTyXRaYtX53lYc&#10;D/I1xDfSZRLWvYU4dEXsEWv3iG/sHnoW03YKnCDpK5pC5C4Y18k7l03xTBKGPVq1PfXKx8mJvsGM&#10;J1KAxXwHclDEp6qtu1ZaZ9naJikpU4bTAR8RGI/1BdtkbeC0Esk7yYPQrF7pQDqW7md+Uq2R/S83&#10;HyAuGbSDXzYNN3clOzmEbSUTr60gceuxhRZHlyYdRgpKtMRJTygLjEzpSzxRhLaoJTV+aHVCKye2&#10;eGPWPqimxXEaZ73Jgjc0K99NUxqB03VmOv5BF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HL2&#10;StEAAAAEAQAADwAAAAAAAAABACAAAAAiAAAAZHJzL2Rvd25yZXYueG1sUEsBAhQAFAAAAAgAh07i&#10;QAHgPqspAgAAiQQAAA4AAAAAAAAAAQAgAAAAIAEAAGRycy9lMm9Eb2MueG1sUEsFBgAAAAAGAAYA&#10;WQEAALsFAAAAAA==&#10;" path="m0,0l2880,0e">
                <v:fill on="f" focussize="0,0"/>
                <v:stroke weight="0pt" color="#000000" joinstyle="bevel" endcap="square"/>
                <v:imagedata o:title=""/>
                <o:lock v:ext="edit" aspectratio="f"/>
              </v:shape>
            </w:pict>
          </mc:Fallback>
        </mc:AlternateContent>
      </w:r>
    </w:p>
    <w:p w14:paraId="137F18E8">
      <w:pPr>
        <w:spacing w:line="220" w:lineRule="auto"/>
        <w:rPr>
          <w:rFonts w:ascii="宋体" w:hAnsi="宋体" w:eastAsia="宋体" w:cs="宋体"/>
          <w:color w:val="auto"/>
          <w:sz w:val="18"/>
          <w:szCs w:val="18"/>
          <w:highlight w:val="none"/>
        </w:rPr>
        <w:sectPr>
          <w:footerReference r:id="rId91" w:type="default"/>
          <w:pgSz w:w="11906" w:h="16839"/>
          <w:pgMar w:top="1431" w:right="1409" w:bottom="1297" w:left="1416" w:header="0" w:footer="1069" w:gutter="0"/>
          <w:pgNumType w:fmt="decimal"/>
          <w:cols w:space="720" w:num="1"/>
        </w:sectPr>
      </w:pPr>
      <w:r>
        <w:rPr>
          <w:rFonts w:ascii="宋体" w:hAnsi="宋体" w:eastAsia="宋体" w:cs="宋体"/>
          <w:color w:val="auto"/>
          <w:sz w:val="18"/>
          <w:szCs w:val="18"/>
          <w:highlight w:val="none"/>
        </w:rPr>
        <w:t>① 投标人仅须在投标函上加盖单位章，或由法定代表人或其委</w:t>
      </w:r>
      <w:r>
        <w:rPr>
          <w:rFonts w:ascii="宋体" w:hAnsi="宋体" w:eastAsia="宋体" w:cs="宋体"/>
          <w:color w:val="auto"/>
          <w:spacing w:val="-1"/>
          <w:sz w:val="18"/>
          <w:szCs w:val="18"/>
          <w:highlight w:val="none"/>
        </w:rPr>
        <w:t>托代理人签字。</w:t>
      </w:r>
    </w:p>
    <w:p w14:paraId="42D96FA3">
      <w:pPr>
        <w:spacing w:before="111" w:line="219" w:lineRule="auto"/>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法定代表人或其委托代理人</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rPr>
        <w:t>签字）</w:t>
      </w:r>
    </w:p>
    <w:p w14:paraId="4FA38420">
      <w:pPr>
        <w:spacing w:before="115" w:line="229" w:lineRule="auto"/>
        <w:ind w:left="305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14:paraId="6E09C4E9">
      <w:pPr>
        <w:spacing w:before="101" w:line="224" w:lineRule="auto"/>
        <w:ind w:left="3078"/>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网址：</w:t>
      </w:r>
      <w:r>
        <w:rPr>
          <w:rFonts w:ascii="宋体" w:hAnsi="宋体" w:eastAsia="宋体" w:cs="宋体"/>
          <w:color w:val="auto"/>
          <w:sz w:val="24"/>
          <w:szCs w:val="24"/>
          <w:highlight w:val="none"/>
          <w:u w:val="single" w:color="auto"/>
        </w:rPr>
        <w:t xml:space="preserve">                                     </w:t>
      </w:r>
    </w:p>
    <w:p w14:paraId="262438A9">
      <w:pPr>
        <w:spacing w:before="109" w:line="221" w:lineRule="auto"/>
        <w:ind w:left="3087"/>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电话：</w:t>
      </w:r>
      <w:r>
        <w:rPr>
          <w:rFonts w:ascii="宋体" w:hAnsi="宋体" w:eastAsia="宋体" w:cs="宋体"/>
          <w:color w:val="auto"/>
          <w:sz w:val="24"/>
          <w:szCs w:val="24"/>
          <w:highlight w:val="none"/>
          <w:u w:val="single" w:color="auto"/>
        </w:rPr>
        <w:t xml:space="preserve">                                     </w:t>
      </w:r>
    </w:p>
    <w:p w14:paraId="46156487">
      <w:pPr>
        <w:spacing w:before="112" w:line="219" w:lineRule="auto"/>
        <w:ind w:left="305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传真：</w:t>
      </w:r>
      <w:r>
        <w:rPr>
          <w:rFonts w:ascii="宋体" w:hAnsi="宋体" w:eastAsia="宋体" w:cs="宋体"/>
          <w:color w:val="auto"/>
          <w:sz w:val="24"/>
          <w:szCs w:val="24"/>
          <w:highlight w:val="none"/>
          <w:u w:val="single" w:color="auto"/>
        </w:rPr>
        <w:t xml:space="preserve">                                     </w:t>
      </w:r>
    </w:p>
    <w:p w14:paraId="404EF15B">
      <w:pPr>
        <w:spacing w:before="114" w:line="219" w:lineRule="auto"/>
        <w:ind w:left="307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邮政编码：</w:t>
      </w:r>
      <w:r>
        <w:rPr>
          <w:rFonts w:ascii="宋体" w:hAnsi="宋体" w:eastAsia="宋体" w:cs="宋体"/>
          <w:color w:val="auto"/>
          <w:spacing w:val="-4"/>
          <w:sz w:val="24"/>
          <w:szCs w:val="24"/>
          <w:highlight w:val="none"/>
          <w:u w:val="single" w:color="auto"/>
        </w:rPr>
        <w:t xml:space="preserve">                                   </w:t>
      </w:r>
    </w:p>
    <w:p w14:paraId="46B22D9A">
      <w:pPr>
        <w:tabs>
          <w:tab w:val="left" w:pos="5450"/>
        </w:tabs>
        <w:spacing w:before="116" w:line="219" w:lineRule="auto"/>
        <w:ind w:left="4370"/>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10"/>
          <w:sz w:val="24"/>
          <w:szCs w:val="24"/>
          <w:highlight w:val="none"/>
        </w:rPr>
        <w:t xml:space="preserve"> </w:t>
      </w:r>
      <w:bookmarkStart w:id="312" w:name="_Toc7682"/>
      <w:bookmarkStart w:id="313" w:name="_Toc10560"/>
      <w:bookmarkStart w:id="314" w:name="_Toc32114"/>
      <w:bookmarkStart w:id="315" w:name="_Toc7996"/>
      <w:bookmarkStart w:id="316" w:name="_Toc20695"/>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70"/>
          <w:sz w:val="24"/>
          <w:szCs w:val="24"/>
          <w:highlight w:val="none"/>
        </w:rPr>
        <w:t xml:space="preserve"> </w:t>
      </w:r>
      <w:r>
        <w:rPr>
          <w:rFonts w:ascii="宋体" w:hAnsi="宋体" w:eastAsia="宋体" w:cs="宋体"/>
          <w:color w:val="auto"/>
          <w:spacing w:val="-9"/>
          <w:sz w:val="24"/>
          <w:szCs w:val="24"/>
          <w:highlight w:val="none"/>
        </w:rPr>
        <w:t>日</w:t>
      </w:r>
      <w:bookmarkEnd w:id="312"/>
      <w:bookmarkEnd w:id="313"/>
      <w:bookmarkEnd w:id="314"/>
      <w:bookmarkEnd w:id="315"/>
      <w:bookmarkEnd w:id="316"/>
    </w:p>
    <w:p w14:paraId="6067D4A2">
      <w:pPr>
        <w:spacing w:line="219" w:lineRule="auto"/>
        <w:rPr>
          <w:rFonts w:ascii="宋体" w:hAnsi="宋体" w:eastAsia="宋体" w:cs="宋体"/>
          <w:color w:val="auto"/>
          <w:sz w:val="24"/>
          <w:szCs w:val="24"/>
          <w:highlight w:val="none"/>
        </w:rPr>
        <w:sectPr>
          <w:footerReference r:id="rId92" w:type="default"/>
          <w:pgSz w:w="11906" w:h="16839"/>
          <w:pgMar w:top="1431" w:right="1690" w:bottom="1297" w:left="1785" w:header="0" w:footer="1067" w:gutter="0"/>
          <w:pgNumType w:fmt="decimal"/>
          <w:cols w:space="720" w:num="1"/>
        </w:sectPr>
      </w:pPr>
    </w:p>
    <w:p w14:paraId="2B32C9F9">
      <w:pPr>
        <w:spacing w:before="163" w:line="219" w:lineRule="auto"/>
        <w:ind w:left="260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二、授权委托书或法定代表人身份证明</w:t>
      </w:r>
    </w:p>
    <w:p w14:paraId="02654C62">
      <w:pPr>
        <w:spacing w:line="267" w:lineRule="auto"/>
        <w:rPr>
          <w:rFonts w:ascii="Arial"/>
          <w:color w:val="auto"/>
          <w:sz w:val="21"/>
          <w:highlight w:val="none"/>
        </w:rPr>
      </w:pPr>
    </w:p>
    <w:p w14:paraId="68E8534F">
      <w:pPr>
        <w:spacing w:line="267" w:lineRule="auto"/>
        <w:rPr>
          <w:rFonts w:ascii="Arial"/>
          <w:color w:val="auto"/>
          <w:sz w:val="21"/>
          <w:highlight w:val="none"/>
        </w:rPr>
      </w:pPr>
    </w:p>
    <w:p w14:paraId="30F5AFE1">
      <w:pPr>
        <w:spacing w:line="267" w:lineRule="auto"/>
        <w:rPr>
          <w:rFonts w:ascii="Arial"/>
          <w:color w:val="auto"/>
          <w:sz w:val="21"/>
          <w:highlight w:val="none"/>
        </w:rPr>
      </w:pPr>
    </w:p>
    <w:p w14:paraId="7B986EC1">
      <w:pPr>
        <w:spacing w:before="98" w:line="219" w:lineRule="auto"/>
        <w:ind w:left="3455"/>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（一）授权委托书</w:t>
      </w:r>
    </w:p>
    <w:p w14:paraId="543534BE">
      <w:pPr>
        <w:spacing w:line="345" w:lineRule="auto"/>
        <w:rPr>
          <w:rFonts w:ascii="Arial"/>
          <w:color w:val="auto"/>
          <w:sz w:val="21"/>
          <w:highlight w:val="none"/>
        </w:rPr>
      </w:pPr>
    </w:p>
    <w:p w14:paraId="31308550">
      <w:pPr>
        <w:spacing w:line="345" w:lineRule="auto"/>
        <w:rPr>
          <w:rFonts w:ascii="Arial"/>
          <w:color w:val="auto"/>
          <w:sz w:val="21"/>
          <w:highlight w:val="none"/>
        </w:rPr>
      </w:pPr>
    </w:p>
    <w:p w14:paraId="341A07F2">
      <w:pPr>
        <w:spacing w:before="78" w:line="338" w:lineRule="auto"/>
        <w:ind w:firstLine="589"/>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本</w:t>
      </w:r>
      <w:r>
        <w:rPr>
          <w:rFonts w:ascii="宋体" w:hAnsi="宋体" w:eastAsia="宋体" w:cs="宋体"/>
          <w:color w:val="auto"/>
          <w:spacing w:val="-68"/>
          <w:sz w:val="24"/>
          <w:szCs w:val="24"/>
          <w:highlight w:val="none"/>
        </w:rPr>
        <w:t xml:space="preserve"> </w:t>
      </w:r>
      <w:r>
        <w:rPr>
          <w:rFonts w:ascii="宋体" w:hAnsi="宋体" w:eastAsia="宋体" w:cs="宋体"/>
          <w:color w:val="auto"/>
          <w:spacing w:val="-5"/>
          <w:sz w:val="24"/>
          <w:szCs w:val="24"/>
          <w:highlight w:val="none"/>
        </w:rPr>
        <w:t>人</w:t>
      </w:r>
      <w:r>
        <w:rPr>
          <w:rFonts w:ascii="宋体" w:hAnsi="宋体" w:eastAsia="宋体" w:cs="宋体"/>
          <w:color w:val="auto"/>
          <w:spacing w:val="-82"/>
          <w:sz w:val="24"/>
          <w:szCs w:val="24"/>
          <w:highlight w:val="none"/>
        </w:rPr>
        <w:t xml:space="preserve"> </w:t>
      </w:r>
      <w:r>
        <w:rPr>
          <w:rFonts w:ascii="宋体" w:hAnsi="宋体" w:eastAsia="宋体" w:cs="宋体"/>
          <w:color w:val="auto"/>
          <w:spacing w:val="-5"/>
          <w:sz w:val="24"/>
          <w:szCs w:val="24"/>
          <w:highlight w:val="none"/>
          <w:u w:val="single" w:color="auto"/>
        </w:rPr>
        <w:t xml:space="preserve">        （姓</w:t>
      </w:r>
      <w:r>
        <w:rPr>
          <w:rFonts w:ascii="宋体" w:hAnsi="宋体" w:eastAsia="宋体" w:cs="宋体"/>
          <w:color w:val="auto"/>
          <w:spacing w:val="-69"/>
          <w:sz w:val="24"/>
          <w:szCs w:val="24"/>
          <w:highlight w:val="none"/>
          <w:u w:val="single" w:color="auto"/>
        </w:rPr>
        <w:t xml:space="preserve"> </w:t>
      </w:r>
      <w:r>
        <w:rPr>
          <w:rFonts w:ascii="宋体" w:hAnsi="宋体" w:eastAsia="宋体" w:cs="宋体"/>
          <w:color w:val="auto"/>
          <w:spacing w:val="-5"/>
          <w:sz w:val="24"/>
          <w:szCs w:val="24"/>
          <w:highlight w:val="none"/>
          <w:u w:val="single" w:color="auto"/>
        </w:rPr>
        <w:t>名</w:t>
      </w:r>
      <w:r>
        <w:rPr>
          <w:rFonts w:ascii="宋体" w:hAnsi="宋体" w:eastAsia="宋体" w:cs="宋体"/>
          <w:color w:val="auto"/>
          <w:spacing w:val="-45"/>
          <w:sz w:val="24"/>
          <w:szCs w:val="24"/>
          <w:highlight w:val="none"/>
          <w:u w:val="single" w:color="auto"/>
        </w:rPr>
        <w:t xml:space="preserve"> </w:t>
      </w:r>
      <w:r>
        <w:rPr>
          <w:rFonts w:ascii="宋体" w:hAnsi="宋体" w:eastAsia="宋体" w:cs="宋体"/>
          <w:color w:val="auto"/>
          <w:spacing w:val="-5"/>
          <w:sz w:val="24"/>
          <w:szCs w:val="24"/>
          <w:highlight w:val="none"/>
          <w:u w:val="single" w:color="auto"/>
        </w:rPr>
        <w:t>）</w:t>
      </w:r>
      <w:r>
        <w:rPr>
          <w:rFonts w:ascii="宋体" w:hAnsi="宋体" w:eastAsia="宋体" w:cs="宋体"/>
          <w:color w:val="auto"/>
          <w:spacing w:val="-67"/>
          <w:sz w:val="24"/>
          <w:szCs w:val="24"/>
          <w:highlight w:val="none"/>
          <w:u w:val="single" w:color="auto"/>
        </w:rPr>
        <w:t xml:space="preserve"> </w:t>
      </w:r>
      <w:r>
        <w:rPr>
          <w:rFonts w:ascii="宋体" w:hAnsi="宋体" w:eastAsia="宋体" w:cs="宋体"/>
          <w:color w:val="auto"/>
          <w:spacing w:val="-5"/>
          <w:sz w:val="24"/>
          <w:szCs w:val="24"/>
          <w:highlight w:val="none"/>
        </w:rPr>
        <w:t>系</w:t>
      </w:r>
      <w:r>
        <w:rPr>
          <w:rFonts w:ascii="宋体" w:hAnsi="宋体" w:eastAsia="宋体" w:cs="宋体"/>
          <w:color w:val="auto"/>
          <w:spacing w:val="-80"/>
          <w:sz w:val="24"/>
          <w:szCs w:val="24"/>
          <w:highlight w:val="none"/>
        </w:rPr>
        <w:t xml:space="preserve"> </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32"/>
          <w:sz w:val="24"/>
          <w:szCs w:val="24"/>
          <w:highlight w:val="none"/>
          <w:u w:val="single" w:color="auto"/>
        </w:rPr>
        <w:t xml:space="preserve"> </w:t>
      </w:r>
      <w:r>
        <w:rPr>
          <w:rFonts w:ascii="宋体" w:hAnsi="宋体" w:eastAsia="宋体" w:cs="宋体"/>
          <w:color w:val="auto"/>
          <w:spacing w:val="-5"/>
          <w:sz w:val="24"/>
          <w:szCs w:val="24"/>
          <w:highlight w:val="none"/>
          <w:u w:val="single" w:color="auto"/>
        </w:rPr>
        <w:t>投</w:t>
      </w:r>
      <w:r>
        <w:rPr>
          <w:rFonts w:ascii="宋体" w:hAnsi="宋体" w:eastAsia="宋体" w:cs="宋体"/>
          <w:color w:val="auto"/>
          <w:spacing w:val="-71"/>
          <w:sz w:val="24"/>
          <w:szCs w:val="24"/>
          <w:highlight w:val="none"/>
          <w:u w:val="single" w:color="auto"/>
        </w:rPr>
        <w:t xml:space="preserve"> </w:t>
      </w:r>
      <w:r>
        <w:rPr>
          <w:rFonts w:ascii="宋体" w:hAnsi="宋体" w:eastAsia="宋体" w:cs="宋体"/>
          <w:color w:val="auto"/>
          <w:spacing w:val="-6"/>
          <w:sz w:val="24"/>
          <w:szCs w:val="24"/>
          <w:highlight w:val="none"/>
          <w:u w:val="single" w:color="auto"/>
        </w:rPr>
        <w:t>标</w:t>
      </w:r>
      <w:r>
        <w:rPr>
          <w:rFonts w:ascii="宋体" w:hAnsi="宋体" w:eastAsia="宋体" w:cs="宋体"/>
          <w:color w:val="auto"/>
          <w:spacing w:val="-68"/>
          <w:sz w:val="24"/>
          <w:szCs w:val="24"/>
          <w:highlight w:val="none"/>
          <w:u w:val="single" w:color="auto"/>
        </w:rPr>
        <w:t xml:space="preserve"> </w:t>
      </w:r>
      <w:r>
        <w:rPr>
          <w:rFonts w:ascii="宋体" w:hAnsi="宋体" w:eastAsia="宋体" w:cs="宋体"/>
          <w:color w:val="auto"/>
          <w:spacing w:val="-6"/>
          <w:sz w:val="24"/>
          <w:szCs w:val="24"/>
          <w:highlight w:val="none"/>
          <w:u w:val="single" w:color="auto"/>
        </w:rPr>
        <w:t>人</w:t>
      </w:r>
      <w:r>
        <w:rPr>
          <w:rFonts w:ascii="宋体" w:hAnsi="宋体" w:eastAsia="宋体" w:cs="宋体"/>
          <w:color w:val="auto"/>
          <w:spacing w:val="-70"/>
          <w:sz w:val="24"/>
          <w:szCs w:val="24"/>
          <w:highlight w:val="none"/>
          <w:u w:val="single" w:color="auto"/>
        </w:rPr>
        <w:t xml:space="preserve"> </w:t>
      </w:r>
      <w:r>
        <w:rPr>
          <w:rFonts w:ascii="宋体" w:hAnsi="宋体" w:eastAsia="宋体" w:cs="宋体"/>
          <w:color w:val="auto"/>
          <w:spacing w:val="-6"/>
          <w:sz w:val="24"/>
          <w:szCs w:val="24"/>
          <w:highlight w:val="none"/>
          <w:u w:val="single" w:color="auto"/>
        </w:rPr>
        <w:t>名</w:t>
      </w:r>
      <w:r>
        <w:rPr>
          <w:rFonts w:ascii="宋体" w:hAnsi="宋体" w:eastAsia="宋体" w:cs="宋体"/>
          <w:color w:val="auto"/>
          <w:spacing w:val="-71"/>
          <w:sz w:val="24"/>
          <w:szCs w:val="24"/>
          <w:highlight w:val="none"/>
          <w:u w:val="single" w:color="auto"/>
        </w:rPr>
        <w:t xml:space="preserve"> </w:t>
      </w:r>
      <w:r>
        <w:rPr>
          <w:rFonts w:ascii="宋体" w:hAnsi="宋体" w:eastAsia="宋体" w:cs="宋体"/>
          <w:color w:val="auto"/>
          <w:spacing w:val="-6"/>
          <w:sz w:val="24"/>
          <w:szCs w:val="24"/>
          <w:highlight w:val="none"/>
          <w:u w:val="single" w:color="auto"/>
        </w:rPr>
        <w:t>称</w:t>
      </w:r>
      <w:r>
        <w:rPr>
          <w:rFonts w:ascii="宋体" w:hAnsi="宋体" w:eastAsia="宋体" w:cs="宋体"/>
          <w:color w:val="auto"/>
          <w:spacing w:val="-46"/>
          <w:sz w:val="24"/>
          <w:szCs w:val="24"/>
          <w:highlight w:val="none"/>
          <w:u w:val="single" w:color="auto"/>
        </w:rPr>
        <w:t xml:space="preserve"> </w:t>
      </w:r>
      <w:r>
        <w:rPr>
          <w:rFonts w:ascii="宋体" w:hAnsi="宋体" w:eastAsia="宋体" w:cs="宋体"/>
          <w:color w:val="auto"/>
          <w:spacing w:val="-6"/>
          <w:sz w:val="24"/>
          <w:szCs w:val="24"/>
          <w:highlight w:val="none"/>
          <w:u w:val="single" w:color="auto"/>
        </w:rPr>
        <w:t>）</w:t>
      </w:r>
      <w:r>
        <w:rPr>
          <w:rFonts w:ascii="宋体" w:hAnsi="宋体" w:eastAsia="宋体" w:cs="宋体"/>
          <w:color w:val="auto"/>
          <w:spacing w:val="-51"/>
          <w:sz w:val="24"/>
          <w:szCs w:val="24"/>
          <w:highlight w:val="none"/>
          <w:u w:val="single" w:color="auto"/>
        </w:rPr>
        <w:t xml:space="preserve"> </w:t>
      </w:r>
      <w:r>
        <w:rPr>
          <w:rFonts w:ascii="宋体" w:hAnsi="宋体" w:eastAsia="宋体" w:cs="宋体"/>
          <w:color w:val="auto"/>
          <w:spacing w:val="-6"/>
          <w:sz w:val="24"/>
          <w:szCs w:val="24"/>
          <w:highlight w:val="none"/>
        </w:rPr>
        <w:t>的</w:t>
      </w:r>
      <w:r>
        <w:rPr>
          <w:rFonts w:ascii="宋体" w:hAnsi="宋体" w:eastAsia="宋体" w:cs="宋体"/>
          <w:color w:val="auto"/>
          <w:spacing w:val="-68"/>
          <w:sz w:val="24"/>
          <w:szCs w:val="24"/>
          <w:highlight w:val="none"/>
        </w:rPr>
        <w:t xml:space="preserve"> </w:t>
      </w:r>
      <w:r>
        <w:rPr>
          <w:rFonts w:ascii="宋体" w:hAnsi="宋体" w:eastAsia="宋体" w:cs="宋体"/>
          <w:color w:val="auto"/>
          <w:spacing w:val="-6"/>
          <w:sz w:val="24"/>
          <w:szCs w:val="24"/>
          <w:highlight w:val="none"/>
        </w:rPr>
        <w:t>法</w:t>
      </w:r>
      <w:r>
        <w:rPr>
          <w:rFonts w:ascii="宋体" w:hAnsi="宋体" w:eastAsia="宋体" w:cs="宋体"/>
          <w:color w:val="auto"/>
          <w:spacing w:val="-67"/>
          <w:sz w:val="24"/>
          <w:szCs w:val="24"/>
          <w:highlight w:val="none"/>
        </w:rPr>
        <w:t xml:space="preserve"> </w:t>
      </w:r>
      <w:r>
        <w:rPr>
          <w:rFonts w:ascii="宋体" w:hAnsi="宋体" w:eastAsia="宋体" w:cs="宋体"/>
          <w:color w:val="auto"/>
          <w:spacing w:val="-6"/>
          <w:sz w:val="24"/>
          <w:szCs w:val="24"/>
          <w:highlight w:val="none"/>
        </w:rPr>
        <w:t>定</w:t>
      </w:r>
      <w:r>
        <w:rPr>
          <w:rFonts w:ascii="宋体" w:hAnsi="宋体" w:eastAsia="宋体" w:cs="宋体"/>
          <w:color w:val="auto"/>
          <w:spacing w:val="-71"/>
          <w:sz w:val="24"/>
          <w:szCs w:val="24"/>
          <w:highlight w:val="none"/>
        </w:rPr>
        <w:t xml:space="preserve"> </w:t>
      </w:r>
      <w:r>
        <w:rPr>
          <w:rFonts w:ascii="宋体" w:hAnsi="宋体" w:eastAsia="宋体" w:cs="宋体"/>
          <w:color w:val="auto"/>
          <w:spacing w:val="-6"/>
          <w:sz w:val="24"/>
          <w:szCs w:val="24"/>
          <w:highlight w:val="none"/>
        </w:rPr>
        <w:t>代表</w:t>
      </w:r>
      <w:r>
        <w:rPr>
          <w:rFonts w:ascii="宋体" w:hAnsi="宋体" w:eastAsia="宋体" w:cs="宋体"/>
          <w:color w:val="auto"/>
          <w:spacing w:val="-68"/>
          <w:sz w:val="24"/>
          <w:szCs w:val="24"/>
          <w:highlight w:val="none"/>
        </w:rPr>
        <w:t xml:space="preserve"> </w:t>
      </w:r>
      <w:r>
        <w:rPr>
          <w:rFonts w:ascii="宋体" w:hAnsi="宋体" w:eastAsia="宋体" w:cs="宋体"/>
          <w:color w:val="auto"/>
          <w:spacing w:val="-6"/>
          <w:sz w:val="24"/>
          <w:szCs w:val="24"/>
          <w:highlight w:val="none"/>
        </w:rPr>
        <w:t>人</w:t>
      </w:r>
      <w:r>
        <w:rPr>
          <w:rFonts w:ascii="宋体" w:hAnsi="宋体" w:eastAsia="宋体" w:cs="宋体"/>
          <w:color w:val="auto"/>
          <w:spacing w:val="-52"/>
          <w:sz w:val="24"/>
          <w:szCs w:val="24"/>
          <w:highlight w:val="none"/>
        </w:rPr>
        <w:t xml:space="preserve"> </w:t>
      </w:r>
      <w:r>
        <w:rPr>
          <w:rFonts w:ascii="宋体" w:hAnsi="宋体" w:eastAsia="宋体" w:cs="宋体"/>
          <w:color w:val="auto"/>
          <w:spacing w:val="-6"/>
          <w:sz w:val="24"/>
          <w:szCs w:val="24"/>
          <w:highlight w:val="none"/>
        </w:rPr>
        <w:t>，</w:t>
      </w:r>
      <w:r>
        <w:rPr>
          <w:rFonts w:ascii="宋体" w:hAnsi="宋体" w:eastAsia="宋体" w:cs="宋体"/>
          <w:color w:val="auto"/>
          <w:spacing w:val="-68"/>
          <w:sz w:val="24"/>
          <w:szCs w:val="24"/>
          <w:highlight w:val="none"/>
        </w:rPr>
        <w:t xml:space="preserve"> </w:t>
      </w:r>
      <w:r>
        <w:rPr>
          <w:rFonts w:ascii="宋体" w:hAnsi="宋体" w:eastAsia="宋体" w:cs="宋体"/>
          <w:color w:val="auto"/>
          <w:spacing w:val="-6"/>
          <w:sz w:val="24"/>
          <w:szCs w:val="24"/>
          <w:highlight w:val="none"/>
        </w:rPr>
        <w:t>现</w:t>
      </w:r>
      <w:r>
        <w:rPr>
          <w:rFonts w:ascii="宋体" w:hAnsi="宋体" w:eastAsia="宋体" w:cs="宋体"/>
          <w:color w:val="auto"/>
          <w:spacing w:val="-71"/>
          <w:sz w:val="24"/>
          <w:szCs w:val="24"/>
          <w:highlight w:val="none"/>
        </w:rPr>
        <w:t xml:space="preserve"> </w:t>
      </w:r>
      <w:r>
        <w:rPr>
          <w:rFonts w:ascii="宋体" w:hAnsi="宋体" w:eastAsia="宋体" w:cs="宋体"/>
          <w:color w:val="auto"/>
          <w:spacing w:val="-6"/>
          <w:sz w:val="24"/>
          <w:szCs w:val="24"/>
          <w:highlight w:val="none"/>
        </w:rPr>
        <w:t>委托</w:t>
      </w:r>
      <w:r>
        <w:rPr>
          <w:rFonts w:ascii="宋体" w:hAnsi="宋体" w:eastAsia="宋体" w:cs="宋体"/>
          <w:color w:val="auto"/>
          <w:spacing w:val="1"/>
          <w:sz w:val="24"/>
          <w:szCs w:val="24"/>
          <w:highlight w:val="none"/>
          <w:u w:val="single" w:color="auto"/>
        </w:rPr>
        <w:t>（姓名）</w:t>
      </w:r>
      <w:r>
        <w:rPr>
          <w:rFonts w:ascii="宋体" w:hAnsi="宋体" w:eastAsia="宋体" w:cs="宋体"/>
          <w:color w:val="auto"/>
          <w:spacing w:val="1"/>
          <w:sz w:val="24"/>
          <w:szCs w:val="24"/>
          <w:highlight w:val="none"/>
        </w:rPr>
        <w:t>为我方代理人。代理人根据授权，以我方名义签署、澄清确认、递交、撤回、</w:t>
      </w:r>
      <w:r>
        <w:rPr>
          <w:rFonts w:ascii="宋体" w:hAnsi="宋体" w:eastAsia="宋体" w:cs="宋体"/>
          <w:color w:val="auto"/>
          <w:spacing w:val="6"/>
          <w:sz w:val="24"/>
          <w:szCs w:val="24"/>
          <w:highlight w:val="none"/>
        </w:rPr>
        <w:t>修改</w:t>
      </w:r>
      <w:r>
        <w:rPr>
          <w:rFonts w:ascii="宋体" w:hAnsi="宋体" w:eastAsia="宋体" w:cs="宋体"/>
          <w:color w:val="auto"/>
          <w:spacing w:val="6"/>
          <w:sz w:val="24"/>
          <w:szCs w:val="24"/>
          <w:highlight w:val="none"/>
          <w:u w:val="single" w:color="auto"/>
        </w:rPr>
        <w:t xml:space="preserve">                     （项目名称）</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5"/>
          <w:sz w:val="24"/>
          <w:szCs w:val="24"/>
          <w:highlight w:val="none"/>
        </w:rPr>
        <w:t>标段施工监理投标文件、签订合同和处理有关事宜，其法律后果由我方承担。</w:t>
      </w:r>
    </w:p>
    <w:p w14:paraId="2D8C9EA2">
      <w:pPr>
        <w:spacing w:line="218" w:lineRule="auto"/>
        <w:ind w:left="58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委托期限：</w:t>
      </w:r>
      <w:r>
        <w:rPr>
          <w:rFonts w:ascii="宋体" w:hAnsi="宋体" w:eastAsia="宋体" w:cs="宋体"/>
          <w:color w:val="auto"/>
          <w:spacing w:val="-58"/>
          <w:sz w:val="24"/>
          <w:szCs w:val="24"/>
          <w:highlight w:val="none"/>
        </w:rPr>
        <w:t xml:space="preserve"> </w:t>
      </w:r>
      <w:r>
        <w:rPr>
          <w:rFonts w:ascii="宋体" w:hAnsi="宋体" w:eastAsia="宋体" w:cs="宋体"/>
          <w:color w:val="auto"/>
          <w:spacing w:val="-3"/>
          <w:sz w:val="24"/>
          <w:szCs w:val="24"/>
          <w:highlight w:val="none"/>
        </w:rPr>
        <w:t>自本委托书签署之日起至投标有效期期满。</w:t>
      </w:r>
    </w:p>
    <w:p w14:paraId="4C5E1ADE">
      <w:pPr>
        <w:spacing w:before="158" w:line="219" w:lineRule="auto"/>
        <w:ind w:left="5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代理人无转委托权。</w:t>
      </w:r>
    </w:p>
    <w:p w14:paraId="3C9643EC">
      <w:pPr>
        <w:spacing w:line="275" w:lineRule="auto"/>
        <w:rPr>
          <w:rFonts w:ascii="Arial"/>
          <w:color w:val="auto"/>
          <w:sz w:val="21"/>
          <w:highlight w:val="none"/>
        </w:rPr>
      </w:pPr>
    </w:p>
    <w:p w14:paraId="11341444">
      <w:pPr>
        <w:spacing w:line="276" w:lineRule="auto"/>
        <w:rPr>
          <w:rFonts w:ascii="Arial"/>
          <w:color w:val="auto"/>
          <w:sz w:val="21"/>
          <w:highlight w:val="none"/>
        </w:rPr>
      </w:pPr>
    </w:p>
    <w:p w14:paraId="70F7A7EA">
      <w:pPr>
        <w:spacing w:before="65" w:line="227" w:lineRule="auto"/>
        <w:ind w:left="1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附：法定代表人身份证扫描件及委托代理人身份证扫描件。</w:t>
      </w:r>
    </w:p>
    <w:p w14:paraId="45199BA6">
      <w:pPr>
        <w:spacing w:line="252" w:lineRule="auto"/>
        <w:rPr>
          <w:rFonts w:ascii="Arial"/>
          <w:color w:val="auto"/>
          <w:sz w:val="21"/>
          <w:highlight w:val="none"/>
        </w:rPr>
      </w:pPr>
    </w:p>
    <w:p w14:paraId="5E521C93">
      <w:pPr>
        <w:spacing w:line="253" w:lineRule="auto"/>
        <w:rPr>
          <w:rFonts w:ascii="Arial"/>
          <w:color w:val="auto"/>
          <w:sz w:val="21"/>
          <w:highlight w:val="none"/>
        </w:rPr>
      </w:pPr>
    </w:p>
    <w:p w14:paraId="2DCA21CD">
      <w:pPr>
        <w:spacing w:before="78" w:line="219" w:lineRule="auto"/>
        <w:ind w:left="340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5"/>
          <w:sz w:val="24"/>
          <w:szCs w:val="24"/>
          <w:highlight w:val="none"/>
        </w:rPr>
        <w:t>（</w:t>
      </w:r>
      <w:r>
        <w:rPr>
          <w:rFonts w:ascii="宋体" w:hAnsi="宋体" w:eastAsia="宋体" w:cs="宋体"/>
          <w:color w:val="auto"/>
          <w:spacing w:val="2"/>
          <w:sz w:val="24"/>
          <w:szCs w:val="24"/>
          <w:highlight w:val="none"/>
        </w:rPr>
        <w:t>盖单位章）</w:t>
      </w:r>
    </w:p>
    <w:p w14:paraId="313B432D">
      <w:pPr>
        <w:spacing w:line="434" w:lineRule="auto"/>
        <w:rPr>
          <w:rFonts w:ascii="Arial"/>
          <w:color w:val="auto"/>
          <w:sz w:val="21"/>
          <w:highlight w:val="none"/>
        </w:rPr>
      </w:pPr>
    </w:p>
    <w:p w14:paraId="6BE042BE">
      <w:pPr>
        <w:spacing w:before="79" w:line="219" w:lineRule="auto"/>
        <w:ind w:left="339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签字）</w:t>
      </w:r>
    </w:p>
    <w:p w14:paraId="28B781DA">
      <w:pPr>
        <w:spacing w:line="433" w:lineRule="auto"/>
        <w:rPr>
          <w:rFonts w:ascii="Arial"/>
          <w:color w:val="auto"/>
          <w:sz w:val="21"/>
          <w:highlight w:val="none"/>
        </w:rPr>
      </w:pPr>
    </w:p>
    <w:p w14:paraId="6985E08F">
      <w:pPr>
        <w:spacing w:before="79" w:line="219" w:lineRule="auto"/>
        <w:ind w:left="340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ascii="宋体" w:hAnsi="宋体" w:eastAsia="宋体" w:cs="宋体"/>
          <w:color w:val="auto"/>
          <w:sz w:val="24"/>
          <w:szCs w:val="24"/>
          <w:highlight w:val="none"/>
          <w:u w:val="single" w:color="auto"/>
        </w:rPr>
        <w:t xml:space="preserve">                            </w:t>
      </w:r>
    </w:p>
    <w:p w14:paraId="45AF2EAE">
      <w:pPr>
        <w:spacing w:line="436" w:lineRule="auto"/>
        <w:rPr>
          <w:rFonts w:ascii="Arial"/>
          <w:color w:val="auto"/>
          <w:sz w:val="21"/>
          <w:highlight w:val="none"/>
        </w:rPr>
      </w:pPr>
    </w:p>
    <w:p w14:paraId="65BB873C">
      <w:pPr>
        <w:spacing w:before="78" w:line="219" w:lineRule="auto"/>
        <w:ind w:left="339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委托代理人</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3"/>
          <w:sz w:val="24"/>
          <w:szCs w:val="24"/>
          <w:highlight w:val="none"/>
        </w:rPr>
        <w:t>签字）</w:t>
      </w:r>
    </w:p>
    <w:p w14:paraId="1CDDCE69">
      <w:pPr>
        <w:spacing w:line="433" w:lineRule="auto"/>
        <w:rPr>
          <w:rFonts w:ascii="Arial"/>
          <w:color w:val="auto"/>
          <w:sz w:val="21"/>
          <w:highlight w:val="none"/>
        </w:rPr>
      </w:pPr>
    </w:p>
    <w:p w14:paraId="6603769B">
      <w:pPr>
        <w:spacing w:before="79" w:line="219" w:lineRule="auto"/>
        <w:ind w:left="340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ascii="宋体" w:hAnsi="宋体" w:eastAsia="宋体" w:cs="宋体"/>
          <w:color w:val="auto"/>
          <w:sz w:val="24"/>
          <w:szCs w:val="24"/>
          <w:highlight w:val="none"/>
          <w:u w:val="single" w:color="auto"/>
        </w:rPr>
        <w:t xml:space="preserve">                             </w:t>
      </w:r>
    </w:p>
    <w:p w14:paraId="14FF447D">
      <w:pPr>
        <w:spacing w:line="433" w:lineRule="auto"/>
        <w:rPr>
          <w:rFonts w:ascii="Arial"/>
          <w:color w:val="auto"/>
          <w:sz w:val="21"/>
          <w:highlight w:val="none"/>
        </w:rPr>
      </w:pPr>
    </w:p>
    <w:p w14:paraId="7CAEE53C">
      <w:pPr>
        <w:tabs>
          <w:tab w:val="left" w:pos="5559"/>
        </w:tabs>
        <w:spacing w:before="79" w:line="219" w:lineRule="auto"/>
        <w:ind w:left="4719"/>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6"/>
          <w:sz w:val="24"/>
          <w:szCs w:val="24"/>
          <w:highlight w:val="none"/>
        </w:rPr>
        <w:t xml:space="preserve"> </w:t>
      </w:r>
      <w:r>
        <w:rPr>
          <w:rFonts w:ascii="宋体" w:hAnsi="宋体" w:eastAsia="宋体" w:cs="宋体"/>
          <w:color w:val="auto"/>
          <w:spacing w:val="-6"/>
          <w:sz w:val="24"/>
          <w:szCs w:val="24"/>
          <w:highlight w:val="none"/>
        </w:rPr>
        <w:t xml:space="preserve">年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6"/>
          <w:sz w:val="24"/>
          <w:szCs w:val="24"/>
          <w:highlight w:val="none"/>
        </w:rPr>
        <w:t xml:space="preserve">月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0"/>
          <w:sz w:val="24"/>
          <w:szCs w:val="24"/>
          <w:highlight w:val="none"/>
        </w:rPr>
        <w:t xml:space="preserve"> </w:t>
      </w:r>
      <w:r>
        <w:rPr>
          <w:rFonts w:ascii="宋体" w:hAnsi="宋体" w:eastAsia="宋体" w:cs="宋体"/>
          <w:color w:val="auto"/>
          <w:spacing w:val="-6"/>
          <w:sz w:val="24"/>
          <w:szCs w:val="24"/>
          <w:highlight w:val="none"/>
        </w:rPr>
        <w:t>日</w:t>
      </w:r>
    </w:p>
    <w:p w14:paraId="2C2104AF">
      <w:pPr>
        <w:spacing w:line="394" w:lineRule="auto"/>
        <w:rPr>
          <w:rFonts w:ascii="Arial"/>
          <w:color w:val="auto"/>
          <w:sz w:val="21"/>
          <w:highlight w:val="none"/>
        </w:rPr>
      </w:pPr>
    </w:p>
    <w:p w14:paraId="69F380B5">
      <w:pPr>
        <w:spacing w:before="65" w:line="232" w:lineRule="auto"/>
        <w:ind w:left="107"/>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2C845587">
      <w:pPr>
        <w:spacing w:before="149" w:line="299" w:lineRule="auto"/>
        <w:ind w:left="111" w:right="51" w:firstLine="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1.法定代表人和委托代理人必须在授权书上签名；如果由投标人的委托代理人签署投标文</w:t>
      </w:r>
      <w:r>
        <w:rPr>
          <w:rFonts w:ascii="宋体" w:hAnsi="宋体" w:eastAsia="宋体" w:cs="宋体"/>
          <w:color w:val="auto"/>
          <w:spacing w:val="8"/>
          <w:sz w:val="20"/>
          <w:szCs w:val="20"/>
          <w:highlight w:val="none"/>
        </w:rPr>
        <w:t>件，则不需提交（二）法定代表人身份证明；</w:t>
      </w:r>
    </w:p>
    <w:p w14:paraId="696378AA">
      <w:pPr>
        <w:spacing w:before="151" w:line="227" w:lineRule="auto"/>
        <w:ind w:left="5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2.以联合体形式投标的，本授权委托书应由联合体牵头人的法定代表人按上述规定签署。</w:t>
      </w:r>
    </w:p>
    <w:p w14:paraId="19AB3A72">
      <w:pPr>
        <w:spacing w:before="155" w:line="227" w:lineRule="auto"/>
        <w:ind w:left="5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3.如果由投标人的法定代表人签署投标文件，则无须提交授权委托</w:t>
      </w:r>
      <w:r>
        <w:rPr>
          <w:rFonts w:ascii="宋体" w:hAnsi="宋体" w:eastAsia="宋体" w:cs="宋体"/>
          <w:color w:val="auto"/>
          <w:spacing w:val="8"/>
          <w:sz w:val="20"/>
          <w:szCs w:val="20"/>
          <w:highlight w:val="none"/>
        </w:rPr>
        <w:t>书。</w:t>
      </w:r>
    </w:p>
    <w:p w14:paraId="6945254A">
      <w:pPr>
        <w:spacing w:line="227" w:lineRule="auto"/>
        <w:rPr>
          <w:rFonts w:ascii="宋体" w:hAnsi="宋体" w:eastAsia="宋体" w:cs="宋体"/>
          <w:color w:val="auto"/>
          <w:sz w:val="20"/>
          <w:szCs w:val="20"/>
          <w:highlight w:val="none"/>
        </w:rPr>
        <w:sectPr>
          <w:footerReference r:id="rId93" w:type="default"/>
          <w:pgSz w:w="11906" w:h="16839"/>
          <w:pgMar w:top="1431" w:right="1418" w:bottom="1297" w:left="1316" w:header="0" w:footer="1067" w:gutter="0"/>
          <w:pgNumType w:fmt="decimal"/>
          <w:cols w:space="720" w:num="1"/>
        </w:sectPr>
      </w:pPr>
    </w:p>
    <w:p w14:paraId="7AA532F1">
      <w:pPr>
        <w:spacing w:before="60" w:line="219" w:lineRule="auto"/>
        <w:ind w:left="2669"/>
        <w:outlineLvl w:val="1"/>
        <w:rPr>
          <w:rFonts w:ascii="宋体" w:hAnsi="宋体" w:eastAsia="宋体" w:cs="宋体"/>
          <w:color w:val="auto"/>
          <w:sz w:val="30"/>
          <w:szCs w:val="30"/>
          <w:highlight w:val="none"/>
        </w:rPr>
      </w:pPr>
      <w:bookmarkStart w:id="317" w:name="_Toc7818"/>
      <w:bookmarkStart w:id="318" w:name="_Toc12748"/>
      <w:bookmarkStart w:id="319" w:name="_Toc3163"/>
      <w:bookmarkStart w:id="320" w:name="_Toc5490"/>
      <w:bookmarkStart w:id="321" w:name="_Toc17150"/>
      <w:r>
        <w:rPr>
          <w:rFonts w:ascii="宋体" w:hAnsi="宋体" w:eastAsia="宋体" w:cs="宋体"/>
          <w:b/>
          <w:bCs/>
          <w:color w:val="auto"/>
          <w:spacing w:val="-4"/>
          <w:sz w:val="30"/>
          <w:szCs w:val="30"/>
          <w:highlight w:val="none"/>
        </w:rPr>
        <w:t>（二）</w:t>
      </w:r>
      <w:r>
        <w:rPr>
          <w:rFonts w:ascii="宋体" w:hAnsi="宋体" w:eastAsia="宋体" w:cs="宋体"/>
          <w:color w:val="auto"/>
          <w:spacing w:val="-4"/>
          <w:sz w:val="30"/>
          <w:szCs w:val="30"/>
          <w:highlight w:val="none"/>
        </w:rPr>
        <w:t xml:space="preserve"> </w:t>
      </w:r>
      <w:r>
        <w:rPr>
          <w:rFonts w:ascii="宋体" w:hAnsi="宋体" w:eastAsia="宋体" w:cs="宋体"/>
          <w:b/>
          <w:bCs/>
          <w:color w:val="auto"/>
          <w:spacing w:val="-4"/>
          <w:sz w:val="30"/>
          <w:szCs w:val="30"/>
          <w:highlight w:val="none"/>
        </w:rPr>
        <w:t>法定代表人身份证明</w:t>
      </w:r>
      <w:bookmarkEnd w:id="317"/>
      <w:bookmarkEnd w:id="318"/>
      <w:bookmarkEnd w:id="319"/>
      <w:bookmarkEnd w:id="320"/>
      <w:bookmarkEnd w:id="321"/>
    </w:p>
    <w:p w14:paraId="6E77167F">
      <w:pPr>
        <w:spacing w:line="342" w:lineRule="auto"/>
        <w:rPr>
          <w:rFonts w:ascii="Arial"/>
          <w:color w:val="auto"/>
          <w:sz w:val="21"/>
          <w:highlight w:val="none"/>
        </w:rPr>
      </w:pPr>
    </w:p>
    <w:p w14:paraId="31039CB7">
      <w:pPr>
        <w:spacing w:line="343" w:lineRule="auto"/>
        <w:rPr>
          <w:rFonts w:ascii="Arial"/>
          <w:color w:val="auto"/>
          <w:sz w:val="21"/>
          <w:highlight w:val="none"/>
        </w:rPr>
      </w:pPr>
    </w:p>
    <w:p w14:paraId="3CAC26DA">
      <w:pPr>
        <w:spacing w:before="78" w:line="220" w:lineRule="auto"/>
        <w:ind w:left="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投标人名称：</w:t>
      </w:r>
      <w:r>
        <w:rPr>
          <w:rFonts w:ascii="宋体" w:hAnsi="宋体" w:eastAsia="宋体" w:cs="宋体"/>
          <w:color w:val="auto"/>
          <w:sz w:val="24"/>
          <w:szCs w:val="24"/>
          <w:highlight w:val="none"/>
          <w:u w:val="single" w:color="auto"/>
        </w:rPr>
        <w:t xml:space="preserve">                             </w:t>
      </w:r>
    </w:p>
    <w:p w14:paraId="08B3DEAD">
      <w:pPr>
        <w:spacing w:before="155" w:line="338" w:lineRule="auto"/>
        <w:ind w:left="4" w:right="184" w:hanging="4"/>
        <w:rPr>
          <w:rFonts w:ascii="宋体" w:hAnsi="宋体" w:eastAsia="宋体" w:cs="宋体"/>
          <w:color w:val="auto"/>
          <w:sz w:val="24"/>
          <w:szCs w:val="24"/>
          <w:highlight w:val="none"/>
        </w:rPr>
      </w:pPr>
      <w:r>
        <w:rPr>
          <w:rFonts w:ascii="宋体" w:hAnsi="宋体" w:eastAsia="宋体" w:cs="宋体"/>
          <w:color w:val="auto"/>
          <w:sz w:val="24"/>
          <w:szCs w:val="24"/>
          <w:highlight w:val="none"/>
        </w:rPr>
        <w:t>姓名</w:t>
      </w:r>
      <w:r>
        <w:rPr>
          <w:rFonts w:ascii="宋体" w:hAnsi="宋体" w:eastAsia="宋体" w:cs="宋体"/>
          <w:color w:val="auto"/>
          <w:spacing w:val="-11"/>
          <w:sz w:val="24"/>
          <w:szCs w:val="24"/>
          <w:highlight w:val="none"/>
        </w:rPr>
        <w:t>：</w:t>
      </w:r>
      <w:r>
        <w:rPr>
          <w:rFonts w:ascii="宋体" w:hAnsi="宋体" w:eastAsia="宋体" w:cs="宋体"/>
          <w:color w:val="auto"/>
          <w:spacing w:val="20"/>
          <w:sz w:val="24"/>
          <w:szCs w:val="24"/>
          <w:highlight w:val="none"/>
          <w:u w:val="single" w:color="auto"/>
        </w:rPr>
        <w:t xml:space="preserve">      </w:t>
      </w:r>
      <w:r>
        <w:rPr>
          <w:rFonts w:ascii="宋体" w:hAnsi="宋体" w:eastAsia="宋体" w:cs="宋体"/>
          <w:color w:val="auto"/>
          <w:spacing w:val="-11"/>
          <w:sz w:val="24"/>
          <w:szCs w:val="24"/>
          <w:highlight w:val="none"/>
          <w:u w:val="single" w:color="auto"/>
        </w:rPr>
        <w:t>（</w:t>
      </w:r>
      <w:r>
        <w:rPr>
          <w:rFonts w:ascii="宋体" w:hAnsi="宋体" w:eastAsia="宋体" w:cs="宋体"/>
          <w:color w:val="auto"/>
          <w:sz w:val="24"/>
          <w:szCs w:val="24"/>
          <w:highlight w:val="none"/>
          <w:u w:val="single" w:color="auto"/>
        </w:rPr>
        <w:t>法定代表人签字）</w:t>
      </w:r>
      <w:r>
        <w:rPr>
          <w:rFonts w:ascii="宋体" w:hAnsi="宋体" w:eastAsia="宋体" w:cs="宋体"/>
          <w:color w:val="auto"/>
          <w:sz w:val="24"/>
          <w:szCs w:val="24"/>
          <w:highlight w:val="none"/>
        </w:rPr>
        <w:t>性别：</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 xml:space="preserve"> 年龄：</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z w:val="24"/>
          <w:szCs w:val="24"/>
          <w:highlight w:val="none"/>
        </w:rPr>
        <w:t>职务：</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系</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（投标人名称）</w:t>
      </w:r>
      <w:r>
        <w:rPr>
          <w:rFonts w:ascii="宋体" w:hAnsi="宋体" w:eastAsia="宋体" w:cs="宋体"/>
          <w:color w:val="auto"/>
          <w:spacing w:val="-1"/>
          <w:sz w:val="24"/>
          <w:szCs w:val="24"/>
          <w:highlight w:val="none"/>
        </w:rPr>
        <w:t>的法定代表人。</w:t>
      </w:r>
    </w:p>
    <w:p w14:paraId="2A65B8FE">
      <w:pPr>
        <w:spacing w:line="219"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特此证明。</w:t>
      </w:r>
    </w:p>
    <w:p w14:paraId="4A94DEAC">
      <w:pPr>
        <w:spacing w:line="276" w:lineRule="auto"/>
        <w:rPr>
          <w:rFonts w:ascii="Arial"/>
          <w:color w:val="auto"/>
          <w:sz w:val="21"/>
          <w:highlight w:val="none"/>
        </w:rPr>
      </w:pPr>
    </w:p>
    <w:p w14:paraId="3C146841">
      <w:pPr>
        <w:spacing w:line="277" w:lineRule="auto"/>
        <w:rPr>
          <w:rFonts w:ascii="Arial"/>
          <w:color w:val="auto"/>
          <w:sz w:val="21"/>
          <w:highlight w:val="none"/>
        </w:rPr>
      </w:pPr>
    </w:p>
    <w:p w14:paraId="0B81AABB">
      <w:pPr>
        <w:spacing w:before="65" w:line="227" w:lineRule="auto"/>
        <w:ind w:left="1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附：法定代表人身份证扫描件。</w:t>
      </w:r>
    </w:p>
    <w:p w14:paraId="19C6F38B">
      <w:pPr>
        <w:spacing w:line="279" w:lineRule="auto"/>
        <w:rPr>
          <w:rFonts w:ascii="Arial"/>
          <w:color w:val="auto"/>
          <w:sz w:val="21"/>
          <w:highlight w:val="none"/>
        </w:rPr>
      </w:pPr>
    </w:p>
    <w:p w14:paraId="2A3A59E3">
      <w:pPr>
        <w:spacing w:line="280" w:lineRule="auto"/>
        <w:rPr>
          <w:rFonts w:ascii="Arial"/>
          <w:color w:val="auto"/>
          <w:sz w:val="21"/>
          <w:highlight w:val="none"/>
        </w:rPr>
      </w:pPr>
    </w:p>
    <w:p w14:paraId="418D62C9">
      <w:pPr>
        <w:spacing w:line="280" w:lineRule="auto"/>
        <w:rPr>
          <w:rFonts w:ascii="Arial"/>
          <w:color w:val="auto"/>
          <w:sz w:val="21"/>
          <w:highlight w:val="none"/>
        </w:rPr>
      </w:pPr>
    </w:p>
    <w:p w14:paraId="65B8790F">
      <w:pPr>
        <w:spacing w:line="280" w:lineRule="auto"/>
        <w:rPr>
          <w:rFonts w:ascii="Arial"/>
          <w:color w:val="auto"/>
          <w:sz w:val="21"/>
          <w:highlight w:val="none"/>
        </w:rPr>
      </w:pPr>
    </w:p>
    <w:p w14:paraId="01760D5E">
      <w:pPr>
        <w:spacing w:line="280" w:lineRule="auto"/>
        <w:rPr>
          <w:rFonts w:ascii="Arial"/>
          <w:color w:val="auto"/>
          <w:sz w:val="21"/>
          <w:highlight w:val="none"/>
        </w:rPr>
      </w:pPr>
    </w:p>
    <w:p w14:paraId="3890A60C">
      <w:pPr>
        <w:tabs>
          <w:tab w:val="left" w:pos="5390"/>
        </w:tabs>
        <w:spacing w:before="79" w:line="342" w:lineRule="auto"/>
        <w:ind w:left="4309" w:right="1164" w:hanging="1187"/>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rPr>
        <w:t>盖单位章）</w:t>
      </w:r>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1"/>
          <w:sz w:val="24"/>
          <w:szCs w:val="24"/>
          <w:highlight w:val="none"/>
        </w:rPr>
        <w:t xml:space="preserve"> </w:t>
      </w:r>
      <w:r>
        <w:rPr>
          <w:rFonts w:ascii="宋体" w:hAnsi="宋体" w:eastAsia="宋体" w:cs="宋体"/>
          <w:color w:val="auto"/>
          <w:spacing w:val="-9"/>
          <w:sz w:val="24"/>
          <w:szCs w:val="24"/>
          <w:highlight w:val="none"/>
        </w:rPr>
        <w:t>日</w:t>
      </w:r>
    </w:p>
    <w:p w14:paraId="576A7859">
      <w:pPr>
        <w:spacing w:line="241" w:lineRule="auto"/>
        <w:rPr>
          <w:rFonts w:ascii="Arial"/>
          <w:color w:val="auto"/>
          <w:sz w:val="21"/>
          <w:highlight w:val="none"/>
        </w:rPr>
      </w:pPr>
    </w:p>
    <w:p w14:paraId="2BF22063">
      <w:pPr>
        <w:spacing w:line="241" w:lineRule="auto"/>
        <w:rPr>
          <w:rFonts w:ascii="Arial"/>
          <w:color w:val="auto"/>
          <w:sz w:val="21"/>
          <w:highlight w:val="none"/>
        </w:rPr>
      </w:pPr>
    </w:p>
    <w:p w14:paraId="53E134EB">
      <w:pPr>
        <w:spacing w:line="241" w:lineRule="auto"/>
        <w:rPr>
          <w:rFonts w:ascii="Arial"/>
          <w:color w:val="auto"/>
          <w:sz w:val="21"/>
          <w:highlight w:val="none"/>
        </w:rPr>
      </w:pPr>
    </w:p>
    <w:p w14:paraId="679018C3">
      <w:pPr>
        <w:spacing w:line="241" w:lineRule="auto"/>
        <w:rPr>
          <w:rFonts w:ascii="Arial"/>
          <w:color w:val="auto"/>
          <w:sz w:val="21"/>
          <w:highlight w:val="none"/>
        </w:rPr>
      </w:pPr>
    </w:p>
    <w:p w14:paraId="6E4882F8">
      <w:pPr>
        <w:spacing w:line="241" w:lineRule="auto"/>
        <w:rPr>
          <w:rFonts w:ascii="Arial"/>
          <w:color w:val="auto"/>
          <w:sz w:val="21"/>
          <w:highlight w:val="none"/>
        </w:rPr>
      </w:pPr>
    </w:p>
    <w:p w14:paraId="1A366A85">
      <w:pPr>
        <w:spacing w:line="241" w:lineRule="auto"/>
        <w:rPr>
          <w:rFonts w:ascii="Arial"/>
          <w:color w:val="auto"/>
          <w:sz w:val="21"/>
          <w:highlight w:val="none"/>
        </w:rPr>
      </w:pPr>
    </w:p>
    <w:p w14:paraId="639ABAE4">
      <w:pPr>
        <w:spacing w:line="241" w:lineRule="auto"/>
        <w:rPr>
          <w:rFonts w:ascii="Arial"/>
          <w:color w:val="auto"/>
          <w:sz w:val="21"/>
          <w:highlight w:val="none"/>
        </w:rPr>
      </w:pPr>
    </w:p>
    <w:p w14:paraId="2CF11E8C">
      <w:pPr>
        <w:spacing w:before="65" w:line="228" w:lineRule="auto"/>
        <w:ind w:left="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注：法定代表人必须在法定代表人身份证明上签名。</w:t>
      </w:r>
    </w:p>
    <w:p w14:paraId="444B002F">
      <w:pPr>
        <w:spacing w:line="228" w:lineRule="auto"/>
        <w:rPr>
          <w:rFonts w:ascii="宋体" w:hAnsi="宋体" w:eastAsia="宋体" w:cs="宋体"/>
          <w:color w:val="auto"/>
          <w:sz w:val="20"/>
          <w:szCs w:val="20"/>
          <w:highlight w:val="none"/>
        </w:rPr>
        <w:sectPr>
          <w:footerReference r:id="rId94" w:type="default"/>
          <w:pgSz w:w="11906" w:h="16839"/>
          <w:pgMar w:top="1401" w:right="1785" w:bottom="1297" w:left="1425" w:header="0" w:footer="1067" w:gutter="0"/>
          <w:pgNumType w:fmt="decimal"/>
          <w:cols w:space="720" w:num="1"/>
        </w:sectPr>
      </w:pPr>
    </w:p>
    <w:p w14:paraId="34E54608">
      <w:pPr>
        <w:spacing w:before="163" w:line="219" w:lineRule="auto"/>
        <w:ind w:left="357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三、联合体协议书</w:t>
      </w:r>
    </w:p>
    <w:p w14:paraId="4F25E906">
      <w:pPr>
        <w:spacing w:line="253" w:lineRule="auto"/>
        <w:rPr>
          <w:rFonts w:ascii="Arial"/>
          <w:color w:val="auto"/>
          <w:sz w:val="21"/>
          <w:highlight w:val="none"/>
        </w:rPr>
      </w:pPr>
    </w:p>
    <w:p w14:paraId="5F905C43">
      <w:pPr>
        <w:spacing w:line="253" w:lineRule="auto"/>
        <w:rPr>
          <w:rFonts w:ascii="Arial"/>
          <w:color w:val="auto"/>
          <w:sz w:val="21"/>
          <w:highlight w:val="none"/>
        </w:rPr>
      </w:pPr>
    </w:p>
    <w:p w14:paraId="4ADCE329">
      <w:pPr>
        <w:spacing w:line="253" w:lineRule="auto"/>
        <w:rPr>
          <w:rFonts w:ascii="Arial"/>
          <w:color w:val="auto"/>
          <w:sz w:val="21"/>
          <w:highlight w:val="none"/>
        </w:rPr>
      </w:pPr>
    </w:p>
    <w:p w14:paraId="1CFAF362">
      <w:pPr>
        <w:tabs>
          <w:tab w:val="left" w:pos="2406"/>
        </w:tabs>
        <w:spacing w:before="78" w:line="308" w:lineRule="auto"/>
        <w:ind w:firstLine="351"/>
        <w:jc w:val="both"/>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7"/>
          <w:sz w:val="24"/>
          <w:szCs w:val="24"/>
          <w:highlight w:val="none"/>
          <w:u w:val="single" w:color="auto"/>
        </w:rPr>
        <w:t>（所有成员单位名称）</w:t>
      </w:r>
      <w:r>
        <w:rPr>
          <w:rFonts w:ascii="宋体" w:hAnsi="宋体" w:eastAsia="宋体" w:cs="宋体"/>
          <w:color w:val="auto"/>
          <w:spacing w:val="-71"/>
          <w:sz w:val="24"/>
          <w:szCs w:val="24"/>
          <w:highlight w:val="none"/>
          <w:u w:val="single" w:color="auto"/>
        </w:rPr>
        <w:t xml:space="preserve"> </w:t>
      </w:r>
      <w:r>
        <w:rPr>
          <w:rFonts w:ascii="宋体" w:hAnsi="宋体" w:eastAsia="宋体" w:cs="宋体"/>
          <w:color w:val="auto"/>
          <w:spacing w:val="-7"/>
          <w:sz w:val="24"/>
          <w:szCs w:val="24"/>
          <w:highlight w:val="none"/>
        </w:rPr>
        <w:t>自愿组成</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8"/>
          <w:sz w:val="24"/>
          <w:szCs w:val="24"/>
          <w:highlight w:val="none"/>
          <w:u w:val="single" w:color="auto"/>
        </w:rPr>
        <w:t xml:space="preserve">  （联合体名称）</w:t>
      </w:r>
      <w:r>
        <w:rPr>
          <w:rFonts w:ascii="宋体" w:hAnsi="宋体" w:eastAsia="宋体" w:cs="宋体"/>
          <w:color w:val="auto"/>
          <w:spacing w:val="-8"/>
          <w:sz w:val="24"/>
          <w:szCs w:val="24"/>
          <w:highlight w:val="none"/>
        </w:rPr>
        <w:t>联合体，</w:t>
      </w:r>
      <w:r>
        <w:rPr>
          <w:rFonts w:ascii="宋体" w:hAnsi="宋体" w:eastAsia="宋体" w:cs="宋体"/>
          <w:color w:val="auto"/>
          <w:spacing w:val="4"/>
          <w:sz w:val="24"/>
          <w:szCs w:val="24"/>
          <w:highlight w:val="none"/>
        </w:rPr>
        <w:t>共同参加</w:t>
      </w:r>
      <w:r>
        <w:rPr>
          <w:rFonts w:ascii="宋体" w:hAnsi="宋体" w:eastAsia="宋体" w:cs="宋体"/>
          <w:color w:val="auto"/>
          <w:spacing w:val="4"/>
          <w:sz w:val="24"/>
          <w:szCs w:val="24"/>
          <w:highlight w:val="none"/>
          <w:u w:val="single" w:color="auto"/>
        </w:rPr>
        <w:t xml:space="preserve">         （项目名称）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4"/>
          <w:sz w:val="24"/>
          <w:szCs w:val="24"/>
          <w:highlight w:val="none"/>
        </w:rPr>
        <w:t>标段施工监理投标。现就联合体投标</w:t>
      </w:r>
      <w:r>
        <w:rPr>
          <w:rFonts w:ascii="宋体" w:hAnsi="宋体" w:eastAsia="宋体" w:cs="宋体"/>
          <w:color w:val="auto"/>
          <w:spacing w:val="3"/>
          <w:sz w:val="24"/>
          <w:szCs w:val="24"/>
          <w:highlight w:val="none"/>
        </w:rPr>
        <w:t>事宜订立</w:t>
      </w:r>
      <w:r>
        <w:rPr>
          <w:rFonts w:ascii="宋体" w:hAnsi="宋体" w:eastAsia="宋体" w:cs="宋体"/>
          <w:color w:val="auto"/>
          <w:spacing w:val="-2"/>
          <w:sz w:val="24"/>
          <w:szCs w:val="24"/>
          <w:highlight w:val="none"/>
        </w:rPr>
        <w:t>如下协议。</w:t>
      </w:r>
    </w:p>
    <w:p w14:paraId="0ABB0368">
      <w:pPr>
        <w:spacing w:line="218" w:lineRule="auto"/>
        <w:ind w:left="40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w:t>
      </w:r>
      <w:r>
        <w:rPr>
          <w:rFonts w:ascii="宋体" w:hAnsi="宋体" w:eastAsia="宋体" w:cs="宋体"/>
          <w:color w:val="auto"/>
          <w:spacing w:val="-1"/>
          <w:sz w:val="24"/>
          <w:szCs w:val="24"/>
          <w:highlight w:val="none"/>
          <w:u w:val="single" w:color="auto"/>
        </w:rPr>
        <w:t xml:space="preserve">          （某成员单位名称）</w:t>
      </w:r>
      <w:r>
        <w:rPr>
          <w:rFonts w:ascii="宋体" w:hAnsi="宋体" w:eastAsia="宋体" w:cs="宋体"/>
          <w:color w:val="auto"/>
          <w:spacing w:val="-1"/>
          <w:sz w:val="24"/>
          <w:szCs w:val="24"/>
          <w:highlight w:val="none"/>
        </w:rPr>
        <w:t>为</w:t>
      </w:r>
      <w:r>
        <w:rPr>
          <w:rFonts w:ascii="宋体" w:hAnsi="宋体" w:eastAsia="宋体" w:cs="宋体"/>
          <w:color w:val="auto"/>
          <w:spacing w:val="-1"/>
          <w:sz w:val="24"/>
          <w:szCs w:val="24"/>
          <w:highlight w:val="none"/>
          <w:u w:val="single" w:color="auto"/>
        </w:rPr>
        <w:t xml:space="preserve">        （联合体名称）</w:t>
      </w:r>
      <w:r>
        <w:rPr>
          <w:rFonts w:ascii="宋体" w:hAnsi="宋体" w:eastAsia="宋体" w:cs="宋体"/>
          <w:color w:val="auto"/>
          <w:spacing w:val="-1"/>
          <w:sz w:val="24"/>
          <w:szCs w:val="24"/>
          <w:highlight w:val="none"/>
        </w:rPr>
        <w:t>牵头人。</w:t>
      </w:r>
    </w:p>
    <w:p w14:paraId="0E518ED2">
      <w:pPr>
        <w:spacing w:before="115" w:line="278" w:lineRule="auto"/>
        <w:ind w:right="109" w:firstLine="3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2.联合体各成员授权牵头人代表联合体参加投标活动，签署</w:t>
      </w:r>
      <w:r>
        <w:rPr>
          <w:rFonts w:ascii="宋体" w:hAnsi="宋体" w:eastAsia="宋体" w:cs="宋体"/>
          <w:color w:val="auto"/>
          <w:sz w:val="24"/>
          <w:szCs w:val="24"/>
          <w:highlight w:val="none"/>
        </w:rPr>
        <w:t>文件，提交和接收相关</w:t>
      </w:r>
      <w:r>
        <w:rPr>
          <w:rFonts w:ascii="宋体" w:hAnsi="宋体" w:eastAsia="宋体" w:cs="宋体"/>
          <w:color w:val="auto"/>
          <w:spacing w:val="5"/>
          <w:sz w:val="24"/>
          <w:szCs w:val="24"/>
          <w:highlight w:val="none"/>
        </w:rPr>
        <w:t>的资料、信息及指示，进行合同谈判活动，负责合同实施阶段的组织和协调工</w:t>
      </w:r>
      <w:r>
        <w:rPr>
          <w:rFonts w:ascii="宋体" w:hAnsi="宋体" w:eastAsia="宋体" w:cs="宋体"/>
          <w:color w:val="auto"/>
          <w:spacing w:val="4"/>
          <w:sz w:val="24"/>
          <w:szCs w:val="24"/>
          <w:highlight w:val="none"/>
        </w:rPr>
        <w:t>作，以</w:t>
      </w:r>
      <w:r>
        <w:rPr>
          <w:rFonts w:ascii="宋体" w:hAnsi="宋体" w:eastAsia="宋体" w:cs="宋体"/>
          <w:color w:val="auto"/>
          <w:spacing w:val="-1"/>
          <w:sz w:val="24"/>
          <w:szCs w:val="24"/>
          <w:highlight w:val="none"/>
        </w:rPr>
        <w:t>及处理与本招标项目有关的一切事宜。</w:t>
      </w:r>
    </w:p>
    <w:p w14:paraId="72D8FCB2">
      <w:pPr>
        <w:spacing w:before="113" w:line="279" w:lineRule="auto"/>
        <w:ind w:left="6" w:right="109" w:firstLine="3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3.联合体牵头人在本项目中签署的一切文件和处理的一</w:t>
      </w:r>
      <w:r>
        <w:rPr>
          <w:rFonts w:ascii="宋体" w:hAnsi="宋体" w:eastAsia="宋体" w:cs="宋体"/>
          <w:color w:val="auto"/>
          <w:sz w:val="24"/>
          <w:szCs w:val="24"/>
          <w:highlight w:val="none"/>
        </w:rPr>
        <w:t>切事宜，联合体各成员均予</w:t>
      </w:r>
      <w:r>
        <w:rPr>
          <w:rFonts w:ascii="宋体" w:hAnsi="宋体" w:eastAsia="宋体" w:cs="宋体"/>
          <w:color w:val="auto"/>
          <w:spacing w:val="5"/>
          <w:sz w:val="24"/>
          <w:szCs w:val="24"/>
          <w:highlight w:val="none"/>
        </w:rPr>
        <w:t>以承认。联合体各成员将严格按照招标文件、投标文件和合同</w:t>
      </w:r>
      <w:r>
        <w:rPr>
          <w:rFonts w:ascii="宋体" w:hAnsi="宋体" w:eastAsia="宋体" w:cs="宋体"/>
          <w:color w:val="auto"/>
          <w:spacing w:val="4"/>
          <w:sz w:val="24"/>
          <w:szCs w:val="24"/>
          <w:highlight w:val="none"/>
        </w:rPr>
        <w:t>的要求全面履行义务，</w:t>
      </w:r>
      <w:r>
        <w:rPr>
          <w:rFonts w:ascii="宋体" w:hAnsi="宋体" w:eastAsia="宋体" w:cs="宋体"/>
          <w:color w:val="auto"/>
          <w:spacing w:val="-2"/>
          <w:sz w:val="24"/>
          <w:szCs w:val="24"/>
          <w:highlight w:val="none"/>
        </w:rPr>
        <w:t>并向招标人承担连带责任。</w:t>
      </w:r>
    </w:p>
    <w:p w14:paraId="7B140A9A">
      <w:pPr>
        <w:spacing w:before="115" w:line="279" w:lineRule="auto"/>
        <w:ind w:right="107"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4.联合体各成员单位内部的职责分工如下</w:t>
      </w:r>
      <w:r>
        <w:rPr>
          <w:rFonts w:ascii="宋体" w:hAnsi="宋体" w:eastAsia="宋体" w:cs="宋体"/>
          <w:color w:val="auto"/>
          <w:spacing w:val="-13"/>
          <w:sz w:val="24"/>
          <w:szCs w:val="24"/>
          <w:highlight w:val="none"/>
        </w:rPr>
        <w:t>：</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3"/>
          <w:sz w:val="24"/>
          <w:szCs w:val="24"/>
          <w:highlight w:val="none"/>
          <w:u w:val="single" w:color="auto"/>
        </w:rPr>
        <w:t>（</w:t>
      </w:r>
      <w:r>
        <w:rPr>
          <w:rFonts w:ascii="宋体" w:hAnsi="宋体" w:eastAsia="宋体" w:cs="宋体"/>
          <w:color w:val="auto"/>
          <w:spacing w:val="2"/>
          <w:sz w:val="24"/>
          <w:szCs w:val="24"/>
          <w:highlight w:val="none"/>
          <w:u w:val="single" w:color="auto"/>
        </w:rPr>
        <w:t>牵头人名称）</w:t>
      </w:r>
      <w:r>
        <w:rPr>
          <w:rFonts w:ascii="宋体" w:hAnsi="宋体" w:eastAsia="宋体" w:cs="宋体"/>
          <w:color w:val="auto"/>
          <w:spacing w:val="2"/>
          <w:sz w:val="24"/>
          <w:szCs w:val="24"/>
          <w:highlight w:val="none"/>
        </w:rPr>
        <w:t>承担</w:t>
      </w:r>
      <w:r>
        <w:rPr>
          <w:rFonts w:ascii="宋体" w:hAnsi="宋体" w:eastAsia="宋体" w:cs="宋体"/>
          <w:color w:val="auto"/>
          <w:spacing w:val="-118"/>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2"/>
          <w:sz w:val="24"/>
          <w:szCs w:val="24"/>
          <w:highlight w:val="none"/>
        </w:rPr>
        <w:t>专业工</w:t>
      </w:r>
      <w:r>
        <w:rPr>
          <w:rFonts w:ascii="宋体" w:hAnsi="宋体" w:eastAsia="宋体" w:cs="宋体"/>
          <w:color w:val="auto"/>
          <w:spacing w:val="9"/>
          <w:sz w:val="24"/>
          <w:szCs w:val="24"/>
          <w:highlight w:val="none"/>
        </w:rPr>
        <w:t>程</w:t>
      </w:r>
      <w:r>
        <w:rPr>
          <w:rFonts w:ascii="宋体" w:hAnsi="宋体" w:eastAsia="宋体" w:cs="宋体"/>
          <w:color w:val="auto"/>
          <w:spacing w:val="-71"/>
          <w:sz w:val="24"/>
          <w:szCs w:val="24"/>
          <w:highlight w:val="none"/>
        </w:rPr>
        <w:t xml:space="preserve"> </w:t>
      </w:r>
      <w:r>
        <w:rPr>
          <w:rFonts w:ascii="宋体" w:hAnsi="宋体" w:eastAsia="宋体" w:cs="宋体"/>
          <w:color w:val="auto"/>
          <w:spacing w:val="9"/>
          <w:sz w:val="24"/>
          <w:szCs w:val="24"/>
          <w:highlight w:val="none"/>
        </w:rPr>
        <w:t>，</w:t>
      </w:r>
      <w:r>
        <w:rPr>
          <w:rFonts w:ascii="宋体" w:hAnsi="宋体" w:eastAsia="宋体" w:cs="宋体"/>
          <w:color w:val="auto"/>
          <w:spacing w:val="-52"/>
          <w:sz w:val="24"/>
          <w:szCs w:val="24"/>
          <w:highlight w:val="none"/>
        </w:rPr>
        <w:t xml:space="preserve"> </w:t>
      </w:r>
      <w:r>
        <w:rPr>
          <w:rFonts w:ascii="宋体" w:hAnsi="宋体" w:eastAsia="宋体" w:cs="宋体"/>
          <w:color w:val="auto"/>
          <w:spacing w:val="9"/>
          <w:sz w:val="24"/>
          <w:szCs w:val="24"/>
          <w:highlight w:val="none"/>
        </w:rPr>
        <w:t>占总工程量的</w:t>
      </w:r>
      <w:r>
        <w:rPr>
          <w:rFonts w:ascii="宋体" w:hAnsi="宋体" w:eastAsia="宋体" w:cs="宋体"/>
          <w:color w:val="auto"/>
          <w:spacing w:val="-101"/>
          <w:sz w:val="24"/>
          <w:szCs w:val="24"/>
          <w:highlight w:val="none"/>
        </w:rPr>
        <w:t xml:space="preserve"> </w:t>
      </w:r>
      <w:r>
        <w:rPr>
          <w:rFonts w:ascii="宋体" w:hAnsi="宋体" w:eastAsia="宋体" w:cs="宋体"/>
          <w:color w:val="auto"/>
          <w:spacing w:val="20"/>
          <w:sz w:val="24"/>
          <w:szCs w:val="24"/>
          <w:highlight w:val="none"/>
          <w:u w:val="single" w:color="auto"/>
        </w:rPr>
        <w:t xml:space="preserve">   </w:t>
      </w:r>
      <w:r>
        <w:rPr>
          <w:rFonts w:ascii="宋体" w:hAnsi="宋体" w:eastAsia="宋体" w:cs="宋体"/>
          <w:color w:val="auto"/>
          <w:spacing w:val="-117"/>
          <w:sz w:val="24"/>
          <w:szCs w:val="24"/>
          <w:highlight w:val="none"/>
        </w:rPr>
        <w:t xml:space="preserve"> </w:t>
      </w:r>
      <w:r>
        <w:rPr>
          <w:rFonts w:ascii="宋体" w:hAnsi="宋体" w:eastAsia="宋体" w:cs="宋体"/>
          <w:color w:val="auto"/>
          <w:spacing w:val="9"/>
          <w:sz w:val="24"/>
          <w:szCs w:val="24"/>
          <w:highlight w:val="none"/>
        </w:rPr>
        <w:t>%</w:t>
      </w:r>
      <w:r>
        <w:rPr>
          <w:rFonts w:ascii="宋体" w:hAnsi="宋体" w:eastAsia="宋体" w:cs="宋体"/>
          <w:color w:val="auto"/>
          <w:spacing w:val="-71"/>
          <w:sz w:val="24"/>
          <w:szCs w:val="24"/>
          <w:highlight w:val="none"/>
        </w:rPr>
        <w:t xml:space="preserve"> </w:t>
      </w:r>
      <w:r>
        <w:rPr>
          <w:rFonts w:ascii="宋体" w:hAnsi="宋体" w:eastAsia="宋体" w:cs="宋体"/>
          <w:color w:val="auto"/>
          <w:spacing w:val="-19"/>
          <w:sz w:val="24"/>
          <w:szCs w:val="24"/>
          <w:highlight w:val="none"/>
        </w:rPr>
        <w:t>；</w:t>
      </w:r>
      <w:r>
        <w:rPr>
          <w:rFonts w:ascii="宋体" w:hAnsi="宋体" w:eastAsia="宋体" w:cs="宋体"/>
          <w:color w:val="auto"/>
          <w:spacing w:val="20"/>
          <w:sz w:val="24"/>
          <w:szCs w:val="24"/>
          <w:highlight w:val="none"/>
          <w:u w:val="single" w:color="auto"/>
        </w:rPr>
        <w:t xml:space="preserve">     </w:t>
      </w:r>
      <w:r>
        <w:rPr>
          <w:rFonts w:ascii="宋体" w:hAnsi="宋体" w:eastAsia="宋体" w:cs="宋体"/>
          <w:color w:val="auto"/>
          <w:spacing w:val="-19"/>
          <w:sz w:val="24"/>
          <w:szCs w:val="24"/>
          <w:highlight w:val="none"/>
          <w:u w:val="single" w:color="auto"/>
        </w:rPr>
        <w:t>（</w:t>
      </w:r>
      <w:r>
        <w:rPr>
          <w:rFonts w:ascii="宋体" w:hAnsi="宋体" w:eastAsia="宋体" w:cs="宋体"/>
          <w:color w:val="auto"/>
          <w:spacing w:val="9"/>
          <w:sz w:val="24"/>
          <w:szCs w:val="24"/>
          <w:highlight w:val="none"/>
          <w:u w:val="single" w:color="auto"/>
        </w:rPr>
        <w:t>成员一名称）</w:t>
      </w:r>
      <w:r>
        <w:rPr>
          <w:rFonts w:ascii="宋体" w:hAnsi="宋体" w:eastAsia="宋体" w:cs="宋体"/>
          <w:color w:val="auto"/>
          <w:spacing w:val="9"/>
          <w:sz w:val="24"/>
          <w:szCs w:val="24"/>
          <w:highlight w:val="none"/>
        </w:rPr>
        <w:t>承担</w:t>
      </w:r>
      <w:r>
        <w:rPr>
          <w:rFonts w:ascii="宋体" w:hAnsi="宋体" w:eastAsia="宋体" w:cs="宋体"/>
          <w:color w:val="auto"/>
          <w:spacing w:val="-97"/>
          <w:sz w:val="24"/>
          <w:szCs w:val="24"/>
          <w:highlight w:val="none"/>
        </w:rPr>
        <w:t xml:space="preserve"> </w:t>
      </w:r>
      <w:r>
        <w:rPr>
          <w:rFonts w:ascii="宋体" w:hAnsi="宋体" w:eastAsia="宋体" w:cs="宋体"/>
          <w:color w:val="auto"/>
          <w:spacing w:val="19"/>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9"/>
          <w:sz w:val="24"/>
          <w:szCs w:val="24"/>
          <w:highlight w:val="none"/>
        </w:rPr>
        <w:t>专业工程</w:t>
      </w:r>
      <w:r>
        <w:rPr>
          <w:rFonts w:ascii="宋体" w:hAnsi="宋体" w:eastAsia="宋体" w:cs="宋体"/>
          <w:color w:val="auto"/>
          <w:spacing w:val="-72"/>
          <w:sz w:val="24"/>
          <w:szCs w:val="24"/>
          <w:highlight w:val="none"/>
        </w:rPr>
        <w:t xml:space="preserve"> </w:t>
      </w:r>
      <w:r>
        <w:rPr>
          <w:rFonts w:ascii="宋体" w:hAnsi="宋体" w:eastAsia="宋体" w:cs="宋体"/>
          <w:color w:val="auto"/>
          <w:spacing w:val="9"/>
          <w:sz w:val="24"/>
          <w:szCs w:val="24"/>
          <w:highlight w:val="none"/>
        </w:rPr>
        <w:t>，</w:t>
      </w:r>
      <w:r>
        <w:rPr>
          <w:rFonts w:ascii="宋体" w:hAnsi="宋体" w:eastAsia="宋体" w:cs="宋体"/>
          <w:color w:val="auto"/>
          <w:spacing w:val="-52"/>
          <w:sz w:val="24"/>
          <w:szCs w:val="24"/>
          <w:highlight w:val="none"/>
        </w:rPr>
        <w:t xml:space="preserve"> </w:t>
      </w:r>
      <w:r>
        <w:rPr>
          <w:rFonts w:ascii="宋体" w:hAnsi="宋体" w:eastAsia="宋体" w:cs="宋体"/>
          <w:color w:val="auto"/>
          <w:spacing w:val="9"/>
          <w:sz w:val="24"/>
          <w:szCs w:val="24"/>
          <w:highlight w:val="none"/>
        </w:rPr>
        <w:t>占总工程量</w:t>
      </w:r>
      <w:r>
        <w:rPr>
          <w:rFonts w:ascii="宋体" w:hAnsi="宋体" w:eastAsia="宋体" w:cs="宋体"/>
          <w:color w:val="auto"/>
          <w:spacing w:val="-1"/>
          <w:sz w:val="24"/>
          <w:szCs w:val="24"/>
          <w:highlight w:val="none"/>
        </w:rPr>
        <w:t>的</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2A3BC2BE">
      <w:pPr>
        <w:spacing w:before="110" w:line="264" w:lineRule="auto"/>
        <w:ind w:right="109" w:firstLine="48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5.投标工作和联合体在中标后工程实施过程中的有关费用按各自承担的</w:t>
      </w:r>
      <w:r>
        <w:rPr>
          <w:rFonts w:ascii="宋体" w:hAnsi="宋体" w:eastAsia="宋体" w:cs="宋体"/>
          <w:color w:val="auto"/>
          <w:spacing w:val="4"/>
          <w:sz w:val="24"/>
          <w:szCs w:val="24"/>
          <w:highlight w:val="none"/>
        </w:rPr>
        <w:t>工作量分</w:t>
      </w:r>
      <w:r>
        <w:rPr>
          <w:rFonts w:ascii="宋体" w:hAnsi="宋体" w:eastAsia="宋体" w:cs="宋体"/>
          <w:color w:val="auto"/>
          <w:spacing w:val="-5"/>
          <w:sz w:val="24"/>
          <w:szCs w:val="24"/>
          <w:highlight w:val="none"/>
        </w:rPr>
        <w:t>摊。</w:t>
      </w:r>
    </w:p>
    <w:p w14:paraId="1DD275BC">
      <w:pPr>
        <w:spacing w:before="115" w:line="263" w:lineRule="auto"/>
        <w:ind w:left="5" w:right="109" w:firstLine="47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6.本协议书自所有成员单位法定代表人签字或盖单位章之日起生效，合同履行完</w:t>
      </w:r>
      <w:r>
        <w:rPr>
          <w:rFonts w:ascii="宋体" w:hAnsi="宋体" w:eastAsia="宋体" w:cs="宋体"/>
          <w:color w:val="auto"/>
          <w:spacing w:val="-3"/>
          <w:sz w:val="24"/>
          <w:szCs w:val="24"/>
          <w:highlight w:val="none"/>
        </w:rPr>
        <w:t>毕后自动失效。</w:t>
      </w:r>
    </w:p>
    <w:p w14:paraId="711AF141">
      <w:pPr>
        <w:spacing w:before="115" w:line="219" w:lineRule="auto"/>
        <w:ind w:left="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7.本协议书一式</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
          <w:sz w:val="24"/>
          <w:szCs w:val="24"/>
          <w:highlight w:val="none"/>
        </w:rPr>
        <w:t>份，联合体成员和招标人各执一份。</w:t>
      </w:r>
    </w:p>
    <w:p w14:paraId="50E89129">
      <w:pPr>
        <w:spacing w:line="433" w:lineRule="auto"/>
        <w:rPr>
          <w:rFonts w:ascii="Arial"/>
          <w:color w:val="auto"/>
          <w:sz w:val="21"/>
          <w:highlight w:val="none"/>
        </w:rPr>
      </w:pPr>
    </w:p>
    <w:p w14:paraId="5944B596">
      <w:pPr>
        <w:spacing w:before="79" w:line="219" w:lineRule="auto"/>
        <w:ind w:left="47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联合体牵头人名称</w:t>
      </w:r>
      <w:r>
        <w:rPr>
          <w:rFonts w:ascii="宋体" w:hAnsi="宋体" w:eastAsia="宋体" w:cs="宋体"/>
          <w:color w:val="auto"/>
          <w:spacing w:val="-13"/>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3"/>
          <w:sz w:val="24"/>
          <w:szCs w:val="24"/>
          <w:highlight w:val="none"/>
        </w:rPr>
        <w:t>（</w:t>
      </w:r>
      <w:r>
        <w:rPr>
          <w:rFonts w:ascii="宋体" w:hAnsi="宋体" w:eastAsia="宋体" w:cs="宋体"/>
          <w:color w:val="auto"/>
          <w:spacing w:val="1"/>
          <w:sz w:val="24"/>
          <w:szCs w:val="24"/>
          <w:highlight w:val="none"/>
        </w:rPr>
        <w:t>盖单位章）</w:t>
      </w:r>
    </w:p>
    <w:p w14:paraId="08CBAB11">
      <w:pPr>
        <w:spacing w:before="117" w:line="219" w:lineRule="auto"/>
        <w:ind w:left="47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r>
        <w:rPr>
          <w:rFonts w:ascii="宋体" w:hAnsi="宋体" w:eastAsia="宋体" w:cs="宋体"/>
          <w:color w:val="auto"/>
          <w:spacing w:val="-18"/>
          <w:sz w:val="24"/>
          <w:szCs w:val="24"/>
          <w:highlight w:val="none"/>
        </w:rPr>
        <w:t>：</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签字）</w:t>
      </w:r>
    </w:p>
    <w:p w14:paraId="33E24E10">
      <w:pPr>
        <w:spacing w:line="432" w:lineRule="auto"/>
        <w:rPr>
          <w:rFonts w:ascii="Arial"/>
          <w:color w:val="auto"/>
          <w:sz w:val="21"/>
          <w:highlight w:val="none"/>
        </w:rPr>
      </w:pPr>
    </w:p>
    <w:p w14:paraId="179E7411">
      <w:pPr>
        <w:spacing w:before="79" w:line="219" w:lineRule="auto"/>
        <w:ind w:left="47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联合体成员名称</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2"/>
          <w:sz w:val="24"/>
          <w:szCs w:val="24"/>
          <w:highlight w:val="none"/>
        </w:rPr>
        <w:t>盖单位章）</w:t>
      </w:r>
    </w:p>
    <w:p w14:paraId="111D7752">
      <w:pPr>
        <w:spacing w:before="117" w:line="219" w:lineRule="auto"/>
        <w:ind w:left="47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r>
        <w:rPr>
          <w:rFonts w:ascii="宋体" w:hAnsi="宋体" w:eastAsia="宋体" w:cs="宋体"/>
          <w:color w:val="auto"/>
          <w:spacing w:val="-18"/>
          <w:sz w:val="24"/>
          <w:szCs w:val="24"/>
          <w:highlight w:val="none"/>
        </w:rPr>
        <w:t>：</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签字）</w:t>
      </w:r>
    </w:p>
    <w:p w14:paraId="7F2B4763">
      <w:pPr>
        <w:spacing w:before="225"/>
        <w:rPr>
          <w:color w:val="auto"/>
          <w:highlight w:val="none"/>
        </w:rPr>
      </w:pPr>
    </w:p>
    <w:p w14:paraId="6654FA05">
      <w:pPr>
        <w:rPr>
          <w:color w:val="auto"/>
          <w:highlight w:val="none"/>
        </w:rPr>
        <w:sectPr>
          <w:footerReference r:id="rId95" w:type="default"/>
          <w:pgSz w:w="11906" w:h="16839"/>
          <w:pgMar w:top="1431" w:right="1308" w:bottom="1297" w:left="1424" w:header="0" w:footer="1067" w:gutter="0"/>
          <w:pgNumType w:fmt="decimal"/>
          <w:cols w:equalWidth="0" w:num="1">
            <w:col w:w="9174"/>
          </w:cols>
        </w:sectPr>
      </w:pPr>
    </w:p>
    <w:p w14:paraId="1AC7BD8B">
      <w:pPr>
        <w:spacing w:before="48" w:line="378" w:lineRule="exact"/>
        <w:ind w:left="496"/>
        <w:rPr>
          <w:rFonts w:ascii="宋体" w:hAnsi="宋体" w:eastAsia="宋体" w:cs="宋体"/>
          <w:color w:val="auto"/>
          <w:sz w:val="24"/>
          <w:szCs w:val="24"/>
          <w:highlight w:val="none"/>
        </w:rPr>
      </w:pPr>
      <w:r>
        <w:rPr>
          <w:rFonts w:ascii="宋体" w:hAnsi="宋体" w:eastAsia="宋体" w:cs="宋体"/>
          <w:color w:val="auto"/>
          <w:spacing w:val="-13"/>
          <w:position w:val="3"/>
          <w:sz w:val="24"/>
          <w:szCs w:val="24"/>
          <w:highlight w:val="none"/>
        </w:rPr>
        <w:t>……</w:t>
      </w:r>
    </w:p>
    <w:p w14:paraId="2A052C7B">
      <w:pPr>
        <w:spacing w:line="14" w:lineRule="auto"/>
        <w:rPr>
          <w:rFonts w:ascii="Arial"/>
          <w:color w:val="auto"/>
          <w:sz w:val="2"/>
          <w:highlight w:val="none"/>
        </w:rPr>
      </w:pPr>
      <w:r>
        <w:rPr>
          <w:rFonts w:ascii="Arial" w:hAnsi="Arial" w:eastAsia="Arial" w:cs="Arial"/>
          <w:color w:val="auto"/>
          <w:sz w:val="2"/>
          <w:szCs w:val="2"/>
          <w:highlight w:val="none"/>
        </w:rPr>
        <w:br w:type="column"/>
      </w:r>
    </w:p>
    <w:p w14:paraId="47062021">
      <w:pPr>
        <w:spacing w:line="367" w:lineRule="auto"/>
        <w:rPr>
          <w:rFonts w:ascii="Arial"/>
          <w:color w:val="auto"/>
          <w:sz w:val="21"/>
          <w:highlight w:val="none"/>
        </w:rPr>
      </w:pPr>
    </w:p>
    <w:p w14:paraId="168B5B89">
      <w:pPr>
        <w:tabs>
          <w:tab w:val="left" w:pos="840"/>
        </w:tabs>
        <w:spacing w:before="78" w:line="184" w:lineRule="auto"/>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bookmarkStart w:id="322" w:name="_Toc8840"/>
      <w:bookmarkStart w:id="323" w:name="_Toc32529"/>
      <w:bookmarkStart w:id="324" w:name="_Toc30473"/>
      <w:bookmarkStart w:id="325" w:name="_Toc24344"/>
      <w:bookmarkStart w:id="326" w:name="_Toc6496"/>
      <w:r>
        <w:rPr>
          <w:rFonts w:ascii="宋体" w:hAnsi="宋体" w:eastAsia="宋体" w:cs="宋体"/>
          <w:color w:val="auto"/>
          <w:spacing w:val="-7"/>
          <w:sz w:val="24"/>
          <w:szCs w:val="24"/>
          <w:highlight w:val="none"/>
        </w:rPr>
        <w:t xml:space="preserve">年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7"/>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70"/>
          <w:sz w:val="24"/>
          <w:szCs w:val="24"/>
          <w:highlight w:val="none"/>
        </w:rPr>
        <w:t xml:space="preserve"> </w:t>
      </w:r>
      <w:r>
        <w:rPr>
          <w:rFonts w:ascii="宋体" w:hAnsi="宋体" w:eastAsia="宋体" w:cs="宋体"/>
          <w:color w:val="auto"/>
          <w:spacing w:val="-7"/>
          <w:sz w:val="24"/>
          <w:szCs w:val="24"/>
          <w:highlight w:val="none"/>
        </w:rPr>
        <w:t>日</w:t>
      </w:r>
      <w:bookmarkEnd w:id="322"/>
      <w:bookmarkEnd w:id="323"/>
      <w:bookmarkEnd w:id="324"/>
      <w:bookmarkEnd w:id="325"/>
      <w:bookmarkEnd w:id="326"/>
    </w:p>
    <w:p w14:paraId="0A4A3B85">
      <w:pPr>
        <w:spacing w:line="184" w:lineRule="auto"/>
        <w:rPr>
          <w:rFonts w:ascii="宋体" w:hAnsi="宋体" w:eastAsia="宋体" w:cs="宋体"/>
          <w:color w:val="auto"/>
          <w:sz w:val="24"/>
          <w:szCs w:val="24"/>
          <w:highlight w:val="none"/>
        </w:rPr>
        <w:sectPr>
          <w:type w:val="continuous"/>
          <w:pgSz w:w="11906" w:h="16839"/>
          <w:pgMar w:top="1431" w:right="1308" w:bottom="1297" w:left="1424" w:header="0" w:footer="1067" w:gutter="0"/>
          <w:pgNumType w:fmt="decimal"/>
          <w:cols w:equalWidth="0" w:num="2">
            <w:col w:w="6204" w:space="100"/>
            <w:col w:w="2870"/>
          </w:cols>
        </w:sectPr>
      </w:pPr>
    </w:p>
    <w:p w14:paraId="2427B227">
      <w:pPr>
        <w:spacing w:before="163" w:line="220" w:lineRule="auto"/>
        <w:ind w:left="3725"/>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四、投标保证金</w:t>
      </w:r>
    </w:p>
    <w:p w14:paraId="40B8D67E">
      <w:pPr>
        <w:spacing w:line="252" w:lineRule="auto"/>
        <w:rPr>
          <w:rFonts w:ascii="Arial"/>
          <w:color w:val="auto"/>
          <w:sz w:val="21"/>
          <w:highlight w:val="none"/>
        </w:rPr>
      </w:pPr>
    </w:p>
    <w:p w14:paraId="67C79FED">
      <w:pPr>
        <w:spacing w:line="253" w:lineRule="auto"/>
        <w:rPr>
          <w:rFonts w:ascii="Arial"/>
          <w:color w:val="auto"/>
          <w:sz w:val="21"/>
          <w:highlight w:val="none"/>
        </w:rPr>
      </w:pPr>
    </w:p>
    <w:p w14:paraId="14A6561C">
      <w:pPr>
        <w:spacing w:before="113" w:line="292" w:lineRule="auto"/>
        <w:ind w:left="14" w:right="2" w:firstLine="507"/>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如采用银行转账，投标人应在此提供汇款凭证的复印件。</w:t>
      </w:r>
    </w:p>
    <w:p w14:paraId="6F08B3F4">
      <w:pPr>
        <w:spacing w:before="113" w:line="292" w:lineRule="auto"/>
        <w:ind w:left="14" w:right="2" w:firstLine="507"/>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如采用投标保证保险的，附电子保单打印件。</w:t>
      </w:r>
    </w:p>
    <w:p w14:paraId="264B2406">
      <w:pPr>
        <w:spacing w:before="113" w:line="292" w:lineRule="auto"/>
        <w:ind w:left="14" w:right="2" w:firstLine="507"/>
        <w:rPr>
          <w:rFonts w:ascii="宋体" w:hAnsi="宋体" w:eastAsia="宋体" w:cs="宋体"/>
          <w:color w:val="auto"/>
          <w:sz w:val="24"/>
          <w:szCs w:val="24"/>
          <w:highlight w:val="none"/>
        </w:rPr>
        <w:sectPr>
          <w:footerReference r:id="rId96" w:type="default"/>
          <w:pgSz w:w="11906" w:h="16839"/>
          <w:pgMar w:top="1431" w:right="1415" w:bottom="1297" w:left="1416" w:header="0" w:footer="1067" w:gutter="0"/>
          <w:pgNumType w:fmt="decimal"/>
          <w:cols w:equalWidth="0" w:num="1">
            <w:col w:w="9075"/>
          </w:cols>
        </w:sectPr>
      </w:pPr>
      <w:r>
        <w:rPr>
          <w:rFonts w:ascii="宋体" w:hAnsi="宋体" w:eastAsia="宋体" w:cs="宋体"/>
          <w:color w:val="auto"/>
          <w:spacing w:val="4"/>
          <w:sz w:val="24"/>
          <w:szCs w:val="24"/>
          <w:highlight w:val="none"/>
        </w:rPr>
        <w:t>如采用银行保函，投标人应在此提供银行保函复印件。</w:t>
      </w:r>
    </w:p>
    <w:p w14:paraId="73D6F130">
      <w:pPr>
        <w:spacing w:before="24" w:line="217" w:lineRule="auto"/>
        <w:ind w:left="1352"/>
        <w:rPr>
          <w:rFonts w:ascii="宋体" w:hAnsi="宋体" w:eastAsia="宋体" w:cs="宋体"/>
          <w:color w:val="auto"/>
          <w:sz w:val="12"/>
          <w:szCs w:val="12"/>
          <w:highlight w:val="none"/>
        </w:rPr>
      </w:pPr>
    </w:p>
    <w:p w14:paraId="31E5FB4B">
      <w:pPr>
        <w:spacing w:before="152" w:line="57" w:lineRule="exact"/>
        <w:rPr>
          <w:rFonts w:ascii="宋体" w:hAnsi="宋体" w:eastAsia="宋体" w:cs="宋体"/>
          <w:color w:val="auto"/>
          <w:sz w:val="4"/>
          <w:szCs w:val="4"/>
          <w:highlight w:val="none"/>
        </w:rPr>
      </w:pPr>
      <w:r>
        <w:rPr>
          <w:color w:val="auto"/>
          <w:highlight w:val="none"/>
        </w:rPr>
        <w:fldChar w:fldCharType="begin"/>
      </w:r>
      <w:r>
        <w:rPr>
          <w:color w:val="auto"/>
          <w:highlight w:val="none"/>
        </w:rPr>
        <w:instrText xml:space="preserve"> HYPERLINK \l "bookmark158" </w:instrText>
      </w:r>
      <w:r>
        <w:rPr>
          <w:color w:val="auto"/>
          <w:highlight w:val="none"/>
        </w:rPr>
        <w:fldChar w:fldCharType="separate"/>
      </w:r>
      <w:r>
        <w:rPr>
          <w:rFonts w:ascii="宋体" w:hAnsi="宋体" w:eastAsia="宋体" w:cs="宋体"/>
          <w:color w:val="auto"/>
          <w:spacing w:val="8"/>
          <w:sz w:val="4"/>
          <w:szCs w:val="4"/>
          <w:highlight w:val="none"/>
        </w:rPr>
        <w:t>①</w:t>
      </w:r>
      <w:r>
        <w:rPr>
          <w:rFonts w:ascii="宋体" w:hAnsi="宋体" w:eastAsia="宋体" w:cs="宋体"/>
          <w:color w:val="auto"/>
          <w:spacing w:val="8"/>
          <w:sz w:val="4"/>
          <w:szCs w:val="4"/>
          <w:highlight w:val="none"/>
        </w:rPr>
        <w:fldChar w:fldCharType="end"/>
      </w:r>
    </w:p>
    <w:p w14:paraId="566AAC36">
      <w:pPr>
        <w:spacing w:line="57" w:lineRule="exact"/>
        <w:rPr>
          <w:rFonts w:ascii="宋体" w:hAnsi="宋体" w:eastAsia="宋体" w:cs="宋体"/>
          <w:color w:val="auto"/>
          <w:sz w:val="4"/>
          <w:szCs w:val="4"/>
          <w:highlight w:val="none"/>
        </w:rPr>
        <w:sectPr>
          <w:type w:val="continuous"/>
          <w:pgSz w:w="11906" w:h="16839"/>
          <w:pgMar w:top="1431" w:right="1415" w:bottom="1297" w:left="1416" w:header="0" w:footer="1067" w:gutter="0"/>
          <w:pgNumType w:fmt="decimal"/>
          <w:cols w:equalWidth="0" w:num="2">
            <w:col w:w="1589" w:space="1"/>
            <w:col w:w="7484"/>
          </w:cols>
        </w:sectPr>
      </w:pPr>
    </w:p>
    <w:p w14:paraId="01DC45DD">
      <w:pPr>
        <w:spacing w:line="282" w:lineRule="auto"/>
        <w:rPr>
          <w:rFonts w:ascii="Arial"/>
          <w:color w:val="auto"/>
          <w:sz w:val="21"/>
          <w:highlight w:val="none"/>
        </w:rPr>
      </w:pPr>
    </w:p>
    <w:p w14:paraId="4528646B">
      <w:pPr>
        <w:spacing w:line="282" w:lineRule="auto"/>
        <w:rPr>
          <w:rFonts w:ascii="Arial"/>
          <w:color w:val="auto"/>
          <w:sz w:val="21"/>
          <w:highlight w:val="none"/>
        </w:rPr>
      </w:pPr>
    </w:p>
    <w:p w14:paraId="7048C1E1">
      <w:pPr>
        <w:tabs>
          <w:tab w:val="left" w:pos="1920"/>
        </w:tabs>
        <w:spacing w:before="79" w:line="22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（招标人名称）：</w:t>
      </w:r>
    </w:p>
    <w:p w14:paraId="556A4FF0">
      <w:pPr>
        <w:spacing w:line="253" w:lineRule="auto"/>
        <w:rPr>
          <w:rFonts w:ascii="Arial"/>
          <w:color w:val="auto"/>
          <w:sz w:val="21"/>
          <w:highlight w:val="none"/>
        </w:rPr>
      </w:pPr>
    </w:p>
    <w:p w14:paraId="511EED0E">
      <w:pPr>
        <w:spacing w:line="254" w:lineRule="auto"/>
        <w:rPr>
          <w:rFonts w:ascii="Arial"/>
          <w:color w:val="auto"/>
          <w:sz w:val="21"/>
          <w:highlight w:val="none"/>
        </w:rPr>
      </w:pPr>
    </w:p>
    <w:p w14:paraId="28A24744">
      <w:pPr>
        <w:spacing w:before="79" w:line="339" w:lineRule="auto"/>
        <w:ind w:left="8" w:firstLine="483"/>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鉴于</w:t>
      </w:r>
      <w:r>
        <w:rPr>
          <w:rFonts w:ascii="宋体" w:hAnsi="宋体" w:eastAsia="宋体" w:cs="宋体"/>
          <w:color w:val="auto"/>
          <w:spacing w:val="-1"/>
          <w:sz w:val="24"/>
          <w:szCs w:val="24"/>
          <w:highlight w:val="none"/>
          <w:u w:val="single" w:color="auto"/>
        </w:rPr>
        <w:t xml:space="preserve">             （投标人名称</w:t>
      </w:r>
      <w:r>
        <w:rPr>
          <w:rFonts w:ascii="宋体" w:hAnsi="宋体" w:eastAsia="宋体" w:cs="宋体"/>
          <w:color w:val="auto"/>
          <w:spacing w:val="-13"/>
          <w:sz w:val="24"/>
          <w:szCs w:val="24"/>
          <w:highlight w:val="none"/>
          <w:u w:val="single" w:color="auto"/>
        </w:rPr>
        <w:t>）</w:t>
      </w:r>
      <w:r>
        <w:rPr>
          <w:rFonts w:ascii="宋体" w:hAnsi="宋体" w:eastAsia="宋体" w:cs="宋体"/>
          <w:color w:val="auto"/>
          <w:spacing w:val="-13"/>
          <w:sz w:val="24"/>
          <w:szCs w:val="24"/>
          <w:highlight w:val="none"/>
        </w:rPr>
        <w:t>（</w:t>
      </w:r>
      <w:r>
        <w:rPr>
          <w:rFonts w:ascii="宋体" w:hAnsi="宋体" w:eastAsia="宋体" w:cs="宋体"/>
          <w:color w:val="auto"/>
          <w:spacing w:val="-1"/>
          <w:sz w:val="24"/>
          <w:szCs w:val="24"/>
          <w:highlight w:val="none"/>
        </w:rPr>
        <w:t>以下称“投标人</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”）于</w:t>
      </w:r>
      <w:r>
        <w:rPr>
          <w:rFonts w:ascii="宋体" w:hAnsi="宋体" w:eastAsia="宋体" w:cs="宋体"/>
          <w:color w:val="auto"/>
          <w:spacing w:val="-118"/>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1"/>
          <w:sz w:val="24"/>
          <w:szCs w:val="24"/>
          <w:highlight w:val="none"/>
        </w:rPr>
        <w:t>年</w:t>
      </w:r>
      <w:r>
        <w:rPr>
          <w:rFonts w:ascii="宋体" w:hAnsi="宋体" w:eastAsia="宋体" w:cs="宋体"/>
          <w:color w:val="auto"/>
          <w:spacing w:val="-118"/>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3"/>
          <w:sz w:val="24"/>
          <w:szCs w:val="24"/>
          <w:highlight w:val="none"/>
        </w:rPr>
        <w:t xml:space="preserve"> </w:t>
      </w:r>
      <w:r>
        <w:rPr>
          <w:rFonts w:ascii="宋体" w:hAnsi="宋体" w:eastAsia="宋体" w:cs="宋体"/>
          <w:color w:val="auto"/>
          <w:spacing w:val="-1"/>
          <w:sz w:val="24"/>
          <w:szCs w:val="24"/>
          <w:highlight w:val="none"/>
        </w:rPr>
        <w:t>月</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1"/>
          <w:sz w:val="24"/>
          <w:szCs w:val="24"/>
          <w:highlight w:val="none"/>
        </w:rPr>
        <w:t>日参</w:t>
      </w:r>
      <w:r>
        <w:rPr>
          <w:rFonts w:ascii="宋体" w:hAnsi="宋体" w:eastAsia="宋体" w:cs="宋体"/>
          <w:color w:val="auto"/>
          <w:spacing w:val="5"/>
          <w:sz w:val="24"/>
          <w:szCs w:val="24"/>
          <w:highlight w:val="none"/>
        </w:rPr>
        <w:t>加</w:t>
      </w:r>
      <w:r>
        <w:rPr>
          <w:rFonts w:ascii="宋体" w:hAnsi="宋体" w:eastAsia="宋体" w:cs="宋体"/>
          <w:color w:val="auto"/>
          <w:spacing w:val="-115"/>
          <w:sz w:val="24"/>
          <w:szCs w:val="24"/>
          <w:highlight w:val="none"/>
        </w:rPr>
        <w:t xml:space="preserve"> </w:t>
      </w:r>
      <w:r>
        <w:rPr>
          <w:rFonts w:ascii="宋体" w:hAnsi="宋体" w:eastAsia="宋体" w:cs="宋体"/>
          <w:color w:val="auto"/>
          <w:spacing w:val="5"/>
          <w:sz w:val="24"/>
          <w:szCs w:val="24"/>
          <w:highlight w:val="none"/>
          <w:u w:val="single" w:color="auto"/>
        </w:rPr>
        <w:t xml:space="preserve">          （项目名称）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5"/>
          <w:sz w:val="24"/>
          <w:szCs w:val="24"/>
          <w:highlight w:val="none"/>
        </w:rPr>
        <w:t>标段施工监理的投标</w:t>
      </w:r>
      <w:r>
        <w:rPr>
          <w:rFonts w:ascii="宋体" w:hAnsi="宋体" w:eastAsia="宋体" w:cs="宋体"/>
          <w:color w:val="auto"/>
          <w:spacing w:val="-30"/>
          <w:sz w:val="24"/>
          <w:szCs w:val="24"/>
          <w:highlight w:val="none"/>
        </w:rPr>
        <w:t>，</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30"/>
          <w:sz w:val="24"/>
          <w:szCs w:val="24"/>
          <w:highlight w:val="none"/>
          <w:u w:val="single" w:color="auto"/>
        </w:rPr>
        <w:t>（</w:t>
      </w:r>
      <w:r>
        <w:rPr>
          <w:rFonts w:ascii="宋体" w:hAnsi="宋体" w:eastAsia="宋体" w:cs="宋体"/>
          <w:color w:val="auto"/>
          <w:spacing w:val="5"/>
          <w:sz w:val="24"/>
          <w:szCs w:val="24"/>
          <w:highlight w:val="none"/>
          <w:u w:val="single" w:color="auto"/>
        </w:rPr>
        <w:t>担保人名称，以</w:t>
      </w:r>
      <w:r>
        <w:rPr>
          <w:rFonts w:ascii="宋体" w:hAnsi="宋体" w:eastAsia="宋体" w:cs="宋体"/>
          <w:color w:val="auto"/>
          <w:spacing w:val="4"/>
          <w:sz w:val="24"/>
          <w:szCs w:val="24"/>
          <w:highlight w:val="none"/>
          <w:u w:val="single" w:color="auto"/>
        </w:rPr>
        <w:t>下简称“我方</w:t>
      </w:r>
      <w:r>
        <w:rPr>
          <w:rFonts w:ascii="宋体" w:hAnsi="宋体" w:eastAsia="宋体" w:cs="宋体"/>
          <w:color w:val="auto"/>
          <w:spacing w:val="-83"/>
          <w:sz w:val="24"/>
          <w:szCs w:val="24"/>
          <w:highlight w:val="none"/>
          <w:u w:val="single" w:color="auto"/>
        </w:rPr>
        <w:t xml:space="preserve"> </w:t>
      </w:r>
      <w:r>
        <w:rPr>
          <w:rFonts w:ascii="宋体" w:hAnsi="宋体" w:eastAsia="宋体" w:cs="宋体"/>
          <w:color w:val="auto"/>
          <w:spacing w:val="4"/>
          <w:sz w:val="24"/>
          <w:szCs w:val="24"/>
          <w:highlight w:val="none"/>
          <w:u w:val="single" w:color="auto"/>
        </w:rPr>
        <w:t>”）</w:t>
      </w:r>
      <w:r>
        <w:rPr>
          <w:rFonts w:ascii="宋体" w:hAnsi="宋体" w:eastAsia="宋体" w:cs="宋体"/>
          <w:color w:val="auto"/>
          <w:spacing w:val="4"/>
          <w:sz w:val="24"/>
          <w:szCs w:val="24"/>
          <w:highlight w:val="none"/>
        </w:rPr>
        <w:t>无条件地、不可撤销地保证：若投标人在投标有效期内撤销</w:t>
      </w:r>
      <w:r>
        <w:rPr>
          <w:rFonts w:ascii="宋体" w:hAnsi="宋体" w:eastAsia="宋体" w:cs="宋体"/>
          <w:color w:val="auto"/>
          <w:spacing w:val="3"/>
          <w:sz w:val="24"/>
          <w:szCs w:val="24"/>
          <w:highlight w:val="none"/>
        </w:rPr>
        <w:t>投标文</w:t>
      </w:r>
      <w:r>
        <w:rPr>
          <w:rFonts w:ascii="宋体" w:hAnsi="宋体" w:eastAsia="宋体" w:cs="宋体"/>
          <w:color w:val="auto"/>
          <w:spacing w:val="5"/>
          <w:sz w:val="24"/>
          <w:szCs w:val="24"/>
          <w:highlight w:val="none"/>
        </w:rPr>
        <w:t>件，中标后无正当理由不与招标人订立合同，在签订合同时向招标人提出附加条件，不按照招标文件要求提交履约保证金，或发生招标文件明确规定可以不予退还</w:t>
      </w:r>
      <w:r>
        <w:rPr>
          <w:rFonts w:ascii="宋体" w:hAnsi="宋体" w:eastAsia="宋体" w:cs="宋体"/>
          <w:color w:val="auto"/>
          <w:spacing w:val="4"/>
          <w:sz w:val="24"/>
          <w:szCs w:val="24"/>
          <w:highlight w:val="none"/>
        </w:rPr>
        <w:t>投标保</w:t>
      </w:r>
      <w:r>
        <w:rPr>
          <w:rFonts w:ascii="宋体" w:hAnsi="宋体" w:eastAsia="宋体" w:cs="宋体"/>
          <w:color w:val="auto"/>
          <w:spacing w:val="3"/>
          <w:sz w:val="24"/>
          <w:szCs w:val="24"/>
          <w:highlight w:val="none"/>
        </w:rPr>
        <w:t>证金的其他情形，我方承担保证责任。收到你方书面通</w:t>
      </w:r>
      <w:r>
        <w:rPr>
          <w:rFonts w:ascii="宋体" w:hAnsi="宋体" w:eastAsia="宋体" w:cs="宋体"/>
          <w:color w:val="auto"/>
          <w:spacing w:val="2"/>
          <w:sz w:val="24"/>
          <w:szCs w:val="24"/>
          <w:highlight w:val="none"/>
        </w:rPr>
        <w:t>知后，我方在</w:t>
      </w:r>
      <w:r>
        <w:rPr>
          <w:rFonts w:ascii="宋体" w:hAnsi="宋体" w:eastAsia="宋体" w:cs="宋体"/>
          <w:color w:val="auto"/>
          <w:spacing w:val="-38"/>
          <w:sz w:val="24"/>
          <w:szCs w:val="24"/>
          <w:highlight w:val="none"/>
        </w:rPr>
        <w:t xml:space="preserve"> </w:t>
      </w:r>
      <w:r>
        <w:rPr>
          <w:rFonts w:ascii="宋体" w:hAnsi="宋体" w:eastAsia="宋体" w:cs="宋体"/>
          <w:color w:val="auto"/>
          <w:spacing w:val="2"/>
          <w:sz w:val="24"/>
          <w:szCs w:val="24"/>
          <w:highlight w:val="none"/>
        </w:rPr>
        <w:t>7 日内向你方无</w:t>
      </w:r>
      <w:r>
        <w:rPr>
          <w:rFonts w:ascii="宋体" w:hAnsi="宋体" w:eastAsia="宋体" w:cs="宋体"/>
          <w:color w:val="auto"/>
          <w:spacing w:val="-1"/>
          <w:sz w:val="24"/>
          <w:szCs w:val="24"/>
          <w:highlight w:val="none"/>
        </w:rPr>
        <w:t>条件支付人民币（大写）</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
          <w:sz w:val="24"/>
          <w:szCs w:val="24"/>
          <w:highlight w:val="none"/>
        </w:rPr>
        <w:t>元。</w:t>
      </w:r>
    </w:p>
    <w:p w14:paraId="517B36FC">
      <w:pPr>
        <w:spacing w:before="2" w:line="339" w:lineRule="auto"/>
        <w:ind w:left="29" w:right="2" w:firstLine="46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本保函在投标有效期或经延长的投标有效期内保持有效。要求我方承担保证责任</w:t>
      </w:r>
      <w:r>
        <w:rPr>
          <w:rFonts w:ascii="宋体" w:hAnsi="宋体" w:eastAsia="宋体" w:cs="宋体"/>
          <w:color w:val="auto"/>
          <w:spacing w:val="-1"/>
          <w:sz w:val="24"/>
          <w:szCs w:val="24"/>
          <w:highlight w:val="none"/>
        </w:rPr>
        <w:t>的通知应在上述期限内送达我方。你方延长投标有效期的决定，应通知我方。</w:t>
      </w:r>
    </w:p>
    <w:p w14:paraId="269AB283">
      <w:pPr>
        <w:spacing w:line="264" w:lineRule="auto"/>
        <w:rPr>
          <w:rFonts w:ascii="Arial"/>
          <w:color w:val="auto"/>
          <w:sz w:val="21"/>
          <w:highlight w:val="none"/>
        </w:rPr>
      </w:pPr>
    </w:p>
    <w:p w14:paraId="611B0F4D">
      <w:pPr>
        <w:spacing w:line="264" w:lineRule="auto"/>
        <w:rPr>
          <w:rFonts w:ascii="Arial"/>
          <w:color w:val="auto"/>
          <w:sz w:val="21"/>
          <w:highlight w:val="none"/>
        </w:rPr>
      </w:pPr>
    </w:p>
    <w:p w14:paraId="3D1C3CCA">
      <w:pPr>
        <w:spacing w:line="264" w:lineRule="auto"/>
        <w:rPr>
          <w:rFonts w:ascii="Arial"/>
          <w:color w:val="auto"/>
          <w:sz w:val="21"/>
          <w:highlight w:val="none"/>
        </w:rPr>
      </w:pPr>
    </w:p>
    <w:p w14:paraId="28A6554A">
      <w:pPr>
        <w:spacing w:before="78" w:line="219" w:lineRule="auto"/>
        <w:ind w:left="19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担保人名称</w:t>
      </w:r>
      <w:r>
        <w:rPr>
          <w:rFonts w:ascii="宋体" w:hAnsi="宋体" w:eastAsia="宋体" w:cs="宋体"/>
          <w:color w:val="auto"/>
          <w:spacing w:val="-16"/>
          <w:sz w:val="24"/>
          <w:szCs w:val="24"/>
          <w:highlight w:val="none"/>
        </w:rPr>
        <w:t>：</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6"/>
          <w:sz w:val="24"/>
          <w:szCs w:val="24"/>
          <w:highlight w:val="none"/>
        </w:rPr>
        <w:t>（</w:t>
      </w:r>
      <w:r>
        <w:rPr>
          <w:rFonts w:ascii="宋体" w:hAnsi="宋体" w:eastAsia="宋体" w:cs="宋体"/>
          <w:color w:val="auto"/>
          <w:spacing w:val="2"/>
          <w:sz w:val="24"/>
          <w:szCs w:val="24"/>
          <w:highlight w:val="none"/>
        </w:rPr>
        <w:t>盖单位章）</w:t>
      </w:r>
    </w:p>
    <w:p w14:paraId="4CAE7B25">
      <w:pPr>
        <w:spacing w:before="155" w:line="219" w:lineRule="auto"/>
        <w:ind w:left="19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法定代表人或其委托代理人</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签字）</w:t>
      </w:r>
    </w:p>
    <w:p w14:paraId="1215AE23">
      <w:pPr>
        <w:spacing w:before="157" w:line="229" w:lineRule="auto"/>
        <w:ind w:left="1989"/>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17"/>
          <w:sz w:val="24"/>
          <w:szCs w:val="24"/>
          <w:highlight w:val="none"/>
        </w:rPr>
        <w:t>址</w:t>
      </w:r>
      <w:r>
        <w:rPr>
          <w:rFonts w:ascii="宋体" w:hAnsi="宋体" w:eastAsia="宋体" w:cs="宋体"/>
          <w:color w:val="auto"/>
          <w:spacing w:val="-88"/>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p>
    <w:p w14:paraId="3305314D">
      <w:pPr>
        <w:spacing w:before="142" w:line="219" w:lineRule="auto"/>
        <w:ind w:left="200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邮政编码：</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4"/>
          <w:sz w:val="24"/>
          <w:szCs w:val="24"/>
          <w:highlight w:val="none"/>
          <w:u w:val="single" w:color="auto"/>
        </w:rPr>
        <w:t xml:space="preserve">           </w:t>
      </w:r>
    </w:p>
    <w:p w14:paraId="17B0157D">
      <w:pPr>
        <w:spacing w:before="155" w:line="221" w:lineRule="auto"/>
        <w:ind w:left="2017"/>
        <w:rPr>
          <w:rFonts w:ascii="宋体" w:hAnsi="宋体" w:eastAsia="宋体" w:cs="宋体"/>
          <w:color w:val="auto"/>
          <w:sz w:val="24"/>
          <w:szCs w:val="24"/>
          <w:highlight w:val="none"/>
        </w:rPr>
      </w:pPr>
      <w:r>
        <w:rPr>
          <w:rFonts w:ascii="宋体" w:hAnsi="宋体" w:eastAsia="宋体" w:cs="宋体"/>
          <w:color w:val="auto"/>
          <w:spacing w:val="-26"/>
          <w:sz w:val="24"/>
          <w:szCs w:val="24"/>
          <w:highlight w:val="none"/>
        </w:rPr>
        <w:t>电</w:t>
      </w:r>
      <w:r>
        <w:rPr>
          <w:rFonts w:ascii="宋体" w:hAnsi="宋体" w:eastAsia="宋体" w:cs="宋体"/>
          <w:color w:val="auto"/>
          <w:spacing w:val="2"/>
          <w:sz w:val="24"/>
          <w:szCs w:val="24"/>
          <w:highlight w:val="none"/>
        </w:rPr>
        <w:t xml:space="preserve">    </w:t>
      </w:r>
      <w:r>
        <w:rPr>
          <w:rFonts w:ascii="宋体" w:hAnsi="宋体" w:eastAsia="宋体" w:cs="宋体"/>
          <w:color w:val="auto"/>
          <w:spacing w:val="-26"/>
          <w:sz w:val="24"/>
          <w:szCs w:val="24"/>
          <w:highlight w:val="none"/>
        </w:rPr>
        <w:t>话</w:t>
      </w:r>
      <w:r>
        <w:rPr>
          <w:rFonts w:ascii="宋体" w:hAnsi="宋体" w:eastAsia="宋体" w:cs="宋体"/>
          <w:color w:val="auto"/>
          <w:spacing w:val="-89"/>
          <w:sz w:val="24"/>
          <w:szCs w:val="24"/>
          <w:highlight w:val="none"/>
        </w:rPr>
        <w:t xml:space="preserve"> </w:t>
      </w:r>
      <w:r>
        <w:rPr>
          <w:rFonts w:ascii="宋体" w:hAnsi="宋体" w:eastAsia="宋体" w:cs="宋体"/>
          <w:color w:val="auto"/>
          <w:spacing w:val="-26"/>
          <w:sz w:val="24"/>
          <w:szCs w:val="24"/>
          <w:highlight w:val="none"/>
        </w:rPr>
        <w:t>：</w:t>
      </w:r>
      <w:r>
        <w:rPr>
          <w:rFonts w:ascii="宋体" w:hAnsi="宋体" w:eastAsia="宋体" w:cs="宋体"/>
          <w:color w:val="auto"/>
          <w:sz w:val="24"/>
          <w:szCs w:val="24"/>
          <w:highlight w:val="none"/>
          <w:u w:val="single" w:color="auto"/>
        </w:rPr>
        <w:t xml:space="preserve">                                        </w:t>
      </w:r>
    </w:p>
    <w:p w14:paraId="1727B765">
      <w:pPr>
        <w:spacing w:before="153" w:line="219" w:lineRule="auto"/>
        <w:ind w:left="1987"/>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传</w:t>
      </w:r>
      <w:r>
        <w:rPr>
          <w:rFonts w:ascii="宋体" w:hAnsi="宋体" w:eastAsia="宋体" w:cs="宋体"/>
          <w:color w:val="auto"/>
          <w:spacing w:val="3"/>
          <w:sz w:val="24"/>
          <w:szCs w:val="24"/>
          <w:highlight w:val="none"/>
        </w:rPr>
        <w:t xml:space="preserve">    </w:t>
      </w:r>
      <w:r>
        <w:rPr>
          <w:rFonts w:ascii="宋体" w:hAnsi="宋体" w:eastAsia="宋体" w:cs="宋体"/>
          <w:color w:val="auto"/>
          <w:spacing w:val="-17"/>
          <w:sz w:val="24"/>
          <w:szCs w:val="24"/>
          <w:highlight w:val="none"/>
        </w:rPr>
        <w:t>真</w:t>
      </w:r>
      <w:r>
        <w:rPr>
          <w:rFonts w:ascii="宋体" w:hAnsi="宋体" w:eastAsia="宋体" w:cs="宋体"/>
          <w:color w:val="auto"/>
          <w:spacing w:val="-90"/>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p>
    <w:p w14:paraId="7209BA02">
      <w:pPr>
        <w:tabs>
          <w:tab w:val="left" w:pos="5999"/>
        </w:tabs>
        <w:spacing w:before="155" w:line="219" w:lineRule="auto"/>
        <w:ind w:left="5039"/>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9"/>
          <w:sz w:val="24"/>
          <w:szCs w:val="24"/>
          <w:highlight w:val="none"/>
        </w:rPr>
        <w:t>日</w:t>
      </w:r>
    </w:p>
    <w:p w14:paraId="178FEBA0">
      <w:pPr>
        <w:spacing w:before="182" w:line="406" w:lineRule="auto"/>
        <w:ind w:left="21" w:right="2" w:hanging="1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注：本保函格式只作为参考，投标人可根据当地银行及相关规定的格</w:t>
      </w:r>
      <w:r>
        <w:rPr>
          <w:rFonts w:ascii="宋体" w:hAnsi="宋体" w:eastAsia="宋体" w:cs="宋体"/>
          <w:color w:val="auto"/>
          <w:spacing w:val="10"/>
          <w:sz w:val="20"/>
          <w:szCs w:val="20"/>
          <w:highlight w:val="none"/>
        </w:rPr>
        <w:t>式填写，但主要内容须与本保函内容原则上保持一致。如：“本保函在投标有效期或经延长的投标有</w:t>
      </w:r>
      <w:r>
        <w:rPr>
          <w:rFonts w:ascii="宋体" w:hAnsi="宋体" w:eastAsia="宋体" w:cs="宋体"/>
          <w:color w:val="auto"/>
          <w:spacing w:val="9"/>
          <w:sz w:val="20"/>
          <w:szCs w:val="20"/>
          <w:highlight w:val="none"/>
        </w:rPr>
        <w:t>效期内保持有效</w:t>
      </w:r>
      <w:r>
        <w:rPr>
          <w:rFonts w:ascii="宋体" w:hAnsi="宋体" w:eastAsia="宋体" w:cs="宋体"/>
          <w:color w:val="auto"/>
          <w:spacing w:val="-69"/>
          <w:sz w:val="20"/>
          <w:szCs w:val="20"/>
          <w:highlight w:val="none"/>
        </w:rPr>
        <w:t xml:space="preserve"> </w:t>
      </w:r>
      <w:r>
        <w:rPr>
          <w:rFonts w:ascii="宋体" w:hAnsi="宋体" w:eastAsia="宋体" w:cs="宋体"/>
          <w:color w:val="auto"/>
          <w:spacing w:val="9"/>
          <w:sz w:val="20"/>
          <w:szCs w:val="20"/>
          <w:highlight w:val="none"/>
        </w:rPr>
        <w:t>”可改为本</w:t>
      </w:r>
    </w:p>
    <w:p w14:paraId="78EFABE2">
      <w:pPr>
        <w:spacing w:line="228" w:lineRule="auto"/>
        <w:ind w:left="8"/>
        <w:outlineLvl w:val="1"/>
        <w:rPr>
          <w:rFonts w:ascii="宋体" w:hAnsi="宋体" w:eastAsia="宋体" w:cs="宋体"/>
          <w:color w:val="auto"/>
          <w:sz w:val="20"/>
          <w:szCs w:val="20"/>
          <w:highlight w:val="none"/>
        </w:rPr>
      </w:pPr>
      <w:bookmarkStart w:id="327" w:name="bookmark158"/>
      <w:bookmarkEnd w:id="327"/>
      <w:bookmarkStart w:id="328" w:name="_Toc22362"/>
      <w:bookmarkStart w:id="329" w:name="_Toc23260"/>
      <w:bookmarkStart w:id="330" w:name="_Toc5778"/>
      <w:bookmarkStart w:id="331" w:name="_Toc9490"/>
      <w:bookmarkStart w:id="332" w:name="_Toc19508"/>
      <w:r>
        <w:rPr>
          <w:rFonts w:ascii="宋体" w:hAnsi="宋体" w:eastAsia="宋体" w:cs="宋体"/>
          <w:color w:val="auto"/>
          <w:spacing w:val="8"/>
          <w:sz w:val="20"/>
          <w:szCs w:val="20"/>
          <w:highlight w:val="none"/>
        </w:rPr>
        <w:t>保函自</w:t>
      </w:r>
      <w:r>
        <w:rPr>
          <w:rFonts w:ascii="宋体" w:hAnsi="宋体" w:eastAsia="宋体" w:cs="宋体"/>
          <w:color w:val="auto"/>
          <w:spacing w:val="8"/>
          <w:sz w:val="20"/>
          <w:szCs w:val="20"/>
          <w:highlight w:val="none"/>
          <w:u w:val="single" w:color="auto"/>
        </w:rPr>
        <w:t xml:space="preserve">     （生效日期）</w:t>
      </w:r>
      <w:r>
        <w:rPr>
          <w:rFonts w:ascii="宋体" w:hAnsi="宋体" w:eastAsia="宋体" w:cs="宋体"/>
          <w:color w:val="auto"/>
          <w:spacing w:val="8"/>
          <w:sz w:val="20"/>
          <w:szCs w:val="20"/>
          <w:highlight w:val="none"/>
        </w:rPr>
        <w:t>之日起生效，至</w:t>
      </w:r>
      <w:r>
        <w:rPr>
          <w:rFonts w:ascii="宋体" w:hAnsi="宋体" w:eastAsia="宋体" w:cs="宋体"/>
          <w:color w:val="auto"/>
          <w:spacing w:val="8"/>
          <w:sz w:val="20"/>
          <w:szCs w:val="20"/>
          <w:highlight w:val="none"/>
          <w:u w:val="single" w:color="auto"/>
        </w:rPr>
        <w:t xml:space="preserve">     （失效日期）</w:t>
      </w:r>
      <w:r>
        <w:rPr>
          <w:rFonts w:ascii="宋体" w:hAnsi="宋体" w:eastAsia="宋体" w:cs="宋体"/>
          <w:color w:val="auto"/>
          <w:spacing w:val="8"/>
          <w:sz w:val="20"/>
          <w:szCs w:val="20"/>
          <w:highlight w:val="none"/>
        </w:rPr>
        <w:t>之日失效。</w:t>
      </w:r>
      <w:bookmarkEnd w:id="328"/>
      <w:bookmarkEnd w:id="329"/>
      <w:bookmarkEnd w:id="330"/>
      <w:bookmarkEnd w:id="331"/>
      <w:bookmarkEnd w:id="332"/>
    </w:p>
    <w:p w14:paraId="0D72A929">
      <w:pPr>
        <w:spacing w:line="184" w:lineRule="auto"/>
        <w:rPr>
          <w:rFonts w:ascii="宋体" w:hAnsi="宋体" w:eastAsia="宋体" w:cs="宋体"/>
          <w:color w:val="auto"/>
          <w:sz w:val="18"/>
          <w:szCs w:val="18"/>
          <w:highlight w:val="none"/>
        </w:rPr>
        <w:sectPr>
          <w:type w:val="continuous"/>
          <w:pgSz w:w="11906" w:h="16839"/>
          <w:pgMar w:top="1431" w:right="1415" w:bottom="1297" w:left="1416" w:header="0" w:footer="1067" w:gutter="0"/>
          <w:pgNumType w:fmt="decimal"/>
          <w:cols w:equalWidth="0" w:num="1">
            <w:col w:w="9075"/>
          </w:cols>
        </w:sectPr>
      </w:pPr>
    </w:p>
    <w:p w14:paraId="431C323C">
      <w:pPr>
        <w:spacing w:before="164" w:line="219" w:lineRule="auto"/>
        <w:ind w:left="3578"/>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五、资格审查资料</w:t>
      </w:r>
    </w:p>
    <w:p w14:paraId="60DD8292">
      <w:pPr>
        <w:spacing w:before="322" w:line="219" w:lineRule="auto"/>
        <w:ind w:left="2896"/>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（一）投标人基本情况表</w:t>
      </w:r>
    </w:p>
    <w:p w14:paraId="1D894A30">
      <w:pPr>
        <w:spacing w:line="182" w:lineRule="exact"/>
        <w:rPr>
          <w:color w:val="auto"/>
          <w:highlight w:val="none"/>
        </w:rPr>
      </w:pPr>
    </w:p>
    <w:tbl>
      <w:tblPr>
        <w:tblStyle w:val="16"/>
        <w:tblW w:w="8890"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0"/>
        <w:gridCol w:w="897"/>
        <w:gridCol w:w="1025"/>
        <w:gridCol w:w="1286"/>
        <w:gridCol w:w="414"/>
        <w:gridCol w:w="872"/>
        <w:gridCol w:w="828"/>
        <w:gridCol w:w="284"/>
        <w:gridCol w:w="1234"/>
      </w:tblGrid>
      <w:tr w14:paraId="285E5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vAlign w:val="top"/>
          </w:tcPr>
          <w:p w14:paraId="4A474F45">
            <w:pPr>
              <w:pStyle w:val="17"/>
              <w:spacing w:before="176" w:line="228" w:lineRule="auto"/>
              <w:ind w:left="509"/>
              <w:rPr>
                <w:color w:val="auto"/>
                <w:highlight w:val="none"/>
              </w:rPr>
            </w:pPr>
            <w:r>
              <w:rPr>
                <w:color w:val="auto"/>
                <w:spacing w:val="7"/>
                <w:highlight w:val="none"/>
              </w:rPr>
              <w:t>投标人名称</w:t>
            </w:r>
          </w:p>
        </w:tc>
        <w:tc>
          <w:tcPr>
            <w:tcW w:w="6840" w:type="dxa"/>
            <w:gridSpan w:val="8"/>
            <w:vAlign w:val="top"/>
          </w:tcPr>
          <w:p w14:paraId="4F85466A">
            <w:pPr>
              <w:rPr>
                <w:rFonts w:ascii="Arial"/>
                <w:color w:val="auto"/>
                <w:sz w:val="21"/>
                <w:highlight w:val="none"/>
              </w:rPr>
            </w:pPr>
          </w:p>
        </w:tc>
      </w:tr>
      <w:tr w14:paraId="07C54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vAlign w:val="top"/>
          </w:tcPr>
          <w:p w14:paraId="3F39E3F8">
            <w:pPr>
              <w:pStyle w:val="17"/>
              <w:spacing w:before="173" w:line="229" w:lineRule="auto"/>
              <w:ind w:left="609"/>
              <w:rPr>
                <w:color w:val="auto"/>
                <w:highlight w:val="none"/>
              </w:rPr>
            </w:pPr>
            <w:r>
              <w:rPr>
                <w:color w:val="auto"/>
                <w:spacing w:val="7"/>
                <w:highlight w:val="none"/>
              </w:rPr>
              <w:t>注册地址</w:t>
            </w:r>
          </w:p>
        </w:tc>
        <w:tc>
          <w:tcPr>
            <w:tcW w:w="3208" w:type="dxa"/>
            <w:gridSpan w:val="3"/>
            <w:vAlign w:val="top"/>
          </w:tcPr>
          <w:p w14:paraId="36028E10">
            <w:pPr>
              <w:rPr>
                <w:rFonts w:ascii="Arial"/>
                <w:color w:val="auto"/>
                <w:sz w:val="21"/>
                <w:highlight w:val="none"/>
              </w:rPr>
            </w:pPr>
          </w:p>
        </w:tc>
        <w:tc>
          <w:tcPr>
            <w:tcW w:w="1286" w:type="dxa"/>
            <w:gridSpan w:val="2"/>
            <w:vAlign w:val="top"/>
          </w:tcPr>
          <w:p w14:paraId="368C302C">
            <w:pPr>
              <w:pStyle w:val="17"/>
              <w:spacing w:before="173" w:line="228" w:lineRule="auto"/>
              <w:ind w:left="244"/>
              <w:rPr>
                <w:color w:val="auto"/>
                <w:highlight w:val="none"/>
              </w:rPr>
            </w:pPr>
            <w:r>
              <w:rPr>
                <w:color w:val="auto"/>
                <w:spacing w:val="3"/>
                <w:highlight w:val="none"/>
              </w:rPr>
              <w:t>邮政编码</w:t>
            </w:r>
          </w:p>
        </w:tc>
        <w:tc>
          <w:tcPr>
            <w:tcW w:w="2346" w:type="dxa"/>
            <w:gridSpan w:val="3"/>
            <w:vAlign w:val="top"/>
          </w:tcPr>
          <w:p w14:paraId="0F4FD6EF">
            <w:pPr>
              <w:rPr>
                <w:rFonts w:ascii="Arial"/>
                <w:color w:val="auto"/>
                <w:sz w:val="21"/>
                <w:highlight w:val="none"/>
              </w:rPr>
            </w:pPr>
          </w:p>
        </w:tc>
      </w:tr>
      <w:tr w14:paraId="2EE4D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restart"/>
            <w:tcBorders>
              <w:bottom w:val="nil"/>
            </w:tcBorders>
            <w:vAlign w:val="top"/>
          </w:tcPr>
          <w:p w14:paraId="249CCD92">
            <w:pPr>
              <w:spacing w:line="331" w:lineRule="auto"/>
              <w:rPr>
                <w:rFonts w:ascii="Arial"/>
                <w:color w:val="auto"/>
                <w:sz w:val="21"/>
                <w:highlight w:val="none"/>
              </w:rPr>
            </w:pPr>
          </w:p>
          <w:p w14:paraId="214EDBB1">
            <w:pPr>
              <w:pStyle w:val="17"/>
              <w:spacing w:before="65" w:line="229" w:lineRule="auto"/>
              <w:ind w:left="610"/>
              <w:rPr>
                <w:color w:val="auto"/>
                <w:highlight w:val="none"/>
              </w:rPr>
            </w:pPr>
            <w:r>
              <w:rPr>
                <w:color w:val="auto"/>
                <w:spacing w:val="7"/>
                <w:highlight w:val="none"/>
              </w:rPr>
              <w:t>联系方式</w:t>
            </w:r>
          </w:p>
        </w:tc>
        <w:tc>
          <w:tcPr>
            <w:tcW w:w="897" w:type="dxa"/>
            <w:vAlign w:val="top"/>
          </w:tcPr>
          <w:p w14:paraId="2AB69985">
            <w:pPr>
              <w:pStyle w:val="17"/>
              <w:spacing w:before="173" w:line="230" w:lineRule="auto"/>
              <w:ind w:left="137"/>
              <w:rPr>
                <w:color w:val="auto"/>
                <w:highlight w:val="none"/>
              </w:rPr>
            </w:pPr>
            <w:r>
              <w:rPr>
                <w:color w:val="auto"/>
                <w:spacing w:val="6"/>
                <w:highlight w:val="none"/>
              </w:rPr>
              <w:t>联系人</w:t>
            </w:r>
          </w:p>
        </w:tc>
        <w:tc>
          <w:tcPr>
            <w:tcW w:w="2311" w:type="dxa"/>
            <w:gridSpan w:val="2"/>
            <w:vAlign w:val="top"/>
          </w:tcPr>
          <w:p w14:paraId="3114D34E">
            <w:pPr>
              <w:rPr>
                <w:rFonts w:ascii="Arial"/>
                <w:color w:val="auto"/>
                <w:sz w:val="21"/>
                <w:highlight w:val="none"/>
              </w:rPr>
            </w:pPr>
          </w:p>
        </w:tc>
        <w:tc>
          <w:tcPr>
            <w:tcW w:w="1286" w:type="dxa"/>
            <w:gridSpan w:val="2"/>
            <w:vAlign w:val="top"/>
          </w:tcPr>
          <w:p w14:paraId="6E3FCFDB">
            <w:pPr>
              <w:pStyle w:val="17"/>
              <w:spacing w:before="173" w:line="230" w:lineRule="auto"/>
              <w:ind w:left="411"/>
              <w:rPr>
                <w:color w:val="auto"/>
                <w:highlight w:val="none"/>
              </w:rPr>
            </w:pPr>
            <w:r>
              <w:rPr>
                <w:color w:val="auto"/>
                <w:spacing w:val="-12"/>
                <w:highlight w:val="none"/>
              </w:rPr>
              <w:t>电</w:t>
            </w:r>
            <w:r>
              <w:rPr>
                <w:color w:val="auto"/>
                <w:spacing w:val="16"/>
                <w:highlight w:val="none"/>
              </w:rPr>
              <w:t xml:space="preserve"> </w:t>
            </w:r>
            <w:r>
              <w:rPr>
                <w:color w:val="auto"/>
                <w:spacing w:val="-12"/>
                <w:highlight w:val="none"/>
              </w:rPr>
              <w:t>话</w:t>
            </w:r>
          </w:p>
        </w:tc>
        <w:tc>
          <w:tcPr>
            <w:tcW w:w="2346" w:type="dxa"/>
            <w:gridSpan w:val="3"/>
            <w:vAlign w:val="top"/>
          </w:tcPr>
          <w:p w14:paraId="301A3F05">
            <w:pPr>
              <w:rPr>
                <w:rFonts w:ascii="Arial"/>
                <w:color w:val="auto"/>
                <w:sz w:val="21"/>
                <w:highlight w:val="none"/>
              </w:rPr>
            </w:pPr>
          </w:p>
        </w:tc>
      </w:tr>
      <w:tr w14:paraId="31754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continue"/>
            <w:tcBorders>
              <w:top w:val="nil"/>
            </w:tcBorders>
            <w:vAlign w:val="top"/>
          </w:tcPr>
          <w:p w14:paraId="0123CFEF">
            <w:pPr>
              <w:rPr>
                <w:rFonts w:ascii="Arial"/>
                <w:color w:val="auto"/>
                <w:sz w:val="21"/>
                <w:highlight w:val="none"/>
              </w:rPr>
            </w:pPr>
          </w:p>
        </w:tc>
        <w:tc>
          <w:tcPr>
            <w:tcW w:w="897" w:type="dxa"/>
            <w:vAlign w:val="top"/>
          </w:tcPr>
          <w:p w14:paraId="2174B758">
            <w:pPr>
              <w:pStyle w:val="17"/>
              <w:spacing w:before="174" w:line="227" w:lineRule="auto"/>
              <w:ind w:left="135"/>
              <w:rPr>
                <w:color w:val="auto"/>
                <w:highlight w:val="none"/>
              </w:rPr>
            </w:pPr>
            <w:r>
              <w:rPr>
                <w:color w:val="auto"/>
                <w:spacing w:val="1"/>
                <w:highlight w:val="none"/>
              </w:rPr>
              <w:t>传</w:t>
            </w:r>
            <w:r>
              <w:rPr>
                <w:color w:val="auto"/>
                <w:spacing w:val="10"/>
                <w:highlight w:val="none"/>
              </w:rPr>
              <w:t xml:space="preserve">  </w:t>
            </w:r>
            <w:r>
              <w:rPr>
                <w:color w:val="auto"/>
                <w:spacing w:val="1"/>
                <w:highlight w:val="none"/>
              </w:rPr>
              <w:t>真</w:t>
            </w:r>
          </w:p>
        </w:tc>
        <w:tc>
          <w:tcPr>
            <w:tcW w:w="2311" w:type="dxa"/>
            <w:gridSpan w:val="2"/>
            <w:vAlign w:val="top"/>
          </w:tcPr>
          <w:p w14:paraId="60E3D7B3">
            <w:pPr>
              <w:rPr>
                <w:rFonts w:ascii="Arial"/>
                <w:color w:val="auto"/>
                <w:sz w:val="21"/>
                <w:highlight w:val="none"/>
              </w:rPr>
            </w:pPr>
          </w:p>
        </w:tc>
        <w:tc>
          <w:tcPr>
            <w:tcW w:w="1286" w:type="dxa"/>
            <w:gridSpan w:val="2"/>
            <w:vAlign w:val="top"/>
          </w:tcPr>
          <w:p w14:paraId="5C07F83B">
            <w:pPr>
              <w:pStyle w:val="17"/>
              <w:spacing w:before="174" w:line="228" w:lineRule="auto"/>
              <w:ind w:left="253"/>
              <w:rPr>
                <w:color w:val="auto"/>
                <w:highlight w:val="none"/>
              </w:rPr>
            </w:pPr>
            <w:r>
              <w:rPr>
                <w:color w:val="auto"/>
                <w:spacing w:val="1"/>
                <w:highlight w:val="none"/>
              </w:rPr>
              <w:t>电子邮件</w:t>
            </w:r>
          </w:p>
        </w:tc>
        <w:tc>
          <w:tcPr>
            <w:tcW w:w="2346" w:type="dxa"/>
            <w:gridSpan w:val="3"/>
            <w:vAlign w:val="top"/>
          </w:tcPr>
          <w:p w14:paraId="5CE2DCDA">
            <w:pPr>
              <w:rPr>
                <w:rFonts w:ascii="Arial"/>
                <w:color w:val="auto"/>
                <w:sz w:val="21"/>
                <w:highlight w:val="none"/>
              </w:rPr>
            </w:pPr>
          </w:p>
        </w:tc>
      </w:tr>
      <w:tr w14:paraId="366F8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5DD77946">
            <w:pPr>
              <w:pStyle w:val="17"/>
              <w:spacing w:before="172" w:line="228" w:lineRule="auto"/>
              <w:ind w:left="507"/>
              <w:rPr>
                <w:color w:val="auto"/>
                <w:highlight w:val="none"/>
              </w:rPr>
            </w:pPr>
            <w:r>
              <w:rPr>
                <w:color w:val="auto"/>
                <w:spacing w:val="7"/>
                <w:highlight w:val="none"/>
              </w:rPr>
              <w:t>法定代表人</w:t>
            </w:r>
          </w:p>
        </w:tc>
        <w:tc>
          <w:tcPr>
            <w:tcW w:w="897" w:type="dxa"/>
            <w:vAlign w:val="top"/>
          </w:tcPr>
          <w:p w14:paraId="7EF67BDC">
            <w:pPr>
              <w:pStyle w:val="17"/>
              <w:spacing w:before="172" w:line="228" w:lineRule="auto"/>
              <w:ind w:left="242"/>
              <w:rPr>
                <w:color w:val="auto"/>
                <w:highlight w:val="none"/>
              </w:rPr>
            </w:pPr>
            <w:r>
              <w:rPr>
                <w:color w:val="auto"/>
                <w:spacing w:val="4"/>
                <w:highlight w:val="none"/>
              </w:rPr>
              <w:t>姓名</w:t>
            </w:r>
          </w:p>
        </w:tc>
        <w:tc>
          <w:tcPr>
            <w:tcW w:w="1025" w:type="dxa"/>
            <w:vAlign w:val="top"/>
          </w:tcPr>
          <w:p w14:paraId="463AAFC5">
            <w:pPr>
              <w:rPr>
                <w:rFonts w:ascii="Arial"/>
                <w:color w:val="auto"/>
                <w:sz w:val="21"/>
                <w:highlight w:val="none"/>
              </w:rPr>
            </w:pPr>
          </w:p>
        </w:tc>
        <w:tc>
          <w:tcPr>
            <w:tcW w:w="1286" w:type="dxa"/>
            <w:vAlign w:val="top"/>
          </w:tcPr>
          <w:p w14:paraId="099D7016">
            <w:pPr>
              <w:pStyle w:val="17"/>
              <w:spacing w:before="172" w:line="228" w:lineRule="auto"/>
              <w:ind w:left="229"/>
              <w:rPr>
                <w:color w:val="auto"/>
                <w:highlight w:val="none"/>
              </w:rPr>
            </w:pPr>
            <w:r>
              <w:rPr>
                <w:color w:val="auto"/>
                <w:spacing w:val="7"/>
                <w:highlight w:val="none"/>
              </w:rPr>
              <w:t>技术职称</w:t>
            </w:r>
          </w:p>
        </w:tc>
        <w:tc>
          <w:tcPr>
            <w:tcW w:w="1286" w:type="dxa"/>
            <w:gridSpan w:val="2"/>
            <w:vAlign w:val="top"/>
          </w:tcPr>
          <w:p w14:paraId="5B30687F">
            <w:pPr>
              <w:rPr>
                <w:rFonts w:ascii="Arial"/>
                <w:color w:val="auto"/>
                <w:sz w:val="21"/>
                <w:highlight w:val="none"/>
              </w:rPr>
            </w:pPr>
          </w:p>
        </w:tc>
        <w:tc>
          <w:tcPr>
            <w:tcW w:w="1112" w:type="dxa"/>
            <w:gridSpan w:val="2"/>
            <w:vAlign w:val="top"/>
          </w:tcPr>
          <w:p w14:paraId="067F98B3">
            <w:pPr>
              <w:pStyle w:val="17"/>
              <w:spacing w:before="173" w:line="230" w:lineRule="auto"/>
              <w:ind w:left="378"/>
              <w:rPr>
                <w:color w:val="auto"/>
                <w:highlight w:val="none"/>
              </w:rPr>
            </w:pPr>
            <w:r>
              <w:rPr>
                <w:color w:val="auto"/>
                <w:spacing w:val="-8"/>
                <w:highlight w:val="none"/>
              </w:rPr>
              <w:t>电话</w:t>
            </w:r>
          </w:p>
        </w:tc>
        <w:tc>
          <w:tcPr>
            <w:tcW w:w="1234" w:type="dxa"/>
            <w:vAlign w:val="top"/>
          </w:tcPr>
          <w:p w14:paraId="0CB3FE3F">
            <w:pPr>
              <w:rPr>
                <w:rFonts w:ascii="Arial"/>
                <w:color w:val="auto"/>
                <w:sz w:val="21"/>
                <w:highlight w:val="none"/>
              </w:rPr>
            </w:pPr>
          </w:p>
        </w:tc>
      </w:tr>
      <w:tr w14:paraId="23115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4C4EC487">
            <w:pPr>
              <w:pStyle w:val="17"/>
              <w:spacing w:before="174" w:line="228" w:lineRule="auto"/>
              <w:ind w:left="507"/>
              <w:rPr>
                <w:color w:val="auto"/>
                <w:highlight w:val="none"/>
              </w:rPr>
            </w:pPr>
            <w:r>
              <w:rPr>
                <w:color w:val="auto"/>
                <w:spacing w:val="7"/>
                <w:highlight w:val="none"/>
              </w:rPr>
              <w:t>技术负责人</w:t>
            </w:r>
          </w:p>
        </w:tc>
        <w:tc>
          <w:tcPr>
            <w:tcW w:w="897" w:type="dxa"/>
            <w:vAlign w:val="top"/>
          </w:tcPr>
          <w:p w14:paraId="5A3698CC">
            <w:pPr>
              <w:pStyle w:val="17"/>
              <w:spacing w:before="174" w:line="228" w:lineRule="auto"/>
              <w:ind w:left="242"/>
              <w:rPr>
                <w:color w:val="auto"/>
                <w:highlight w:val="none"/>
              </w:rPr>
            </w:pPr>
            <w:r>
              <w:rPr>
                <w:color w:val="auto"/>
                <w:spacing w:val="4"/>
                <w:highlight w:val="none"/>
              </w:rPr>
              <w:t>姓名</w:t>
            </w:r>
          </w:p>
        </w:tc>
        <w:tc>
          <w:tcPr>
            <w:tcW w:w="1025" w:type="dxa"/>
            <w:vAlign w:val="top"/>
          </w:tcPr>
          <w:p w14:paraId="5BE06608">
            <w:pPr>
              <w:rPr>
                <w:rFonts w:ascii="Arial"/>
                <w:color w:val="auto"/>
                <w:sz w:val="21"/>
                <w:highlight w:val="none"/>
              </w:rPr>
            </w:pPr>
          </w:p>
        </w:tc>
        <w:tc>
          <w:tcPr>
            <w:tcW w:w="1286" w:type="dxa"/>
            <w:vAlign w:val="top"/>
          </w:tcPr>
          <w:p w14:paraId="794B517B">
            <w:pPr>
              <w:pStyle w:val="17"/>
              <w:spacing w:before="174" w:line="228" w:lineRule="auto"/>
              <w:ind w:left="229"/>
              <w:rPr>
                <w:color w:val="auto"/>
                <w:highlight w:val="none"/>
              </w:rPr>
            </w:pPr>
            <w:r>
              <w:rPr>
                <w:color w:val="auto"/>
                <w:spacing w:val="7"/>
                <w:highlight w:val="none"/>
              </w:rPr>
              <w:t>技术职称</w:t>
            </w:r>
          </w:p>
        </w:tc>
        <w:tc>
          <w:tcPr>
            <w:tcW w:w="1286" w:type="dxa"/>
            <w:gridSpan w:val="2"/>
            <w:vAlign w:val="top"/>
          </w:tcPr>
          <w:p w14:paraId="6608A990">
            <w:pPr>
              <w:rPr>
                <w:rFonts w:ascii="Arial"/>
                <w:color w:val="auto"/>
                <w:sz w:val="21"/>
                <w:highlight w:val="none"/>
              </w:rPr>
            </w:pPr>
          </w:p>
        </w:tc>
        <w:tc>
          <w:tcPr>
            <w:tcW w:w="1112" w:type="dxa"/>
            <w:gridSpan w:val="2"/>
            <w:vAlign w:val="top"/>
          </w:tcPr>
          <w:p w14:paraId="67AD3907">
            <w:pPr>
              <w:pStyle w:val="17"/>
              <w:spacing w:before="174" w:line="230" w:lineRule="auto"/>
              <w:ind w:left="378"/>
              <w:rPr>
                <w:color w:val="auto"/>
                <w:highlight w:val="none"/>
              </w:rPr>
            </w:pPr>
            <w:r>
              <w:rPr>
                <w:color w:val="auto"/>
                <w:spacing w:val="-8"/>
                <w:highlight w:val="none"/>
              </w:rPr>
              <w:t>电话</w:t>
            </w:r>
          </w:p>
        </w:tc>
        <w:tc>
          <w:tcPr>
            <w:tcW w:w="1234" w:type="dxa"/>
            <w:vAlign w:val="top"/>
          </w:tcPr>
          <w:p w14:paraId="63282049">
            <w:pPr>
              <w:rPr>
                <w:rFonts w:ascii="Arial"/>
                <w:color w:val="auto"/>
                <w:sz w:val="21"/>
                <w:highlight w:val="none"/>
              </w:rPr>
            </w:pPr>
          </w:p>
        </w:tc>
      </w:tr>
      <w:tr w14:paraId="6F204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1A4AA625">
            <w:pPr>
              <w:pStyle w:val="17"/>
              <w:spacing w:before="173" w:line="227" w:lineRule="auto"/>
              <w:ind w:left="193"/>
              <w:rPr>
                <w:color w:val="auto"/>
                <w:highlight w:val="none"/>
              </w:rPr>
            </w:pPr>
            <w:r>
              <w:rPr>
                <w:color w:val="auto"/>
                <w:spacing w:val="8"/>
                <w:highlight w:val="none"/>
              </w:rPr>
              <w:t>企业监理资质证书</w:t>
            </w:r>
          </w:p>
        </w:tc>
        <w:tc>
          <w:tcPr>
            <w:tcW w:w="6840" w:type="dxa"/>
            <w:gridSpan w:val="8"/>
            <w:vAlign w:val="top"/>
          </w:tcPr>
          <w:p w14:paraId="14E0403A">
            <w:pPr>
              <w:pStyle w:val="17"/>
              <w:spacing w:before="173" w:line="227" w:lineRule="auto"/>
              <w:ind w:left="219"/>
              <w:rPr>
                <w:color w:val="auto"/>
                <w:highlight w:val="none"/>
              </w:rPr>
            </w:pPr>
            <w:r>
              <w:rPr>
                <w:color w:val="auto"/>
                <w:spacing w:val="4"/>
                <w:highlight w:val="none"/>
              </w:rPr>
              <w:t>发证机关：</w:t>
            </w:r>
            <w:r>
              <w:rPr>
                <w:color w:val="auto"/>
                <w:spacing w:val="10"/>
                <w:highlight w:val="none"/>
              </w:rPr>
              <w:t xml:space="preserve">     </w:t>
            </w:r>
            <w:r>
              <w:rPr>
                <w:color w:val="auto"/>
                <w:spacing w:val="4"/>
                <w:highlight w:val="none"/>
              </w:rPr>
              <w:t>类型：</w:t>
            </w:r>
            <w:r>
              <w:rPr>
                <w:color w:val="auto"/>
                <w:spacing w:val="6"/>
                <w:highlight w:val="none"/>
              </w:rPr>
              <w:t xml:space="preserve">              </w:t>
            </w:r>
            <w:r>
              <w:rPr>
                <w:color w:val="auto"/>
                <w:spacing w:val="4"/>
                <w:highlight w:val="none"/>
              </w:rPr>
              <w:t>等级：</w:t>
            </w:r>
            <w:r>
              <w:rPr>
                <w:color w:val="auto"/>
                <w:spacing w:val="9"/>
                <w:highlight w:val="none"/>
              </w:rPr>
              <w:t xml:space="preserve">      </w:t>
            </w:r>
            <w:r>
              <w:rPr>
                <w:color w:val="auto"/>
                <w:spacing w:val="4"/>
                <w:highlight w:val="none"/>
              </w:rPr>
              <w:t>证书号：</w:t>
            </w:r>
          </w:p>
        </w:tc>
      </w:tr>
      <w:tr w14:paraId="70537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006B7B9F">
            <w:pPr>
              <w:pStyle w:val="17"/>
              <w:spacing w:before="174" w:line="227" w:lineRule="auto"/>
              <w:ind w:left="194"/>
              <w:rPr>
                <w:color w:val="auto"/>
                <w:highlight w:val="none"/>
              </w:rPr>
            </w:pPr>
            <w:r>
              <w:rPr>
                <w:color w:val="auto"/>
                <w:spacing w:val="8"/>
                <w:highlight w:val="none"/>
              </w:rPr>
              <w:t>统一社会信用代码</w:t>
            </w:r>
          </w:p>
        </w:tc>
        <w:tc>
          <w:tcPr>
            <w:tcW w:w="3208" w:type="dxa"/>
            <w:gridSpan w:val="3"/>
            <w:vAlign w:val="top"/>
          </w:tcPr>
          <w:p w14:paraId="1860FD30">
            <w:pPr>
              <w:rPr>
                <w:rFonts w:ascii="Arial"/>
                <w:color w:val="auto"/>
                <w:sz w:val="21"/>
                <w:highlight w:val="none"/>
              </w:rPr>
            </w:pPr>
          </w:p>
        </w:tc>
        <w:tc>
          <w:tcPr>
            <w:tcW w:w="3632" w:type="dxa"/>
            <w:gridSpan w:val="5"/>
            <w:vAlign w:val="top"/>
          </w:tcPr>
          <w:p w14:paraId="6AF8FCFA">
            <w:pPr>
              <w:pStyle w:val="17"/>
              <w:spacing w:before="174" w:line="228" w:lineRule="auto"/>
              <w:ind w:left="1199"/>
              <w:rPr>
                <w:color w:val="auto"/>
                <w:highlight w:val="none"/>
              </w:rPr>
            </w:pPr>
            <w:r>
              <w:rPr>
                <w:color w:val="auto"/>
                <w:spacing w:val="5"/>
                <w:highlight w:val="none"/>
              </w:rPr>
              <w:t>员工总人数：</w:t>
            </w:r>
          </w:p>
        </w:tc>
      </w:tr>
      <w:tr w14:paraId="6B56D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vAlign w:val="top"/>
          </w:tcPr>
          <w:p w14:paraId="3A030DF3">
            <w:pPr>
              <w:pStyle w:val="17"/>
              <w:spacing w:before="173" w:line="227" w:lineRule="auto"/>
              <w:ind w:left="609"/>
              <w:rPr>
                <w:color w:val="auto"/>
                <w:highlight w:val="none"/>
              </w:rPr>
            </w:pPr>
            <w:r>
              <w:rPr>
                <w:color w:val="auto"/>
                <w:spacing w:val="7"/>
                <w:highlight w:val="none"/>
              </w:rPr>
              <w:t>注册资本</w:t>
            </w:r>
          </w:p>
        </w:tc>
        <w:tc>
          <w:tcPr>
            <w:tcW w:w="3208" w:type="dxa"/>
            <w:gridSpan w:val="3"/>
            <w:vAlign w:val="top"/>
          </w:tcPr>
          <w:p w14:paraId="4A03BA84">
            <w:pPr>
              <w:rPr>
                <w:rFonts w:ascii="Arial"/>
                <w:color w:val="auto"/>
                <w:sz w:val="21"/>
                <w:highlight w:val="none"/>
              </w:rPr>
            </w:pPr>
          </w:p>
        </w:tc>
        <w:tc>
          <w:tcPr>
            <w:tcW w:w="414" w:type="dxa"/>
            <w:vMerge w:val="restart"/>
            <w:tcBorders>
              <w:bottom w:val="nil"/>
            </w:tcBorders>
            <w:textDirection w:val="tbRlV"/>
            <w:vAlign w:val="top"/>
          </w:tcPr>
          <w:p w14:paraId="69760A39">
            <w:pPr>
              <w:pStyle w:val="17"/>
              <w:spacing w:before="91" w:line="216" w:lineRule="auto"/>
              <w:ind w:left="629"/>
              <w:rPr>
                <w:color w:val="auto"/>
                <w:highlight w:val="none"/>
              </w:rPr>
            </w:pPr>
            <w:r>
              <w:rPr>
                <w:color w:val="auto"/>
                <w:spacing w:val="8"/>
                <w:highlight w:val="none"/>
              </w:rPr>
              <w:t>其</w:t>
            </w:r>
            <w:r>
              <w:rPr>
                <w:color w:val="auto"/>
                <w:spacing w:val="15"/>
                <w:highlight w:val="none"/>
              </w:rPr>
              <w:t xml:space="preserve">  </w:t>
            </w:r>
            <w:r>
              <w:rPr>
                <w:color w:val="auto"/>
                <w:spacing w:val="8"/>
                <w:highlight w:val="none"/>
              </w:rPr>
              <w:t>中</w:t>
            </w:r>
          </w:p>
        </w:tc>
        <w:tc>
          <w:tcPr>
            <w:tcW w:w="1700" w:type="dxa"/>
            <w:gridSpan w:val="2"/>
            <w:vAlign w:val="top"/>
          </w:tcPr>
          <w:p w14:paraId="62EF233D">
            <w:pPr>
              <w:pStyle w:val="17"/>
              <w:spacing w:before="172" w:line="228" w:lineRule="auto"/>
              <w:ind w:left="233"/>
              <w:rPr>
                <w:color w:val="auto"/>
                <w:highlight w:val="none"/>
              </w:rPr>
            </w:pPr>
            <w:r>
              <w:rPr>
                <w:color w:val="auto"/>
                <w:spacing w:val="7"/>
                <w:highlight w:val="none"/>
              </w:rPr>
              <w:t>高级职称人员</w:t>
            </w:r>
          </w:p>
        </w:tc>
        <w:tc>
          <w:tcPr>
            <w:tcW w:w="1518" w:type="dxa"/>
            <w:gridSpan w:val="2"/>
            <w:vAlign w:val="top"/>
          </w:tcPr>
          <w:p w14:paraId="07BEDB1F">
            <w:pPr>
              <w:rPr>
                <w:rFonts w:ascii="Arial"/>
                <w:color w:val="auto"/>
                <w:sz w:val="21"/>
                <w:highlight w:val="none"/>
              </w:rPr>
            </w:pPr>
          </w:p>
        </w:tc>
      </w:tr>
      <w:tr w14:paraId="1119A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263E7CE9">
            <w:pPr>
              <w:pStyle w:val="17"/>
              <w:spacing w:before="175" w:line="228" w:lineRule="auto"/>
              <w:ind w:left="611"/>
              <w:rPr>
                <w:color w:val="auto"/>
                <w:highlight w:val="none"/>
              </w:rPr>
            </w:pPr>
            <w:r>
              <w:rPr>
                <w:color w:val="auto"/>
                <w:spacing w:val="6"/>
                <w:highlight w:val="none"/>
              </w:rPr>
              <w:t>成立日期</w:t>
            </w:r>
          </w:p>
        </w:tc>
        <w:tc>
          <w:tcPr>
            <w:tcW w:w="3208" w:type="dxa"/>
            <w:gridSpan w:val="3"/>
            <w:vAlign w:val="top"/>
          </w:tcPr>
          <w:p w14:paraId="081F609C">
            <w:pPr>
              <w:rPr>
                <w:rFonts w:ascii="Arial"/>
                <w:color w:val="auto"/>
                <w:sz w:val="21"/>
                <w:highlight w:val="none"/>
              </w:rPr>
            </w:pPr>
          </w:p>
        </w:tc>
        <w:tc>
          <w:tcPr>
            <w:tcW w:w="414" w:type="dxa"/>
            <w:vMerge w:val="continue"/>
            <w:tcBorders>
              <w:top w:val="nil"/>
              <w:bottom w:val="nil"/>
            </w:tcBorders>
            <w:textDirection w:val="tbRlV"/>
            <w:vAlign w:val="top"/>
          </w:tcPr>
          <w:p w14:paraId="6B92724D">
            <w:pPr>
              <w:rPr>
                <w:rFonts w:ascii="Arial"/>
                <w:color w:val="auto"/>
                <w:sz w:val="21"/>
                <w:highlight w:val="none"/>
              </w:rPr>
            </w:pPr>
          </w:p>
        </w:tc>
        <w:tc>
          <w:tcPr>
            <w:tcW w:w="1700" w:type="dxa"/>
            <w:gridSpan w:val="2"/>
            <w:vAlign w:val="top"/>
          </w:tcPr>
          <w:p w14:paraId="03CBA49E">
            <w:pPr>
              <w:pStyle w:val="17"/>
              <w:spacing w:before="175" w:line="228" w:lineRule="auto"/>
              <w:ind w:left="247"/>
              <w:rPr>
                <w:color w:val="auto"/>
                <w:highlight w:val="none"/>
              </w:rPr>
            </w:pPr>
            <w:r>
              <w:rPr>
                <w:color w:val="auto"/>
                <w:spacing w:val="4"/>
                <w:highlight w:val="none"/>
              </w:rPr>
              <w:t>中级职称人员</w:t>
            </w:r>
          </w:p>
        </w:tc>
        <w:tc>
          <w:tcPr>
            <w:tcW w:w="1518" w:type="dxa"/>
            <w:gridSpan w:val="2"/>
            <w:vAlign w:val="top"/>
          </w:tcPr>
          <w:p w14:paraId="606119A1">
            <w:pPr>
              <w:rPr>
                <w:rFonts w:ascii="Arial"/>
                <w:color w:val="auto"/>
                <w:sz w:val="21"/>
                <w:highlight w:val="none"/>
              </w:rPr>
            </w:pPr>
          </w:p>
        </w:tc>
      </w:tr>
      <w:tr w14:paraId="5FAD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30713EF7">
            <w:pPr>
              <w:pStyle w:val="17"/>
              <w:spacing w:before="174" w:line="227" w:lineRule="auto"/>
              <w:ind w:left="189"/>
              <w:rPr>
                <w:color w:val="auto"/>
                <w:highlight w:val="none"/>
              </w:rPr>
            </w:pPr>
            <w:r>
              <w:rPr>
                <w:color w:val="auto"/>
                <w:spacing w:val="8"/>
                <w:highlight w:val="none"/>
              </w:rPr>
              <w:t>基本账户开户银行</w:t>
            </w:r>
          </w:p>
        </w:tc>
        <w:tc>
          <w:tcPr>
            <w:tcW w:w="3208" w:type="dxa"/>
            <w:gridSpan w:val="3"/>
            <w:vAlign w:val="top"/>
          </w:tcPr>
          <w:p w14:paraId="4F5D755A">
            <w:pPr>
              <w:rPr>
                <w:rFonts w:ascii="Arial"/>
                <w:color w:val="auto"/>
                <w:sz w:val="21"/>
                <w:highlight w:val="none"/>
              </w:rPr>
            </w:pPr>
          </w:p>
        </w:tc>
        <w:tc>
          <w:tcPr>
            <w:tcW w:w="414" w:type="dxa"/>
            <w:vMerge w:val="continue"/>
            <w:tcBorders>
              <w:top w:val="nil"/>
              <w:bottom w:val="nil"/>
            </w:tcBorders>
            <w:textDirection w:val="tbRlV"/>
            <w:vAlign w:val="top"/>
          </w:tcPr>
          <w:p w14:paraId="5A53A46E">
            <w:pPr>
              <w:rPr>
                <w:rFonts w:ascii="Arial"/>
                <w:color w:val="auto"/>
                <w:sz w:val="21"/>
                <w:highlight w:val="none"/>
              </w:rPr>
            </w:pPr>
          </w:p>
        </w:tc>
        <w:tc>
          <w:tcPr>
            <w:tcW w:w="1700" w:type="dxa"/>
            <w:gridSpan w:val="2"/>
            <w:vAlign w:val="top"/>
          </w:tcPr>
          <w:p w14:paraId="00F6EA57">
            <w:pPr>
              <w:pStyle w:val="17"/>
              <w:spacing w:before="173" w:line="228" w:lineRule="auto"/>
              <w:ind w:left="228"/>
              <w:rPr>
                <w:color w:val="auto"/>
                <w:highlight w:val="none"/>
              </w:rPr>
            </w:pPr>
            <w:r>
              <w:rPr>
                <w:color w:val="auto"/>
                <w:spacing w:val="8"/>
                <w:highlight w:val="none"/>
              </w:rPr>
              <w:t>技术人员数量</w:t>
            </w:r>
          </w:p>
        </w:tc>
        <w:tc>
          <w:tcPr>
            <w:tcW w:w="1518" w:type="dxa"/>
            <w:gridSpan w:val="2"/>
            <w:vAlign w:val="top"/>
          </w:tcPr>
          <w:p w14:paraId="7D7DC902">
            <w:pPr>
              <w:rPr>
                <w:rFonts w:ascii="Arial"/>
                <w:color w:val="auto"/>
                <w:sz w:val="21"/>
                <w:highlight w:val="none"/>
              </w:rPr>
            </w:pPr>
          </w:p>
        </w:tc>
      </w:tr>
      <w:tr w14:paraId="1133A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2862A30B">
            <w:pPr>
              <w:pStyle w:val="17"/>
              <w:spacing w:before="175" w:line="227" w:lineRule="auto"/>
              <w:ind w:left="189"/>
              <w:rPr>
                <w:color w:val="auto"/>
                <w:highlight w:val="none"/>
              </w:rPr>
            </w:pPr>
            <w:r>
              <w:rPr>
                <w:color w:val="auto"/>
                <w:spacing w:val="8"/>
                <w:highlight w:val="none"/>
              </w:rPr>
              <w:t>基本账户银行账号</w:t>
            </w:r>
          </w:p>
        </w:tc>
        <w:tc>
          <w:tcPr>
            <w:tcW w:w="3208" w:type="dxa"/>
            <w:gridSpan w:val="3"/>
            <w:vAlign w:val="top"/>
          </w:tcPr>
          <w:p w14:paraId="287E861F">
            <w:pPr>
              <w:rPr>
                <w:rFonts w:ascii="Arial"/>
                <w:color w:val="auto"/>
                <w:sz w:val="21"/>
                <w:highlight w:val="none"/>
              </w:rPr>
            </w:pPr>
          </w:p>
        </w:tc>
        <w:tc>
          <w:tcPr>
            <w:tcW w:w="414" w:type="dxa"/>
            <w:vMerge w:val="continue"/>
            <w:tcBorders>
              <w:top w:val="nil"/>
            </w:tcBorders>
            <w:textDirection w:val="tbRlV"/>
            <w:vAlign w:val="top"/>
          </w:tcPr>
          <w:p w14:paraId="47C0BDD9">
            <w:pPr>
              <w:rPr>
                <w:rFonts w:ascii="Arial"/>
                <w:color w:val="auto"/>
                <w:sz w:val="21"/>
                <w:highlight w:val="none"/>
              </w:rPr>
            </w:pPr>
          </w:p>
        </w:tc>
        <w:tc>
          <w:tcPr>
            <w:tcW w:w="1700" w:type="dxa"/>
            <w:gridSpan w:val="2"/>
            <w:vAlign w:val="top"/>
          </w:tcPr>
          <w:p w14:paraId="38454C41">
            <w:pPr>
              <w:pStyle w:val="17"/>
              <w:spacing w:before="175" w:line="228" w:lineRule="auto"/>
              <w:ind w:left="230"/>
              <w:rPr>
                <w:color w:val="auto"/>
                <w:highlight w:val="none"/>
              </w:rPr>
            </w:pPr>
            <w:r>
              <w:rPr>
                <w:color w:val="auto"/>
                <w:spacing w:val="7"/>
                <w:highlight w:val="none"/>
              </w:rPr>
              <w:t>各类注册人员</w:t>
            </w:r>
          </w:p>
        </w:tc>
        <w:tc>
          <w:tcPr>
            <w:tcW w:w="1518" w:type="dxa"/>
            <w:gridSpan w:val="2"/>
            <w:vAlign w:val="top"/>
          </w:tcPr>
          <w:p w14:paraId="192AE086">
            <w:pPr>
              <w:rPr>
                <w:rFonts w:ascii="Arial"/>
                <w:color w:val="auto"/>
                <w:sz w:val="21"/>
                <w:highlight w:val="none"/>
              </w:rPr>
            </w:pPr>
          </w:p>
        </w:tc>
      </w:tr>
      <w:tr w14:paraId="2EF2E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6965A6A9">
            <w:pPr>
              <w:pStyle w:val="17"/>
              <w:spacing w:before="174" w:line="228" w:lineRule="auto"/>
              <w:ind w:left="717"/>
              <w:rPr>
                <w:color w:val="auto"/>
                <w:highlight w:val="none"/>
              </w:rPr>
            </w:pPr>
            <w:r>
              <w:rPr>
                <w:color w:val="auto"/>
                <w:spacing w:val="6"/>
                <w:highlight w:val="none"/>
              </w:rPr>
              <w:t>经营范围</w:t>
            </w:r>
          </w:p>
        </w:tc>
        <w:tc>
          <w:tcPr>
            <w:tcW w:w="6840" w:type="dxa"/>
            <w:gridSpan w:val="8"/>
            <w:vAlign w:val="top"/>
          </w:tcPr>
          <w:p w14:paraId="556EB9A1">
            <w:pPr>
              <w:rPr>
                <w:rFonts w:ascii="Arial"/>
                <w:color w:val="auto"/>
                <w:sz w:val="21"/>
                <w:highlight w:val="none"/>
              </w:rPr>
            </w:pPr>
          </w:p>
        </w:tc>
      </w:tr>
      <w:tr w14:paraId="34C50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2050" w:type="dxa"/>
            <w:vAlign w:val="top"/>
          </w:tcPr>
          <w:p w14:paraId="7D8F4D28">
            <w:pPr>
              <w:spacing w:line="266" w:lineRule="auto"/>
              <w:rPr>
                <w:rFonts w:ascii="Arial"/>
                <w:color w:val="auto"/>
                <w:sz w:val="21"/>
                <w:highlight w:val="none"/>
              </w:rPr>
            </w:pPr>
          </w:p>
          <w:p w14:paraId="7F04B0E7">
            <w:pPr>
              <w:spacing w:line="266" w:lineRule="auto"/>
              <w:rPr>
                <w:rFonts w:ascii="Arial"/>
                <w:color w:val="auto"/>
                <w:sz w:val="21"/>
                <w:highlight w:val="none"/>
              </w:rPr>
            </w:pPr>
          </w:p>
          <w:p w14:paraId="2C98917B">
            <w:pPr>
              <w:spacing w:line="266" w:lineRule="auto"/>
              <w:rPr>
                <w:rFonts w:ascii="Arial"/>
                <w:color w:val="auto"/>
                <w:sz w:val="21"/>
                <w:highlight w:val="none"/>
              </w:rPr>
            </w:pPr>
          </w:p>
          <w:p w14:paraId="15F8C797">
            <w:pPr>
              <w:spacing w:line="266" w:lineRule="auto"/>
              <w:rPr>
                <w:rFonts w:ascii="Arial"/>
                <w:color w:val="auto"/>
                <w:sz w:val="21"/>
                <w:highlight w:val="none"/>
              </w:rPr>
            </w:pPr>
          </w:p>
          <w:p w14:paraId="42E7EDEC">
            <w:pPr>
              <w:pStyle w:val="17"/>
              <w:spacing w:before="65" w:line="228" w:lineRule="auto"/>
              <w:ind w:left="192"/>
              <w:rPr>
                <w:color w:val="auto"/>
                <w:highlight w:val="none"/>
              </w:rPr>
            </w:pPr>
            <w:r>
              <w:rPr>
                <w:color w:val="auto"/>
                <w:spacing w:val="8"/>
                <w:highlight w:val="none"/>
              </w:rPr>
              <w:t>投标人关联企业情</w:t>
            </w:r>
          </w:p>
          <w:p w14:paraId="06030E20">
            <w:pPr>
              <w:pStyle w:val="17"/>
              <w:spacing w:before="192" w:line="228" w:lineRule="auto"/>
              <w:ind w:left="928"/>
              <w:rPr>
                <w:color w:val="auto"/>
                <w:highlight w:val="none"/>
              </w:rPr>
            </w:pPr>
            <w:r>
              <w:rPr>
                <w:color w:val="auto"/>
                <w:highlight w:val="none"/>
              </w:rPr>
              <w:t>况</w:t>
            </w:r>
          </w:p>
        </w:tc>
        <w:tc>
          <w:tcPr>
            <w:tcW w:w="6840" w:type="dxa"/>
            <w:gridSpan w:val="8"/>
            <w:vAlign w:val="top"/>
          </w:tcPr>
          <w:p w14:paraId="01CE7A26">
            <w:pPr>
              <w:pStyle w:val="17"/>
              <w:spacing w:before="160" w:line="227" w:lineRule="auto"/>
              <w:ind w:left="115"/>
              <w:rPr>
                <w:color w:val="auto"/>
                <w:highlight w:val="none"/>
              </w:rPr>
            </w:pPr>
            <w:r>
              <w:rPr>
                <w:color w:val="auto"/>
                <w:spacing w:val="8"/>
                <w:highlight w:val="none"/>
              </w:rPr>
              <w:t>投标人应提供关联企业情况，包括：</w:t>
            </w:r>
          </w:p>
          <w:p w14:paraId="1DCA2913">
            <w:pPr>
              <w:pStyle w:val="17"/>
              <w:spacing w:before="154" w:line="322" w:lineRule="auto"/>
              <w:ind w:left="112" w:right="108" w:hanging="95"/>
              <w:rPr>
                <w:color w:val="auto"/>
                <w:highlight w:val="none"/>
              </w:rPr>
            </w:pPr>
            <w:r>
              <w:rPr>
                <w:color w:val="auto"/>
                <w:spacing w:val="11"/>
                <w:highlight w:val="none"/>
              </w:rPr>
              <w:t>（1）投标人的所有股东名称及相应股权（出资额）</w:t>
            </w:r>
            <w:r>
              <w:rPr>
                <w:color w:val="auto"/>
                <w:spacing w:val="-45"/>
                <w:highlight w:val="none"/>
              </w:rPr>
              <w:t xml:space="preserve"> </w:t>
            </w:r>
            <w:r>
              <w:rPr>
                <w:color w:val="auto"/>
                <w:spacing w:val="11"/>
                <w:highlight w:val="none"/>
              </w:rPr>
              <w:t>比例；如投标人为上</w:t>
            </w:r>
            <w:r>
              <w:rPr>
                <w:color w:val="auto"/>
                <w:spacing w:val="12"/>
                <w:highlight w:val="none"/>
              </w:rPr>
              <w:t>市公司，投标人应提供股权占公司股份总数</w:t>
            </w:r>
            <w:r>
              <w:rPr>
                <w:color w:val="auto"/>
                <w:spacing w:val="12"/>
                <w:highlight w:val="none"/>
                <w:u w:val="single" w:color="auto"/>
              </w:rPr>
              <w:t xml:space="preserve"> 5 </w:t>
            </w:r>
            <w:r>
              <w:rPr>
                <w:color w:val="auto"/>
                <w:spacing w:val="12"/>
                <w:highlight w:val="none"/>
              </w:rPr>
              <w:t>%以上的所有股东名称及</w:t>
            </w:r>
            <w:r>
              <w:rPr>
                <w:color w:val="auto"/>
                <w:spacing w:val="7"/>
                <w:highlight w:val="none"/>
              </w:rPr>
              <w:t>相应股权比例；</w:t>
            </w:r>
          </w:p>
          <w:p w14:paraId="2D868B62">
            <w:pPr>
              <w:pStyle w:val="17"/>
              <w:spacing w:before="155" w:line="298" w:lineRule="auto"/>
              <w:ind w:left="135" w:right="127" w:hanging="118"/>
              <w:rPr>
                <w:color w:val="auto"/>
                <w:highlight w:val="none"/>
              </w:rPr>
            </w:pPr>
            <w:r>
              <w:rPr>
                <w:color w:val="auto"/>
                <w:spacing w:val="12"/>
                <w:highlight w:val="none"/>
              </w:rPr>
              <w:t>（2）投标人投资（控股）或管理的下属企业名称、持有股权（出资额）</w:t>
            </w:r>
            <w:r>
              <w:rPr>
                <w:color w:val="auto"/>
                <w:spacing w:val="-5"/>
                <w:highlight w:val="none"/>
              </w:rPr>
              <w:t>比例；</w:t>
            </w:r>
          </w:p>
          <w:p w14:paraId="636B3C73">
            <w:pPr>
              <w:pStyle w:val="17"/>
              <w:spacing w:before="152" w:line="214" w:lineRule="auto"/>
              <w:ind w:left="17"/>
              <w:rPr>
                <w:color w:val="auto"/>
                <w:highlight w:val="none"/>
              </w:rPr>
            </w:pPr>
            <w:r>
              <w:rPr>
                <w:color w:val="auto"/>
                <w:spacing w:val="9"/>
                <w:highlight w:val="none"/>
              </w:rPr>
              <w:t>（3）与投标人单位负责人（即法定代表人）为同一人的其他</w:t>
            </w:r>
            <w:r>
              <w:rPr>
                <w:color w:val="auto"/>
                <w:spacing w:val="8"/>
                <w:highlight w:val="none"/>
              </w:rPr>
              <w:t>单位名称。</w:t>
            </w:r>
          </w:p>
        </w:tc>
      </w:tr>
      <w:tr w14:paraId="4433C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vAlign w:val="top"/>
          </w:tcPr>
          <w:p w14:paraId="48B5CAE9">
            <w:pPr>
              <w:pStyle w:val="17"/>
              <w:spacing w:before="175" w:line="229" w:lineRule="auto"/>
              <w:ind w:left="823"/>
              <w:rPr>
                <w:color w:val="auto"/>
                <w:highlight w:val="none"/>
              </w:rPr>
            </w:pPr>
            <w:r>
              <w:rPr>
                <w:color w:val="auto"/>
                <w:spacing w:val="3"/>
                <w:highlight w:val="none"/>
              </w:rPr>
              <w:t>备注</w:t>
            </w:r>
          </w:p>
        </w:tc>
        <w:tc>
          <w:tcPr>
            <w:tcW w:w="6840" w:type="dxa"/>
            <w:gridSpan w:val="8"/>
            <w:vAlign w:val="top"/>
          </w:tcPr>
          <w:p w14:paraId="2AD10481">
            <w:pPr>
              <w:rPr>
                <w:rFonts w:ascii="Arial"/>
                <w:color w:val="auto"/>
                <w:sz w:val="21"/>
                <w:highlight w:val="none"/>
              </w:rPr>
            </w:pPr>
          </w:p>
        </w:tc>
      </w:tr>
    </w:tbl>
    <w:p w14:paraId="08690018">
      <w:pPr>
        <w:spacing w:before="119" w:line="227" w:lineRule="auto"/>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注：1.投标人应根据招标文件第二章“投标人须知</w:t>
      </w:r>
      <w:r>
        <w:rPr>
          <w:rFonts w:ascii="宋体" w:hAnsi="宋体" w:eastAsia="宋体" w:cs="宋体"/>
          <w:color w:val="auto"/>
          <w:spacing w:val="-63"/>
          <w:sz w:val="20"/>
          <w:szCs w:val="20"/>
          <w:highlight w:val="none"/>
        </w:rPr>
        <w:t xml:space="preserve"> </w:t>
      </w:r>
      <w:r>
        <w:rPr>
          <w:rFonts w:ascii="宋体" w:hAnsi="宋体" w:eastAsia="宋体" w:cs="宋体"/>
          <w:color w:val="auto"/>
          <w:spacing w:val="8"/>
          <w:sz w:val="20"/>
          <w:szCs w:val="20"/>
          <w:highlight w:val="none"/>
        </w:rPr>
        <w:t>”第3.5.1项的要求在本表后附相关证明材料。</w:t>
      </w:r>
    </w:p>
    <w:p w14:paraId="793E59BF">
      <w:pPr>
        <w:spacing w:before="114" w:line="228" w:lineRule="auto"/>
        <w:ind w:left="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2.以联合体形式参与投标的，联合体各成员</w:t>
      </w:r>
      <w:r>
        <w:rPr>
          <w:rFonts w:ascii="宋体" w:hAnsi="宋体" w:eastAsia="宋体" w:cs="宋体"/>
          <w:color w:val="auto"/>
          <w:spacing w:val="8"/>
          <w:sz w:val="20"/>
          <w:szCs w:val="20"/>
          <w:highlight w:val="none"/>
        </w:rPr>
        <w:t>应分别填写。</w:t>
      </w:r>
    </w:p>
    <w:p w14:paraId="5A93F08E">
      <w:pPr>
        <w:spacing w:line="228" w:lineRule="auto"/>
        <w:rPr>
          <w:rFonts w:ascii="宋体" w:hAnsi="宋体" w:eastAsia="宋体" w:cs="宋体"/>
          <w:color w:val="auto"/>
          <w:sz w:val="20"/>
          <w:szCs w:val="20"/>
          <w:highlight w:val="none"/>
        </w:rPr>
        <w:sectPr>
          <w:footerReference r:id="rId97" w:type="default"/>
          <w:pgSz w:w="11906" w:h="16839"/>
          <w:pgMar w:top="1431" w:right="1505" w:bottom="1297" w:left="1424" w:header="0" w:footer="1067" w:gutter="0"/>
          <w:pgNumType w:fmt="decimal"/>
          <w:cols w:space="720" w:num="1"/>
        </w:sectPr>
      </w:pPr>
    </w:p>
    <w:p w14:paraId="5EB9D38B">
      <w:pPr>
        <w:spacing w:before="59" w:line="219" w:lineRule="auto"/>
        <w:ind w:left="2567"/>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（二）投标人企业组织机构框图</w:t>
      </w:r>
    </w:p>
    <w:p w14:paraId="13F3935A">
      <w:pPr>
        <w:spacing w:line="184" w:lineRule="exact"/>
        <w:rPr>
          <w:color w:val="auto"/>
          <w:highlight w:val="none"/>
        </w:rPr>
      </w:pPr>
    </w:p>
    <w:tbl>
      <w:tblPr>
        <w:tblStyle w:val="16"/>
        <w:tblW w:w="88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5"/>
      </w:tblGrid>
      <w:tr w14:paraId="49D17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8" w:hRule="atLeast"/>
        </w:trPr>
        <w:tc>
          <w:tcPr>
            <w:tcW w:w="8895" w:type="dxa"/>
            <w:vAlign w:val="top"/>
          </w:tcPr>
          <w:p w14:paraId="5BC09050">
            <w:pPr>
              <w:spacing w:line="307" w:lineRule="auto"/>
              <w:rPr>
                <w:rFonts w:ascii="Arial"/>
                <w:color w:val="auto"/>
                <w:sz w:val="21"/>
                <w:highlight w:val="none"/>
              </w:rPr>
            </w:pPr>
          </w:p>
          <w:p w14:paraId="3398D8DC">
            <w:pPr>
              <w:spacing w:line="307" w:lineRule="auto"/>
              <w:rPr>
                <w:rFonts w:ascii="Arial"/>
                <w:color w:val="auto"/>
                <w:sz w:val="21"/>
                <w:highlight w:val="none"/>
              </w:rPr>
            </w:pPr>
          </w:p>
          <w:p w14:paraId="0BD0E25B">
            <w:pPr>
              <w:pStyle w:val="17"/>
              <w:spacing w:before="65" w:line="228" w:lineRule="auto"/>
              <w:ind w:left="407"/>
              <w:rPr>
                <w:color w:val="auto"/>
                <w:highlight w:val="none"/>
              </w:rPr>
            </w:pPr>
            <w:r>
              <w:rPr>
                <w:color w:val="auto"/>
                <w:spacing w:val="5"/>
                <w:highlight w:val="none"/>
              </w:rPr>
              <w:t>以框图方式表示</w:t>
            </w:r>
          </w:p>
        </w:tc>
      </w:tr>
      <w:tr w14:paraId="25DF7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8895" w:type="dxa"/>
            <w:vAlign w:val="top"/>
          </w:tcPr>
          <w:p w14:paraId="6637E033">
            <w:pPr>
              <w:pStyle w:val="17"/>
              <w:spacing w:before="163" w:line="228" w:lineRule="auto"/>
              <w:ind w:left="386"/>
              <w:rPr>
                <w:color w:val="auto"/>
                <w:highlight w:val="none"/>
              </w:rPr>
            </w:pPr>
            <w:r>
              <w:rPr>
                <w:color w:val="auto"/>
                <w:spacing w:val="3"/>
                <w:highlight w:val="none"/>
              </w:rPr>
              <w:t>说明</w:t>
            </w:r>
          </w:p>
        </w:tc>
      </w:tr>
    </w:tbl>
    <w:p w14:paraId="792BCCCE">
      <w:pPr>
        <w:rPr>
          <w:rFonts w:ascii="Arial"/>
          <w:color w:val="auto"/>
          <w:sz w:val="21"/>
          <w:highlight w:val="none"/>
        </w:rPr>
      </w:pPr>
    </w:p>
    <w:p w14:paraId="0A2CED25">
      <w:pPr>
        <w:rPr>
          <w:rFonts w:ascii="Arial" w:hAnsi="Arial" w:eastAsia="Arial" w:cs="Arial"/>
          <w:color w:val="auto"/>
          <w:sz w:val="21"/>
          <w:szCs w:val="21"/>
          <w:highlight w:val="none"/>
        </w:rPr>
        <w:sectPr>
          <w:footerReference r:id="rId98" w:type="default"/>
          <w:pgSz w:w="11906" w:h="16839"/>
          <w:pgMar w:top="1401" w:right="1698" w:bottom="1297" w:left="1301" w:header="0" w:footer="1067" w:gutter="0"/>
          <w:pgNumType w:fmt="decimal"/>
          <w:cols w:space="720" w:num="1"/>
        </w:sectPr>
      </w:pPr>
    </w:p>
    <w:p w14:paraId="021E71CC">
      <w:pPr>
        <w:spacing w:line="330" w:lineRule="auto"/>
        <w:rPr>
          <w:rFonts w:ascii="Arial"/>
          <w:color w:val="auto"/>
          <w:sz w:val="21"/>
          <w:highlight w:val="none"/>
        </w:rPr>
      </w:pPr>
    </w:p>
    <w:p w14:paraId="3E42C2EC">
      <w:pPr>
        <w:spacing w:line="330" w:lineRule="auto"/>
        <w:rPr>
          <w:rFonts w:ascii="Arial"/>
          <w:color w:val="auto"/>
          <w:sz w:val="21"/>
          <w:highlight w:val="none"/>
        </w:rPr>
      </w:pPr>
    </w:p>
    <w:p w14:paraId="6D3FD70E">
      <w:pPr>
        <w:spacing w:before="98" w:line="219" w:lineRule="auto"/>
        <w:ind w:left="4578"/>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（三）近年完成的类似项目情况汇总表</w:t>
      </w:r>
    </w:p>
    <w:p w14:paraId="114FB824">
      <w:pPr>
        <w:spacing w:line="181" w:lineRule="exact"/>
        <w:rPr>
          <w:color w:val="auto"/>
          <w:highlight w:val="none"/>
        </w:rPr>
      </w:pPr>
    </w:p>
    <w:tbl>
      <w:tblPr>
        <w:tblStyle w:val="16"/>
        <w:tblW w:w="13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031"/>
        <w:gridCol w:w="1289"/>
        <w:gridCol w:w="1031"/>
        <w:gridCol w:w="1434"/>
        <w:gridCol w:w="1307"/>
        <w:gridCol w:w="1140"/>
        <w:gridCol w:w="796"/>
        <w:gridCol w:w="742"/>
        <w:gridCol w:w="1723"/>
        <w:gridCol w:w="1031"/>
        <w:gridCol w:w="1842"/>
      </w:tblGrid>
      <w:tr w14:paraId="33849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632" w:type="dxa"/>
            <w:textDirection w:val="tbRlV"/>
            <w:vAlign w:val="top"/>
          </w:tcPr>
          <w:p w14:paraId="508AE137">
            <w:pPr>
              <w:pStyle w:val="17"/>
              <w:spacing w:before="210" w:line="218" w:lineRule="auto"/>
              <w:ind w:left="170"/>
              <w:rPr>
                <w:color w:val="auto"/>
                <w:highlight w:val="none"/>
              </w:rPr>
            </w:pPr>
            <w:r>
              <w:rPr>
                <w:color w:val="auto"/>
                <w:spacing w:val="8"/>
                <w:highlight w:val="none"/>
              </w:rPr>
              <w:t>序</w:t>
            </w:r>
            <w:r>
              <w:rPr>
                <w:color w:val="auto"/>
                <w:spacing w:val="-35"/>
                <w:highlight w:val="none"/>
              </w:rPr>
              <w:t xml:space="preserve"> </w:t>
            </w:r>
            <w:r>
              <w:rPr>
                <w:color w:val="auto"/>
                <w:spacing w:val="8"/>
                <w:highlight w:val="none"/>
              </w:rPr>
              <w:t>号</w:t>
            </w:r>
          </w:p>
        </w:tc>
        <w:tc>
          <w:tcPr>
            <w:tcW w:w="1031" w:type="dxa"/>
            <w:vAlign w:val="top"/>
          </w:tcPr>
          <w:p w14:paraId="3D735A6C">
            <w:pPr>
              <w:pStyle w:val="17"/>
              <w:spacing w:before="170" w:line="255" w:lineRule="auto"/>
              <w:ind w:left="413" w:right="202" w:hanging="207"/>
              <w:rPr>
                <w:color w:val="auto"/>
                <w:highlight w:val="none"/>
              </w:rPr>
            </w:pPr>
            <w:r>
              <w:rPr>
                <w:color w:val="auto"/>
                <w:spacing w:val="5"/>
                <w:highlight w:val="none"/>
              </w:rPr>
              <w:t>项目名</w:t>
            </w:r>
            <w:r>
              <w:rPr>
                <w:color w:val="auto"/>
                <w:spacing w:val="1"/>
                <w:highlight w:val="none"/>
              </w:rPr>
              <w:t>称</w:t>
            </w:r>
          </w:p>
        </w:tc>
        <w:tc>
          <w:tcPr>
            <w:tcW w:w="1289" w:type="dxa"/>
            <w:vAlign w:val="top"/>
          </w:tcPr>
          <w:p w14:paraId="5F620782">
            <w:pPr>
              <w:pStyle w:val="17"/>
              <w:spacing w:before="170" w:line="255" w:lineRule="auto"/>
              <w:ind w:left="546" w:right="173" w:hanging="371"/>
              <w:rPr>
                <w:color w:val="auto"/>
                <w:highlight w:val="none"/>
              </w:rPr>
            </w:pPr>
            <w:r>
              <w:rPr>
                <w:color w:val="auto"/>
                <w:spacing w:val="6"/>
                <w:highlight w:val="none"/>
              </w:rPr>
              <w:t>新建/改扩</w:t>
            </w:r>
            <w:r>
              <w:rPr>
                <w:color w:val="auto"/>
                <w:highlight w:val="none"/>
              </w:rPr>
              <w:t>建</w:t>
            </w:r>
          </w:p>
        </w:tc>
        <w:tc>
          <w:tcPr>
            <w:tcW w:w="1031" w:type="dxa"/>
            <w:vAlign w:val="top"/>
          </w:tcPr>
          <w:p w14:paraId="5F0C2848">
            <w:pPr>
              <w:pStyle w:val="17"/>
              <w:spacing w:before="170" w:line="255" w:lineRule="auto"/>
              <w:ind w:left="418" w:right="201" w:hanging="208"/>
              <w:rPr>
                <w:color w:val="auto"/>
                <w:highlight w:val="none"/>
              </w:rPr>
            </w:pPr>
            <w:r>
              <w:rPr>
                <w:color w:val="auto"/>
                <w:spacing w:val="4"/>
                <w:highlight w:val="none"/>
              </w:rPr>
              <w:t>公路等</w:t>
            </w:r>
            <w:r>
              <w:rPr>
                <w:color w:val="auto"/>
                <w:highlight w:val="none"/>
              </w:rPr>
              <w:t>级</w:t>
            </w:r>
          </w:p>
        </w:tc>
        <w:tc>
          <w:tcPr>
            <w:tcW w:w="1434" w:type="dxa"/>
            <w:vAlign w:val="top"/>
          </w:tcPr>
          <w:p w14:paraId="47489A17">
            <w:pPr>
              <w:pStyle w:val="17"/>
              <w:spacing w:before="171" w:line="255" w:lineRule="auto"/>
              <w:ind w:left="633" w:right="190" w:hanging="432"/>
              <w:rPr>
                <w:color w:val="auto"/>
                <w:highlight w:val="none"/>
              </w:rPr>
            </w:pPr>
            <w:r>
              <w:rPr>
                <w:color w:val="auto"/>
                <w:spacing w:val="7"/>
                <w:highlight w:val="none"/>
              </w:rPr>
              <w:t>交工验收时</w:t>
            </w:r>
            <w:r>
              <w:rPr>
                <w:color w:val="auto"/>
                <w:highlight w:val="none"/>
              </w:rPr>
              <w:t>间</w:t>
            </w:r>
          </w:p>
        </w:tc>
        <w:tc>
          <w:tcPr>
            <w:tcW w:w="1307" w:type="dxa"/>
            <w:vAlign w:val="top"/>
          </w:tcPr>
          <w:p w14:paraId="08935929">
            <w:pPr>
              <w:rPr>
                <w:rFonts w:ascii="Arial"/>
                <w:color w:val="auto"/>
                <w:sz w:val="21"/>
                <w:highlight w:val="none"/>
              </w:rPr>
            </w:pPr>
          </w:p>
          <w:p w14:paraId="53D3339D">
            <w:pPr>
              <w:pStyle w:val="17"/>
              <w:spacing w:before="65" w:line="228" w:lineRule="auto"/>
              <w:ind w:left="135"/>
              <w:rPr>
                <w:color w:val="auto"/>
                <w:highlight w:val="none"/>
              </w:rPr>
            </w:pPr>
            <w:r>
              <w:rPr>
                <w:color w:val="auto"/>
                <w:spacing w:val="7"/>
                <w:highlight w:val="none"/>
              </w:rPr>
              <w:t>路基（</w:t>
            </w:r>
            <w:r>
              <w:rPr>
                <w:color w:val="auto"/>
                <w:highlight w:val="none"/>
              </w:rPr>
              <w:t>km</w:t>
            </w:r>
            <w:r>
              <w:rPr>
                <w:color w:val="auto"/>
                <w:spacing w:val="7"/>
                <w:highlight w:val="none"/>
              </w:rPr>
              <w:t>）</w:t>
            </w:r>
          </w:p>
        </w:tc>
        <w:tc>
          <w:tcPr>
            <w:tcW w:w="1140" w:type="dxa"/>
            <w:vAlign w:val="top"/>
          </w:tcPr>
          <w:p w14:paraId="0AA2C233">
            <w:pPr>
              <w:pStyle w:val="17"/>
              <w:spacing w:before="171" w:line="260" w:lineRule="auto"/>
              <w:ind w:left="272" w:right="270" w:firstLine="97"/>
              <w:rPr>
                <w:color w:val="auto"/>
                <w:highlight w:val="none"/>
              </w:rPr>
            </w:pPr>
            <w:r>
              <w:rPr>
                <w:color w:val="auto"/>
                <w:spacing w:val="3"/>
                <w:highlight w:val="none"/>
              </w:rPr>
              <w:t>路面</w:t>
            </w:r>
            <w:r>
              <w:rPr>
                <w:color w:val="auto"/>
                <w:spacing w:val="-2"/>
                <w:highlight w:val="none"/>
              </w:rPr>
              <w:t>（km）</w:t>
            </w:r>
          </w:p>
        </w:tc>
        <w:tc>
          <w:tcPr>
            <w:tcW w:w="796" w:type="dxa"/>
            <w:vAlign w:val="top"/>
          </w:tcPr>
          <w:p w14:paraId="59B0A7C7">
            <w:pPr>
              <w:pStyle w:val="17"/>
              <w:spacing w:before="170" w:line="254" w:lineRule="auto"/>
              <w:ind w:left="194" w:right="186"/>
              <w:rPr>
                <w:color w:val="auto"/>
                <w:highlight w:val="none"/>
              </w:rPr>
            </w:pPr>
            <w:r>
              <w:rPr>
                <w:color w:val="auto"/>
                <w:spacing w:val="4"/>
                <w:highlight w:val="none"/>
              </w:rPr>
              <w:t>桥梁概况</w:t>
            </w:r>
          </w:p>
        </w:tc>
        <w:tc>
          <w:tcPr>
            <w:tcW w:w="742" w:type="dxa"/>
            <w:vAlign w:val="top"/>
          </w:tcPr>
          <w:p w14:paraId="1E1FB51D">
            <w:pPr>
              <w:pStyle w:val="17"/>
              <w:spacing w:before="170" w:line="254" w:lineRule="auto"/>
              <w:ind w:left="166" w:right="160" w:firstLine="10"/>
              <w:rPr>
                <w:color w:val="auto"/>
                <w:highlight w:val="none"/>
              </w:rPr>
            </w:pPr>
            <w:r>
              <w:rPr>
                <w:color w:val="auto"/>
                <w:spacing w:val="-1"/>
                <w:highlight w:val="none"/>
              </w:rPr>
              <w:t>隧道</w:t>
            </w:r>
            <w:r>
              <w:rPr>
                <w:color w:val="auto"/>
                <w:spacing w:val="4"/>
                <w:highlight w:val="none"/>
              </w:rPr>
              <w:t>概况</w:t>
            </w:r>
          </w:p>
        </w:tc>
        <w:tc>
          <w:tcPr>
            <w:tcW w:w="1723" w:type="dxa"/>
            <w:vAlign w:val="top"/>
          </w:tcPr>
          <w:p w14:paraId="7A74768D">
            <w:pPr>
              <w:pStyle w:val="17"/>
              <w:spacing w:before="170" w:line="229" w:lineRule="auto"/>
              <w:ind w:left="137"/>
              <w:rPr>
                <w:color w:val="auto"/>
                <w:highlight w:val="none"/>
              </w:rPr>
            </w:pPr>
            <w:r>
              <w:rPr>
                <w:color w:val="auto"/>
                <w:spacing w:val="8"/>
                <w:highlight w:val="none"/>
              </w:rPr>
              <w:t>交通安全设施工</w:t>
            </w:r>
          </w:p>
          <w:p w14:paraId="6DF2554D">
            <w:pPr>
              <w:pStyle w:val="17"/>
              <w:spacing w:before="25" w:line="228" w:lineRule="auto"/>
              <w:ind w:left="448"/>
              <w:rPr>
                <w:color w:val="auto"/>
                <w:highlight w:val="none"/>
              </w:rPr>
            </w:pPr>
            <w:r>
              <w:rPr>
                <w:color w:val="auto"/>
                <w:spacing w:val="7"/>
                <w:highlight w:val="none"/>
              </w:rPr>
              <w:t>程（</w:t>
            </w:r>
            <w:r>
              <w:rPr>
                <w:color w:val="auto"/>
                <w:highlight w:val="none"/>
              </w:rPr>
              <w:t>km</w:t>
            </w:r>
            <w:r>
              <w:rPr>
                <w:color w:val="auto"/>
                <w:spacing w:val="7"/>
                <w:highlight w:val="none"/>
              </w:rPr>
              <w:t>）</w:t>
            </w:r>
          </w:p>
        </w:tc>
        <w:tc>
          <w:tcPr>
            <w:tcW w:w="1031" w:type="dxa"/>
            <w:vAlign w:val="top"/>
          </w:tcPr>
          <w:p w14:paraId="38B24094">
            <w:pPr>
              <w:pStyle w:val="17"/>
              <w:spacing w:before="37" w:line="250" w:lineRule="auto"/>
              <w:ind w:left="417" w:right="197" w:hanging="211"/>
              <w:rPr>
                <w:color w:val="auto"/>
                <w:highlight w:val="none"/>
              </w:rPr>
            </w:pPr>
            <w:r>
              <w:rPr>
                <w:color w:val="auto"/>
                <w:spacing w:val="7"/>
                <w:highlight w:val="none"/>
              </w:rPr>
              <w:t>机电工</w:t>
            </w:r>
            <w:r>
              <w:rPr>
                <w:color w:val="auto"/>
                <w:spacing w:val="1"/>
                <w:highlight w:val="none"/>
              </w:rPr>
              <w:t>程</w:t>
            </w:r>
          </w:p>
          <w:p w14:paraId="5B864AE5">
            <w:pPr>
              <w:pStyle w:val="17"/>
              <w:spacing w:line="218" w:lineRule="auto"/>
              <w:ind w:left="217"/>
              <w:rPr>
                <w:color w:val="auto"/>
                <w:highlight w:val="none"/>
              </w:rPr>
            </w:pPr>
            <w:r>
              <w:rPr>
                <w:color w:val="auto"/>
                <w:spacing w:val="1"/>
                <w:highlight w:val="none"/>
              </w:rPr>
              <w:t>（</w:t>
            </w:r>
            <w:r>
              <w:rPr>
                <w:color w:val="auto"/>
                <w:highlight w:val="none"/>
              </w:rPr>
              <w:t>km</w:t>
            </w:r>
            <w:r>
              <w:rPr>
                <w:color w:val="auto"/>
                <w:spacing w:val="1"/>
                <w:highlight w:val="none"/>
              </w:rPr>
              <w:t>）</w:t>
            </w:r>
          </w:p>
        </w:tc>
        <w:tc>
          <w:tcPr>
            <w:tcW w:w="1842" w:type="dxa"/>
            <w:vAlign w:val="top"/>
          </w:tcPr>
          <w:p w14:paraId="0B7E450D">
            <w:pPr>
              <w:pStyle w:val="17"/>
              <w:spacing w:before="170" w:line="256" w:lineRule="auto"/>
              <w:ind w:left="821" w:right="184" w:hanging="630"/>
              <w:rPr>
                <w:color w:val="auto"/>
                <w:highlight w:val="none"/>
              </w:rPr>
            </w:pPr>
            <w:r>
              <w:rPr>
                <w:color w:val="auto"/>
                <w:spacing w:val="8"/>
                <w:highlight w:val="none"/>
              </w:rPr>
              <w:t>证明资料所在页</w:t>
            </w:r>
            <w:r>
              <w:rPr>
                <w:color w:val="auto"/>
                <w:spacing w:val="1"/>
                <w:highlight w:val="none"/>
              </w:rPr>
              <w:t>码</w:t>
            </w:r>
          </w:p>
        </w:tc>
      </w:tr>
      <w:tr w14:paraId="16E62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vAlign w:val="top"/>
          </w:tcPr>
          <w:p w14:paraId="570C288F">
            <w:pPr>
              <w:rPr>
                <w:rFonts w:ascii="Arial"/>
                <w:color w:val="auto"/>
                <w:sz w:val="21"/>
                <w:highlight w:val="none"/>
              </w:rPr>
            </w:pPr>
          </w:p>
        </w:tc>
        <w:tc>
          <w:tcPr>
            <w:tcW w:w="1031" w:type="dxa"/>
            <w:vAlign w:val="top"/>
          </w:tcPr>
          <w:p w14:paraId="5C6099FF">
            <w:pPr>
              <w:rPr>
                <w:rFonts w:ascii="Arial"/>
                <w:color w:val="auto"/>
                <w:sz w:val="21"/>
                <w:highlight w:val="none"/>
              </w:rPr>
            </w:pPr>
          </w:p>
        </w:tc>
        <w:tc>
          <w:tcPr>
            <w:tcW w:w="1289" w:type="dxa"/>
            <w:vAlign w:val="top"/>
          </w:tcPr>
          <w:p w14:paraId="679E4DDC">
            <w:pPr>
              <w:rPr>
                <w:rFonts w:ascii="Arial"/>
                <w:color w:val="auto"/>
                <w:sz w:val="21"/>
                <w:highlight w:val="none"/>
              </w:rPr>
            </w:pPr>
          </w:p>
        </w:tc>
        <w:tc>
          <w:tcPr>
            <w:tcW w:w="1031" w:type="dxa"/>
            <w:vAlign w:val="top"/>
          </w:tcPr>
          <w:p w14:paraId="42DF6544">
            <w:pPr>
              <w:rPr>
                <w:rFonts w:ascii="Arial"/>
                <w:color w:val="auto"/>
                <w:sz w:val="21"/>
                <w:highlight w:val="none"/>
              </w:rPr>
            </w:pPr>
          </w:p>
        </w:tc>
        <w:tc>
          <w:tcPr>
            <w:tcW w:w="1434" w:type="dxa"/>
            <w:vAlign w:val="top"/>
          </w:tcPr>
          <w:p w14:paraId="092EA613">
            <w:pPr>
              <w:rPr>
                <w:rFonts w:ascii="Arial"/>
                <w:color w:val="auto"/>
                <w:sz w:val="21"/>
                <w:highlight w:val="none"/>
              </w:rPr>
            </w:pPr>
          </w:p>
        </w:tc>
        <w:tc>
          <w:tcPr>
            <w:tcW w:w="1307" w:type="dxa"/>
            <w:vAlign w:val="top"/>
          </w:tcPr>
          <w:p w14:paraId="6D502B55">
            <w:pPr>
              <w:rPr>
                <w:rFonts w:ascii="Arial"/>
                <w:color w:val="auto"/>
                <w:sz w:val="21"/>
                <w:highlight w:val="none"/>
              </w:rPr>
            </w:pPr>
          </w:p>
        </w:tc>
        <w:tc>
          <w:tcPr>
            <w:tcW w:w="1140" w:type="dxa"/>
            <w:vAlign w:val="top"/>
          </w:tcPr>
          <w:p w14:paraId="1BF68C1A">
            <w:pPr>
              <w:rPr>
                <w:rFonts w:ascii="Arial"/>
                <w:color w:val="auto"/>
                <w:sz w:val="21"/>
                <w:highlight w:val="none"/>
              </w:rPr>
            </w:pPr>
          </w:p>
        </w:tc>
        <w:tc>
          <w:tcPr>
            <w:tcW w:w="796" w:type="dxa"/>
            <w:vAlign w:val="top"/>
          </w:tcPr>
          <w:p w14:paraId="6CB84E20">
            <w:pPr>
              <w:rPr>
                <w:rFonts w:ascii="Arial"/>
                <w:color w:val="auto"/>
                <w:sz w:val="21"/>
                <w:highlight w:val="none"/>
              </w:rPr>
            </w:pPr>
          </w:p>
        </w:tc>
        <w:tc>
          <w:tcPr>
            <w:tcW w:w="742" w:type="dxa"/>
            <w:vAlign w:val="top"/>
          </w:tcPr>
          <w:p w14:paraId="333DAEA1">
            <w:pPr>
              <w:rPr>
                <w:rFonts w:ascii="Arial"/>
                <w:color w:val="auto"/>
                <w:sz w:val="21"/>
                <w:highlight w:val="none"/>
              </w:rPr>
            </w:pPr>
          </w:p>
        </w:tc>
        <w:tc>
          <w:tcPr>
            <w:tcW w:w="1723" w:type="dxa"/>
            <w:vAlign w:val="top"/>
          </w:tcPr>
          <w:p w14:paraId="5C79076D">
            <w:pPr>
              <w:rPr>
                <w:rFonts w:ascii="Arial"/>
                <w:color w:val="auto"/>
                <w:sz w:val="21"/>
                <w:highlight w:val="none"/>
              </w:rPr>
            </w:pPr>
          </w:p>
        </w:tc>
        <w:tc>
          <w:tcPr>
            <w:tcW w:w="1031" w:type="dxa"/>
            <w:vAlign w:val="top"/>
          </w:tcPr>
          <w:p w14:paraId="626EDBEB">
            <w:pPr>
              <w:rPr>
                <w:rFonts w:ascii="Arial"/>
                <w:color w:val="auto"/>
                <w:sz w:val="21"/>
                <w:highlight w:val="none"/>
              </w:rPr>
            </w:pPr>
          </w:p>
        </w:tc>
        <w:tc>
          <w:tcPr>
            <w:tcW w:w="1842" w:type="dxa"/>
            <w:vAlign w:val="top"/>
          </w:tcPr>
          <w:p w14:paraId="7D6191AC">
            <w:pPr>
              <w:rPr>
                <w:rFonts w:ascii="Arial"/>
                <w:color w:val="auto"/>
                <w:sz w:val="21"/>
                <w:highlight w:val="none"/>
              </w:rPr>
            </w:pPr>
          </w:p>
        </w:tc>
      </w:tr>
      <w:tr w14:paraId="3C014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vAlign w:val="top"/>
          </w:tcPr>
          <w:p w14:paraId="35B3159E">
            <w:pPr>
              <w:rPr>
                <w:rFonts w:ascii="Arial"/>
                <w:color w:val="auto"/>
                <w:sz w:val="21"/>
                <w:highlight w:val="none"/>
              </w:rPr>
            </w:pPr>
          </w:p>
        </w:tc>
        <w:tc>
          <w:tcPr>
            <w:tcW w:w="1031" w:type="dxa"/>
            <w:vAlign w:val="top"/>
          </w:tcPr>
          <w:p w14:paraId="73C9C105">
            <w:pPr>
              <w:rPr>
                <w:rFonts w:ascii="Arial"/>
                <w:color w:val="auto"/>
                <w:sz w:val="21"/>
                <w:highlight w:val="none"/>
              </w:rPr>
            </w:pPr>
          </w:p>
        </w:tc>
        <w:tc>
          <w:tcPr>
            <w:tcW w:w="1289" w:type="dxa"/>
            <w:vAlign w:val="top"/>
          </w:tcPr>
          <w:p w14:paraId="610843CB">
            <w:pPr>
              <w:rPr>
                <w:rFonts w:ascii="Arial"/>
                <w:color w:val="auto"/>
                <w:sz w:val="21"/>
                <w:highlight w:val="none"/>
              </w:rPr>
            </w:pPr>
          </w:p>
        </w:tc>
        <w:tc>
          <w:tcPr>
            <w:tcW w:w="1031" w:type="dxa"/>
            <w:vAlign w:val="top"/>
          </w:tcPr>
          <w:p w14:paraId="42869FC1">
            <w:pPr>
              <w:rPr>
                <w:rFonts w:ascii="Arial"/>
                <w:color w:val="auto"/>
                <w:sz w:val="21"/>
                <w:highlight w:val="none"/>
              </w:rPr>
            </w:pPr>
          </w:p>
        </w:tc>
        <w:tc>
          <w:tcPr>
            <w:tcW w:w="1434" w:type="dxa"/>
            <w:vAlign w:val="top"/>
          </w:tcPr>
          <w:p w14:paraId="2561C4FB">
            <w:pPr>
              <w:rPr>
                <w:rFonts w:ascii="Arial"/>
                <w:color w:val="auto"/>
                <w:sz w:val="21"/>
                <w:highlight w:val="none"/>
              </w:rPr>
            </w:pPr>
          </w:p>
        </w:tc>
        <w:tc>
          <w:tcPr>
            <w:tcW w:w="1307" w:type="dxa"/>
            <w:vAlign w:val="top"/>
          </w:tcPr>
          <w:p w14:paraId="781156F3">
            <w:pPr>
              <w:rPr>
                <w:rFonts w:ascii="Arial"/>
                <w:color w:val="auto"/>
                <w:sz w:val="21"/>
                <w:highlight w:val="none"/>
              </w:rPr>
            </w:pPr>
          </w:p>
        </w:tc>
        <w:tc>
          <w:tcPr>
            <w:tcW w:w="1140" w:type="dxa"/>
            <w:vAlign w:val="top"/>
          </w:tcPr>
          <w:p w14:paraId="14AC039B">
            <w:pPr>
              <w:rPr>
                <w:rFonts w:ascii="Arial"/>
                <w:color w:val="auto"/>
                <w:sz w:val="21"/>
                <w:highlight w:val="none"/>
              </w:rPr>
            </w:pPr>
          </w:p>
        </w:tc>
        <w:tc>
          <w:tcPr>
            <w:tcW w:w="796" w:type="dxa"/>
            <w:vAlign w:val="top"/>
          </w:tcPr>
          <w:p w14:paraId="365F046D">
            <w:pPr>
              <w:rPr>
                <w:rFonts w:ascii="Arial"/>
                <w:color w:val="auto"/>
                <w:sz w:val="21"/>
                <w:highlight w:val="none"/>
              </w:rPr>
            </w:pPr>
          </w:p>
        </w:tc>
        <w:tc>
          <w:tcPr>
            <w:tcW w:w="742" w:type="dxa"/>
            <w:vAlign w:val="top"/>
          </w:tcPr>
          <w:p w14:paraId="51E98D95">
            <w:pPr>
              <w:rPr>
                <w:rFonts w:ascii="Arial"/>
                <w:color w:val="auto"/>
                <w:sz w:val="21"/>
                <w:highlight w:val="none"/>
              </w:rPr>
            </w:pPr>
          </w:p>
        </w:tc>
        <w:tc>
          <w:tcPr>
            <w:tcW w:w="1723" w:type="dxa"/>
            <w:vAlign w:val="top"/>
          </w:tcPr>
          <w:p w14:paraId="642F8115">
            <w:pPr>
              <w:rPr>
                <w:rFonts w:ascii="Arial"/>
                <w:color w:val="auto"/>
                <w:sz w:val="21"/>
                <w:highlight w:val="none"/>
              </w:rPr>
            </w:pPr>
          </w:p>
        </w:tc>
        <w:tc>
          <w:tcPr>
            <w:tcW w:w="1031" w:type="dxa"/>
            <w:vAlign w:val="top"/>
          </w:tcPr>
          <w:p w14:paraId="57C193C4">
            <w:pPr>
              <w:rPr>
                <w:rFonts w:ascii="Arial"/>
                <w:color w:val="auto"/>
                <w:sz w:val="21"/>
                <w:highlight w:val="none"/>
              </w:rPr>
            </w:pPr>
          </w:p>
        </w:tc>
        <w:tc>
          <w:tcPr>
            <w:tcW w:w="1842" w:type="dxa"/>
            <w:vAlign w:val="top"/>
          </w:tcPr>
          <w:p w14:paraId="70A1C634">
            <w:pPr>
              <w:rPr>
                <w:rFonts w:ascii="Arial"/>
                <w:color w:val="auto"/>
                <w:sz w:val="21"/>
                <w:highlight w:val="none"/>
              </w:rPr>
            </w:pPr>
          </w:p>
        </w:tc>
      </w:tr>
      <w:tr w14:paraId="7AF11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69FAB3EA">
            <w:pPr>
              <w:rPr>
                <w:rFonts w:ascii="Arial"/>
                <w:color w:val="auto"/>
                <w:sz w:val="21"/>
                <w:highlight w:val="none"/>
              </w:rPr>
            </w:pPr>
          </w:p>
        </w:tc>
        <w:tc>
          <w:tcPr>
            <w:tcW w:w="1031" w:type="dxa"/>
            <w:vAlign w:val="top"/>
          </w:tcPr>
          <w:p w14:paraId="1CC68D21">
            <w:pPr>
              <w:rPr>
                <w:rFonts w:ascii="Arial"/>
                <w:color w:val="auto"/>
                <w:sz w:val="21"/>
                <w:highlight w:val="none"/>
              </w:rPr>
            </w:pPr>
          </w:p>
        </w:tc>
        <w:tc>
          <w:tcPr>
            <w:tcW w:w="1289" w:type="dxa"/>
            <w:vAlign w:val="top"/>
          </w:tcPr>
          <w:p w14:paraId="45DFCCC3">
            <w:pPr>
              <w:rPr>
                <w:rFonts w:ascii="Arial"/>
                <w:color w:val="auto"/>
                <w:sz w:val="21"/>
                <w:highlight w:val="none"/>
              </w:rPr>
            </w:pPr>
          </w:p>
        </w:tc>
        <w:tc>
          <w:tcPr>
            <w:tcW w:w="1031" w:type="dxa"/>
            <w:vAlign w:val="top"/>
          </w:tcPr>
          <w:p w14:paraId="3B454F36">
            <w:pPr>
              <w:rPr>
                <w:rFonts w:ascii="Arial"/>
                <w:color w:val="auto"/>
                <w:sz w:val="21"/>
                <w:highlight w:val="none"/>
              </w:rPr>
            </w:pPr>
          </w:p>
        </w:tc>
        <w:tc>
          <w:tcPr>
            <w:tcW w:w="1434" w:type="dxa"/>
            <w:vAlign w:val="top"/>
          </w:tcPr>
          <w:p w14:paraId="567274FA">
            <w:pPr>
              <w:rPr>
                <w:rFonts w:ascii="Arial"/>
                <w:color w:val="auto"/>
                <w:sz w:val="21"/>
                <w:highlight w:val="none"/>
              </w:rPr>
            </w:pPr>
          </w:p>
        </w:tc>
        <w:tc>
          <w:tcPr>
            <w:tcW w:w="1307" w:type="dxa"/>
            <w:vAlign w:val="top"/>
          </w:tcPr>
          <w:p w14:paraId="2926C255">
            <w:pPr>
              <w:rPr>
                <w:rFonts w:ascii="Arial"/>
                <w:color w:val="auto"/>
                <w:sz w:val="21"/>
                <w:highlight w:val="none"/>
              </w:rPr>
            </w:pPr>
          </w:p>
        </w:tc>
        <w:tc>
          <w:tcPr>
            <w:tcW w:w="1140" w:type="dxa"/>
            <w:vAlign w:val="top"/>
          </w:tcPr>
          <w:p w14:paraId="469D7FDA">
            <w:pPr>
              <w:rPr>
                <w:rFonts w:ascii="Arial"/>
                <w:color w:val="auto"/>
                <w:sz w:val="21"/>
                <w:highlight w:val="none"/>
              </w:rPr>
            </w:pPr>
          </w:p>
        </w:tc>
        <w:tc>
          <w:tcPr>
            <w:tcW w:w="796" w:type="dxa"/>
            <w:vAlign w:val="top"/>
          </w:tcPr>
          <w:p w14:paraId="1F176810">
            <w:pPr>
              <w:rPr>
                <w:rFonts w:ascii="Arial"/>
                <w:color w:val="auto"/>
                <w:sz w:val="21"/>
                <w:highlight w:val="none"/>
              </w:rPr>
            </w:pPr>
          </w:p>
        </w:tc>
        <w:tc>
          <w:tcPr>
            <w:tcW w:w="742" w:type="dxa"/>
            <w:vAlign w:val="top"/>
          </w:tcPr>
          <w:p w14:paraId="1E382DFA">
            <w:pPr>
              <w:rPr>
                <w:rFonts w:ascii="Arial"/>
                <w:color w:val="auto"/>
                <w:sz w:val="21"/>
                <w:highlight w:val="none"/>
              </w:rPr>
            </w:pPr>
          </w:p>
        </w:tc>
        <w:tc>
          <w:tcPr>
            <w:tcW w:w="1723" w:type="dxa"/>
            <w:vAlign w:val="top"/>
          </w:tcPr>
          <w:p w14:paraId="5A217B6C">
            <w:pPr>
              <w:rPr>
                <w:rFonts w:ascii="Arial"/>
                <w:color w:val="auto"/>
                <w:sz w:val="21"/>
                <w:highlight w:val="none"/>
              </w:rPr>
            </w:pPr>
          </w:p>
        </w:tc>
        <w:tc>
          <w:tcPr>
            <w:tcW w:w="1031" w:type="dxa"/>
            <w:vAlign w:val="top"/>
          </w:tcPr>
          <w:p w14:paraId="7A419807">
            <w:pPr>
              <w:rPr>
                <w:rFonts w:ascii="Arial"/>
                <w:color w:val="auto"/>
                <w:sz w:val="21"/>
                <w:highlight w:val="none"/>
              </w:rPr>
            </w:pPr>
          </w:p>
        </w:tc>
        <w:tc>
          <w:tcPr>
            <w:tcW w:w="1842" w:type="dxa"/>
            <w:vAlign w:val="top"/>
          </w:tcPr>
          <w:p w14:paraId="13D241D0">
            <w:pPr>
              <w:rPr>
                <w:rFonts w:ascii="Arial"/>
                <w:color w:val="auto"/>
                <w:sz w:val="21"/>
                <w:highlight w:val="none"/>
              </w:rPr>
            </w:pPr>
          </w:p>
        </w:tc>
      </w:tr>
      <w:tr w14:paraId="13C71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713B8C29">
            <w:pPr>
              <w:rPr>
                <w:rFonts w:ascii="Arial"/>
                <w:color w:val="auto"/>
                <w:sz w:val="21"/>
                <w:highlight w:val="none"/>
              </w:rPr>
            </w:pPr>
          </w:p>
        </w:tc>
        <w:tc>
          <w:tcPr>
            <w:tcW w:w="1031" w:type="dxa"/>
            <w:vAlign w:val="top"/>
          </w:tcPr>
          <w:p w14:paraId="4E418F5B">
            <w:pPr>
              <w:rPr>
                <w:rFonts w:ascii="Arial"/>
                <w:color w:val="auto"/>
                <w:sz w:val="21"/>
                <w:highlight w:val="none"/>
              </w:rPr>
            </w:pPr>
          </w:p>
        </w:tc>
        <w:tc>
          <w:tcPr>
            <w:tcW w:w="1289" w:type="dxa"/>
            <w:vAlign w:val="top"/>
          </w:tcPr>
          <w:p w14:paraId="6B87B4D7">
            <w:pPr>
              <w:rPr>
                <w:rFonts w:ascii="Arial"/>
                <w:color w:val="auto"/>
                <w:sz w:val="21"/>
                <w:highlight w:val="none"/>
              </w:rPr>
            </w:pPr>
          </w:p>
        </w:tc>
        <w:tc>
          <w:tcPr>
            <w:tcW w:w="1031" w:type="dxa"/>
            <w:vAlign w:val="top"/>
          </w:tcPr>
          <w:p w14:paraId="6D6723A0">
            <w:pPr>
              <w:rPr>
                <w:rFonts w:ascii="Arial"/>
                <w:color w:val="auto"/>
                <w:sz w:val="21"/>
                <w:highlight w:val="none"/>
              </w:rPr>
            </w:pPr>
          </w:p>
        </w:tc>
        <w:tc>
          <w:tcPr>
            <w:tcW w:w="1434" w:type="dxa"/>
            <w:vAlign w:val="top"/>
          </w:tcPr>
          <w:p w14:paraId="12AE38B0">
            <w:pPr>
              <w:rPr>
                <w:rFonts w:ascii="Arial"/>
                <w:color w:val="auto"/>
                <w:sz w:val="21"/>
                <w:highlight w:val="none"/>
              </w:rPr>
            </w:pPr>
          </w:p>
        </w:tc>
        <w:tc>
          <w:tcPr>
            <w:tcW w:w="1307" w:type="dxa"/>
            <w:vAlign w:val="top"/>
          </w:tcPr>
          <w:p w14:paraId="1C349FAA">
            <w:pPr>
              <w:rPr>
                <w:rFonts w:ascii="Arial"/>
                <w:color w:val="auto"/>
                <w:sz w:val="21"/>
                <w:highlight w:val="none"/>
              </w:rPr>
            </w:pPr>
          </w:p>
        </w:tc>
        <w:tc>
          <w:tcPr>
            <w:tcW w:w="1140" w:type="dxa"/>
            <w:vAlign w:val="top"/>
          </w:tcPr>
          <w:p w14:paraId="266E0732">
            <w:pPr>
              <w:rPr>
                <w:rFonts w:ascii="Arial"/>
                <w:color w:val="auto"/>
                <w:sz w:val="21"/>
                <w:highlight w:val="none"/>
              </w:rPr>
            </w:pPr>
          </w:p>
        </w:tc>
        <w:tc>
          <w:tcPr>
            <w:tcW w:w="796" w:type="dxa"/>
            <w:vAlign w:val="top"/>
          </w:tcPr>
          <w:p w14:paraId="205D8D95">
            <w:pPr>
              <w:rPr>
                <w:rFonts w:ascii="Arial"/>
                <w:color w:val="auto"/>
                <w:sz w:val="21"/>
                <w:highlight w:val="none"/>
              </w:rPr>
            </w:pPr>
          </w:p>
        </w:tc>
        <w:tc>
          <w:tcPr>
            <w:tcW w:w="742" w:type="dxa"/>
            <w:vAlign w:val="top"/>
          </w:tcPr>
          <w:p w14:paraId="76FE5FA6">
            <w:pPr>
              <w:rPr>
                <w:rFonts w:ascii="Arial"/>
                <w:color w:val="auto"/>
                <w:sz w:val="21"/>
                <w:highlight w:val="none"/>
              </w:rPr>
            </w:pPr>
          </w:p>
        </w:tc>
        <w:tc>
          <w:tcPr>
            <w:tcW w:w="1723" w:type="dxa"/>
            <w:vAlign w:val="top"/>
          </w:tcPr>
          <w:p w14:paraId="5066370D">
            <w:pPr>
              <w:rPr>
                <w:rFonts w:ascii="Arial"/>
                <w:color w:val="auto"/>
                <w:sz w:val="21"/>
                <w:highlight w:val="none"/>
              </w:rPr>
            </w:pPr>
          </w:p>
        </w:tc>
        <w:tc>
          <w:tcPr>
            <w:tcW w:w="1031" w:type="dxa"/>
            <w:vAlign w:val="top"/>
          </w:tcPr>
          <w:p w14:paraId="1BAAD7CE">
            <w:pPr>
              <w:rPr>
                <w:rFonts w:ascii="Arial"/>
                <w:color w:val="auto"/>
                <w:sz w:val="21"/>
                <w:highlight w:val="none"/>
              </w:rPr>
            </w:pPr>
          </w:p>
        </w:tc>
        <w:tc>
          <w:tcPr>
            <w:tcW w:w="1842" w:type="dxa"/>
            <w:vAlign w:val="top"/>
          </w:tcPr>
          <w:p w14:paraId="2C279900">
            <w:pPr>
              <w:rPr>
                <w:rFonts w:ascii="Arial"/>
                <w:color w:val="auto"/>
                <w:sz w:val="21"/>
                <w:highlight w:val="none"/>
              </w:rPr>
            </w:pPr>
          </w:p>
        </w:tc>
      </w:tr>
      <w:tr w14:paraId="4DBA3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vAlign w:val="top"/>
          </w:tcPr>
          <w:p w14:paraId="7E869EEF">
            <w:pPr>
              <w:rPr>
                <w:rFonts w:ascii="Arial"/>
                <w:color w:val="auto"/>
                <w:sz w:val="21"/>
                <w:highlight w:val="none"/>
              </w:rPr>
            </w:pPr>
          </w:p>
        </w:tc>
        <w:tc>
          <w:tcPr>
            <w:tcW w:w="1031" w:type="dxa"/>
            <w:vAlign w:val="top"/>
          </w:tcPr>
          <w:p w14:paraId="64BD25B2">
            <w:pPr>
              <w:rPr>
                <w:rFonts w:ascii="Arial"/>
                <w:color w:val="auto"/>
                <w:sz w:val="21"/>
                <w:highlight w:val="none"/>
              </w:rPr>
            </w:pPr>
          </w:p>
        </w:tc>
        <w:tc>
          <w:tcPr>
            <w:tcW w:w="1289" w:type="dxa"/>
            <w:vAlign w:val="top"/>
          </w:tcPr>
          <w:p w14:paraId="532D2AEE">
            <w:pPr>
              <w:rPr>
                <w:rFonts w:ascii="Arial"/>
                <w:color w:val="auto"/>
                <w:sz w:val="21"/>
                <w:highlight w:val="none"/>
              </w:rPr>
            </w:pPr>
          </w:p>
        </w:tc>
        <w:tc>
          <w:tcPr>
            <w:tcW w:w="1031" w:type="dxa"/>
            <w:vAlign w:val="top"/>
          </w:tcPr>
          <w:p w14:paraId="6F0BC249">
            <w:pPr>
              <w:rPr>
                <w:rFonts w:ascii="Arial"/>
                <w:color w:val="auto"/>
                <w:sz w:val="21"/>
                <w:highlight w:val="none"/>
              </w:rPr>
            </w:pPr>
          </w:p>
        </w:tc>
        <w:tc>
          <w:tcPr>
            <w:tcW w:w="1434" w:type="dxa"/>
            <w:vAlign w:val="top"/>
          </w:tcPr>
          <w:p w14:paraId="4F402CEC">
            <w:pPr>
              <w:rPr>
                <w:rFonts w:ascii="Arial"/>
                <w:color w:val="auto"/>
                <w:sz w:val="21"/>
                <w:highlight w:val="none"/>
              </w:rPr>
            </w:pPr>
          </w:p>
        </w:tc>
        <w:tc>
          <w:tcPr>
            <w:tcW w:w="1307" w:type="dxa"/>
            <w:vAlign w:val="top"/>
          </w:tcPr>
          <w:p w14:paraId="2CE802DE">
            <w:pPr>
              <w:rPr>
                <w:rFonts w:ascii="Arial"/>
                <w:color w:val="auto"/>
                <w:sz w:val="21"/>
                <w:highlight w:val="none"/>
              </w:rPr>
            </w:pPr>
          </w:p>
        </w:tc>
        <w:tc>
          <w:tcPr>
            <w:tcW w:w="1140" w:type="dxa"/>
            <w:vAlign w:val="top"/>
          </w:tcPr>
          <w:p w14:paraId="31F86F58">
            <w:pPr>
              <w:rPr>
                <w:rFonts w:ascii="Arial"/>
                <w:color w:val="auto"/>
                <w:sz w:val="21"/>
                <w:highlight w:val="none"/>
              </w:rPr>
            </w:pPr>
          </w:p>
        </w:tc>
        <w:tc>
          <w:tcPr>
            <w:tcW w:w="796" w:type="dxa"/>
            <w:vAlign w:val="top"/>
          </w:tcPr>
          <w:p w14:paraId="6207EC9B">
            <w:pPr>
              <w:rPr>
                <w:rFonts w:ascii="Arial"/>
                <w:color w:val="auto"/>
                <w:sz w:val="21"/>
                <w:highlight w:val="none"/>
              </w:rPr>
            </w:pPr>
          </w:p>
        </w:tc>
        <w:tc>
          <w:tcPr>
            <w:tcW w:w="742" w:type="dxa"/>
            <w:vAlign w:val="top"/>
          </w:tcPr>
          <w:p w14:paraId="21170CC8">
            <w:pPr>
              <w:rPr>
                <w:rFonts w:ascii="Arial"/>
                <w:color w:val="auto"/>
                <w:sz w:val="21"/>
                <w:highlight w:val="none"/>
              </w:rPr>
            </w:pPr>
          </w:p>
        </w:tc>
        <w:tc>
          <w:tcPr>
            <w:tcW w:w="1723" w:type="dxa"/>
            <w:vAlign w:val="top"/>
          </w:tcPr>
          <w:p w14:paraId="62046228">
            <w:pPr>
              <w:rPr>
                <w:rFonts w:ascii="Arial"/>
                <w:color w:val="auto"/>
                <w:sz w:val="21"/>
                <w:highlight w:val="none"/>
              </w:rPr>
            </w:pPr>
          </w:p>
        </w:tc>
        <w:tc>
          <w:tcPr>
            <w:tcW w:w="1031" w:type="dxa"/>
            <w:vAlign w:val="top"/>
          </w:tcPr>
          <w:p w14:paraId="74BDA261">
            <w:pPr>
              <w:rPr>
                <w:rFonts w:ascii="Arial"/>
                <w:color w:val="auto"/>
                <w:sz w:val="21"/>
                <w:highlight w:val="none"/>
              </w:rPr>
            </w:pPr>
          </w:p>
        </w:tc>
        <w:tc>
          <w:tcPr>
            <w:tcW w:w="1842" w:type="dxa"/>
            <w:vAlign w:val="top"/>
          </w:tcPr>
          <w:p w14:paraId="7FB758D3">
            <w:pPr>
              <w:rPr>
                <w:rFonts w:ascii="Arial"/>
                <w:color w:val="auto"/>
                <w:sz w:val="21"/>
                <w:highlight w:val="none"/>
              </w:rPr>
            </w:pPr>
          </w:p>
        </w:tc>
      </w:tr>
      <w:tr w14:paraId="08E59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vAlign w:val="top"/>
          </w:tcPr>
          <w:p w14:paraId="5E35E70D">
            <w:pPr>
              <w:rPr>
                <w:rFonts w:ascii="Arial"/>
                <w:color w:val="auto"/>
                <w:sz w:val="21"/>
                <w:highlight w:val="none"/>
              </w:rPr>
            </w:pPr>
          </w:p>
        </w:tc>
        <w:tc>
          <w:tcPr>
            <w:tcW w:w="1031" w:type="dxa"/>
            <w:vAlign w:val="top"/>
          </w:tcPr>
          <w:p w14:paraId="457398A4">
            <w:pPr>
              <w:rPr>
                <w:rFonts w:ascii="Arial"/>
                <w:color w:val="auto"/>
                <w:sz w:val="21"/>
                <w:highlight w:val="none"/>
              </w:rPr>
            </w:pPr>
          </w:p>
        </w:tc>
        <w:tc>
          <w:tcPr>
            <w:tcW w:w="1289" w:type="dxa"/>
            <w:vAlign w:val="top"/>
          </w:tcPr>
          <w:p w14:paraId="4928CE1A">
            <w:pPr>
              <w:rPr>
                <w:rFonts w:ascii="Arial"/>
                <w:color w:val="auto"/>
                <w:sz w:val="21"/>
                <w:highlight w:val="none"/>
              </w:rPr>
            </w:pPr>
          </w:p>
        </w:tc>
        <w:tc>
          <w:tcPr>
            <w:tcW w:w="1031" w:type="dxa"/>
            <w:vAlign w:val="top"/>
          </w:tcPr>
          <w:p w14:paraId="5EE890A8">
            <w:pPr>
              <w:rPr>
                <w:rFonts w:ascii="Arial"/>
                <w:color w:val="auto"/>
                <w:sz w:val="21"/>
                <w:highlight w:val="none"/>
              </w:rPr>
            </w:pPr>
          </w:p>
        </w:tc>
        <w:tc>
          <w:tcPr>
            <w:tcW w:w="1434" w:type="dxa"/>
            <w:vAlign w:val="top"/>
          </w:tcPr>
          <w:p w14:paraId="255FF867">
            <w:pPr>
              <w:rPr>
                <w:rFonts w:ascii="Arial"/>
                <w:color w:val="auto"/>
                <w:sz w:val="21"/>
                <w:highlight w:val="none"/>
              </w:rPr>
            </w:pPr>
          </w:p>
        </w:tc>
        <w:tc>
          <w:tcPr>
            <w:tcW w:w="1307" w:type="dxa"/>
            <w:vAlign w:val="top"/>
          </w:tcPr>
          <w:p w14:paraId="1E1807D9">
            <w:pPr>
              <w:rPr>
                <w:rFonts w:ascii="Arial"/>
                <w:color w:val="auto"/>
                <w:sz w:val="21"/>
                <w:highlight w:val="none"/>
              </w:rPr>
            </w:pPr>
          </w:p>
        </w:tc>
        <w:tc>
          <w:tcPr>
            <w:tcW w:w="1140" w:type="dxa"/>
            <w:vAlign w:val="top"/>
          </w:tcPr>
          <w:p w14:paraId="0EA94CF4">
            <w:pPr>
              <w:rPr>
                <w:rFonts w:ascii="Arial"/>
                <w:color w:val="auto"/>
                <w:sz w:val="21"/>
                <w:highlight w:val="none"/>
              </w:rPr>
            </w:pPr>
          </w:p>
        </w:tc>
        <w:tc>
          <w:tcPr>
            <w:tcW w:w="796" w:type="dxa"/>
            <w:vAlign w:val="top"/>
          </w:tcPr>
          <w:p w14:paraId="7DDAF349">
            <w:pPr>
              <w:rPr>
                <w:rFonts w:ascii="Arial"/>
                <w:color w:val="auto"/>
                <w:sz w:val="21"/>
                <w:highlight w:val="none"/>
              </w:rPr>
            </w:pPr>
          </w:p>
        </w:tc>
        <w:tc>
          <w:tcPr>
            <w:tcW w:w="742" w:type="dxa"/>
            <w:vAlign w:val="top"/>
          </w:tcPr>
          <w:p w14:paraId="6333AAFF">
            <w:pPr>
              <w:rPr>
                <w:rFonts w:ascii="Arial"/>
                <w:color w:val="auto"/>
                <w:sz w:val="21"/>
                <w:highlight w:val="none"/>
              </w:rPr>
            </w:pPr>
          </w:p>
        </w:tc>
        <w:tc>
          <w:tcPr>
            <w:tcW w:w="1723" w:type="dxa"/>
            <w:vAlign w:val="top"/>
          </w:tcPr>
          <w:p w14:paraId="5F610BB3">
            <w:pPr>
              <w:rPr>
                <w:rFonts w:ascii="Arial"/>
                <w:color w:val="auto"/>
                <w:sz w:val="21"/>
                <w:highlight w:val="none"/>
              </w:rPr>
            </w:pPr>
          </w:p>
        </w:tc>
        <w:tc>
          <w:tcPr>
            <w:tcW w:w="1031" w:type="dxa"/>
            <w:vAlign w:val="top"/>
          </w:tcPr>
          <w:p w14:paraId="64FB94AB">
            <w:pPr>
              <w:rPr>
                <w:rFonts w:ascii="Arial"/>
                <w:color w:val="auto"/>
                <w:sz w:val="21"/>
                <w:highlight w:val="none"/>
              </w:rPr>
            </w:pPr>
          </w:p>
        </w:tc>
        <w:tc>
          <w:tcPr>
            <w:tcW w:w="1842" w:type="dxa"/>
            <w:vAlign w:val="top"/>
          </w:tcPr>
          <w:p w14:paraId="5E0D2109">
            <w:pPr>
              <w:rPr>
                <w:rFonts w:ascii="Arial"/>
                <w:color w:val="auto"/>
                <w:sz w:val="21"/>
                <w:highlight w:val="none"/>
              </w:rPr>
            </w:pPr>
          </w:p>
        </w:tc>
      </w:tr>
      <w:tr w14:paraId="626DE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597EBC11">
            <w:pPr>
              <w:rPr>
                <w:rFonts w:ascii="Arial"/>
                <w:color w:val="auto"/>
                <w:sz w:val="21"/>
                <w:highlight w:val="none"/>
              </w:rPr>
            </w:pPr>
          </w:p>
        </w:tc>
        <w:tc>
          <w:tcPr>
            <w:tcW w:w="1031" w:type="dxa"/>
            <w:vAlign w:val="top"/>
          </w:tcPr>
          <w:p w14:paraId="297E3D5D">
            <w:pPr>
              <w:rPr>
                <w:rFonts w:ascii="Arial"/>
                <w:color w:val="auto"/>
                <w:sz w:val="21"/>
                <w:highlight w:val="none"/>
              </w:rPr>
            </w:pPr>
          </w:p>
        </w:tc>
        <w:tc>
          <w:tcPr>
            <w:tcW w:w="1289" w:type="dxa"/>
            <w:vAlign w:val="top"/>
          </w:tcPr>
          <w:p w14:paraId="1289528E">
            <w:pPr>
              <w:rPr>
                <w:rFonts w:ascii="Arial"/>
                <w:color w:val="auto"/>
                <w:sz w:val="21"/>
                <w:highlight w:val="none"/>
              </w:rPr>
            </w:pPr>
          </w:p>
        </w:tc>
        <w:tc>
          <w:tcPr>
            <w:tcW w:w="1031" w:type="dxa"/>
            <w:vAlign w:val="top"/>
          </w:tcPr>
          <w:p w14:paraId="30A1B9E6">
            <w:pPr>
              <w:rPr>
                <w:rFonts w:ascii="Arial"/>
                <w:color w:val="auto"/>
                <w:sz w:val="21"/>
                <w:highlight w:val="none"/>
              </w:rPr>
            </w:pPr>
          </w:p>
        </w:tc>
        <w:tc>
          <w:tcPr>
            <w:tcW w:w="1434" w:type="dxa"/>
            <w:vAlign w:val="top"/>
          </w:tcPr>
          <w:p w14:paraId="5EC934CA">
            <w:pPr>
              <w:rPr>
                <w:rFonts w:ascii="Arial"/>
                <w:color w:val="auto"/>
                <w:sz w:val="21"/>
                <w:highlight w:val="none"/>
              </w:rPr>
            </w:pPr>
          </w:p>
        </w:tc>
        <w:tc>
          <w:tcPr>
            <w:tcW w:w="1307" w:type="dxa"/>
            <w:vAlign w:val="top"/>
          </w:tcPr>
          <w:p w14:paraId="63B06296">
            <w:pPr>
              <w:rPr>
                <w:rFonts w:ascii="Arial"/>
                <w:color w:val="auto"/>
                <w:sz w:val="21"/>
                <w:highlight w:val="none"/>
              </w:rPr>
            </w:pPr>
          </w:p>
        </w:tc>
        <w:tc>
          <w:tcPr>
            <w:tcW w:w="1140" w:type="dxa"/>
            <w:vAlign w:val="top"/>
          </w:tcPr>
          <w:p w14:paraId="6CCD0138">
            <w:pPr>
              <w:rPr>
                <w:rFonts w:ascii="Arial"/>
                <w:color w:val="auto"/>
                <w:sz w:val="21"/>
                <w:highlight w:val="none"/>
              </w:rPr>
            </w:pPr>
          </w:p>
        </w:tc>
        <w:tc>
          <w:tcPr>
            <w:tcW w:w="796" w:type="dxa"/>
            <w:vAlign w:val="top"/>
          </w:tcPr>
          <w:p w14:paraId="74B22F0F">
            <w:pPr>
              <w:rPr>
                <w:rFonts w:ascii="Arial"/>
                <w:color w:val="auto"/>
                <w:sz w:val="21"/>
                <w:highlight w:val="none"/>
              </w:rPr>
            </w:pPr>
          </w:p>
        </w:tc>
        <w:tc>
          <w:tcPr>
            <w:tcW w:w="742" w:type="dxa"/>
            <w:vAlign w:val="top"/>
          </w:tcPr>
          <w:p w14:paraId="106AE817">
            <w:pPr>
              <w:rPr>
                <w:rFonts w:ascii="Arial"/>
                <w:color w:val="auto"/>
                <w:sz w:val="21"/>
                <w:highlight w:val="none"/>
              </w:rPr>
            </w:pPr>
          </w:p>
        </w:tc>
        <w:tc>
          <w:tcPr>
            <w:tcW w:w="1723" w:type="dxa"/>
            <w:vAlign w:val="top"/>
          </w:tcPr>
          <w:p w14:paraId="6725F61D">
            <w:pPr>
              <w:rPr>
                <w:rFonts w:ascii="Arial"/>
                <w:color w:val="auto"/>
                <w:sz w:val="21"/>
                <w:highlight w:val="none"/>
              </w:rPr>
            </w:pPr>
          </w:p>
        </w:tc>
        <w:tc>
          <w:tcPr>
            <w:tcW w:w="1031" w:type="dxa"/>
            <w:vAlign w:val="top"/>
          </w:tcPr>
          <w:p w14:paraId="50836F12">
            <w:pPr>
              <w:rPr>
                <w:rFonts w:ascii="Arial"/>
                <w:color w:val="auto"/>
                <w:sz w:val="21"/>
                <w:highlight w:val="none"/>
              </w:rPr>
            </w:pPr>
          </w:p>
        </w:tc>
        <w:tc>
          <w:tcPr>
            <w:tcW w:w="1842" w:type="dxa"/>
            <w:vAlign w:val="top"/>
          </w:tcPr>
          <w:p w14:paraId="10570B1E">
            <w:pPr>
              <w:rPr>
                <w:rFonts w:ascii="Arial"/>
                <w:color w:val="auto"/>
                <w:sz w:val="21"/>
                <w:highlight w:val="none"/>
              </w:rPr>
            </w:pPr>
          </w:p>
        </w:tc>
      </w:tr>
      <w:tr w14:paraId="553B9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649C8B38">
            <w:pPr>
              <w:rPr>
                <w:rFonts w:ascii="Arial"/>
                <w:color w:val="auto"/>
                <w:sz w:val="21"/>
                <w:highlight w:val="none"/>
              </w:rPr>
            </w:pPr>
          </w:p>
        </w:tc>
        <w:tc>
          <w:tcPr>
            <w:tcW w:w="1031" w:type="dxa"/>
            <w:vAlign w:val="top"/>
          </w:tcPr>
          <w:p w14:paraId="0B3B4057">
            <w:pPr>
              <w:rPr>
                <w:rFonts w:ascii="Arial"/>
                <w:color w:val="auto"/>
                <w:sz w:val="21"/>
                <w:highlight w:val="none"/>
              </w:rPr>
            </w:pPr>
          </w:p>
        </w:tc>
        <w:tc>
          <w:tcPr>
            <w:tcW w:w="1289" w:type="dxa"/>
            <w:vAlign w:val="top"/>
          </w:tcPr>
          <w:p w14:paraId="06CD40DE">
            <w:pPr>
              <w:rPr>
                <w:rFonts w:ascii="Arial"/>
                <w:color w:val="auto"/>
                <w:sz w:val="21"/>
                <w:highlight w:val="none"/>
              </w:rPr>
            </w:pPr>
          </w:p>
        </w:tc>
        <w:tc>
          <w:tcPr>
            <w:tcW w:w="1031" w:type="dxa"/>
            <w:vAlign w:val="top"/>
          </w:tcPr>
          <w:p w14:paraId="39DEB5BE">
            <w:pPr>
              <w:rPr>
                <w:rFonts w:ascii="Arial"/>
                <w:color w:val="auto"/>
                <w:sz w:val="21"/>
                <w:highlight w:val="none"/>
              </w:rPr>
            </w:pPr>
          </w:p>
        </w:tc>
        <w:tc>
          <w:tcPr>
            <w:tcW w:w="1434" w:type="dxa"/>
            <w:vAlign w:val="top"/>
          </w:tcPr>
          <w:p w14:paraId="5AFCC4CA">
            <w:pPr>
              <w:rPr>
                <w:rFonts w:ascii="Arial"/>
                <w:color w:val="auto"/>
                <w:sz w:val="21"/>
                <w:highlight w:val="none"/>
              </w:rPr>
            </w:pPr>
          </w:p>
        </w:tc>
        <w:tc>
          <w:tcPr>
            <w:tcW w:w="1307" w:type="dxa"/>
            <w:vAlign w:val="top"/>
          </w:tcPr>
          <w:p w14:paraId="679426E7">
            <w:pPr>
              <w:rPr>
                <w:rFonts w:ascii="Arial"/>
                <w:color w:val="auto"/>
                <w:sz w:val="21"/>
                <w:highlight w:val="none"/>
              </w:rPr>
            </w:pPr>
          </w:p>
        </w:tc>
        <w:tc>
          <w:tcPr>
            <w:tcW w:w="1140" w:type="dxa"/>
            <w:vAlign w:val="top"/>
          </w:tcPr>
          <w:p w14:paraId="54286FC7">
            <w:pPr>
              <w:rPr>
                <w:rFonts w:ascii="Arial"/>
                <w:color w:val="auto"/>
                <w:sz w:val="21"/>
                <w:highlight w:val="none"/>
              </w:rPr>
            </w:pPr>
          </w:p>
        </w:tc>
        <w:tc>
          <w:tcPr>
            <w:tcW w:w="796" w:type="dxa"/>
            <w:vAlign w:val="top"/>
          </w:tcPr>
          <w:p w14:paraId="404EB42B">
            <w:pPr>
              <w:rPr>
                <w:rFonts w:ascii="Arial"/>
                <w:color w:val="auto"/>
                <w:sz w:val="21"/>
                <w:highlight w:val="none"/>
              </w:rPr>
            </w:pPr>
          </w:p>
        </w:tc>
        <w:tc>
          <w:tcPr>
            <w:tcW w:w="742" w:type="dxa"/>
            <w:vAlign w:val="top"/>
          </w:tcPr>
          <w:p w14:paraId="60A73077">
            <w:pPr>
              <w:rPr>
                <w:rFonts w:ascii="Arial"/>
                <w:color w:val="auto"/>
                <w:sz w:val="21"/>
                <w:highlight w:val="none"/>
              </w:rPr>
            </w:pPr>
          </w:p>
        </w:tc>
        <w:tc>
          <w:tcPr>
            <w:tcW w:w="1723" w:type="dxa"/>
            <w:vAlign w:val="top"/>
          </w:tcPr>
          <w:p w14:paraId="01F576DC">
            <w:pPr>
              <w:rPr>
                <w:rFonts w:ascii="Arial"/>
                <w:color w:val="auto"/>
                <w:sz w:val="21"/>
                <w:highlight w:val="none"/>
              </w:rPr>
            </w:pPr>
          </w:p>
        </w:tc>
        <w:tc>
          <w:tcPr>
            <w:tcW w:w="1031" w:type="dxa"/>
            <w:vAlign w:val="top"/>
          </w:tcPr>
          <w:p w14:paraId="3735F73E">
            <w:pPr>
              <w:rPr>
                <w:rFonts w:ascii="Arial"/>
                <w:color w:val="auto"/>
                <w:sz w:val="21"/>
                <w:highlight w:val="none"/>
              </w:rPr>
            </w:pPr>
          </w:p>
        </w:tc>
        <w:tc>
          <w:tcPr>
            <w:tcW w:w="1842" w:type="dxa"/>
            <w:vAlign w:val="top"/>
          </w:tcPr>
          <w:p w14:paraId="733C8398">
            <w:pPr>
              <w:rPr>
                <w:rFonts w:ascii="Arial"/>
                <w:color w:val="auto"/>
                <w:sz w:val="21"/>
                <w:highlight w:val="none"/>
              </w:rPr>
            </w:pPr>
          </w:p>
        </w:tc>
      </w:tr>
      <w:tr w14:paraId="35143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71961FD8">
            <w:pPr>
              <w:rPr>
                <w:rFonts w:ascii="Arial"/>
                <w:color w:val="auto"/>
                <w:sz w:val="21"/>
                <w:highlight w:val="none"/>
              </w:rPr>
            </w:pPr>
          </w:p>
        </w:tc>
        <w:tc>
          <w:tcPr>
            <w:tcW w:w="1031" w:type="dxa"/>
            <w:vAlign w:val="top"/>
          </w:tcPr>
          <w:p w14:paraId="0EB173D2">
            <w:pPr>
              <w:rPr>
                <w:rFonts w:ascii="Arial"/>
                <w:color w:val="auto"/>
                <w:sz w:val="21"/>
                <w:highlight w:val="none"/>
              </w:rPr>
            </w:pPr>
          </w:p>
        </w:tc>
        <w:tc>
          <w:tcPr>
            <w:tcW w:w="1289" w:type="dxa"/>
            <w:vAlign w:val="top"/>
          </w:tcPr>
          <w:p w14:paraId="1C9BAA08">
            <w:pPr>
              <w:rPr>
                <w:rFonts w:ascii="Arial"/>
                <w:color w:val="auto"/>
                <w:sz w:val="21"/>
                <w:highlight w:val="none"/>
              </w:rPr>
            </w:pPr>
          </w:p>
        </w:tc>
        <w:tc>
          <w:tcPr>
            <w:tcW w:w="1031" w:type="dxa"/>
            <w:vAlign w:val="top"/>
          </w:tcPr>
          <w:p w14:paraId="59D5BF59">
            <w:pPr>
              <w:rPr>
                <w:rFonts w:ascii="Arial"/>
                <w:color w:val="auto"/>
                <w:sz w:val="21"/>
                <w:highlight w:val="none"/>
              </w:rPr>
            </w:pPr>
          </w:p>
        </w:tc>
        <w:tc>
          <w:tcPr>
            <w:tcW w:w="1434" w:type="dxa"/>
            <w:vAlign w:val="top"/>
          </w:tcPr>
          <w:p w14:paraId="106D2E78">
            <w:pPr>
              <w:rPr>
                <w:rFonts w:ascii="Arial"/>
                <w:color w:val="auto"/>
                <w:sz w:val="21"/>
                <w:highlight w:val="none"/>
              </w:rPr>
            </w:pPr>
          </w:p>
        </w:tc>
        <w:tc>
          <w:tcPr>
            <w:tcW w:w="1307" w:type="dxa"/>
            <w:vAlign w:val="top"/>
          </w:tcPr>
          <w:p w14:paraId="00747514">
            <w:pPr>
              <w:rPr>
                <w:rFonts w:ascii="Arial"/>
                <w:color w:val="auto"/>
                <w:sz w:val="21"/>
                <w:highlight w:val="none"/>
              </w:rPr>
            </w:pPr>
          </w:p>
        </w:tc>
        <w:tc>
          <w:tcPr>
            <w:tcW w:w="1140" w:type="dxa"/>
            <w:vAlign w:val="top"/>
          </w:tcPr>
          <w:p w14:paraId="1A7C58A0">
            <w:pPr>
              <w:rPr>
                <w:rFonts w:ascii="Arial"/>
                <w:color w:val="auto"/>
                <w:sz w:val="21"/>
                <w:highlight w:val="none"/>
              </w:rPr>
            </w:pPr>
          </w:p>
        </w:tc>
        <w:tc>
          <w:tcPr>
            <w:tcW w:w="796" w:type="dxa"/>
            <w:vAlign w:val="top"/>
          </w:tcPr>
          <w:p w14:paraId="27B5472F">
            <w:pPr>
              <w:rPr>
                <w:rFonts w:ascii="Arial"/>
                <w:color w:val="auto"/>
                <w:sz w:val="21"/>
                <w:highlight w:val="none"/>
              </w:rPr>
            </w:pPr>
          </w:p>
        </w:tc>
        <w:tc>
          <w:tcPr>
            <w:tcW w:w="742" w:type="dxa"/>
            <w:vAlign w:val="top"/>
          </w:tcPr>
          <w:p w14:paraId="22E5975B">
            <w:pPr>
              <w:rPr>
                <w:rFonts w:ascii="Arial"/>
                <w:color w:val="auto"/>
                <w:sz w:val="21"/>
                <w:highlight w:val="none"/>
              </w:rPr>
            </w:pPr>
          </w:p>
        </w:tc>
        <w:tc>
          <w:tcPr>
            <w:tcW w:w="1723" w:type="dxa"/>
            <w:vAlign w:val="top"/>
          </w:tcPr>
          <w:p w14:paraId="3F7BFCDA">
            <w:pPr>
              <w:rPr>
                <w:rFonts w:ascii="Arial"/>
                <w:color w:val="auto"/>
                <w:sz w:val="21"/>
                <w:highlight w:val="none"/>
              </w:rPr>
            </w:pPr>
          </w:p>
        </w:tc>
        <w:tc>
          <w:tcPr>
            <w:tcW w:w="1031" w:type="dxa"/>
            <w:vAlign w:val="top"/>
          </w:tcPr>
          <w:p w14:paraId="6BCD00A5">
            <w:pPr>
              <w:rPr>
                <w:rFonts w:ascii="Arial"/>
                <w:color w:val="auto"/>
                <w:sz w:val="21"/>
                <w:highlight w:val="none"/>
              </w:rPr>
            </w:pPr>
          </w:p>
        </w:tc>
        <w:tc>
          <w:tcPr>
            <w:tcW w:w="1842" w:type="dxa"/>
            <w:vAlign w:val="top"/>
          </w:tcPr>
          <w:p w14:paraId="204DB858">
            <w:pPr>
              <w:rPr>
                <w:rFonts w:ascii="Arial"/>
                <w:color w:val="auto"/>
                <w:sz w:val="21"/>
                <w:highlight w:val="none"/>
              </w:rPr>
            </w:pPr>
          </w:p>
        </w:tc>
      </w:tr>
      <w:tr w14:paraId="2632E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0734AE36">
            <w:pPr>
              <w:rPr>
                <w:rFonts w:ascii="Arial"/>
                <w:color w:val="auto"/>
                <w:sz w:val="21"/>
                <w:highlight w:val="none"/>
              </w:rPr>
            </w:pPr>
          </w:p>
        </w:tc>
        <w:tc>
          <w:tcPr>
            <w:tcW w:w="1031" w:type="dxa"/>
            <w:vAlign w:val="top"/>
          </w:tcPr>
          <w:p w14:paraId="60A3E282">
            <w:pPr>
              <w:rPr>
                <w:rFonts w:ascii="Arial"/>
                <w:color w:val="auto"/>
                <w:sz w:val="21"/>
                <w:highlight w:val="none"/>
              </w:rPr>
            </w:pPr>
          </w:p>
        </w:tc>
        <w:tc>
          <w:tcPr>
            <w:tcW w:w="1289" w:type="dxa"/>
            <w:vAlign w:val="top"/>
          </w:tcPr>
          <w:p w14:paraId="75B253C8">
            <w:pPr>
              <w:rPr>
                <w:rFonts w:ascii="Arial"/>
                <w:color w:val="auto"/>
                <w:sz w:val="21"/>
                <w:highlight w:val="none"/>
              </w:rPr>
            </w:pPr>
          </w:p>
        </w:tc>
        <w:tc>
          <w:tcPr>
            <w:tcW w:w="1031" w:type="dxa"/>
            <w:vAlign w:val="top"/>
          </w:tcPr>
          <w:p w14:paraId="4AEA2718">
            <w:pPr>
              <w:rPr>
                <w:rFonts w:ascii="Arial"/>
                <w:color w:val="auto"/>
                <w:sz w:val="21"/>
                <w:highlight w:val="none"/>
              </w:rPr>
            </w:pPr>
          </w:p>
        </w:tc>
        <w:tc>
          <w:tcPr>
            <w:tcW w:w="1434" w:type="dxa"/>
            <w:vAlign w:val="top"/>
          </w:tcPr>
          <w:p w14:paraId="076EFB06">
            <w:pPr>
              <w:rPr>
                <w:rFonts w:ascii="Arial"/>
                <w:color w:val="auto"/>
                <w:sz w:val="21"/>
                <w:highlight w:val="none"/>
              </w:rPr>
            </w:pPr>
          </w:p>
        </w:tc>
        <w:tc>
          <w:tcPr>
            <w:tcW w:w="1307" w:type="dxa"/>
            <w:vAlign w:val="top"/>
          </w:tcPr>
          <w:p w14:paraId="4D87E7C0">
            <w:pPr>
              <w:rPr>
                <w:rFonts w:ascii="Arial"/>
                <w:color w:val="auto"/>
                <w:sz w:val="21"/>
                <w:highlight w:val="none"/>
              </w:rPr>
            </w:pPr>
          </w:p>
        </w:tc>
        <w:tc>
          <w:tcPr>
            <w:tcW w:w="1140" w:type="dxa"/>
            <w:vAlign w:val="top"/>
          </w:tcPr>
          <w:p w14:paraId="414C13E8">
            <w:pPr>
              <w:rPr>
                <w:rFonts w:ascii="Arial"/>
                <w:color w:val="auto"/>
                <w:sz w:val="21"/>
                <w:highlight w:val="none"/>
              </w:rPr>
            </w:pPr>
          </w:p>
        </w:tc>
        <w:tc>
          <w:tcPr>
            <w:tcW w:w="796" w:type="dxa"/>
            <w:vAlign w:val="top"/>
          </w:tcPr>
          <w:p w14:paraId="33B0ED2B">
            <w:pPr>
              <w:rPr>
                <w:rFonts w:ascii="Arial"/>
                <w:color w:val="auto"/>
                <w:sz w:val="21"/>
                <w:highlight w:val="none"/>
              </w:rPr>
            </w:pPr>
          </w:p>
        </w:tc>
        <w:tc>
          <w:tcPr>
            <w:tcW w:w="742" w:type="dxa"/>
            <w:vAlign w:val="top"/>
          </w:tcPr>
          <w:p w14:paraId="7EB30E12">
            <w:pPr>
              <w:rPr>
                <w:rFonts w:ascii="Arial"/>
                <w:color w:val="auto"/>
                <w:sz w:val="21"/>
                <w:highlight w:val="none"/>
              </w:rPr>
            </w:pPr>
          </w:p>
        </w:tc>
        <w:tc>
          <w:tcPr>
            <w:tcW w:w="1723" w:type="dxa"/>
            <w:vAlign w:val="top"/>
          </w:tcPr>
          <w:p w14:paraId="3BB3B520">
            <w:pPr>
              <w:rPr>
                <w:rFonts w:ascii="Arial"/>
                <w:color w:val="auto"/>
                <w:sz w:val="21"/>
                <w:highlight w:val="none"/>
              </w:rPr>
            </w:pPr>
          </w:p>
        </w:tc>
        <w:tc>
          <w:tcPr>
            <w:tcW w:w="1031" w:type="dxa"/>
            <w:vAlign w:val="top"/>
          </w:tcPr>
          <w:p w14:paraId="20BE50DA">
            <w:pPr>
              <w:rPr>
                <w:rFonts w:ascii="Arial"/>
                <w:color w:val="auto"/>
                <w:sz w:val="21"/>
                <w:highlight w:val="none"/>
              </w:rPr>
            </w:pPr>
          </w:p>
        </w:tc>
        <w:tc>
          <w:tcPr>
            <w:tcW w:w="1842" w:type="dxa"/>
            <w:vAlign w:val="top"/>
          </w:tcPr>
          <w:p w14:paraId="3F5DB0CD">
            <w:pPr>
              <w:rPr>
                <w:rFonts w:ascii="Arial"/>
                <w:color w:val="auto"/>
                <w:sz w:val="21"/>
                <w:highlight w:val="none"/>
              </w:rPr>
            </w:pPr>
          </w:p>
        </w:tc>
      </w:tr>
      <w:tr w14:paraId="61686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489C7A21">
            <w:pPr>
              <w:rPr>
                <w:rFonts w:ascii="Arial"/>
                <w:color w:val="auto"/>
                <w:sz w:val="21"/>
                <w:highlight w:val="none"/>
              </w:rPr>
            </w:pPr>
          </w:p>
        </w:tc>
        <w:tc>
          <w:tcPr>
            <w:tcW w:w="1031" w:type="dxa"/>
            <w:vAlign w:val="top"/>
          </w:tcPr>
          <w:p w14:paraId="6FED24BD">
            <w:pPr>
              <w:rPr>
                <w:rFonts w:ascii="Arial"/>
                <w:color w:val="auto"/>
                <w:sz w:val="21"/>
                <w:highlight w:val="none"/>
              </w:rPr>
            </w:pPr>
          </w:p>
        </w:tc>
        <w:tc>
          <w:tcPr>
            <w:tcW w:w="1289" w:type="dxa"/>
            <w:vAlign w:val="top"/>
          </w:tcPr>
          <w:p w14:paraId="456EFD5F">
            <w:pPr>
              <w:rPr>
                <w:rFonts w:ascii="Arial"/>
                <w:color w:val="auto"/>
                <w:sz w:val="21"/>
                <w:highlight w:val="none"/>
              </w:rPr>
            </w:pPr>
          </w:p>
        </w:tc>
        <w:tc>
          <w:tcPr>
            <w:tcW w:w="1031" w:type="dxa"/>
            <w:vAlign w:val="top"/>
          </w:tcPr>
          <w:p w14:paraId="56D78489">
            <w:pPr>
              <w:rPr>
                <w:rFonts w:ascii="Arial"/>
                <w:color w:val="auto"/>
                <w:sz w:val="21"/>
                <w:highlight w:val="none"/>
              </w:rPr>
            </w:pPr>
          </w:p>
        </w:tc>
        <w:tc>
          <w:tcPr>
            <w:tcW w:w="1434" w:type="dxa"/>
            <w:vAlign w:val="top"/>
          </w:tcPr>
          <w:p w14:paraId="7CCA2DBC">
            <w:pPr>
              <w:rPr>
                <w:rFonts w:ascii="Arial"/>
                <w:color w:val="auto"/>
                <w:sz w:val="21"/>
                <w:highlight w:val="none"/>
              </w:rPr>
            </w:pPr>
          </w:p>
        </w:tc>
        <w:tc>
          <w:tcPr>
            <w:tcW w:w="1307" w:type="dxa"/>
            <w:vAlign w:val="top"/>
          </w:tcPr>
          <w:p w14:paraId="16CAF927">
            <w:pPr>
              <w:rPr>
                <w:rFonts w:ascii="Arial"/>
                <w:color w:val="auto"/>
                <w:sz w:val="21"/>
                <w:highlight w:val="none"/>
              </w:rPr>
            </w:pPr>
          </w:p>
        </w:tc>
        <w:tc>
          <w:tcPr>
            <w:tcW w:w="1140" w:type="dxa"/>
            <w:vAlign w:val="top"/>
          </w:tcPr>
          <w:p w14:paraId="663F0075">
            <w:pPr>
              <w:rPr>
                <w:rFonts w:ascii="Arial"/>
                <w:color w:val="auto"/>
                <w:sz w:val="21"/>
                <w:highlight w:val="none"/>
              </w:rPr>
            </w:pPr>
          </w:p>
        </w:tc>
        <w:tc>
          <w:tcPr>
            <w:tcW w:w="796" w:type="dxa"/>
            <w:vAlign w:val="top"/>
          </w:tcPr>
          <w:p w14:paraId="33B2BF4A">
            <w:pPr>
              <w:rPr>
                <w:rFonts w:ascii="Arial"/>
                <w:color w:val="auto"/>
                <w:sz w:val="21"/>
                <w:highlight w:val="none"/>
              </w:rPr>
            </w:pPr>
          </w:p>
        </w:tc>
        <w:tc>
          <w:tcPr>
            <w:tcW w:w="742" w:type="dxa"/>
            <w:vAlign w:val="top"/>
          </w:tcPr>
          <w:p w14:paraId="29B76B12">
            <w:pPr>
              <w:rPr>
                <w:rFonts w:ascii="Arial"/>
                <w:color w:val="auto"/>
                <w:sz w:val="21"/>
                <w:highlight w:val="none"/>
              </w:rPr>
            </w:pPr>
          </w:p>
        </w:tc>
        <w:tc>
          <w:tcPr>
            <w:tcW w:w="1723" w:type="dxa"/>
            <w:vAlign w:val="top"/>
          </w:tcPr>
          <w:p w14:paraId="03505EE4">
            <w:pPr>
              <w:rPr>
                <w:rFonts w:ascii="Arial"/>
                <w:color w:val="auto"/>
                <w:sz w:val="21"/>
                <w:highlight w:val="none"/>
              </w:rPr>
            </w:pPr>
          </w:p>
        </w:tc>
        <w:tc>
          <w:tcPr>
            <w:tcW w:w="1031" w:type="dxa"/>
            <w:vAlign w:val="top"/>
          </w:tcPr>
          <w:p w14:paraId="69EB856B">
            <w:pPr>
              <w:rPr>
                <w:rFonts w:ascii="Arial"/>
                <w:color w:val="auto"/>
                <w:sz w:val="21"/>
                <w:highlight w:val="none"/>
              </w:rPr>
            </w:pPr>
          </w:p>
        </w:tc>
        <w:tc>
          <w:tcPr>
            <w:tcW w:w="1842" w:type="dxa"/>
            <w:vAlign w:val="top"/>
          </w:tcPr>
          <w:p w14:paraId="171011D0">
            <w:pPr>
              <w:rPr>
                <w:rFonts w:ascii="Arial"/>
                <w:color w:val="auto"/>
                <w:sz w:val="21"/>
                <w:highlight w:val="none"/>
              </w:rPr>
            </w:pPr>
          </w:p>
        </w:tc>
      </w:tr>
      <w:tr w14:paraId="2A624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43DF592C">
            <w:pPr>
              <w:rPr>
                <w:rFonts w:ascii="Arial"/>
                <w:color w:val="auto"/>
                <w:sz w:val="21"/>
                <w:highlight w:val="none"/>
              </w:rPr>
            </w:pPr>
          </w:p>
        </w:tc>
        <w:tc>
          <w:tcPr>
            <w:tcW w:w="1031" w:type="dxa"/>
            <w:vAlign w:val="top"/>
          </w:tcPr>
          <w:p w14:paraId="33FC32EA">
            <w:pPr>
              <w:rPr>
                <w:rFonts w:ascii="Arial"/>
                <w:color w:val="auto"/>
                <w:sz w:val="21"/>
                <w:highlight w:val="none"/>
              </w:rPr>
            </w:pPr>
          </w:p>
        </w:tc>
        <w:tc>
          <w:tcPr>
            <w:tcW w:w="1289" w:type="dxa"/>
            <w:vAlign w:val="top"/>
          </w:tcPr>
          <w:p w14:paraId="3E580CBC">
            <w:pPr>
              <w:rPr>
                <w:rFonts w:ascii="Arial"/>
                <w:color w:val="auto"/>
                <w:sz w:val="21"/>
                <w:highlight w:val="none"/>
              </w:rPr>
            </w:pPr>
          </w:p>
        </w:tc>
        <w:tc>
          <w:tcPr>
            <w:tcW w:w="1031" w:type="dxa"/>
            <w:vAlign w:val="top"/>
          </w:tcPr>
          <w:p w14:paraId="59B73DAC">
            <w:pPr>
              <w:rPr>
                <w:rFonts w:ascii="Arial"/>
                <w:color w:val="auto"/>
                <w:sz w:val="21"/>
                <w:highlight w:val="none"/>
              </w:rPr>
            </w:pPr>
          </w:p>
        </w:tc>
        <w:tc>
          <w:tcPr>
            <w:tcW w:w="1434" w:type="dxa"/>
            <w:vAlign w:val="top"/>
          </w:tcPr>
          <w:p w14:paraId="1C54F6D7">
            <w:pPr>
              <w:rPr>
                <w:rFonts w:ascii="Arial"/>
                <w:color w:val="auto"/>
                <w:sz w:val="21"/>
                <w:highlight w:val="none"/>
              </w:rPr>
            </w:pPr>
          </w:p>
        </w:tc>
        <w:tc>
          <w:tcPr>
            <w:tcW w:w="1307" w:type="dxa"/>
            <w:vAlign w:val="top"/>
          </w:tcPr>
          <w:p w14:paraId="71DC34B5">
            <w:pPr>
              <w:rPr>
                <w:rFonts w:ascii="Arial"/>
                <w:color w:val="auto"/>
                <w:sz w:val="21"/>
                <w:highlight w:val="none"/>
              </w:rPr>
            </w:pPr>
          </w:p>
        </w:tc>
        <w:tc>
          <w:tcPr>
            <w:tcW w:w="1140" w:type="dxa"/>
            <w:vAlign w:val="top"/>
          </w:tcPr>
          <w:p w14:paraId="19F9F7B5">
            <w:pPr>
              <w:rPr>
                <w:rFonts w:ascii="Arial"/>
                <w:color w:val="auto"/>
                <w:sz w:val="21"/>
                <w:highlight w:val="none"/>
              </w:rPr>
            </w:pPr>
          </w:p>
        </w:tc>
        <w:tc>
          <w:tcPr>
            <w:tcW w:w="796" w:type="dxa"/>
            <w:vAlign w:val="top"/>
          </w:tcPr>
          <w:p w14:paraId="710CC10A">
            <w:pPr>
              <w:rPr>
                <w:rFonts w:ascii="Arial"/>
                <w:color w:val="auto"/>
                <w:sz w:val="21"/>
                <w:highlight w:val="none"/>
              </w:rPr>
            </w:pPr>
          </w:p>
        </w:tc>
        <w:tc>
          <w:tcPr>
            <w:tcW w:w="742" w:type="dxa"/>
            <w:vAlign w:val="top"/>
          </w:tcPr>
          <w:p w14:paraId="496B6187">
            <w:pPr>
              <w:rPr>
                <w:rFonts w:ascii="Arial"/>
                <w:color w:val="auto"/>
                <w:sz w:val="21"/>
                <w:highlight w:val="none"/>
              </w:rPr>
            </w:pPr>
          </w:p>
        </w:tc>
        <w:tc>
          <w:tcPr>
            <w:tcW w:w="1723" w:type="dxa"/>
            <w:vAlign w:val="top"/>
          </w:tcPr>
          <w:p w14:paraId="4C8CBB4C">
            <w:pPr>
              <w:rPr>
                <w:rFonts w:ascii="Arial"/>
                <w:color w:val="auto"/>
                <w:sz w:val="21"/>
                <w:highlight w:val="none"/>
              </w:rPr>
            </w:pPr>
          </w:p>
        </w:tc>
        <w:tc>
          <w:tcPr>
            <w:tcW w:w="1031" w:type="dxa"/>
            <w:vAlign w:val="top"/>
          </w:tcPr>
          <w:p w14:paraId="1A44DBA7">
            <w:pPr>
              <w:rPr>
                <w:rFonts w:ascii="Arial"/>
                <w:color w:val="auto"/>
                <w:sz w:val="21"/>
                <w:highlight w:val="none"/>
              </w:rPr>
            </w:pPr>
          </w:p>
        </w:tc>
        <w:tc>
          <w:tcPr>
            <w:tcW w:w="1842" w:type="dxa"/>
            <w:vAlign w:val="top"/>
          </w:tcPr>
          <w:p w14:paraId="4107D0B6">
            <w:pPr>
              <w:rPr>
                <w:rFonts w:ascii="Arial"/>
                <w:color w:val="auto"/>
                <w:sz w:val="21"/>
                <w:highlight w:val="none"/>
              </w:rPr>
            </w:pPr>
          </w:p>
        </w:tc>
      </w:tr>
      <w:tr w14:paraId="59B50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vAlign w:val="top"/>
          </w:tcPr>
          <w:p w14:paraId="3757CE1E">
            <w:pPr>
              <w:rPr>
                <w:rFonts w:ascii="Arial"/>
                <w:color w:val="auto"/>
                <w:sz w:val="21"/>
                <w:highlight w:val="none"/>
              </w:rPr>
            </w:pPr>
          </w:p>
        </w:tc>
        <w:tc>
          <w:tcPr>
            <w:tcW w:w="1031" w:type="dxa"/>
            <w:vAlign w:val="top"/>
          </w:tcPr>
          <w:p w14:paraId="3A179D68">
            <w:pPr>
              <w:rPr>
                <w:rFonts w:ascii="Arial"/>
                <w:color w:val="auto"/>
                <w:sz w:val="21"/>
                <w:highlight w:val="none"/>
              </w:rPr>
            </w:pPr>
          </w:p>
        </w:tc>
        <w:tc>
          <w:tcPr>
            <w:tcW w:w="1289" w:type="dxa"/>
            <w:vAlign w:val="top"/>
          </w:tcPr>
          <w:p w14:paraId="197B2A5A">
            <w:pPr>
              <w:rPr>
                <w:rFonts w:ascii="Arial"/>
                <w:color w:val="auto"/>
                <w:sz w:val="21"/>
                <w:highlight w:val="none"/>
              </w:rPr>
            </w:pPr>
          </w:p>
        </w:tc>
        <w:tc>
          <w:tcPr>
            <w:tcW w:w="1031" w:type="dxa"/>
            <w:vAlign w:val="top"/>
          </w:tcPr>
          <w:p w14:paraId="0B403863">
            <w:pPr>
              <w:rPr>
                <w:rFonts w:ascii="Arial"/>
                <w:color w:val="auto"/>
                <w:sz w:val="21"/>
                <w:highlight w:val="none"/>
              </w:rPr>
            </w:pPr>
          </w:p>
        </w:tc>
        <w:tc>
          <w:tcPr>
            <w:tcW w:w="1434" w:type="dxa"/>
            <w:vAlign w:val="top"/>
          </w:tcPr>
          <w:p w14:paraId="1A61675D">
            <w:pPr>
              <w:rPr>
                <w:rFonts w:ascii="Arial"/>
                <w:color w:val="auto"/>
                <w:sz w:val="21"/>
                <w:highlight w:val="none"/>
              </w:rPr>
            </w:pPr>
          </w:p>
        </w:tc>
        <w:tc>
          <w:tcPr>
            <w:tcW w:w="1307" w:type="dxa"/>
            <w:vAlign w:val="top"/>
          </w:tcPr>
          <w:p w14:paraId="7702EA6C">
            <w:pPr>
              <w:rPr>
                <w:rFonts w:ascii="Arial"/>
                <w:color w:val="auto"/>
                <w:sz w:val="21"/>
                <w:highlight w:val="none"/>
              </w:rPr>
            </w:pPr>
          </w:p>
        </w:tc>
        <w:tc>
          <w:tcPr>
            <w:tcW w:w="1140" w:type="dxa"/>
            <w:vAlign w:val="top"/>
          </w:tcPr>
          <w:p w14:paraId="0828EC86">
            <w:pPr>
              <w:rPr>
                <w:rFonts w:ascii="Arial"/>
                <w:color w:val="auto"/>
                <w:sz w:val="21"/>
                <w:highlight w:val="none"/>
              </w:rPr>
            </w:pPr>
          </w:p>
        </w:tc>
        <w:tc>
          <w:tcPr>
            <w:tcW w:w="796" w:type="dxa"/>
            <w:vAlign w:val="top"/>
          </w:tcPr>
          <w:p w14:paraId="0A57DA8C">
            <w:pPr>
              <w:rPr>
                <w:rFonts w:ascii="Arial"/>
                <w:color w:val="auto"/>
                <w:sz w:val="21"/>
                <w:highlight w:val="none"/>
              </w:rPr>
            </w:pPr>
          </w:p>
        </w:tc>
        <w:tc>
          <w:tcPr>
            <w:tcW w:w="742" w:type="dxa"/>
            <w:vAlign w:val="top"/>
          </w:tcPr>
          <w:p w14:paraId="22D392F8">
            <w:pPr>
              <w:rPr>
                <w:rFonts w:ascii="Arial"/>
                <w:color w:val="auto"/>
                <w:sz w:val="21"/>
                <w:highlight w:val="none"/>
              </w:rPr>
            </w:pPr>
          </w:p>
        </w:tc>
        <w:tc>
          <w:tcPr>
            <w:tcW w:w="1723" w:type="dxa"/>
            <w:vAlign w:val="top"/>
          </w:tcPr>
          <w:p w14:paraId="1BB92108">
            <w:pPr>
              <w:rPr>
                <w:rFonts w:ascii="Arial"/>
                <w:color w:val="auto"/>
                <w:sz w:val="21"/>
                <w:highlight w:val="none"/>
              </w:rPr>
            </w:pPr>
          </w:p>
        </w:tc>
        <w:tc>
          <w:tcPr>
            <w:tcW w:w="1031" w:type="dxa"/>
            <w:vAlign w:val="top"/>
          </w:tcPr>
          <w:p w14:paraId="224E163E">
            <w:pPr>
              <w:rPr>
                <w:rFonts w:ascii="Arial"/>
                <w:color w:val="auto"/>
                <w:sz w:val="21"/>
                <w:highlight w:val="none"/>
              </w:rPr>
            </w:pPr>
          </w:p>
        </w:tc>
        <w:tc>
          <w:tcPr>
            <w:tcW w:w="1842" w:type="dxa"/>
            <w:vAlign w:val="top"/>
          </w:tcPr>
          <w:p w14:paraId="3C0533AE">
            <w:pPr>
              <w:rPr>
                <w:rFonts w:ascii="Arial"/>
                <w:color w:val="auto"/>
                <w:sz w:val="21"/>
                <w:highlight w:val="none"/>
              </w:rPr>
            </w:pPr>
          </w:p>
        </w:tc>
      </w:tr>
      <w:tr w14:paraId="63E0C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2" w:type="dxa"/>
            <w:vAlign w:val="top"/>
          </w:tcPr>
          <w:p w14:paraId="5B60F002">
            <w:pPr>
              <w:rPr>
                <w:rFonts w:ascii="Arial"/>
                <w:color w:val="auto"/>
                <w:sz w:val="21"/>
                <w:highlight w:val="none"/>
              </w:rPr>
            </w:pPr>
          </w:p>
        </w:tc>
        <w:tc>
          <w:tcPr>
            <w:tcW w:w="1031" w:type="dxa"/>
            <w:vAlign w:val="top"/>
          </w:tcPr>
          <w:p w14:paraId="09FAD395">
            <w:pPr>
              <w:rPr>
                <w:rFonts w:ascii="Arial"/>
                <w:color w:val="auto"/>
                <w:sz w:val="21"/>
                <w:highlight w:val="none"/>
              </w:rPr>
            </w:pPr>
          </w:p>
        </w:tc>
        <w:tc>
          <w:tcPr>
            <w:tcW w:w="1289" w:type="dxa"/>
            <w:vAlign w:val="top"/>
          </w:tcPr>
          <w:p w14:paraId="78DB261A">
            <w:pPr>
              <w:rPr>
                <w:rFonts w:ascii="Arial"/>
                <w:color w:val="auto"/>
                <w:sz w:val="21"/>
                <w:highlight w:val="none"/>
              </w:rPr>
            </w:pPr>
          </w:p>
        </w:tc>
        <w:tc>
          <w:tcPr>
            <w:tcW w:w="1031" w:type="dxa"/>
            <w:vAlign w:val="top"/>
          </w:tcPr>
          <w:p w14:paraId="219CD2CC">
            <w:pPr>
              <w:rPr>
                <w:rFonts w:ascii="Arial"/>
                <w:color w:val="auto"/>
                <w:sz w:val="21"/>
                <w:highlight w:val="none"/>
              </w:rPr>
            </w:pPr>
          </w:p>
        </w:tc>
        <w:tc>
          <w:tcPr>
            <w:tcW w:w="1434" w:type="dxa"/>
            <w:vAlign w:val="top"/>
          </w:tcPr>
          <w:p w14:paraId="696C6BB2">
            <w:pPr>
              <w:rPr>
                <w:rFonts w:ascii="Arial"/>
                <w:color w:val="auto"/>
                <w:sz w:val="21"/>
                <w:highlight w:val="none"/>
              </w:rPr>
            </w:pPr>
          </w:p>
        </w:tc>
        <w:tc>
          <w:tcPr>
            <w:tcW w:w="1307" w:type="dxa"/>
            <w:vAlign w:val="top"/>
          </w:tcPr>
          <w:p w14:paraId="217F504A">
            <w:pPr>
              <w:rPr>
                <w:rFonts w:ascii="Arial"/>
                <w:color w:val="auto"/>
                <w:sz w:val="21"/>
                <w:highlight w:val="none"/>
              </w:rPr>
            </w:pPr>
          </w:p>
        </w:tc>
        <w:tc>
          <w:tcPr>
            <w:tcW w:w="1140" w:type="dxa"/>
            <w:vAlign w:val="top"/>
          </w:tcPr>
          <w:p w14:paraId="5697855F">
            <w:pPr>
              <w:rPr>
                <w:rFonts w:ascii="Arial"/>
                <w:color w:val="auto"/>
                <w:sz w:val="21"/>
                <w:highlight w:val="none"/>
              </w:rPr>
            </w:pPr>
          </w:p>
        </w:tc>
        <w:tc>
          <w:tcPr>
            <w:tcW w:w="796" w:type="dxa"/>
            <w:vAlign w:val="top"/>
          </w:tcPr>
          <w:p w14:paraId="3BE5EE21">
            <w:pPr>
              <w:rPr>
                <w:rFonts w:ascii="Arial"/>
                <w:color w:val="auto"/>
                <w:sz w:val="21"/>
                <w:highlight w:val="none"/>
              </w:rPr>
            </w:pPr>
          </w:p>
        </w:tc>
        <w:tc>
          <w:tcPr>
            <w:tcW w:w="742" w:type="dxa"/>
            <w:vAlign w:val="top"/>
          </w:tcPr>
          <w:p w14:paraId="377A2015">
            <w:pPr>
              <w:rPr>
                <w:rFonts w:ascii="Arial"/>
                <w:color w:val="auto"/>
                <w:sz w:val="21"/>
                <w:highlight w:val="none"/>
              </w:rPr>
            </w:pPr>
          </w:p>
        </w:tc>
        <w:tc>
          <w:tcPr>
            <w:tcW w:w="1723" w:type="dxa"/>
            <w:vAlign w:val="top"/>
          </w:tcPr>
          <w:p w14:paraId="4CA29A0B">
            <w:pPr>
              <w:rPr>
                <w:rFonts w:ascii="Arial"/>
                <w:color w:val="auto"/>
                <w:sz w:val="21"/>
                <w:highlight w:val="none"/>
              </w:rPr>
            </w:pPr>
          </w:p>
        </w:tc>
        <w:tc>
          <w:tcPr>
            <w:tcW w:w="1031" w:type="dxa"/>
            <w:vAlign w:val="top"/>
          </w:tcPr>
          <w:p w14:paraId="7785866C">
            <w:pPr>
              <w:rPr>
                <w:rFonts w:ascii="Arial"/>
                <w:color w:val="auto"/>
                <w:sz w:val="21"/>
                <w:highlight w:val="none"/>
              </w:rPr>
            </w:pPr>
          </w:p>
        </w:tc>
        <w:tc>
          <w:tcPr>
            <w:tcW w:w="1842" w:type="dxa"/>
            <w:vAlign w:val="top"/>
          </w:tcPr>
          <w:p w14:paraId="66525665">
            <w:pPr>
              <w:rPr>
                <w:rFonts w:ascii="Arial"/>
                <w:color w:val="auto"/>
                <w:sz w:val="21"/>
                <w:highlight w:val="none"/>
              </w:rPr>
            </w:pPr>
          </w:p>
        </w:tc>
      </w:tr>
    </w:tbl>
    <w:p w14:paraId="248691D5">
      <w:pPr>
        <w:rPr>
          <w:rFonts w:ascii="Arial"/>
          <w:color w:val="auto"/>
          <w:sz w:val="21"/>
          <w:highlight w:val="none"/>
        </w:rPr>
      </w:pPr>
    </w:p>
    <w:p w14:paraId="33BB8706">
      <w:pPr>
        <w:rPr>
          <w:rFonts w:ascii="Arial" w:hAnsi="Arial" w:eastAsia="Arial" w:cs="Arial"/>
          <w:color w:val="auto"/>
          <w:sz w:val="21"/>
          <w:szCs w:val="21"/>
          <w:highlight w:val="none"/>
        </w:rPr>
        <w:sectPr>
          <w:footerReference r:id="rId99" w:type="default"/>
          <w:pgSz w:w="16839" w:h="11906"/>
          <w:pgMar w:top="1012" w:right="1530" w:bottom="1297" w:left="1304" w:header="0" w:footer="1067" w:gutter="0"/>
          <w:pgNumType w:fmt="decimal"/>
          <w:cols w:space="720" w:num="1"/>
        </w:sectPr>
      </w:pPr>
    </w:p>
    <w:p w14:paraId="4E8276B9">
      <w:pPr>
        <w:spacing w:before="60" w:line="219" w:lineRule="auto"/>
        <w:ind w:left="2414"/>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（四）近年完成的类似项目情况表</w:t>
      </w:r>
    </w:p>
    <w:p w14:paraId="071F8BAD">
      <w:pPr>
        <w:spacing w:before="10"/>
        <w:rPr>
          <w:color w:val="auto"/>
          <w:highlight w:val="none"/>
        </w:rPr>
      </w:pPr>
    </w:p>
    <w:p w14:paraId="77F26E17">
      <w:pPr>
        <w:spacing w:before="9"/>
        <w:rPr>
          <w:color w:val="auto"/>
          <w:highlight w:val="none"/>
        </w:rPr>
      </w:pPr>
    </w:p>
    <w:tbl>
      <w:tblPr>
        <w:tblStyle w:val="16"/>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5"/>
      </w:tblGrid>
      <w:tr w14:paraId="47581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70" w:type="dxa"/>
            <w:vAlign w:val="top"/>
          </w:tcPr>
          <w:p w14:paraId="18673F48">
            <w:pPr>
              <w:pStyle w:val="17"/>
              <w:spacing w:before="274" w:line="229" w:lineRule="auto"/>
              <w:ind w:left="769"/>
              <w:rPr>
                <w:color w:val="auto"/>
                <w:highlight w:val="none"/>
              </w:rPr>
            </w:pPr>
            <w:r>
              <w:rPr>
                <w:color w:val="auto"/>
                <w:highlight w:val="none"/>
              </w:rPr>
              <w:t>序</w:t>
            </w:r>
            <w:r>
              <w:rPr>
                <w:color w:val="auto"/>
                <w:spacing w:val="9"/>
                <w:highlight w:val="none"/>
              </w:rPr>
              <w:t xml:space="preserve">    </w:t>
            </w:r>
            <w:r>
              <w:rPr>
                <w:color w:val="auto"/>
                <w:highlight w:val="none"/>
              </w:rPr>
              <w:t>号</w:t>
            </w:r>
          </w:p>
        </w:tc>
        <w:tc>
          <w:tcPr>
            <w:tcW w:w="6525" w:type="dxa"/>
            <w:vAlign w:val="top"/>
          </w:tcPr>
          <w:p w14:paraId="602911C1">
            <w:pPr>
              <w:rPr>
                <w:rFonts w:ascii="Arial"/>
                <w:color w:val="auto"/>
                <w:sz w:val="21"/>
                <w:highlight w:val="none"/>
              </w:rPr>
            </w:pPr>
          </w:p>
        </w:tc>
      </w:tr>
      <w:tr w14:paraId="21868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653D4EA9">
            <w:pPr>
              <w:pStyle w:val="17"/>
              <w:spacing w:before="270" w:line="228" w:lineRule="auto"/>
              <w:ind w:left="773"/>
              <w:rPr>
                <w:color w:val="auto"/>
                <w:highlight w:val="none"/>
              </w:rPr>
            </w:pPr>
            <w:r>
              <w:rPr>
                <w:color w:val="auto"/>
                <w:spacing w:val="6"/>
                <w:highlight w:val="none"/>
              </w:rPr>
              <w:t>项目名称</w:t>
            </w:r>
          </w:p>
        </w:tc>
        <w:tc>
          <w:tcPr>
            <w:tcW w:w="6525" w:type="dxa"/>
            <w:vAlign w:val="top"/>
          </w:tcPr>
          <w:p w14:paraId="1FB58779">
            <w:pPr>
              <w:rPr>
                <w:rFonts w:ascii="Arial"/>
                <w:color w:val="auto"/>
                <w:sz w:val="21"/>
                <w:highlight w:val="none"/>
              </w:rPr>
            </w:pPr>
          </w:p>
        </w:tc>
      </w:tr>
      <w:tr w14:paraId="6DFB9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572DD2A5">
            <w:pPr>
              <w:pStyle w:val="17"/>
              <w:spacing w:before="272" w:line="228" w:lineRule="auto"/>
              <w:ind w:left="670"/>
              <w:rPr>
                <w:color w:val="auto"/>
                <w:highlight w:val="none"/>
              </w:rPr>
            </w:pPr>
            <w:r>
              <w:rPr>
                <w:color w:val="auto"/>
                <w:spacing w:val="7"/>
                <w:highlight w:val="none"/>
              </w:rPr>
              <w:t>项目所在地</w:t>
            </w:r>
          </w:p>
        </w:tc>
        <w:tc>
          <w:tcPr>
            <w:tcW w:w="6525" w:type="dxa"/>
            <w:vAlign w:val="top"/>
          </w:tcPr>
          <w:p w14:paraId="06F3064F">
            <w:pPr>
              <w:rPr>
                <w:rFonts w:ascii="Arial"/>
                <w:color w:val="auto"/>
                <w:sz w:val="21"/>
                <w:highlight w:val="none"/>
              </w:rPr>
            </w:pPr>
          </w:p>
        </w:tc>
      </w:tr>
      <w:tr w14:paraId="3D92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45A82529">
            <w:pPr>
              <w:pStyle w:val="17"/>
              <w:spacing w:before="271" w:line="229" w:lineRule="auto"/>
              <w:ind w:left="666"/>
              <w:rPr>
                <w:color w:val="auto"/>
                <w:highlight w:val="none"/>
              </w:rPr>
            </w:pPr>
            <w:r>
              <w:rPr>
                <w:color w:val="auto"/>
                <w:spacing w:val="8"/>
                <w:highlight w:val="none"/>
              </w:rPr>
              <w:t>委托人名称</w:t>
            </w:r>
          </w:p>
        </w:tc>
        <w:tc>
          <w:tcPr>
            <w:tcW w:w="6525" w:type="dxa"/>
            <w:vAlign w:val="top"/>
          </w:tcPr>
          <w:p w14:paraId="6D717122">
            <w:pPr>
              <w:rPr>
                <w:rFonts w:ascii="Arial"/>
                <w:color w:val="auto"/>
                <w:sz w:val="21"/>
                <w:highlight w:val="none"/>
              </w:rPr>
            </w:pPr>
          </w:p>
        </w:tc>
      </w:tr>
      <w:tr w14:paraId="53704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32688BD0">
            <w:pPr>
              <w:pStyle w:val="17"/>
              <w:spacing w:before="272" w:line="229" w:lineRule="auto"/>
              <w:ind w:left="666"/>
              <w:rPr>
                <w:color w:val="auto"/>
                <w:highlight w:val="none"/>
              </w:rPr>
            </w:pPr>
            <w:r>
              <w:rPr>
                <w:color w:val="auto"/>
                <w:spacing w:val="8"/>
                <w:highlight w:val="none"/>
              </w:rPr>
              <w:t>委托人地址</w:t>
            </w:r>
          </w:p>
        </w:tc>
        <w:tc>
          <w:tcPr>
            <w:tcW w:w="6525" w:type="dxa"/>
            <w:vAlign w:val="top"/>
          </w:tcPr>
          <w:p w14:paraId="6959C912">
            <w:pPr>
              <w:rPr>
                <w:rFonts w:ascii="Arial"/>
                <w:color w:val="auto"/>
                <w:sz w:val="21"/>
                <w:highlight w:val="none"/>
              </w:rPr>
            </w:pPr>
          </w:p>
        </w:tc>
      </w:tr>
      <w:tr w14:paraId="47DF2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5B623288">
            <w:pPr>
              <w:pStyle w:val="17"/>
              <w:spacing w:before="272" w:line="229" w:lineRule="auto"/>
              <w:ind w:left="666"/>
              <w:rPr>
                <w:color w:val="auto"/>
                <w:highlight w:val="none"/>
              </w:rPr>
            </w:pPr>
            <w:r>
              <w:rPr>
                <w:color w:val="auto"/>
                <w:spacing w:val="8"/>
                <w:highlight w:val="none"/>
              </w:rPr>
              <w:t>委托人电话</w:t>
            </w:r>
          </w:p>
        </w:tc>
        <w:tc>
          <w:tcPr>
            <w:tcW w:w="6525" w:type="dxa"/>
            <w:vAlign w:val="top"/>
          </w:tcPr>
          <w:p w14:paraId="4E7F3EFB">
            <w:pPr>
              <w:rPr>
                <w:rFonts w:ascii="Arial"/>
                <w:color w:val="auto"/>
                <w:sz w:val="21"/>
                <w:highlight w:val="none"/>
              </w:rPr>
            </w:pPr>
          </w:p>
        </w:tc>
      </w:tr>
      <w:tr w14:paraId="7B469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7660BF48">
            <w:pPr>
              <w:pStyle w:val="17"/>
              <w:spacing w:before="272" w:line="228" w:lineRule="auto"/>
              <w:ind w:left="773"/>
              <w:rPr>
                <w:color w:val="auto"/>
                <w:highlight w:val="none"/>
              </w:rPr>
            </w:pPr>
            <w:r>
              <w:rPr>
                <w:color w:val="auto"/>
                <w:spacing w:val="6"/>
                <w:highlight w:val="none"/>
              </w:rPr>
              <w:t>项目等级</w:t>
            </w:r>
          </w:p>
        </w:tc>
        <w:tc>
          <w:tcPr>
            <w:tcW w:w="6525" w:type="dxa"/>
            <w:vAlign w:val="top"/>
          </w:tcPr>
          <w:p w14:paraId="7B67AEF0">
            <w:pPr>
              <w:rPr>
                <w:rFonts w:ascii="Arial"/>
                <w:color w:val="auto"/>
                <w:sz w:val="21"/>
                <w:highlight w:val="none"/>
              </w:rPr>
            </w:pPr>
          </w:p>
        </w:tc>
      </w:tr>
      <w:tr w14:paraId="2CC63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791D628D">
            <w:pPr>
              <w:pStyle w:val="17"/>
              <w:spacing w:before="272" w:line="228" w:lineRule="auto"/>
              <w:ind w:left="670"/>
              <w:rPr>
                <w:color w:val="auto"/>
                <w:highlight w:val="none"/>
              </w:rPr>
            </w:pPr>
            <w:r>
              <w:rPr>
                <w:color w:val="auto"/>
                <w:spacing w:val="7"/>
                <w:highlight w:val="none"/>
              </w:rPr>
              <w:t>项目总投资</w:t>
            </w:r>
          </w:p>
        </w:tc>
        <w:tc>
          <w:tcPr>
            <w:tcW w:w="6525" w:type="dxa"/>
            <w:vAlign w:val="top"/>
          </w:tcPr>
          <w:p w14:paraId="66C43242">
            <w:pPr>
              <w:rPr>
                <w:rFonts w:ascii="Arial"/>
                <w:color w:val="auto"/>
                <w:sz w:val="21"/>
                <w:highlight w:val="none"/>
              </w:rPr>
            </w:pPr>
          </w:p>
        </w:tc>
      </w:tr>
      <w:tr w14:paraId="40B1F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07FC86E7">
            <w:pPr>
              <w:pStyle w:val="17"/>
              <w:spacing w:before="273" w:line="228" w:lineRule="auto"/>
              <w:ind w:left="667"/>
              <w:rPr>
                <w:color w:val="auto"/>
                <w:highlight w:val="none"/>
              </w:rPr>
            </w:pPr>
            <w:r>
              <w:rPr>
                <w:color w:val="auto"/>
                <w:spacing w:val="7"/>
                <w:highlight w:val="none"/>
              </w:rPr>
              <w:t>监理服务费</w:t>
            </w:r>
          </w:p>
        </w:tc>
        <w:tc>
          <w:tcPr>
            <w:tcW w:w="6525" w:type="dxa"/>
            <w:vAlign w:val="top"/>
          </w:tcPr>
          <w:p w14:paraId="65E83377">
            <w:pPr>
              <w:rPr>
                <w:rFonts w:ascii="Arial"/>
                <w:color w:val="auto"/>
                <w:sz w:val="21"/>
                <w:highlight w:val="none"/>
              </w:rPr>
            </w:pPr>
          </w:p>
        </w:tc>
      </w:tr>
      <w:tr w14:paraId="7AAD3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4BAA6553">
            <w:pPr>
              <w:pStyle w:val="17"/>
              <w:spacing w:before="273" w:line="228" w:lineRule="auto"/>
              <w:ind w:left="562"/>
              <w:rPr>
                <w:color w:val="auto"/>
                <w:highlight w:val="none"/>
              </w:rPr>
            </w:pPr>
            <w:r>
              <w:rPr>
                <w:color w:val="auto"/>
                <w:spacing w:val="8"/>
                <w:highlight w:val="none"/>
              </w:rPr>
              <w:t>监理服务期限</w:t>
            </w:r>
          </w:p>
        </w:tc>
        <w:tc>
          <w:tcPr>
            <w:tcW w:w="6525" w:type="dxa"/>
            <w:vAlign w:val="top"/>
          </w:tcPr>
          <w:p w14:paraId="7810B5D1">
            <w:pPr>
              <w:rPr>
                <w:rFonts w:ascii="Arial"/>
                <w:color w:val="auto"/>
                <w:sz w:val="21"/>
                <w:highlight w:val="none"/>
              </w:rPr>
            </w:pPr>
          </w:p>
        </w:tc>
      </w:tr>
      <w:tr w14:paraId="6827F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0352E270">
            <w:pPr>
              <w:pStyle w:val="17"/>
              <w:spacing w:before="273" w:line="228" w:lineRule="auto"/>
              <w:ind w:left="770"/>
              <w:rPr>
                <w:color w:val="auto"/>
                <w:highlight w:val="none"/>
              </w:rPr>
            </w:pPr>
            <w:r>
              <w:rPr>
                <w:color w:val="auto"/>
                <w:spacing w:val="7"/>
                <w:highlight w:val="none"/>
              </w:rPr>
              <w:t>监理内容</w:t>
            </w:r>
          </w:p>
        </w:tc>
        <w:tc>
          <w:tcPr>
            <w:tcW w:w="6525" w:type="dxa"/>
            <w:vAlign w:val="top"/>
          </w:tcPr>
          <w:p w14:paraId="66750BA0">
            <w:pPr>
              <w:rPr>
                <w:rFonts w:ascii="Arial"/>
                <w:color w:val="auto"/>
                <w:sz w:val="21"/>
                <w:highlight w:val="none"/>
              </w:rPr>
            </w:pPr>
          </w:p>
        </w:tc>
      </w:tr>
      <w:tr w14:paraId="169C2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70" w:type="dxa"/>
            <w:vAlign w:val="top"/>
          </w:tcPr>
          <w:p w14:paraId="4AACE59A">
            <w:pPr>
              <w:pStyle w:val="17"/>
              <w:spacing w:before="161" w:line="292" w:lineRule="auto"/>
              <w:ind w:left="771" w:right="134" w:hanging="625"/>
              <w:rPr>
                <w:color w:val="auto"/>
                <w:highlight w:val="none"/>
              </w:rPr>
            </w:pPr>
            <w:r>
              <w:rPr>
                <w:color w:val="auto"/>
                <w:spacing w:val="8"/>
                <w:highlight w:val="none"/>
              </w:rPr>
              <w:t>总监理工程师或驻地监</w:t>
            </w:r>
            <w:r>
              <w:rPr>
                <w:color w:val="auto"/>
                <w:spacing w:val="6"/>
                <w:highlight w:val="none"/>
              </w:rPr>
              <w:t>理工程师</w:t>
            </w:r>
          </w:p>
        </w:tc>
        <w:tc>
          <w:tcPr>
            <w:tcW w:w="6525" w:type="dxa"/>
            <w:vAlign w:val="top"/>
          </w:tcPr>
          <w:p w14:paraId="2C5A11F3">
            <w:pPr>
              <w:rPr>
                <w:rFonts w:ascii="Arial"/>
                <w:color w:val="auto"/>
                <w:sz w:val="21"/>
                <w:highlight w:val="none"/>
              </w:rPr>
            </w:pPr>
          </w:p>
        </w:tc>
      </w:tr>
      <w:tr w14:paraId="0559E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2370" w:type="dxa"/>
            <w:vAlign w:val="top"/>
          </w:tcPr>
          <w:p w14:paraId="6812F82E">
            <w:pPr>
              <w:spacing w:line="306" w:lineRule="auto"/>
              <w:rPr>
                <w:rFonts w:ascii="Arial"/>
                <w:color w:val="auto"/>
                <w:sz w:val="21"/>
                <w:highlight w:val="none"/>
              </w:rPr>
            </w:pPr>
          </w:p>
          <w:p w14:paraId="5DB9E080">
            <w:pPr>
              <w:spacing w:line="306" w:lineRule="auto"/>
              <w:rPr>
                <w:rFonts w:ascii="Arial"/>
                <w:color w:val="auto"/>
                <w:sz w:val="21"/>
                <w:highlight w:val="none"/>
              </w:rPr>
            </w:pPr>
          </w:p>
          <w:p w14:paraId="00D865A5">
            <w:pPr>
              <w:pStyle w:val="17"/>
              <w:spacing w:before="65" w:line="228" w:lineRule="auto"/>
              <w:ind w:left="773"/>
              <w:rPr>
                <w:color w:val="auto"/>
                <w:highlight w:val="none"/>
              </w:rPr>
            </w:pPr>
            <w:r>
              <w:rPr>
                <w:color w:val="auto"/>
                <w:spacing w:val="6"/>
                <w:highlight w:val="none"/>
              </w:rPr>
              <w:t>项目描述</w:t>
            </w:r>
          </w:p>
        </w:tc>
        <w:tc>
          <w:tcPr>
            <w:tcW w:w="6525" w:type="dxa"/>
            <w:vAlign w:val="top"/>
          </w:tcPr>
          <w:p w14:paraId="2549E74C">
            <w:pPr>
              <w:rPr>
                <w:rFonts w:ascii="Arial"/>
                <w:color w:val="auto"/>
                <w:sz w:val="21"/>
                <w:highlight w:val="none"/>
              </w:rPr>
            </w:pPr>
          </w:p>
        </w:tc>
      </w:tr>
      <w:tr w14:paraId="1A32C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370" w:type="dxa"/>
            <w:vAlign w:val="top"/>
          </w:tcPr>
          <w:p w14:paraId="2C94FEBB">
            <w:pPr>
              <w:spacing w:line="296" w:lineRule="auto"/>
              <w:rPr>
                <w:rFonts w:ascii="Arial"/>
                <w:color w:val="auto"/>
                <w:sz w:val="21"/>
                <w:highlight w:val="none"/>
              </w:rPr>
            </w:pPr>
          </w:p>
          <w:p w14:paraId="30773C18">
            <w:pPr>
              <w:pStyle w:val="17"/>
              <w:spacing w:before="65" w:line="229" w:lineRule="auto"/>
              <w:ind w:left="983"/>
              <w:rPr>
                <w:color w:val="auto"/>
                <w:highlight w:val="none"/>
              </w:rPr>
            </w:pPr>
            <w:r>
              <w:rPr>
                <w:color w:val="auto"/>
                <w:spacing w:val="3"/>
                <w:highlight w:val="none"/>
              </w:rPr>
              <w:t>备注</w:t>
            </w:r>
          </w:p>
        </w:tc>
        <w:tc>
          <w:tcPr>
            <w:tcW w:w="6525" w:type="dxa"/>
            <w:vAlign w:val="top"/>
          </w:tcPr>
          <w:p w14:paraId="2EEE4463">
            <w:pPr>
              <w:rPr>
                <w:rFonts w:ascii="Arial"/>
                <w:color w:val="auto"/>
                <w:sz w:val="21"/>
                <w:highlight w:val="none"/>
              </w:rPr>
            </w:pPr>
          </w:p>
        </w:tc>
      </w:tr>
    </w:tbl>
    <w:p w14:paraId="536A8B19">
      <w:pPr>
        <w:spacing w:before="30" w:line="228" w:lineRule="auto"/>
        <w:ind w:left="1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注：1.每张表格只填写一个项目，并标明序号，序号应与汇总表中一致。</w:t>
      </w:r>
    </w:p>
    <w:p w14:paraId="054F75A2">
      <w:pPr>
        <w:spacing w:before="161" w:line="227" w:lineRule="auto"/>
        <w:ind w:left="54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2.投标人应根据招标文件第二章“投标人须知</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7"/>
          <w:sz w:val="20"/>
          <w:szCs w:val="20"/>
          <w:highlight w:val="none"/>
        </w:rPr>
        <w:t>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3.5.2</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项的要求在本表后附相关证明材料。</w:t>
      </w:r>
    </w:p>
    <w:p w14:paraId="56EBEAAC">
      <w:pPr>
        <w:spacing w:before="162" w:line="303" w:lineRule="auto"/>
        <w:ind w:left="706" w:hanging="16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3.如近年来，投标人法人机构发生合法变更或重组或法人名称变更时，应提供相关部门的合法</w:t>
      </w:r>
      <w:r>
        <w:rPr>
          <w:rFonts w:ascii="宋体" w:hAnsi="宋体" w:eastAsia="宋体" w:cs="宋体"/>
          <w:color w:val="auto"/>
          <w:spacing w:val="9"/>
          <w:sz w:val="20"/>
          <w:szCs w:val="20"/>
          <w:highlight w:val="none"/>
        </w:rPr>
        <w:t>批件或其他相关证明材料来证明其所附业绩的继承性。</w:t>
      </w:r>
    </w:p>
    <w:p w14:paraId="5DB5F9D9">
      <w:pPr>
        <w:spacing w:before="162" w:line="228" w:lineRule="auto"/>
        <w:ind w:left="5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4.以联合体形式参与投标的，联合体各成员应分别</w:t>
      </w:r>
      <w:r>
        <w:rPr>
          <w:rFonts w:ascii="宋体" w:hAnsi="宋体" w:eastAsia="宋体" w:cs="宋体"/>
          <w:color w:val="auto"/>
          <w:spacing w:val="8"/>
          <w:sz w:val="20"/>
          <w:szCs w:val="20"/>
          <w:highlight w:val="none"/>
        </w:rPr>
        <w:t>填写。</w:t>
      </w:r>
    </w:p>
    <w:p w14:paraId="75962051">
      <w:pPr>
        <w:spacing w:line="228" w:lineRule="auto"/>
        <w:rPr>
          <w:rFonts w:ascii="宋体" w:hAnsi="宋体" w:eastAsia="宋体" w:cs="宋体"/>
          <w:color w:val="auto"/>
          <w:sz w:val="20"/>
          <w:szCs w:val="20"/>
          <w:highlight w:val="none"/>
        </w:rPr>
        <w:sectPr>
          <w:footerReference r:id="rId100" w:type="default"/>
          <w:pgSz w:w="11906" w:h="16839"/>
          <w:pgMar w:top="1401" w:right="1418" w:bottom="1297" w:left="1304" w:header="0" w:footer="1067" w:gutter="0"/>
          <w:pgNumType w:fmt="decimal"/>
          <w:cols w:space="720" w:num="1"/>
        </w:sectPr>
      </w:pPr>
    </w:p>
    <w:p w14:paraId="023CEB20">
      <w:pPr>
        <w:spacing w:before="59" w:line="219" w:lineRule="auto"/>
        <w:ind w:left="2865"/>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（五）投标人的信誉情况表</w:t>
      </w:r>
    </w:p>
    <w:p w14:paraId="4482AF27">
      <w:pPr>
        <w:spacing w:before="214"/>
        <w:rPr>
          <w:color w:val="auto"/>
          <w:highlight w:val="none"/>
        </w:rPr>
      </w:pPr>
    </w:p>
    <w:tbl>
      <w:tblPr>
        <w:tblStyle w:val="1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3"/>
      </w:tblGrid>
      <w:tr w14:paraId="43FCA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4263" w:type="dxa"/>
            <w:vAlign w:val="top"/>
          </w:tcPr>
          <w:p w14:paraId="4EA28644">
            <w:pPr>
              <w:spacing w:line="336" w:lineRule="auto"/>
              <w:rPr>
                <w:rFonts w:ascii="Arial"/>
                <w:color w:val="auto"/>
                <w:sz w:val="21"/>
                <w:highlight w:val="none"/>
              </w:rPr>
            </w:pPr>
          </w:p>
          <w:p w14:paraId="122AC552">
            <w:pPr>
              <w:pStyle w:val="17"/>
              <w:spacing w:before="62" w:line="229" w:lineRule="auto"/>
              <w:ind w:left="1891"/>
              <w:rPr>
                <w:color w:val="auto"/>
                <w:sz w:val="19"/>
                <w:szCs w:val="19"/>
                <w:highlight w:val="none"/>
              </w:rPr>
            </w:pPr>
            <w:r>
              <w:rPr>
                <w:color w:val="auto"/>
                <w:spacing w:val="-1"/>
                <w:sz w:val="19"/>
                <w:szCs w:val="19"/>
                <w:highlight w:val="none"/>
              </w:rPr>
              <w:t>项</w:t>
            </w:r>
            <w:r>
              <w:rPr>
                <w:color w:val="auto"/>
                <w:spacing w:val="51"/>
                <w:sz w:val="19"/>
                <w:szCs w:val="19"/>
                <w:highlight w:val="none"/>
              </w:rPr>
              <w:t xml:space="preserve"> </w:t>
            </w:r>
            <w:r>
              <w:rPr>
                <w:color w:val="auto"/>
                <w:spacing w:val="-1"/>
                <w:sz w:val="19"/>
                <w:szCs w:val="19"/>
                <w:highlight w:val="none"/>
              </w:rPr>
              <w:t>目</w:t>
            </w:r>
          </w:p>
        </w:tc>
        <w:tc>
          <w:tcPr>
            <w:tcW w:w="4263" w:type="dxa"/>
            <w:vAlign w:val="top"/>
          </w:tcPr>
          <w:p w14:paraId="27CC0058">
            <w:pPr>
              <w:spacing w:line="337" w:lineRule="auto"/>
              <w:rPr>
                <w:rFonts w:ascii="Arial"/>
                <w:color w:val="auto"/>
                <w:sz w:val="21"/>
                <w:highlight w:val="none"/>
              </w:rPr>
            </w:pPr>
          </w:p>
          <w:p w14:paraId="5D1AF34D">
            <w:pPr>
              <w:pStyle w:val="17"/>
              <w:spacing w:before="61" w:line="228" w:lineRule="auto"/>
              <w:ind w:left="1438"/>
              <w:rPr>
                <w:color w:val="auto"/>
                <w:sz w:val="19"/>
                <w:szCs w:val="19"/>
                <w:highlight w:val="none"/>
              </w:rPr>
            </w:pPr>
            <w:r>
              <w:rPr>
                <w:color w:val="auto"/>
                <w:spacing w:val="8"/>
                <w:sz w:val="19"/>
                <w:szCs w:val="19"/>
                <w:highlight w:val="none"/>
              </w:rPr>
              <w:t>投标人情况说明</w:t>
            </w:r>
          </w:p>
        </w:tc>
      </w:tr>
      <w:tr w14:paraId="791A1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vAlign w:val="top"/>
          </w:tcPr>
          <w:p w14:paraId="57E72E90">
            <w:pPr>
              <w:rPr>
                <w:rFonts w:ascii="Arial"/>
                <w:color w:val="auto"/>
                <w:sz w:val="21"/>
                <w:highlight w:val="none"/>
              </w:rPr>
            </w:pPr>
          </w:p>
        </w:tc>
        <w:tc>
          <w:tcPr>
            <w:tcW w:w="4263" w:type="dxa"/>
            <w:vAlign w:val="top"/>
          </w:tcPr>
          <w:p w14:paraId="0A19AC68">
            <w:pPr>
              <w:rPr>
                <w:rFonts w:ascii="Arial"/>
                <w:color w:val="auto"/>
                <w:sz w:val="21"/>
                <w:highlight w:val="none"/>
              </w:rPr>
            </w:pPr>
          </w:p>
        </w:tc>
      </w:tr>
      <w:tr w14:paraId="12029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vAlign w:val="top"/>
          </w:tcPr>
          <w:p w14:paraId="2F6F5D0C">
            <w:pPr>
              <w:rPr>
                <w:rFonts w:ascii="Arial"/>
                <w:color w:val="auto"/>
                <w:sz w:val="21"/>
                <w:highlight w:val="none"/>
              </w:rPr>
            </w:pPr>
          </w:p>
        </w:tc>
        <w:tc>
          <w:tcPr>
            <w:tcW w:w="4263" w:type="dxa"/>
            <w:vAlign w:val="top"/>
          </w:tcPr>
          <w:p w14:paraId="5774C586">
            <w:pPr>
              <w:rPr>
                <w:rFonts w:ascii="Arial"/>
                <w:color w:val="auto"/>
                <w:sz w:val="21"/>
                <w:highlight w:val="none"/>
              </w:rPr>
            </w:pPr>
          </w:p>
        </w:tc>
      </w:tr>
      <w:tr w14:paraId="44424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vAlign w:val="top"/>
          </w:tcPr>
          <w:p w14:paraId="7CFC698E">
            <w:pPr>
              <w:rPr>
                <w:rFonts w:ascii="Arial"/>
                <w:color w:val="auto"/>
                <w:sz w:val="21"/>
                <w:highlight w:val="none"/>
              </w:rPr>
            </w:pPr>
          </w:p>
        </w:tc>
        <w:tc>
          <w:tcPr>
            <w:tcW w:w="4263" w:type="dxa"/>
            <w:vAlign w:val="top"/>
          </w:tcPr>
          <w:p w14:paraId="492C32EF">
            <w:pPr>
              <w:rPr>
                <w:rFonts w:ascii="Arial"/>
                <w:color w:val="auto"/>
                <w:sz w:val="21"/>
                <w:highlight w:val="none"/>
              </w:rPr>
            </w:pPr>
          </w:p>
        </w:tc>
      </w:tr>
      <w:tr w14:paraId="1BFD4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263" w:type="dxa"/>
            <w:vAlign w:val="top"/>
          </w:tcPr>
          <w:p w14:paraId="4ADDDB20">
            <w:pPr>
              <w:rPr>
                <w:rFonts w:ascii="Arial"/>
                <w:color w:val="auto"/>
                <w:sz w:val="21"/>
                <w:highlight w:val="none"/>
              </w:rPr>
            </w:pPr>
          </w:p>
        </w:tc>
        <w:tc>
          <w:tcPr>
            <w:tcW w:w="4263" w:type="dxa"/>
            <w:vAlign w:val="top"/>
          </w:tcPr>
          <w:p w14:paraId="0677C5EB">
            <w:pPr>
              <w:rPr>
                <w:rFonts w:ascii="Arial"/>
                <w:color w:val="auto"/>
                <w:sz w:val="21"/>
                <w:highlight w:val="none"/>
              </w:rPr>
            </w:pPr>
          </w:p>
        </w:tc>
      </w:tr>
      <w:tr w14:paraId="10951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vAlign w:val="top"/>
          </w:tcPr>
          <w:p w14:paraId="3FBCBE49">
            <w:pPr>
              <w:rPr>
                <w:rFonts w:ascii="Arial"/>
                <w:color w:val="auto"/>
                <w:sz w:val="21"/>
                <w:highlight w:val="none"/>
              </w:rPr>
            </w:pPr>
          </w:p>
        </w:tc>
        <w:tc>
          <w:tcPr>
            <w:tcW w:w="4263" w:type="dxa"/>
            <w:vAlign w:val="top"/>
          </w:tcPr>
          <w:p w14:paraId="239B3F3C">
            <w:pPr>
              <w:rPr>
                <w:rFonts w:ascii="Arial"/>
                <w:color w:val="auto"/>
                <w:sz w:val="21"/>
                <w:highlight w:val="none"/>
              </w:rPr>
            </w:pPr>
          </w:p>
        </w:tc>
      </w:tr>
      <w:tr w14:paraId="412E0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4263" w:type="dxa"/>
            <w:vAlign w:val="top"/>
          </w:tcPr>
          <w:p w14:paraId="0CB22496">
            <w:pPr>
              <w:rPr>
                <w:rFonts w:ascii="Arial"/>
                <w:color w:val="auto"/>
                <w:sz w:val="21"/>
                <w:highlight w:val="none"/>
              </w:rPr>
            </w:pPr>
          </w:p>
        </w:tc>
        <w:tc>
          <w:tcPr>
            <w:tcW w:w="4263" w:type="dxa"/>
            <w:vAlign w:val="top"/>
          </w:tcPr>
          <w:p w14:paraId="6F7449CF">
            <w:pPr>
              <w:rPr>
                <w:rFonts w:ascii="Arial"/>
                <w:color w:val="auto"/>
                <w:sz w:val="21"/>
                <w:highlight w:val="none"/>
              </w:rPr>
            </w:pPr>
          </w:p>
        </w:tc>
      </w:tr>
    </w:tbl>
    <w:p w14:paraId="5DF442D4">
      <w:pPr>
        <w:spacing w:before="303" w:line="377" w:lineRule="auto"/>
        <w:ind w:left="542" w:hanging="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注：1.投标人应按照招标文件第二章“投</w:t>
      </w:r>
      <w:r>
        <w:rPr>
          <w:rFonts w:ascii="宋体" w:hAnsi="宋体" w:eastAsia="宋体" w:cs="宋体"/>
          <w:color w:val="auto"/>
          <w:spacing w:val="8"/>
          <w:sz w:val="20"/>
          <w:szCs w:val="20"/>
          <w:highlight w:val="none"/>
        </w:rPr>
        <w:t>标人须知</w:t>
      </w:r>
      <w:r>
        <w:rPr>
          <w:rFonts w:ascii="宋体" w:hAnsi="宋体" w:eastAsia="宋体" w:cs="宋体"/>
          <w:color w:val="auto"/>
          <w:spacing w:val="-67"/>
          <w:sz w:val="20"/>
          <w:szCs w:val="20"/>
          <w:highlight w:val="none"/>
        </w:rPr>
        <w:t xml:space="preserve"> </w:t>
      </w:r>
      <w:r>
        <w:rPr>
          <w:rFonts w:ascii="宋体" w:hAnsi="宋体" w:eastAsia="宋体" w:cs="宋体"/>
          <w:color w:val="auto"/>
          <w:spacing w:val="8"/>
          <w:sz w:val="20"/>
          <w:szCs w:val="20"/>
          <w:highlight w:val="none"/>
        </w:rPr>
        <w:t>”前附表附录</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和“投标人须知</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”正文第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1.4.4项规定，逐条说明其信誉情况。</w:t>
      </w:r>
    </w:p>
    <w:p w14:paraId="14F9CD11">
      <w:pPr>
        <w:spacing w:line="226" w:lineRule="auto"/>
        <w:ind w:left="54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2.投标人应根据招标文件第二章“投标人须知</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7"/>
          <w:sz w:val="20"/>
          <w:szCs w:val="20"/>
          <w:highlight w:val="none"/>
        </w:rPr>
        <w:t>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3.5.3</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项的要求在本表后附相关证明材料。</w:t>
      </w:r>
    </w:p>
    <w:p w14:paraId="5C8EF740">
      <w:pPr>
        <w:spacing w:before="163" w:line="228" w:lineRule="auto"/>
        <w:ind w:left="5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3.以联合体形式参与投标的，联合体各成员应分别填写。</w:t>
      </w:r>
    </w:p>
    <w:p w14:paraId="4B3FD111">
      <w:pPr>
        <w:spacing w:line="228" w:lineRule="auto"/>
        <w:rPr>
          <w:rFonts w:ascii="宋体" w:hAnsi="宋体" w:eastAsia="宋体" w:cs="宋体"/>
          <w:color w:val="auto"/>
          <w:sz w:val="20"/>
          <w:szCs w:val="20"/>
          <w:highlight w:val="none"/>
        </w:rPr>
        <w:sectPr>
          <w:footerReference r:id="rId101" w:type="default"/>
          <w:pgSz w:w="11906" w:h="16839"/>
          <w:pgMar w:top="1401" w:right="1419" w:bottom="1297" w:left="1304" w:header="0" w:footer="1069" w:gutter="0"/>
          <w:pgNumType w:fmt="decimal"/>
          <w:cols w:space="720" w:num="1"/>
        </w:sectPr>
      </w:pPr>
    </w:p>
    <w:p w14:paraId="7C30ABE6">
      <w:pPr>
        <w:spacing w:before="59" w:line="219" w:lineRule="auto"/>
        <w:ind w:left="1052"/>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（六）拟委任的总监理工程师或驻地监理工程</w:t>
      </w:r>
      <w:r>
        <w:rPr>
          <w:rFonts w:ascii="宋体" w:hAnsi="宋体" w:eastAsia="宋体" w:cs="宋体"/>
          <w:b/>
          <w:bCs/>
          <w:color w:val="auto"/>
          <w:spacing w:val="-4"/>
          <w:sz w:val="30"/>
          <w:szCs w:val="30"/>
          <w:highlight w:val="none"/>
        </w:rPr>
        <w:t>师资历表</w:t>
      </w:r>
    </w:p>
    <w:p w14:paraId="002B8054">
      <w:pPr>
        <w:spacing w:before="147"/>
        <w:rPr>
          <w:color w:val="auto"/>
          <w:highlight w:val="none"/>
        </w:rPr>
      </w:pPr>
    </w:p>
    <w:tbl>
      <w:tblPr>
        <w:tblStyle w:val="16"/>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9"/>
        <w:gridCol w:w="51"/>
        <w:gridCol w:w="1151"/>
        <w:gridCol w:w="302"/>
        <w:gridCol w:w="1059"/>
        <w:gridCol w:w="1380"/>
        <w:gridCol w:w="337"/>
        <w:gridCol w:w="1543"/>
        <w:gridCol w:w="386"/>
        <w:gridCol w:w="1287"/>
      </w:tblGrid>
      <w:tr w14:paraId="55E04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239" w:type="dxa"/>
            <w:vAlign w:val="top"/>
          </w:tcPr>
          <w:p w14:paraId="0B0A05AD">
            <w:pPr>
              <w:spacing w:line="355" w:lineRule="auto"/>
              <w:rPr>
                <w:rFonts w:ascii="Arial"/>
                <w:color w:val="auto"/>
                <w:sz w:val="21"/>
                <w:highlight w:val="none"/>
              </w:rPr>
            </w:pPr>
          </w:p>
          <w:p w14:paraId="485892E6">
            <w:pPr>
              <w:pStyle w:val="17"/>
              <w:spacing w:before="65" w:line="228" w:lineRule="auto"/>
              <w:ind w:left="205"/>
              <w:rPr>
                <w:color w:val="auto"/>
                <w:highlight w:val="none"/>
              </w:rPr>
            </w:pPr>
            <w:r>
              <w:rPr>
                <w:color w:val="auto"/>
                <w:highlight w:val="none"/>
              </w:rPr>
              <w:t>姓</w:t>
            </w:r>
            <w:r>
              <w:rPr>
                <w:color w:val="auto"/>
                <w:spacing w:val="7"/>
                <w:highlight w:val="none"/>
              </w:rPr>
              <w:t xml:space="preserve">    </w:t>
            </w:r>
            <w:r>
              <w:rPr>
                <w:color w:val="auto"/>
                <w:highlight w:val="none"/>
              </w:rPr>
              <w:t>名</w:t>
            </w:r>
          </w:p>
        </w:tc>
        <w:tc>
          <w:tcPr>
            <w:tcW w:w="1504" w:type="dxa"/>
            <w:gridSpan w:val="3"/>
            <w:vAlign w:val="top"/>
          </w:tcPr>
          <w:p w14:paraId="21F30394">
            <w:pPr>
              <w:rPr>
                <w:rFonts w:ascii="Arial"/>
                <w:color w:val="auto"/>
                <w:sz w:val="21"/>
                <w:highlight w:val="none"/>
              </w:rPr>
            </w:pPr>
          </w:p>
        </w:tc>
        <w:tc>
          <w:tcPr>
            <w:tcW w:w="1059" w:type="dxa"/>
            <w:vAlign w:val="top"/>
          </w:tcPr>
          <w:p w14:paraId="4D41A90E">
            <w:pPr>
              <w:spacing w:line="355" w:lineRule="auto"/>
              <w:rPr>
                <w:rFonts w:ascii="Arial"/>
                <w:color w:val="auto"/>
                <w:sz w:val="21"/>
                <w:highlight w:val="none"/>
              </w:rPr>
            </w:pPr>
          </w:p>
          <w:p w14:paraId="459C7A02">
            <w:pPr>
              <w:pStyle w:val="17"/>
              <w:spacing w:before="65" w:line="228" w:lineRule="auto"/>
              <w:ind w:left="115"/>
              <w:rPr>
                <w:color w:val="auto"/>
                <w:highlight w:val="none"/>
              </w:rPr>
            </w:pPr>
            <w:r>
              <w:rPr>
                <w:color w:val="auto"/>
                <w:highlight w:val="none"/>
              </w:rPr>
              <w:t>年</w:t>
            </w:r>
            <w:r>
              <w:rPr>
                <w:color w:val="auto"/>
                <w:spacing w:val="7"/>
                <w:highlight w:val="none"/>
              </w:rPr>
              <w:t xml:space="preserve">    </w:t>
            </w:r>
            <w:r>
              <w:rPr>
                <w:color w:val="auto"/>
                <w:highlight w:val="none"/>
              </w:rPr>
              <w:t>龄</w:t>
            </w:r>
          </w:p>
        </w:tc>
        <w:tc>
          <w:tcPr>
            <w:tcW w:w="1380" w:type="dxa"/>
            <w:vAlign w:val="top"/>
          </w:tcPr>
          <w:p w14:paraId="7FF5147F">
            <w:pPr>
              <w:rPr>
                <w:rFonts w:ascii="Arial"/>
                <w:color w:val="auto"/>
                <w:sz w:val="21"/>
                <w:highlight w:val="none"/>
              </w:rPr>
            </w:pPr>
          </w:p>
        </w:tc>
        <w:tc>
          <w:tcPr>
            <w:tcW w:w="1880" w:type="dxa"/>
            <w:gridSpan w:val="2"/>
            <w:vAlign w:val="top"/>
          </w:tcPr>
          <w:p w14:paraId="26505AA8">
            <w:pPr>
              <w:pStyle w:val="17"/>
              <w:spacing w:before="223" w:line="321" w:lineRule="auto"/>
              <w:ind w:left="635" w:right="98" w:hanging="529"/>
              <w:rPr>
                <w:color w:val="auto"/>
                <w:highlight w:val="none"/>
              </w:rPr>
            </w:pPr>
            <w:r>
              <w:rPr>
                <w:color w:val="auto"/>
                <w:spacing w:val="8"/>
                <w:highlight w:val="none"/>
              </w:rPr>
              <w:t>执业或职业资格证</w:t>
            </w:r>
            <w:r>
              <w:rPr>
                <w:color w:val="auto"/>
                <w:spacing w:val="5"/>
                <w:highlight w:val="none"/>
              </w:rPr>
              <w:t>书名称</w:t>
            </w:r>
          </w:p>
        </w:tc>
        <w:tc>
          <w:tcPr>
            <w:tcW w:w="1673" w:type="dxa"/>
            <w:gridSpan w:val="2"/>
            <w:vAlign w:val="top"/>
          </w:tcPr>
          <w:p w14:paraId="6B62E2B4">
            <w:pPr>
              <w:rPr>
                <w:rFonts w:ascii="Arial"/>
                <w:color w:val="auto"/>
                <w:sz w:val="21"/>
                <w:highlight w:val="none"/>
              </w:rPr>
            </w:pPr>
          </w:p>
        </w:tc>
      </w:tr>
      <w:tr w14:paraId="0ADB4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39" w:type="dxa"/>
            <w:vAlign w:val="top"/>
          </w:tcPr>
          <w:p w14:paraId="165802F9">
            <w:pPr>
              <w:spacing w:line="381" w:lineRule="auto"/>
              <w:rPr>
                <w:rFonts w:ascii="Arial"/>
                <w:color w:val="auto"/>
                <w:sz w:val="21"/>
                <w:highlight w:val="none"/>
              </w:rPr>
            </w:pPr>
          </w:p>
          <w:p w14:paraId="7E32CB66">
            <w:pPr>
              <w:pStyle w:val="17"/>
              <w:spacing w:before="65" w:line="228" w:lineRule="auto"/>
              <w:ind w:left="206"/>
              <w:rPr>
                <w:color w:val="auto"/>
                <w:highlight w:val="none"/>
              </w:rPr>
            </w:pPr>
            <w:r>
              <w:rPr>
                <w:color w:val="auto"/>
                <w:spacing w:val="7"/>
                <w:highlight w:val="none"/>
              </w:rPr>
              <w:t>技术职称</w:t>
            </w:r>
          </w:p>
        </w:tc>
        <w:tc>
          <w:tcPr>
            <w:tcW w:w="1504" w:type="dxa"/>
            <w:gridSpan w:val="3"/>
            <w:vAlign w:val="top"/>
          </w:tcPr>
          <w:p w14:paraId="4F3D36C4">
            <w:pPr>
              <w:rPr>
                <w:rFonts w:ascii="Arial"/>
                <w:color w:val="auto"/>
                <w:sz w:val="21"/>
                <w:highlight w:val="none"/>
              </w:rPr>
            </w:pPr>
          </w:p>
        </w:tc>
        <w:tc>
          <w:tcPr>
            <w:tcW w:w="1059" w:type="dxa"/>
            <w:vAlign w:val="top"/>
          </w:tcPr>
          <w:p w14:paraId="7EB515C1">
            <w:pPr>
              <w:spacing w:line="381" w:lineRule="auto"/>
              <w:rPr>
                <w:rFonts w:ascii="Arial"/>
                <w:color w:val="auto"/>
                <w:sz w:val="21"/>
                <w:highlight w:val="none"/>
              </w:rPr>
            </w:pPr>
          </w:p>
          <w:p w14:paraId="6AE4551F">
            <w:pPr>
              <w:pStyle w:val="17"/>
              <w:spacing w:before="66" w:line="229" w:lineRule="auto"/>
              <w:ind w:left="118"/>
              <w:rPr>
                <w:color w:val="auto"/>
                <w:highlight w:val="none"/>
              </w:rPr>
            </w:pPr>
            <w:r>
              <w:rPr>
                <w:color w:val="auto"/>
                <w:spacing w:val="-2"/>
                <w:highlight w:val="none"/>
              </w:rPr>
              <w:t>学</w:t>
            </w:r>
            <w:r>
              <w:rPr>
                <w:color w:val="auto"/>
                <w:spacing w:val="8"/>
                <w:highlight w:val="none"/>
              </w:rPr>
              <w:t xml:space="preserve">    </w:t>
            </w:r>
            <w:r>
              <w:rPr>
                <w:color w:val="auto"/>
                <w:spacing w:val="-2"/>
                <w:highlight w:val="none"/>
              </w:rPr>
              <w:t>历</w:t>
            </w:r>
          </w:p>
        </w:tc>
        <w:tc>
          <w:tcPr>
            <w:tcW w:w="1380" w:type="dxa"/>
            <w:vAlign w:val="top"/>
          </w:tcPr>
          <w:p w14:paraId="73CAD1EA">
            <w:pPr>
              <w:rPr>
                <w:rFonts w:ascii="Arial"/>
                <w:color w:val="auto"/>
                <w:sz w:val="21"/>
                <w:highlight w:val="none"/>
              </w:rPr>
            </w:pPr>
          </w:p>
        </w:tc>
        <w:tc>
          <w:tcPr>
            <w:tcW w:w="1880" w:type="dxa"/>
            <w:gridSpan w:val="2"/>
            <w:vAlign w:val="top"/>
          </w:tcPr>
          <w:p w14:paraId="67D847A5">
            <w:pPr>
              <w:pStyle w:val="17"/>
              <w:spacing w:before="222" w:line="347" w:lineRule="auto"/>
              <w:ind w:left="528" w:right="413" w:hanging="108"/>
              <w:rPr>
                <w:color w:val="auto"/>
                <w:highlight w:val="none"/>
              </w:rPr>
            </w:pPr>
            <w:r>
              <w:rPr>
                <w:color w:val="auto"/>
                <w:spacing w:val="8"/>
                <w:highlight w:val="none"/>
              </w:rPr>
              <w:t>拟在本标段</w:t>
            </w:r>
            <w:r>
              <w:rPr>
                <w:color w:val="auto"/>
                <w:spacing w:val="6"/>
                <w:highlight w:val="none"/>
              </w:rPr>
              <w:t>工程任职</w:t>
            </w:r>
          </w:p>
        </w:tc>
        <w:tc>
          <w:tcPr>
            <w:tcW w:w="1673" w:type="dxa"/>
            <w:gridSpan w:val="2"/>
            <w:vAlign w:val="top"/>
          </w:tcPr>
          <w:p w14:paraId="1F23D219">
            <w:pPr>
              <w:rPr>
                <w:rFonts w:ascii="Arial"/>
                <w:color w:val="auto"/>
                <w:sz w:val="21"/>
                <w:highlight w:val="none"/>
              </w:rPr>
            </w:pPr>
          </w:p>
        </w:tc>
      </w:tr>
      <w:tr w14:paraId="7BDE6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39" w:type="dxa"/>
            <w:vAlign w:val="top"/>
          </w:tcPr>
          <w:p w14:paraId="47942C22">
            <w:pPr>
              <w:rPr>
                <w:rFonts w:ascii="Arial"/>
                <w:color w:val="auto"/>
                <w:sz w:val="21"/>
                <w:highlight w:val="none"/>
              </w:rPr>
            </w:pPr>
          </w:p>
          <w:p w14:paraId="2D65B28D">
            <w:pPr>
              <w:pStyle w:val="17"/>
              <w:spacing w:before="65" w:line="228" w:lineRule="auto"/>
              <w:ind w:left="207"/>
              <w:rPr>
                <w:color w:val="auto"/>
                <w:highlight w:val="none"/>
              </w:rPr>
            </w:pPr>
            <w:r>
              <w:rPr>
                <w:color w:val="auto"/>
                <w:spacing w:val="6"/>
                <w:highlight w:val="none"/>
              </w:rPr>
              <w:t>工作年限</w:t>
            </w:r>
          </w:p>
        </w:tc>
        <w:tc>
          <w:tcPr>
            <w:tcW w:w="3943" w:type="dxa"/>
            <w:gridSpan w:val="5"/>
            <w:vAlign w:val="top"/>
          </w:tcPr>
          <w:p w14:paraId="6A2083B5">
            <w:pPr>
              <w:rPr>
                <w:rFonts w:ascii="Arial"/>
                <w:color w:val="auto"/>
                <w:sz w:val="21"/>
                <w:highlight w:val="none"/>
              </w:rPr>
            </w:pPr>
          </w:p>
        </w:tc>
        <w:tc>
          <w:tcPr>
            <w:tcW w:w="1880" w:type="dxa"/>
            <w:gridSpan w:val="2"/>
            <w:vAlign w:val="top"/>
          </w:tcPr>
          <w:p w14:paraId="1CFD4B1E">
            <w:pPr>
              <w:rPr>
                <w:rFonts w:ascii="Arial"/>
                <w:color w:val="auto"/>
                <w:sz w:val="21"/>
                <w:highlight w:val="none"/>
              </w:rPr>
            </w:pPr>
          </w:p>
          <w:p w14:paraId="5A6F99A9">
            <w:pPr>
              <w:pStyle w:val="17"/>
              <w:spacing w:before="65" w:line="228" w:lineRule="auto"/>
              <w:ind w:left="109"/>
              <w:rPr>
                <w:color w:val="auto"/>
                <w:highlight w:val="none"/>
              </w:rPr>
            </w:pPr>
            <w:r>
              <w:rPr>
                <w:color w:val="auto"/>
                <w:spacing w:val="8"/>
                <w:highlight w:val="none"/>
              </w:rPr>
              <w:t>从事监理工作年限</w:t>
            </w:r>
          </w:p>
        </w:tc>
        <w:tc>
          <w:tcPr>
            <w:tcW w:w="1673" w:type="dxa"/>
            <w:gridSpan w:val="2"/>
            <w:vAlign w:val="top"/>
          </w:tcPr>
          <w:p w14:paraId="05796B8A">
            <w:pPr>
              <w:rPr>
                <w:rFonts w:ascii="Arial"/>
                <w:color w:val="auto"/>
                <w:sz w:val="21"/>
                <w:highlight w:val="none"/>
              </w:rPr>
            </w:pPr>
          </w:p>
        </w:tc>
      </w:tr>
      <w:tr w14:paraId="34D39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39" w:type="dxa"/>
            <w:vAlign w:val="top"/>
          </w:tcPr>
          <w:p w14:paraId="38615A6C">
            <w:pPr>
              <w:pStyle w:val="17"/>
              <w:spacing w:before="221" w:line="228" w:lineRule="auto"/>
              <w:ind w:left="209"/>
              <w:rPr>
                <w:color w:val="auto"/>
                <w:highlight w:val="none"/>
              </w:rPr>
            </w:pPr>
            <w:r>
              <w:rPr>
                <w:color w:val="auto"/>
                <w:spacing w:val="6"/>
                <w:highlight w:val="none"/>
              </w:rPr>
              <w:t>毕业学校</w:t>
            </w:r>
          </w:p>
        </w:tc>
        <w:tc>
          <w:tcPr>
            <w:tcW w:w="7496" w:type="dxa"/>
            <w:gridSpan w:val="9"/>
            <w:vAlign w:val="top"/>
          </w:tcPr>
          <w:p w14:paraId="0398ED03">
            <w:pPr>
              <w:pStyle w:val="17"/>
              <w:spacing w:before="222" w:line="221" w:lineRule="auto"/>
              <w:ind w:left="237"/>
              <w:rPr>
                <w:color w:val="auto"/>
                <w:highlight w:val="none"/>
              </w:rPr>
            </w:pPr>
            <w:r>
              <w:rPr>
                <w:color w:val="auto"/>
                <w:spacing w:val="2"/>
                <w:highlight w:val="none"/>
              </w:rPr>
              <w:t>______年___月毕业于______________学校____________专业，学制______年</w:t>
            </w:r>
          </w:p>
        </w:tc>
      </w:tr>
      <w:tr w14:paraId="0A24A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vAlign w:val="top"/>
          </w:tcPr>
          <w:p w14:paraId="42CB8112">
            <w:pPr>
              <w:pStyle w:val="17"/>
              <w:spacing w:before="221" w:line="231" w:lineRule="auto"/>
              <w:ind w:left="3691"/>
              <w:rPr>
                <w:color w:val="auto"/>
                <w:highlight w:val="none"/>
              </w:rPr>
            </w:pPr>
            <w:r>
              <w:rPr>
                <w:color w:val="auto"/>
                <w:spacing w:val="-1"/>
                <w:highlight w:val="none"/>
              </w:rPr>
              <w:t>经</w:t>
            </w:r>
            <w:r>
              <w:rPr>
                <w:color w:val="auto"/>
                <w:spacing w:val="6"/>
                <w:highlight w:val="none"/>
              </w:rPr>
              <w:t xml:space="preserve">         </w:t>
            </w:r>
            <w:r>
              <w:rPr>
                <w:color w:val="auto"/>
                <w:spacing w:val="-1"/>
                <w:highlight w:val="none"/>
              </w:rPr>
              <w:t>历</w:t>
            </w:r>
          </w:p>
        </w:tc>
      </w:tr>
      <w:tr w14:paraId="4C627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90" w:type="dxa"/>
            <w:gridSpan w:val="2"/>
            <w:vAlign w:val="top"/>
          </w:tcPr>
          <w:p w14:paraId="367802AF">
            <w:pPr>
              <w:spacing w:line="354" w:lineRule="auto"/>
              <w:rPr>
                <w:rFonts w:ascii="Arial"/>
                <w:color w:val="auto"/>
                <w:sz w:val="21"/>
                <w:highlight w:val="none"/>
              </w:rPr>
            </w:pPr>
          </w:p>
          <w:p w14:paraId="3DF24506">
            <w:pPr>
              <w:pStyle w:val="17"/>
              <w:spacing w:before="65" w:line="230" w:lineRule="auto"/>
              <w:ind w:left="344"/>
              <w:rPr>
                <w:color w:val="auto"/>
                <w:highlight w:val="none"/>
              </w:rPr>
            </w:pPr>
            <w:r>
              <w:rPr>
                <w:color w:val="auto"/>
                <w:spacing w:val="-5"/>
                <w:highlight w:val="none"/>
              </w:rPr>
              <w:t>时</w:t>
            </w:r>
            <w:r>
              <w:rPr>
                <w:color w:val="auto"/>
                <w:spacing w:val="17"/>
                <w:highlight w:val="none"/>
              </w:rPr>
              <w:t xml:space="preserve">  </w:t>
            </w:r>
            <w:r>
              <w:rPr>
                <w:color w:val="auto"/>
                <w:spacing w:val="-5"/>
                <w:highlight w:val="none"/>
              </w:rPr>
              <w:t>间</w:t>
            </w:r>
          </w:p>
        </w:tc>
        <w:tc>
          <w:tcPr>
            <w:tcW w:w="4229" w:type="dxa"/>
            <w:gridSpan w:val="5"/>
            <w:vAlign w:val="top"/>
          </w:tcPr>
          <w:p w14:paraId="5B4618B3">
            <w:pPr>
              <w:spacing w:line="354" w:lineRule="auto"/>
              <w:rPr>
                <w:rFonts w:ascii="Arial"/>
                <w:color w:val="auto"/>
                <w:sz w:val="21"/>
                <w:highlight w:val="none"/>
              </w:rPr>
            </w:pPr>
          </w:p>
          <w:p w14:paraId="7A05C223">
            <w:pPr>
              <w:pStyle w:val="17"/>
              <w:spacing w:before="65" w:line="228" w:lineRule="auto"/>
              <w:ind w:left="861"/>
              <w:rPr>
                <w:color w:val="auto"/>
                <w:highlight w:val="none"/>
              </w:rPr>
            </w:pPr>
            <w:r>
              <w:rPr>
                <w:color w:val="auto"/>
                <w:spacing w:val="8"/>
                <w:highlight w:val="none"/>
              </w:rPr>
              <w:t>参加过的类似工程项目名称</w:t>
            </w:r>
          </w:p>
        </w:tc>
        <w:tc>
          <w:tcPr>
            <w:tcW w:w="1929" w:type="dxa"/>
            <w:gridSpan w:val="2"/>
            <w:vAlign w:val="top"/>
          </w:tcPr>
          <w:p w14:paraId="410479F8">
            <w:pPr>
              <w:spacing w:line="354" w:lineRule="auto"/>
              <w:rPr>
                <w:rFonts w:ascii="Arial"/>
                <w:color w:val="auto"/>
                <w:sz w:val="21"/>
                <w:highlight w:val="none"/>
              </w:rPr>
            </w:pPr>
          </w:p>
          <w:p w14:paraId="178A0DCB">
            <w:pPr>
              <w:pStyle w:val="17"/>
              <w:spacing w:before="65" w:line="228" w:lineRule="auto"/>
              <w:ind w:left="552"/>
              <w:rPr>
                <w:color w:val="auto"/>
                <w:highlight w:val="none"/>
              </w:rPr>
            </w:pPr>
            <w:r>
              <w:rPr>
                <w:color w:val="auto"/>
                <w:spacing w:val="7"/>
                <w:highlight w:val="none"/>
              </w:rPr>
              <w:t>担任职务</w:t>
            </w:r>
          </w:p>
        </w:tc>
        <w:tc>
          <w:tcPr>
            <w:tcW w:w="1287" w:type="dxa"/>
            <w:vAlign w:val="top"/>
          </w:tcPr>
          <w:p w14:paraId="0ECC57E9">
            <w:pPr>
              <w:pStyle w:val="17"/>
              <w:spacing w:before="220" w:line="320" w:lineRule="auto"/>
              <w:ind w:left="338" w:right="118" w:hanging="216"/>
              <w:rPr>
                <w:color w:val="auto"/>
                <w:highlight w:val="none"/>
              </w:rPr>
            </w:pPr>
            <w:r>
              <w:rPr>
                <w:color w:val="auto"/>
                <w:spacing w:val="8"/>
                <w:highlight w:val="none"/>
              </w:rPr>
              <w:t>委托人及联</w:t>
            </w:r>
            <w:r>
              <w:rPr>
                <w:color w:val="auto"/>
                <w:spacing w:val="5"/>
                <w:highlight w:val="none"/>
              </w:rPr>
              <w:t>系电话</w:t>
            </w:r>
          </w:p>
        </w:tc>
      </w:tr>
      <w:tr w14:paraId="17EE4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14:paraId="4E1C72B1">
            <w:pPr>
              <w:rPr>
                <w:rFonts w:ascii="Arial"/>
                <w:color w:val="auto"/>
                <w:sz w:val="21"/>
                <w:highlight w:val="none"/>
              </w:rPr>
            </w:pPr>
          </w:p>
        </w:tc>
        <w:tc>
          <w:tcPr>
            <w:tcW w:w="4229" w:type="dxa"/>
            <w:gridSpan w:val="5"/>
            <w:vAlign w:val="top"/>
          </w:tcPr>
          <w:p w14:paraId="3B1780F2">
            <w:pPr>
              <w:rPr>
                <w:rFonts w:ascii="Arial"/>
                <w:color w:val="auto"/>
                <w:sz w:val="21"/>
                <w:highlight w:val="none"/>
              </w:rPr>
            </w:pPr>
          </w:p>
        </w:tc>
        <w:tc>
          <w:tcPr>
            <w:tcW w:w="1929" w:type="dxa"/>
            <w:gridSpan w:val="2"/>
            <w:vAlign w:val="top"/>
          </w:tcPr>
          <w:p w14:paraId="6EA2A8D2">
            <w:pPr>
              <w:rPr>
                <w:rFonts w:ascii="Arial"/>
                <w:color w:val="auto"/>
                <w:sz w:val="21"/>
                <w:highlight w:val="none"/>
              </w:rPr>
            </w:pPr>
          </w:p>
        </w:tc>
        <w:tc>
          <w:tcPr>
            <w:tcW w:w="1287" w:type="dxa"/>
            <w:vAlign w:val="top"/>
          </w:tcPr>
          <w:p w14:paraId="55C47CAF">
            <w:pPr>
              <w:rPr>
                <w:rFonts w:ascii="Arial"/>
                <w:color w:val="auto"/>
                <w:sz w:val="21"/>
                <w:highlight w:val="none"/>
              </w:rPr>
            </w:pPr>
          </w:p>
        </w:tc>
      </w:tr>
      <w:tr w14:paraId="3BAB1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vAlign w:val="top"/>
          </w:tcPr>
          <w:p w14:paraId="333488E0">
            <w:pPr>
              <w:rPr>
                <w:rFonts w:ascii="Arial"/>
                <w:color w:val="auto"/>
                <w:sz w:val="21"/>
                <w:highlight w:val="none"/>
              </w:rPr>
            </w:pPr>
          </w:p>
        </w:tc>
        <w:tc>
          <w:tcPr>
            <w:tcW w:w="4229" w:type="dxa"/>
            <w:gridSpan w:val="5"/>
            <w:vAlign w:val="top"/>
          </w:tcPr>
          <w:p w14:paraId="699D6D03">
            <w:pPr>
              <w:rPr>
                <w:rFonts w:ascii="Arial"/>
                <w:color w:val="auto"/>
                <w:sz w:val="21"/>
                <w:highlight w:val="none"/>
              </w:rPr>
            </w:pPr>
          </w:p>
        </w:tc>
        <w:tc>
          <w:tcPr>
            <w:tcW w:w="1929" w:type="dxa"/>
            <w:gridSpan w:val="2"/>
            <w:vAlign w:val="top"/>
          </w:tcPr>
          <w:p w14:paraId="08760EAA">
            <w:pPr>
              <w:rPr>
                <w:rFonts w:ascii="Arial"/>
                <w:color w:val="auto"/>
                <w:sz w:val="21"/>
                <w:highlight w:val="none"/>
              </w:rPr>
            </w:pPr>
          </w:p>
        </w:tc>
        <w:tc>
          <w:tcPr>
            <w:tcW w:w="1287" w:type="dxa"/>
            <w:vAlign w:val="top"/>
          </w:tcPr>
          <w:p w14:paraId="6BF30C3F">
            <w:pPr>
              <w:rPr>
                <w:rFonts w:ascii="Arial"/>
                <w:color w:val="auto"/>
                <w:sz w:val="21"/>
                <w:highlight w:val="none"/>
              </w:rPr>
            </w:pPr>
          </w:p>
        </w:tc>
      </w:tr>
      <w:tr w14:paraId="081CC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14:paraId="29885233">
            <w:pPr>
              <w:rPr>
                <w:rFonts w:ascii="Arial"/>
                <w:color w:val="auto"/>
                <w:sz w:val="21"/>
                <w:highlight w:val="none"/>
              </w:rPr>
            </w:pPr>
          </w:p>
        </w:tc>
        <w:tc>
          <w:tcPr>
            <w:tcW w:w="4229" w:type="dxa"/>
            <w:gridSpan w:val="5"/>
            <w:vAlign w:val="top"/>
          </w:tcPr>
          <w:p w14:paraId="47F0BE29">
            <w:pPr>
              <w:rPr>
                <w:rFonts w:ascii="Arial"/>
                <w:color w:val="auto"/>
                <w:sz w:val="21"/>
                <w:highlight w:val="none"/>
              </w:rPr>
            </w:pPr>
          </w:p>
        </w:tc>
        <w:tc>
          <w:tcPr>
            <w:tcW w:w="1929" w:type="dxa"/>
            <w:gridSpan w:val="2"/>
            <w:vAlign w:val="top"/>
          </w:tcPr>
          <w:p w14:paraId="6C277FC7">
            <w:pPr>
              <w:rPr>
                <w:rFonts w:ascii="Arial"/>
                <w:color w:val="auto"/>
                <w:sz w:val="21"/>
                <w:highlight w:val="none"/>
              </w:rPr>
            </w:pPr>
          </w:p>
        </w:tc>
        <w:tc>
          <w:tcPr>
            <w:tcW w:w="1287" w:type="dxa"/>
            <w:vAlign w:val="top"/>
          </w:tcPr>
          <w:p w14:paraId="72C21491">
            <w:pPr>
              <w:rPr>
                <w:rFonts w:ascii="Arial"/>
                <w:color w:val="auto"/>
                <w:sz w:val="21"/>
                <w:highlight w:val="none"/>
              </w:rPr>
            </w:pPr>
          </w:p>
        </w:tc>
      </w:tr>
      <w:tr w14:paraId="11F82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14:paraId="76FA5249">
            <w:pPr>
              <w:rPr>
                <w:rFonts w:ascii="Arial"/>
                <w:color w:val="auto"/>
                <w:sz w:val="21"/>
                <w:highlight w:val="none"/>
              </w:rPr>
            </w:pPr>
          </w:p>
        </w:tc>
        <w:tc>
          <w:tcPr>
            <w:tcW w:w="4229" w:type="dxa"/>
            <w:gridSpan w:val="5"/>
            <w:vAlign w:val="top"/>
          </w:tcPr>
          <w:p w14:paraId="48681984">
            <w:pPr>
              <w:rPr>
                <w:rFonts w:ascii="Arial"/>
                <w:color w:val="auto"/>
                <w:sz w:val="21"/>
                <w:highlight w:val="none"/>
              </w:rPr>
            </w:pPr>
          </w:p>
        </w:tc>
        <w:tc>
          <w:tcPr>
            <w:tcW w:w="1929" w:type="dxa"/>
            <w:gridSpan w:val="2"/>
            <w:vAlign w:val="top"/>
          </w:tcPr>
          <w:p w14:paraId="4E090F6F">
            <w:pPr>
              <w:rPr>
                <w:rFonts w:ascii="Arial"/>
                <w:color w:val="auto"/>
                <w:sz w:val="21"/>
                <w:highlight w:val="none"/>
              </w:rPr>
            </w:pPr>
          </w:p>
        </w:tc>
        <w:tc>
          <w:tcPr>
            <w:tcW w:w="1287" w:type="dxa"/>
            <w:vAlign w:val="top"/>
          </w:tcPr>
          <w:p w14:paraId="15DA24A3">
            <w:pPr>
              <w:rPr>
                <w:rFonts w:ascii="Arial"/>
                <w:color w:val="auto"/>
                <w:sz w:val="21"/>
                <w:highlight w:val="none"/>
              </w:rPr>
            </w:pPr>
          </w:p>
        </w:tc>
      </w:tr>
      <w:tr w14:paraId="0C64B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vAlign w:val="top"/>
          </w:tcPr>
          <w:p w14:paraId="2D84CCB3">
            <w:pPr>
              <w:rPr>
                <w:rFonts w:ascii="Arial"/>
                <w:color w:val="auto"/>
                <w:sz w:val="21"/>
                <w:highlight w:val="none"/>
              </w:rPr>
            </w:pPr>
          </w:p>
        </w:tc>
        <w:tc>
          <w:tcPr>
            <w:tcW w:w="4229" w:type="dxa"/>
            <w:gridSpan w:val="5"/>
            <w:vAlign w:val="top"/>
          </w:tcPr>
          <w:p w14:paraId="4FB3E3B3">
            <w:pPr>
              <w:rPr>
                <w:rFonts w:ascii="Arial"/>
                <w:color w:val="auto"/>
                <w:sz w:val="21"/>
                <w:highlight w:val="none"/>
              </w:rPr>
            </w:pPr>
          </w:p>
        </w:tc>
        <w:tc>
          <w:tcPr>
            <w:tcW w:w="1929" w:type="dxa"/>
            <w:gridSpan w:val="2"/>
            <w:vAlign w:val="top"/>
          </w:tcPr>
          <w:p w14:paraId="799383E7">
            <w:pPr>
              <w:rPr>
                <w:rFonts w:ascii="Arial"/>
                <w:color w:val="auto"/>
                <w:sz w:val="21"/>
                <w:highlight w:val="none"/>
              </w:rPr>
            </w:pPr>
          </w:p>
        </w:tc>
        <w:tc>
          <w:tcPr>
            <w:tcW w:w="1287" w:type="dxa"/>
            <w:vAlign w:val="top"/>
          </w:tcPr>
          <w:p w14:paraId="47E595C3">
            <w:pPr>
              <w:rPr>
                <w:rFonts w:ascii="Arial"/>
                <w:color w:val="auto"/>
                <w:sz w:val="21"/>
                <w:highlight w:val="none"/>
              </w:rPr>
            </w:pPr>
          </w:p>
        </w:tc>
      </w:tr>
      <w:tr w14:paraId="5ED31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14:paraId="0D610F73">
            <w:pPr>
              <w:rPr>
                <w:rFonts w:ascii="Arial"/>
                <w:color w:val="auto"/>
                <w:sz w:val="21"/>
                <w:highlight w:val="none"/>
              </w:rPr>
            </w:pPr>
          </w:p>
        </w:tc>
        <w:tc>
          <w:tcPr>
            <w:tcW w:w="4229" w:type="dxa"/>
            <w:gridSpan w:val="5"/>
            <w:vAlign w:val="top"/>
          </w:tcPr>
          <w:p w14:paraId="19F14425">
            <w:pPr>
              <w:rPr>
                <w:rFonts w:ascii="Arial"/>
                <w:color w:val="auto"/>
                <w:sz w:val="21"/>
                <w:highlight w:val="none"/>
              </w:rPr>
            </w:pPr>
          </w:p>
        </w:tc>
        <w:tc>
          <w:tcPr>
            <w:tcW w:w="1929" w:type="dxa"/>
            <w:gridSpan w:val="2"/>
            <w:vAlign w:val="top"/>
          </w:tcPr>
          <w:p w14:paraId="171F6897">
            <w:pPr>
              <w:rPr>
                <w:rFonts w:ascii="Arial"/>
                <w:color w:val="auto"/>
                <w:sz w:val="21"/>
                <w:highlight w:val="none"/>
              </w:rPr>
            </w:pPr>
          </w:p>
        </w:tc>
        <w:tc>
          <w:tcPr>
            <w:tcW w:w="1287" w:type="dxa"/>
            <w:vAlign w:val="top"/>
          </w:tcPr>
          <w:p w14:paraId="1FDC27F7">
            <w:pPr>
              <w:rPr>
                <w:rFonts w:ascii="Arial"/>
                <w:color w:val="auto"/>
                <w:sz w:val="21"/>
                <w:highlight w:val="none"/>
              </w:rPr>
            </w:pPr>
          </w:p>
        </w:tc>
      </w:tr>
      <w:tr w14:paraId="5EE94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441" w:type="dxa"/>
            <w:gridSpan w:val="3"/>
            <w:vAlign w:val="top"/>
          </w:tcPr>
          <w:p w14:paraId="6EACE29F">
            <w:pPr>
              <w:spacing w:line="242" w:lineRule="auto"/>
              <w:rPr>
                <w:rFonts w:ascii="Arial"/>
                <w:color w:val="auto"/>
                <w:sz w:val="21"/>
                <w:highlight w:val="none"/>
              </w:rPr>
            </w:pPr>
          </w:p>
          <w:p w14:paraId="7ACE6496">
            <w:pPr>
              <w:pStyle w:val="17"/>
              <w:spacing w:before="65" w:line="228" w:lineRule="auto"/>
              <w:ind w:left="811"/>
              <w:rPr>
                <w:color w:val="auto"/>
                <w:highlight w:val="none"/>
              </w:rPr>
            </w:pPr>
            <w:r>
              <w:rPr>
                <w:color w:val="auto"/>
                <w:spacing w:val="6"/>
                <w:highlight w:val="none"/>
              </w:rPr>
              <w:t>获奖情况</w:t>
            </w:r>
          </w:p>
        </w:tc>
        <w:tc>
          <w:tcPr>
            <w:tcW w:w="6294" w:type="dxa"/>
            <w:gridSpan w:val="7"/>
            <w:vAlign w:val="top"/>
          </w:tcPr>
          <w:p w14:paraId="12D7FD7D">
            <w:pPr>
              <w:rPr>
                <w:rFonts w:ascii="Arial"/>
                <w:color w:val="auto"/>
                <w:sz w:val="21"/>
                <w:highlight w:val="none"/>
              </w:rPr>
            </w:pPr>
          </w:p>
        </w:tc>
      </w:tr>
      <w:tr w14:paraId="33C49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441" w:type="dxa"/>
            <w:gridSpan w:val="3"/>
            <w:vAlign w:val="top"/>
          </w:tcPr>
          <w:p w14:paraId="10112879">
            <w:pPr>
              <w:spacing w:line="464" w:lineRule="auto"/>
              <w:rPr>
                <w:rFonts w:ascii="Arial"/>
                <w:color w:val="auto"/>
                <w:sz w:val="21"/>
                <w:highlight w:val="none"/>
              </w:rPr>
            </w:pPr>
          </w:p>
          <w:p w14:paraId="0ACB2B46">
            <w:pPr>
              <w:pStyle w:val="17"/>
              <w:spacing w:before="65" w:line="229" w:lineRule="auto"/>
              <w:ind w:left="757"/>
              <w:rPr>
                <w:color w:val="auto"/>
                <w:highlight w:val="none"/>
              </w:rPr>
            </w:pPr>
            <w:r>
              <w:rPr>
                <w:color w:val="auto"/>
                <w:spacing w:val="-1"/>
                <w:highlight w:val="none"/>
              </w:rPr>
              <w:t>备</w:t>
            </w:r>
            <w:r>
              <w:rPr>
                <w:color w:val="auto"/>
                <w:spacing w:val="6"/>
                <w:highlight w:val="none"/>
              </w:rPr>
              <w:t xml:space="preserve">     </w:t>
            </w:r>
            <w:r>
              <w:rPr>
                <w:color w:val="auto"/>
                <w:spacing w:val="-1"/>
                <w:highlight w:val="none"/>
              </w:rPr>
              <w:t>注</w:t>
            </w:r>
          </w:p>
        </w:tc>
        <w:tc>
          <w:tcPr>
            <w:tcW w:w="6294" w:type="dxa"/>
            <w:gridSpan w:val="7"/>
            <w:vAlign w:val="top"/>
          </w:tcPr>
          <w:p w14:paraId="77DCD5AA">
            <w:pPr>
              <w:pStyle w:val="17"/>
              <w:spacing w:before="165" w:line="369" w:lineRule="auto"/>
              <w:ind w:left="114" w:right="108"/>
              <w:rPr>
                <w:color w:val="auto"/>
                <w:highlight w:val="none"/>
              </w:rPr>
            </w:pPr>
            <w:r>
              <w:rPr>
                <w:color w:val="auto"/>
                <w:spacing w:val="13"/>
                <w:highlight w:val="none"/>
              </w:rPr>
              <w:t>本人</w:t>
            </w:r>
            <w:r>
              <w:rPr>
                <w:color w:val="auto"/>
                <w:spacing w:val="-91"/>
                <w:highlight w:val="none"/>
              </w:rPr>
              <w:t xml:space="preserve"> </w:t>
            </w:r>
            <w:r>
              <w:rPr>
                <w:color w:val="auto"/>
                <w:spacing w:val="13"/>
                <w:highlight w:val="none"/>
                <w:u w:val="single" w:color="auto"/>
              </w:rPr>
              <w:t xml:space="preserve">             （签名）</w:t>
            </w:r>
            <w:r>
              <w:rPr>
                <w:color w:val="auto"/>
                <w:spacing w:val="13"/>
                <w:highlight w:val="none"/>
              </w:rPr>
              <w:t>知晓为本项目的总监理工程师/驻地</w:t>
            </w:r>
            <w:r>
              <w:rPr>
                <w:color w:val="auto"/>
                <w:spacing w:val="8"/>
                <w:highlight w:val="none"/>
              </w:rPr>
              <w:t>监理工程师，并对其真实性负责。</w:t>
            </w:r>
          </w:p>
        </w:tc>
      </w:tr>
    </w:tbl>
    <w:p w14:paraId="39C85154">
      <w:pPr>
        <w:spacing w:before="158" w:line="227" w:lineRule="auto"/>
        <w:ind w:left="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注：1.本表应填写总监理工程师（含备选）或驻地监理工程师（含备选）相关情况。</w:t>
      </w:r>
    </w:p>
    <w:p w14:paraId="2CF310D0">
      <w:pPr>
        <w:spacing w:before="154" w:line="227" w:lineRule="auto"/>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2.投标人应根据招标文件第二章“投标人须知</w:t>
      </w:r>
      <w:r>
        <w:rPr>
          <w:rFonts w:ascii="宋体" w:hAnsi="宋体" w:eastAsia="宋体" w:cs="宋体"/>
          <w:color w:val="auto"/>
          <w:spacing w:val="-72"/>
          <w:sz w:val="20"/>
          <w:szCs w:val="20"/>
          <w:highlight w:val="none"/>
        </w:rPr>
        <w:t xml:space="preserve"> </w:t>
      </w:r>
      <w:r>
        <w:rPr>
          <w:rFonts w:ascii="宋体" w:hAnsi="宋体" w:eastAsia="宋体" w:cs="宋体"/>
          <w:color w:val="auto"/>
          <w:spacing w:val="7"/>
          <w:sz w:val="20"/>
          <w:szCs w:val="20"/>
          <w:highlight w:val="none"/>
        </w:rPr>
        <w:t>”第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3.5.4</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项的要求在本表后附相关证</w:t>
      </w:r>
      <w:r>
        <w:rPr>
          <w:rFonts w:ascii="宋体" w:hAnsi="宋体" w:eastAsia="宋体" w:cs="宋体"/>
          <w:color w:val="auto"/>
          <w:spacing w:val="6"/>
          <w:sz w:val="20"/>
          <w:szCs w:val="20"/>
          <w:highlight w:val="none"/>
        </w:rPr>
        <w:t>明材料。</w:t>
      </w:r>
    </w:p>
    <w:p w14:paraId="302FB8E3">
      <w:pPr>
        <w:spacing w:line="227" w:lineRule="auto"/>
        <w:rPr>
          <w:rFonts w:ascii="宋体" w:hAnsi="宋体" w:eastAsia="宋体" w:cs="宋体"/>
          <w:color w:val="auto"/>
          <w:sz w:val="20"/>
          <w:szCs w:val="20"/>
          <w:highlight w:val="none"/>
        </w:rPr>
        <w:sectPr>
          <w:footerReference r:id="rId102" w:type="default"/>
          <w:pgSz w:w="11906" w:h="16839"/>
          <w:pgMar w:top="1401" w:right="1495" w:bottom="1297" w:left="1384" w:header="0" w:footer="1067" w:gutter="0"/>
          <w:pgNumType w:fmt="decimal"/>
          <w:cols w:space="720" w:num="1"/>
        </w:sectPr>
      </w:pPr>
    </w:p>
    <w:p w14:paraId="66C4B018">
      <w:pPr>
        <w:spacing w:before="65" w:line="233" w:lineRule="auto"/>
        <w:ind w:left="1775"/>
        <w:rPr>
          <w:rFonts w:ascii="宋体" w:hAnsi="宋体" w:eastAsia="宋体" w:cs="宋体"/>
          <w:color w:val="auto"/>
          <w:sz w:val="14"/>
          <w:szCs w:val="14"/>
          <w:highlight w:val="none"/>
        </w:rPr>
      </w:pPr>
      <w:r>
        <w:rPr>
          <w:rFonts w:ascii="宋体" w:hAnsi="宋体" w:eastAsia="宋体" w:cs="宋体"/>
          <w:b/>
          <w:bCs/>
          <w:color w:val="auto"/>
          <w:spacing w:val="-3"/>
          <w:sz w:val="30"/>
          <w:szCs w:val="30"/>
          <w:highlight w:val="none"/>
        </w:rPr>
        <w:t>（七）拟委任的其他主要监理人员汇总表</w:t>
      </w:r>
    </w:p>
    <w:p w14:paraId="5B6106C2">
      <w:pPr>
        <w:spacing w:before="19"/>
        <w:rPr>
          <w:color w:val="auto"/>
          <w:highlight w:val="none"/>
        </w:rPr>
      </w:pPr>
    </w:p>
    <w:tbl>
      <w:tblPr>
        <w:tblStyle w:val="16"/>
        <w:tblW w:w="8951"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1421"/>
        <w:gridCol w:w="1005"/>
        <w:gridCol w:w="775"/>
        <w:gridCol w:w="544"/>
        <w:gridCol w:w="1264"/>
        <w:gridCol w:w="791"/>
        <w:gridCol w:w="971"/>
        <w:gridCol w:w="1266"/>
      </w:tblGrid>
      <w:tr w14:paraId="6588E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14" w:type="dxa"/>
            <w:vMerge w:val="restart"/>
            <w:tcBorders>
              <w:bottom w:val="nil"/>
            </w:tcBorders>
            <w:vAlign w:val="top"/>
          </w:tcPr>
          <w:p w14:paraId="6609920B">
            <w:pPr>
              <w:spacing w:line="335" w:lineRule="auto"/>
              <w:rPr>
                <w:rFonts w:ascii="Arial"/>
                <w:color w:val="auto"/>
                <w:sz w:val="21"/>
                <w:highlight w:val="none"/>
              </w:rPr>
            </w:pPr>
          </w:p>
          <w:p w14:paraId="5ADCCEAB">
            <w:pPr>
              <w:pStyle w:val="17"/>
              <w:spacing w:before="65" w:line="229" w:lineRule="auto"/>
              <w:ind w:left="251"/>
              <w:rPr>
                <w:color w:val="auto"/>
                <w:highlight w:val="none"/>
              </w:rPr>
            </w:pPr>
            <w:r>
              <w:rPr>
                <w:color w:val="auto"/>
                <w:spacing w:val="5"/>
                <w:highlight w:val="none"/>
              </w:rPr>
              <w:t>序号</w:t>
            </w:r>
          </w:p>
        </w:tc>
        <w:tc>
          <w:tcPr>
            <w:tcW w:w="1421" w:type="dxa"/>
            <w:vMerge w:val="restart"/>
            <w:tcBorders>
              <w:bottom w:val="nil"/>
            </w:tcBorders>
            <w:vAlign w:val="top"/>
          </w:tcPr>
          <w:p w14:paraId="666E58BF">
            <w:pPr>
              <w:spacing w:line="335" w:lineRule="auto"/>
              <w:rPr>
                <w:rFonts w:ascii="Arial"/>
                <w:color w:val="auto"/>
                <w:sz w:val="21"/>
                <w:highlight w:val="none"/>
              </w:rPr>
            </w:pPr>
          </w:p>
          <w:p w14:paraId="03F96DDD">
            <w:pPr>
              <w:pStyle w:val="17"/>
              <w:spacing w:before="65" w:line="227" w:lineRule="auto"/>
              <w:ind w:left="190"/>
              <w:rPr>
                <w:color w:val="auto"/>
                <w:highlight w:val="none"/>
              </w:rPr>
            </w:pPr>
            <w:r>
              <w:rPr>
                <w:color w:val="auto"/>
                <w:spacing w:val="7"/>
                <w:highlight w:val="none"/>
              </w:rPr>
              <w:t>本标段任职</w:t>
            </w:r>
          </w:p>
        </w:tc>
        <w:tc>
          <w:tcPr>
            <w:tcW w:w="1005" w:type="dxa"/>
            <w:vMerge w:val="restart"/>
            <w:tcBorders>
              <w:bottom w:val="nil"/>
            </w:tcBorders>
            <w:vAlign w:val="top"/>
          </w:tcPr>
          <w:p w14:paraId="745E99FE">
            <w:pPr>
              <w:spacing w:line="335" w:lineRule="auto"/>
              <w:rPr>
                <w:rFonts w:ascii="Arial"/>
                <w:color w:val="auto"/>
                <w:sz w:val="21"/>
                <w:highlight w:val="none"/>
              </w:rPr>
            </w:pPr>
          </w:p>
          <w:p w14:paraId="4A68A418">
            <w:pPr>
              <w:pStyle w:val="17"/>
              <w:spacing w:before="65" w:line="228" w:lineRule="auto"/>
              <w:ind w:left="297"/>
              <w:rPr>
                <w:color w:val="auto"/>
                <w:highlight w:val="none"/>
              </w:rPr>
            </w:pPr>
            <w:r>
              <w:rPr>
                <w:color w:val="auto"/>
                <w:spacing w:val="4"/>
                <w:highlight w:val="none"/>
              </w:rPr>
              <w:t>姓名</w:t>
            </w:r>
          </w:p>
        </w:tc>
        <w:tc>
          <w:tcPr>
            <w:tcW w:w="775" w:type="dxa"/>
            <w:vMerge w:val="restart"/>
            <w:tcBorders>
              <w:bottom w:val="nil"/>
            </w:tcBorders>
            <w:vAlign w:val="top"/>
          </w:tcPr>
          <w:p w14:paraId="14A5FBCD">
            <w:pPr>
              <w:pStyle w:val="17"/>
              <w:spacing w:before="181" w:line="228" w:lineRule="auto"/>
              <w:ind w:left="184"/>
              <w:rPr>
                <w:color w:val="auto"/>
                <w:highlight w:val="none"/>
              </w:rPr>
            </w:pPr>
            <w:r>
              <w:rPr>
                <w:color w:val="auto"/>
                <w:spacing w:val="4"/>
                <w:highlight w:val="none"/>
              </w:rPr>
              <w:t>技术</w:t>
            </w:r>
          </w:p>
          <w:p w14:paraId="3E55641D">
            <w:pPr>
              <w:pStyle w:val="17"/>
              <w:spacing w:before="194" w:line="230" w:lineRule="auto"/>
              <w:ind w:left="184"/>
              <w:rPr>
                <w:color w:val="auto"/>
                <w:highlight w:val="none"/>
              </w:rPr>
            </w:pPr>
            <w:r>
              <w:rPr>
                <w:color w:val="auto"/>
                <w:spacing w:val="4"/>
                <w:highlight w:val="none"/>
              </w:rPr>
              <w:t>职称</w:t>
            </w:r>
          </w:p>
        </w:tc>
        <w:tc>
          <w:tcPr>
            <w:tcW w:w="544" w:type="dxa"/>
            <w:vMerge w:val="restart"/>
            <w:tcBorders>
              <w:bottom w:val="nil"/>
            </w:tcBorders>
            <w:textDirection w:val="tbRlV"/>
            <w:vAlign w:val="top"/>
          </w:tcPr>
          <w:p w14:paraId="1992D95C">
            <w:pPr>
              <w:pStyle w:val="17"/>
              <w:spacing w:before="164" w:line="217" w:lineRule="auto"/>
              <w:ind w:left="181"/>
              <w:rPr>
                <w:color w:val="auto"/>
                <w:highlight w:val="none"/>
              </w:rPr>
            </w:pPr>
            <w:r>
              <w:rPr>
                <w:color w:val="auto"/>
                <w:spacing w:val="8"/>
                <w:highlight w:val="none"/>
              </w:rPr>
              <w:t>专</w:t>
            </w:r>
            <w:r>
              <w:rPr>
                <w:color w:val="auto"/>
                <w:spacing w:val="16"/>
                <w:highlight w:val="none"/>
              </w:rPr>
              <w:t xml:space="preserve">  </w:t>
            </w:r>
            <w:r>
              <w:rPr>
                <w:color w:val="auto"/>
                <w:spacing w:val="8"/>
                <w:highlight w:val="none"/>
              </w:rPr>
              <w:t>业</w:t>
            </w:r>
          </w:p>
        </w:tc>
        <w:tc>
          <w:tcPr>
            <w:tcW w:w="3026" w:type="dxa"/>
            <w:gridSpan w:val="3"/>
            <w:vAlign w:val="top"/>
          </w:tcPr>
          <w:p w14:paraId="4A08313D">
            <w:pPr>
              <w:pStyle w:val="17"/>
              <w:spacing w:before="176" w:line="228" w:lineRule="auto"/>
              <w:ind w:left="575"/>
              <w:rPr>
                <w:color w:val="auto"/>
                <w:highlight w:val="none"/>
              </w:rPr>
            </w:pPr>
            <w:r>
              <w:rPr>
                <w:color w:val="auto"/>
                <w:spacing w:val="8"/>
                <w:highlight w:val="none"/>
              </w:rPr>
              <w:t>执业或职业资格证明</w:t>
            </w:r>
          </w:p>
        </w:tc>
        <w:tc>
          <w:tcPr>
            <w:tcW w:w="1266" w:type="dxa"/>
            <w:vMerge w:val="restart"/>
            <w:tcBorders>
              <w:bottom w:val="nil"/>
            </w:tcBorders>
            <w:vAlign w:val="top"/>
          </w:tcPr>
          <w:p w14:paraId="129DB8DE">
            <w:pPr>
              <w:spacing w:line="335" w:lineRule="auto"/>
              <w:rPr>
                <w:rFonts w:ascii="Arial"/>
                <w:color w:val="auto"/>
                <w:sz w:val="21"/>
                <w:highlight w:val="none"/>
              </w:rPr>
            </w:pPr>
          </w:p>
          <w:p w14:paraId="5CD04B3C">
            <w:pPr>
              <w:pStyle w:val="17"/>
              <w:spacing w:before="65" w:line="229" w:lineRule="auto"/>
              <w:ind w:left="432"/>
              <w:rPr>
                <w:color w:val="auto"/>
                <w:highlight w:val="none"/>
              </w:rPr>
            </w:pPr>
            <w:r>
              <w:rPr>
                <w:color w:val="auto"/>
                <w:spacing w:val="3"/>
                <w:highlight w:val="none"/>
              </w:rPr>
              <w:t>备注</w:t>
            </w:r>
          </w:p>
        </w:tc>
      </w:tr>
      <w:tr w14:paraId="73F40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vMerge w:val="continue"/>
            <w:tcBorders>
              <w:top w:val="nil"/>
            </w:tcBorders>
            <w:vAlign w:val="top"/>
          </w:tcPr>
          <w:p w14:paraId="6EEEF398">
            <w:pPr>
              <w:rPr>
                <w:rFonts w:ascii="Arial"/>
                <w:color w:val="auto"/>
                <w:sz w:val="21"/>
                <w:highlight w:val="none"/>
              </w:rPr>
            </w:pPr>
          </w:p>
        </w:tc>
        <w:tc>
          <w:tcPr>
            <w:tcW w:w="1421" w:type="dxa"/>
            <w:vMerge w:val="continue"/>
            <w:tcBorders>
              <w:top w:val="nil"/>
            </w:tcBorders>
            <w:vAlign w:val="top"/>
          </w:tcPr>
          <w:p w14:paraId="1E33EF48">
            <w:pPr>
              <w:rPr>
                <w:rFonts w:ascii="Arial"/>
                <w:color w:val="auto"/>
                <w:sz w:val="21"/>
                <w:highlight w:val="none"/>
              </w:rPr>
            </w:pPr>
          </w:p>
        </w:tc>
        <w:tc>
          <w:tcPr>
            <w:tcW w:w="1005" w:type="dxa"/>
            <w:vMerge w:val="continue"/>
            <w:tcBorders>
              <w:top w:val="nil"/>
            </w:tcBorders>
            <w:vAlign w:val="top"/>
          </w:tcPr>
          <w:p w14:paraId="0B0949D0">
            <w:pPr>
              <w:rPr>
                <w:rFonts w:ascii="Arial"/>
                <w:color w:val="auto"/>
                <w:sz w:val="21"/>
                <w:highlight w:val="none"/>
              </w:rPr>
            </w:pPr>
          </w:p>
        </w:tc>
        <w:tc>
          <w:tcPr>
            <w:tcW w:w="775" w:type="dxa"/>
            <w:vMerge w:val="continue"/>
            <w:tcBorders>
              <w:top w:val="nil"/>
            </w:tcBorders>
            <w:vAlign w:val="top"/>
          </w:tcPr>
          <w:p w14:paraId="02E2C4C3">
            <w:pPr>
              <w:rPr>
                <w:rFonts w:ascii="Arial"/>
                <w:color w:val="auto"/>
                <w:sz w:val="21"/>
                <w:highlight w:val="none"/>
              </w:rPr>
            </w:pPr>
          </w:p>
        </w:tc>
        <w:tc>
          <w:tcPr>
            <w:tcW w:w="544" w:type="dxa"/>
            <w:vMerge w:val="continue"/>
            <w:tcBorders>
              <w:top w:val="nil"/>
            </w:tcBorders>
            <w:textDirection w:val="tbRlV"/>
            <w:vAlign w:val="top"/>
          </w:tcPr>
          <w:p w14:paraId="606C4305">
            <w:pPr>
              <w:rPr>
                <w:rFonts w:ascii="Arial"/>
                <w:color w:val="auto"/>
                <w:sz w:val="21"/>
                <w:highlight w:val="none"/>
              </w:rPr>
            </w:pPr>
          </w:p>
        </w:tc>
        <w:tc>
          <w:tcPr>
            <w:tcW w:w="1264" w:type="dxa"/>
            <w:vAlign w:val="top"/>
          </w:tcPr>
          <w:p w14:paraId="033745BA">
            <w:pPr>
              <w:pStyle w:val="17"/>
              <w:spacing w:before="173" w:line="227" w:lineRule="auto"/>
              <w:ind w:left="217"/>
              <w:rPr>
                <w:color w:val="auto"/>
                <w:highlight w:val="none"/>
              </w:rPr>
            </w:pPr>
            <w:r>
              <w:rPr>
                <w:color w:val="auto"/>
                <w:spacing w:val="7"/>
                <w:highlight w:val="none"/>
              </w:rPr>
              <w:t>证书名称</w:t>
            </w:r>
          </w:p>
        </w:tc>
        <w:tc>
          <w:tcPr>
            <w:tcW w:w="791" w:type="dxa"/>
            <w:vAlign w:val="top"/>
          </w:tcPr>
          <w:p w14:paraId="7BBF1E30">
            <w:pPr>
              <w:pStyle w:val="17"/>
              <w:spacing w:before="174" w:line="228" w:lineRule="auto"/>
              <w:ind w:left="195"/>
              <w:rPr>
                <w:color w:val="auto"/>
                <w:highlight w:val="none"/>
              </w:rPr>
            </w:pPr>
            <w:r>
              <w:rPr>
                <w:color w:val="auto"/>
                <w:spacing w:val="3"/>
                <w:highlight w:val="none"/>
              </w:rPr>
              <w:t>级别</w:t>
            </w:r>
          </w:p>
        </w:tc>
        <w:tc>
          <w:tcPr>
            <w:tcW w:w="971" w:type="dxa"/>
            <w:vAlign w:val="top"/>
          </w:tcPr>
          <w:p w14:paraId="7308F15F">
            <w:pPr>
              <w:pStyle w:val="17"/>
              <w:spacing w:before="174" w:line="229" w:lineRule="auto"/>
              <w:ind w:left="282"/>
              <w:rPr>
                <w:color w:val="auto"/>
                <w:highlight w:val="none"/>
              </w:rPr>
            </w:pPr>
            <w:r>
              <w:rPr>
                <w:color w:val="auto"/>
                <w:spacing w:val="4"/>
                <w:highlight w:val="none"/>
              </w:rPr>
              <w:t>证号</w:t>
            </w:r>
          </w:p>
        </w:tc>
        <w:tc>
          <w:tcPr>
            <w:tcW w:w="1266" w:type="dxa"/>
            <w:vMerge w:val="continue"/>
            <w:tcBorders>
              <w:top w:val="nil"/>
            </w:tcBorders>
            <w:vAlign w:val="top"/>
          </w:tcPr>
          <w:p w14:paraId="462E82BB">
            <w:pPr>
              <w:rPr>
                <w:rFonts w:ascii="Arial"/>
                <w:color w:val="auto"/>
                <w:sz w:val="21"/>
                <w:highlight w:val="none"/>
              </w:rPr>
            </w:pPr>
          </w:p>
        </w:tc>
      </w:tr>
      <w:tr w14:paraId="1783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vAlign w:val="top"/>
          </w:tcPr>
          <w:p w14:paraId="616DD468">
            <w:pPr>
              <w:rPr>
                <w:rFonts w:ascii="Arial"/>
                <w:color w:val="auto"/>
                <w:sz w:val="21"/>
                <w:highlight w:val="none"/>
              </w:rPr>
            </w:pPr>
          </w:p>
        </w:tc>
        <w:tc>
          <w:tcPr>
            <w:tcW w:w="1421" w:type="dxa"/>
            <w:vAlign w:val="top"/>
          </w:tcPr>
          <w:p w14:paraId="76947E57">
            <w:pPr>
              <w:rPr>
                <w:rFonts w:ascii="Arial"/>
                <w:color w:val="auto"/>
                <w:sz w:val="21"/>
                <w:highlight w:val="none"/>
              </w:rPr>
            </w:pPr>
          </w:p>
        </w:tc>
        <w:tc>
          <w:tcPr>
            <w:tcW w:w="1005" w:type="dxa"/>
            <w:vAlign w:val="top"/>
          </w:tcPr>
          <w:p w14:paraId="157DF448">
            <w:pPr>
              <w:rPr>
                <w:rFonts w:ascii="Arial"/>
                <w:color w:val="auto"/>
                <w:sz w:val="21"/>
                <w:highlight w:val="none"/>
              </w:rPr>
            </w:pPr>
          </w:p>
        </w:tc>
        <w:tc>
          <w:tcPr>
            <w:tcW w:w="775" w:type="dxa"/>
            <w:vAlign w:val="top"/>
          </w:tcPr>
          <w:p w14:paraId="6B4D400E">
            <w:pPr>
              <w:rPr>
                <w:rFonts w:ascii="Arial"/>
                <w:color w:val="auto"/>
                <w:sz w:val="21"/>
                <w:highlight w:val="none"/>
              </w:rPr>
            </w:pPr>
          </w:p>
        </w:tc>
        <w:tc>
          <w:tcPr>
            <w:tcW w:w="544" w:type="dxa"/>
            <w:vAlign w:val="top"/>
          </w:tcPr>
          <w:p w14:paraId="0C649877">
            <w:pPr>
              <w:rPr>
                <w:rFonts w:ascii="Arial"/>
                <w:color w:val="auto"/>
                <w:sz w:val="21"/>
                <w:highlight w:val="none"/>
              </w:rPr>
            </w:pPr>
          </w:p>
        </w:tc>
        <w:tc>
          <w:tcPr>
            <w:tcW w:w="1264" w:type="dxa"/>
            <w:vAlign w:val="top"/>
          </w:tcPr>
          <w:p w14:paraId="5B3CC64D">
            <w:pPr>
              <w:rPr>
                <w:rFonts w:ascii="Arial"/>
                <w:color w:val="auto"/>
                <w:sz w:val="21"/>
                <w:highlight w:val="none"/>
              </w:rPr>
            </w:pPr>
          </w:p>
        </w:tc>
        <w:tc>
          <w:tcPr>
            <w:tcW w:w="791" w:type="dxa"/>
            <w:vAlign w:val="top"/>
          </w:tcPr>
          <w:p w14:paraId="026B6974">
            <w:pPr>
              <w:rPr>
                <w:rFonts w:ascii="Arial"/>
                <w:color w:val="auto"/>
                <w:sz w:val="21"/>
                <w:highlight w:val="none"/>
              </w:rPr>
            </w:pPr>
          </w:p>
        </w:tc>
        <w:tc>
          <w:tcPr>
            <w:tcW w:w="971" w:type="dxa"/>
            <w:vAlign w:val="top"/>
          </w:tcPr>
          <w:p w14:paraId="67E1A124">
            <w:pPr>
              <w:rPr>
                <w:rFonts w:ascii="Arial"/>
                <w:color w:val="auto"/>
                <w:sz w:val="21"/>
                <w:highlight w:val="none"/>
              </w:rPr>
            </w:pPr>
          </w:p>
        </w:tc>
        <w:tc>
          <w:tcPr>
            <w:tcW w:w="1266" w:type="dxa"/>
            <w:vAlign w:val="top"/>
          </w:tcPr>
          <w:p w14:paraId="0E9A1454">
            <w:pPr>
              <w:rPr>
                <w:rFonts w:ascii="Arial"/>
                <w:color w:val="auto"/>
                <w:sz w:val="21"/>
                <w:highlight w:val="none"/>
              </w:rPr>
            </w:pPr>
          </w:p>
        </w:tc>
      </w:tr>
      <w:tr w14:paraId="2DE25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vAlign w:val="top"/>
          </w:tcPr>
          <w:p w14:paraId="24836726">
            <w:pPr>
              <w:rPr>
                <w:rFonts w:ascii="Arial"/>
                <w:color w:val="auto"/>
                <w:sz w:val="21"/>
                <w:highlight w:val="none"/>
              </w:rPr>
            </w:pPr>
          </w:p>
        </w:tc>
        <w:tc>
          <w:tcPr>
            <w:tcW w:w="1421" w:type="dxa"/>
            <w:vAlign w:val="top"/>
          </w:tcPr>
          <w:p w14:paraId="69504510">
            <w:pPr>
              <w:rPr>
                <w:rFonts w:ascii="Arial"/>
                <w:color w:val="auto"/>
                <w:sz w:val="21"/>
                <w:highlight w:val="none"/>
              </w:rPr>
            </w:pPr>
          </w:p>
        </w:tc>
        <w:tc>
          <w:tcPr>
            <w:tcW w:w="1005" w:type="dxa"/>
            <w:vAlign w:val="top"/>
          </w:tcPr>
          <w:p w14:paraId="19F7AC39">
            <w:pPr>
              <w:rPr>
                <w:rFonts w:ascii="Arial"/>
                <w:color w:val="auto"/>
                <w:sz w:val="21"/>
                <w:highlight w:val="none"/>
              </w:rPr>
            </w:pPr>
          </w:p>
        </w:tc>
        <w:tc>
          <w:tcPr>
            <w:tcW w:w="775" w:type="dxa"/>
            <w:vAlign w:val="top"/>
          </w:tcPr>
          <w:p w14:paraId="52FA825C">
            <w:pPr>
              <w:rPr>
                <w:rFonts w:ascii="Arial"/>
                <w:color w:val="auto"/>
                <w:sz w:val="21"/>
                <w:highlight w:val="none"/>
              </w:rPr>
            </w:pPr>
          </w:p>
        </w:tc>
        <w:tc>
          <w:tcPr>
            <w:tcW w:w="544" w:type="dxa"/>
            <w:vAlign w:val="top"/>
          </w:tcPr>
          <w:p w14:paraId="05E30752">
            <w:pPr>
              <w:rPr>
                <w:rFonts w:ascii="Arial"/>
                <w:color w:val="auto"/>
                <w:sz w:val="21"/>
                <w:highlight w:val="none"/>
              </w:rPr>
            </w:pPr>
          </w:p>
        </w:tc>
        <w:tc>
          <w:tcPr>
            <w:tcW w:w="1264" w:type="dxa"/>
            <w:vAlign w:val="top"/>
          </w:tcPr>
          <w:p w14:paraId="28AB3410">
            <w:pPr>
              <w:rPr>
                <w:rFonts w:ascii="Arial"/>
                <w:color w:val="auto"/>
                <w:sz w:val="21"/>
                <w:highlight w:val="none"/>
              </w:rPr>
            </w:pPr>
          </w:p>
        </w:tc>
        <w:tc>
          <w:tcPr>
            <w:tcW w:w="791" w:type="dxa"/>
            <w:vAlign w:val="top"/>
          </w:tcPr>
          <w:p w14:paraId="3C717CE6">
            <w:pPr>
              <w:rPr>
                <w:rFonts w:ascii="Arial"/>
                <w:color w:val="auto"/>
                <w:sz w:val="21"/>
                <w:highlight w:val="none"/>
              </w:rPr>
            </w:pPr>
          </w:p>
        </w:tc>
        <w:tc>
          <w:tcPr>
            <w:tcW w:w="971" w:type="dxa"/>
            <w:vAlign w:val="top"/>
          </w:tcPr>
          <w:p w14:paraId="02195F56">
            <w:pPr>
              <w:rPr>
                <w:rFonts w:ascii="Arial"/>
                <w:color w:val="auto"/>
                <w:sz w:val="21"/>
                <w:highlight w:val="none"/>
              </w:rPr>
            </w:pPr>
          </w:p>
        </w:tc>
        <w:tc>
          <w:tcPr>
            <w:tcW w:w="1266" w:type="dxa"/>
            <w:vAlign w:val="top"/>
          </w:tcPr>
          <w:p w14:paraId="0382B878">
            <w:pPr>
              <w:rPr>
                <w:rFonts w:ascii="Arial"/>
                <w:color w:val="auto"/>
                <w:sz w:val="21"/>
                <w:highlight w:val="none"/>
              </w:rPr>
            </w:pPr>
          </w:p>
        </w:tc>
      </w:tr>
      <w:tr w14:paraId="2A450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32DBAC61">
            <w:pPr>
              <w:rPr>
                <w:rFonts w:ascii="Arial"/>
                <w:color w:val="auto"/>
                <w:sz w:val="21"/>
                <w:highlight w:val="none"/>
              </w:rPr>
            </w:pPr>
          </w:p>
        </w:tc>
        <w:tc>
          <w:tcPr>
            <w:tcW w:w="1421" w:type="dxa"/>
            <w:vAlign w:val="top"/>
          </w:tcPr>
          <w:p w14:paraId="3A96DDD0">
            <w:pPr>
              <w:rPr>
                <w:rFonts w:ascii="Arial"/>
                <w:color w:val="auto"/>
                <w:sz w:val="21"/>
                <w:highlight w:val="none"/>
              </w:rPr>
            </w:pPr>
          </w:p>
        </w:tc>
        <w:tc>
          <w:tcPr>
            <w:tcW w:w="1005" w:type="dxa"/>
            <w:vAlign w:val="top"/>
          </w:tcPr>
          <w:p w14:paraId="5346A238">
            <w:pPr>
              <w:rPr>
                <w:rFonts w:ascii="Arial"/>
                <w:color w:val="auto"/>
                <w:sz w:val="21"/>
                <w:highlight w:val="none"/>
              </w:rPr>
            </w:pPr>
          </w:p>
        </w:tc>
        <w:tc>
          <w:tcPr>
            <w:tcW w:w="775" w:type="dxa"/>
            <w:vAlign w:val="top"/>
          </w:tcPr>
          <w:p w14:paraId="24247256">
            <w:pPr>
              <w:rPr>
                <w:rFonts w:ascii="Arial"/>
                <w:color w:val="auto"/>
                <w:sz w:val="21"/>
                <w:highlight w:val="none"/>
              </w:rPr>
            </w:pPr>
          </w:p>
        </w:tc>
        <w:tc>
          <w:tcPr>
            <w:tcW w:w="544" w:type="dxa"/>
            <w:vAlign w:val="top"/>
          </w:tcPr>
          <w:p w14:paraId="77E38FF3">
            <w:pPr>
              <w:rPr>
                <w:rFonts w:ascii="Arial"/>
                <w:color w:val="auto"/>
                <w:sz w:val="21"/>
                <w:highlight w:val="none"/>
              </w:rPr>
            </w:pPr>
          </w:p>
        </w:tc>
        <w:tc>
          <w:tcPr>
            <w:tcW w:w="1264" w:type="dxa"/>
            <w:vAlign w:val="top"/>
          </w:tcPr>
          <w:p w14:paraId="622072C4">
            <w:pPr>
              <w:rPr>
                <w:rFonts w:ascii="Arial"/>
                <w:color w:val="auto"/>
                <w:sz w:val="21"/>
                <w:highlight w:val="none"/>
              </w:rPr>
            </w:pPr>
          </w:p>
        </w:tc>
        <w:tc>
          <w:tcPr>
            <w:tcW w:w="791" w:type="dxa"/>
            <w:vAlign w:val="top"/>
          </w:tcPr>
          <w:p w14:paraId="1ABE5536">
            <w:pPr>
              <w:rPr>
                <w:rFonts w:ascii="Arial"/>
                <w:color w:val="auto"/>
                <w:sz w:val="21"/>
                <w:highlight w:val="none"/>
              </w:rPr>
            </w:pPr>
          </w:p>
        </w:tc>
        <w:tc>
          <w:tcPr>
            <w:tcW w:w="971" w:type="dxa"/>
            <w:vAlign w:val="top"/>
          </w:tcPr>
          <w:p w14:paraId="605DA461">
            <w:pPr>
              <w:rPr>
                <w:rFonts w:ascii="Arial"/>
                <w:color w:val="auto"/>
                <w:sz w:val="21"/>
                <w:highlight w:val="none"/>
              </w:rPr>
            </w:pPr>
          </w:p>
        </w:tc>
        <w:tc>
          <w:tcPr>
            <w:tcW w:w="1266" w:type="dxa"/>
            <w:vAlign w:val="top"/>
          </w:tcPr>
          <w:p w14:paraId="030D8DCE">
            <w:pPr>
              <w:rPr>
                <w:rFonts w:ascii="Arial"/>
                <w:color w:val="auto"/>
                <w:sz w:val="21"/>
                <w:highlight w:val="none"/>
              </w:rPr>
            </w:pPr>
          </w:p>
        </w:tc>
      </w:tr>
      <w:tr w14:paraId="4129D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435346FE">
            <w:pPr>
              <w:rPr>
                <w:rFonts w:ascii="Arial"/>
                <w:color w:val="auto"/>
                <w:sz w:val="21"/>
                <w:highlight w:val="none"/>
              </w:rPr>
            </w:pPr>
          </w:p>
        </w:tc>
        <w:tc>
          <w:tcPr>
            <w:tcW w:w="1421" w:type="dxa"/>
            <w:vAlign w:val="top"/>
          </w:tcPr>
          <w:p w14:paraId="65B3EC1C">
            <w:pPr>
              <w:rPr>
                <w:rFonts w:ascii="Arial"/>
                <w:color w:val="auto"/>
                <w:sz w:val="21"/>
                <w:highlight w:val="none"/>
              </w:rPr>
            </w:pPr>
          </w:p>
        </w:tc>
        <w:tc>
          <w:tcPr>
            <w:tcW w:w="1005" w:type="dxa"/>
            <w:vAlign w:val="top"/>
          </w:tcPr>
          <w:p w14:paraId="287C8E90">
            <w:pPr>
              <w:rPr>
                <w:rFonts w:ascii="Arial"/>
                <w:color w:val="auto"/>
                <w:sz w:val="21"/>
                <w:highlight w:val="none"/>
              </w:rPr>
            </w:pPr>
          </w:p>
        </w:tc>
        <w:tc>
          <w:tcPr>
            <w:tcW w:w="775" w:type="dxa"/>
            <w:vAlign w:val="top"/>
          </w:tcPr>
          <w:p w14:paraId="018C8047">
            <w:pPr>
              <w:rPr>
                <w:rFonts w:ascii="Arial"/>
                <w:color w:val="auto"/>
                <w:sz w:val="21"/>
                <w:highlight w:val="none"/>
              </w:rPr>
            </w:pPr>
          </w:p>
        </w:tc>
        <w:tc>
          <w:tcPr>
            <w:tcW w:w="544" w:type="dxa"/>
            <w:vAlign w:val="top"/>
          </w:tcPr>
          <w:p w14:paraId="725AFAD6">
            <w:pPr>
              <w:rPr>
                <w:rFonts w:ascii="Arial"/>
                <w:color w:val="auto"/>
                <w:sz w:val="21"/>
                <w:highlight w:val="none"/>
              </w:rPr>
            </w:pPr>
          </w:p>
        </w:tc>
        <w:tc>
          <w:tcPr>
            <w:tcW w:w="1264" w:type="dxa"/>
            <w:vAlign w:val="top"/>
          </w:tcPr>
          <w:p w14:paraId="1D589BE2">
            <w:pPr>
              <w:rPr>
                <w:rFonts w:ascii="Arial"/>
                <w:color w:val="auto"/>
                <w:sz w:val="21"/>
                <w:highlight w:val="none"/>
              </w:rPr>
            </w:pPr>
          </w:p>
        </w:tc>
        <w:tc>
          <w:tcPr>
            <w:tcW w:w="791" w:type="dxa"/>
            <w:vAlign w:val="top"/>
          </w:tcPr>
          <w:p w14:paraId="17FC5660">
            <w:pPr>
              <w:rPr>
                <w:rFonts w:ascii="Arial"/>
                <w:color w:val="auto"/>
                <w:sz w:val="21"/>
                <w:highlight w:val="none"/>
              </w:rPr>
            </w:pPr>
          </w:p>
        </w:tc>
        <w:tc>
          <w:tcPr>
            <w:tcW w:w="971" w:type="dxa"/>
            <w:vAlign w:val="top"/>
          </w:tcPr>
          <w:p w14:paraId="0BC87A24">
            <w:pPr>
              <w:rPr>
                <w:rFonts w:ascii="Arial"/>
                <w:color w:val="auto"/>
                <w:sz w:val="21"/>
                <w:highlight w:val="none"/>
              </w:rPr>
            </w:pPr>
          </w:p>
        </w:tc>
        <w:tc>
          <w:tcPr>
            <w:tcW w:w="1266" w:type="dxa"/>
            <w:vAlign w:val="top"/>
          </w:tcPr>
          <w:p w14:paraId="37555832">
            <w:pPr>
              <w:rPr>
                <w:rFonts w:ascii="Arial"/>
                <w:color w:val="auto"/>
                <w:sz w:val="21"/>
                <w:highlight w:val="none"/>
              </w:rPr>
            </w:pPr>
          </w:p>
        </w:tc>
      </w:tr>
      <w:tr w14:paraId="277A8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4E329271">
            <w:pPr>
              <w:rPr>
                <w:rFonts w:ascii="Arial"/>
                <w:color w:val="auto"/>
                <w:sz w:val="21"/>
                <w:highlight w:val="none"/>
              </w:rPr>
            </w:pPr>
          </w:p>
        </w:tc>
        <w:tc>
          <w:tcPr>
            <w:tcW w:w="1421" w:type="dxa"/>
            <w:vAlign w:val="top"/>
          </w:tcPr>
          <w:p w14:paraId="7766763E">
            <w:pPr>
              <w:rPr>
                <w:rFonts w:ascii="Arial"/>
                <w:color w:val="auto"/>
                <w:sz w:val="21"/>
                <w:highlight w:val="none"/>
              </w:rPr>
            </w:pPr>
          </w:p>
        </w:tc>
        <w:tc>
          <w:tcPr>
            <w:tcW w:w="1005" w:type="dxa"/>
            <w:vAlign w:val="top"/>
          </w:tcPr>
          <w:p w14:paraId="4D969879">
            <w:pPr>
              <w:rPr>
                <w:rFonts w:ascii="Arial"/>
                <w:color w:val="auto"/>
                <w:sz w:val="21"/>
                <w:highlight w:val="none"/>
              </w:rPr>
            </w:pPr>
          </w:p>
        </w:tc>
        <w:tc>
          <w:tcPr>
            <w:tcW w:w="775" w:type="dxa"/>
            <w:vAlign w:val="top"/>
          </w:tcPr>
          <w:p w14:paraId="57FA7087">
            <w:pPr>
              <w:rPr>
                <w:rFonts w:ascii="Arial"/>
                <w:color w:val="auto"/>
                <w:sz w:val="21"/>
                <w:highlight w:val="none"/>
              </w:rPr>
            </w:pPr>
          </w:p>
        </w:tc>
        <w:tc>
          <w:tcPr>
            <w:tcW w:w="544" w:type="dxa"/>
            <w:vAlign w:val="top"/>
          </w:tcPr>
          <w:p w14:paraId="6956BA93">
            <w:pPr>
              <w:rPr>
                <w:rFonts w:ascii="Arial"/>
                <w:color w:val="auto"/>
                <w:sz w:val="21"/>
                <w:highlight w:val="none"/>
              </w:rPr>
            </w:pPr>
          </w:p>
        </w:tc>
        <w:tc>
          <w:tcPr>
            <w:tcW w:w="1264" w:type="dxa"/>
            <w:vAlign w:val="top"/>
          </w:tcPr>
          <w:p w14:paraId="4E89666E">
            <w:pPr>
              <w:rPr>
                <w:rFonts w:ascii="Arial"/>
                <w:color w:val="auto"/>
                <w:sz w:val="21"/>
                <w:highlight w:val="none"/>
              </w:rPr>
            </w:pPr>
          </w:p>
        </w:tc>
        <w:tc>
          <w:tcPr>
            <w:tcW w:w="791" w:type="dxa"/>
            <w:vAlign w:val="top"/>
          </w:tcPr>
          <w:p w14:paraId="6BDC44D8">
            <w:pPr>
              <w:rPr>
                <w:rFonts w:ascii="Arial"/>
                <w:color w:val="auto"/>
                <w:sz w:val="21"/>
                <w:highlight w:val="none"/>
              </w:rPr>
            </w:pPr>
          </w:p>
        </w:tc>
        <w:tc>
          <w:tcPr>
            <w:tcW w:w="971" w:type="dxa"/>
            <w:vAlign w:val="top"/>
          </w:tcPr>
          <w:p w14:paraId="01276AC5">
            <w:pPr>
              <w:rPr>
                <w:rFonts w:ascii="Arial"/>
                <w:color w:val="auto"/>
                <w:sz w:val="21"/>
                <w:highlight w:val="none"/>
              </w:rPr>
            </w:pPr>
          </w:p>
        </w:tc>
        <w:tc>
          <w:tcPr>
            <w:tcW w:w="1266" w:type="dxa"/>
            <w:vAlign w:val="top"/>
          </w:tcPr>
          <w:p w14:paraId="25C5723A">
            <w:pPr>
              <w:rPr>
                <w:rFonts w:ascii="Arial"/>
                <w:color w:val="auto"/>
                <w:sz w:val="21"/>
                <w:highlight w:val="none"/>
              </w:rPr>
            </w:pPr>
          </w:p>
        </w:tc>
      </w:tr>
      <w:tr w14:paraId="387A1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285D9B77">
            <w:pPr>
              <w:rPr>
                <w:rFonts w:ascii="Arial"/>
                <w:color w:val="auto"/>
                <w:sz w:val="21"/>
                <w:highlight w:val="none"/>
              </w:rPr>
            </w:pPr>
          </w:p>
        </w:tc>
        <w:tc>
          <w:tcPr>
            <w:tcW w:w="1421" w:type="dxa"/>
            <w:vAlign w:val="top"/>
          </w:tcPr>
          <w:p w14:paraId="12C236EC">
            <w:pPr>
              <w:rPr>
                <w:rFonts w:ascii="Arial"/>
                <w:color w:val="auto"/>
                <w:sz w:val="21"/>
                <w:highlight w:val="none"/>
              </w:rPr>
            </w:pPr>
          </w:p>
        </w:tc>
        <w:tc>
          <w:tcPr>
            <w:tcW w:w="1005" w:type="dxa"/>
            <w:vAlign w:val="top"/>
          </w:tcPr>
          <w:p w14:paraId="39B3BA0C">
            <w:pPr>
              <w:rPr>
                <w:rFonts w:ascii="Arial"/>
                <w:color w:val="auto"/>
                <w:sz w:val="21"/>
                <w:highlight w:val="none"/>
              </w:rPr>
            </w:pPr>
          </w:p>
        </w:tc>
        <w:tc>
          <w:tcPr>
            <w:tcW w:w="775" w:type="dxa"/>
            <w:vAlign w:val="top"/>
          </w:tcPr>
          <w:p w14:paraId="0AF1CFEC">
            <w:pPr>
              <w:rPr>
                <w:rFonts w:ascii="Arial"/>
                <w:color w:val="auto"/>
                <w:sz w:val="21"/>
                <w:highlight w:val="none"/>
              </w:rPr>
            </w:pPr>
          </w:p>
        </w:tc>
        <w:tc>
          <w:tcPr>
            <w:tcW w:w="544" w:type="dxa"/>
            <w:vAlign w:val="top"/>
          </w:tcPr>
          <w:p w14:paraId="1957D2E6">
            <w:pPr>
              <w:rPr>
                <w:rFonts w:ascii="Arial"/>
                <w:color w:val="auto"/>
                <w:sz w:val="21"/>
                <w:highlight w:val="none"/>
              </w:rPr>
            </w:pPr>
          </w:p>
        </w:tc>
        <w:tc>
          <w:tcPr>
            <w:tcW w:w="1264" w:type="dxa"/>
            <w:vAlign w:val="top"/>
          </w:tcPr>
          <w:p w14:paraId="765C4EA7">
            <w:pPr>
              <w:rPr>
                <w:rFonts w:ascii="Arial"/>
                <w:color w:val="auto"/>
                <w:sz w:val="21"/>
                <w:highlight w:val="none"/>
              </w:rPr>
            </w:pPr>
          </w:p>
        </w:tc>
        <w:tc>
          <w:tcPr>
            <w:tcW w:w="791" w:type="dxa"/>
            <w:vAlign w:val="top"/>
          </w:tcPr>
          <w:p w14:paraId="28A8B2F6">
            <w:pPr>
              <w:rPr>
                <w:rFonts w:ascii="Arial"/>
                <w:color w:val="auto"/>
                <w:sz w:val="21"/>
                <w:highlight w:val="none"/>
              </w:rPr>
            </w:pPr>
          </w:p>
        </w:tc>
        <w:tc>
          <w:tcPr>
            <w:tcW w:w="971" w:type="dxa"/>
            <w:vAlign w:val="top"/>
          </w:tcPr>
          <w:p w14:paraId="4F33964D">
            <w:pPr>
              <w:rPr>
                <w:rFonts w:ascii="Arial"/>
                <w:color w:val="auto"/>
                <w:sz w:val="21"/>
                <w:highlight w:val="none"/>
              </w:rPr>
            </w:pPr>
          </w:p>
        </w:tc>
        <w:tc>
          <w:tcPr>
            <w:tcW w:w="1266" w:type="dxa"/>
            <w:vAlign w:val="top"/>
          </w:tcPr>
          <w:p w14:paraId="701D3129">
            <w:pPr>
              <w:rPr>
                <w:rFonts w:ascii="Arial"/>
                <w:color w:val="auto"/>
                <w:sz w:val="21"/>
                <w:highlight w:val="none"/>
              </w:rPr>
            </w:pPr>
          </w:p>
        </w:tc>
      </w:tr>
      <w:tr w14:paraId="2B0CB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0CE24696">
            <w:pPr>
              <w:rPr>
                <w:rFonts w:ascii="Arial"/>
                <w:color w:val="auto"/>
                <w:sz w:val="21"/>
                <w:highlight w:val="none"/>
              </w:rPr>
            </w:pPr>
          </w:p>
        </w:tc>
        <w:tc>
          <w:tcPr>
            <w:tcW w:w="1421" w:type="dxa"/>
            <w:vAlign w:val="top"/>
          </w:tcPr>
          <w:p w14:paraId="003262B3">
            <w:pPr>
              <w:rPr>
                <w:rFonts w:ascii="Arial"/>
                <w:color w:val="auto"/>
                <w:sz w:val="21"/>
                <w:highlight w:val="none"/>
              </w:rPr>
            </w:pPr>
          </w:p>
        </w:tc>
        <w:tc>
          <w:tcPr>
            <w:tcW w:w="1005" w:type="dxa"/>
            <w:vAlign w:val="top"/>
          </w:tcPr>
          <w:p w14:paraId="547480D6">
            <w:pPr>
              <w:rPr>
                <w:rFonts w:ascii="Arial"/>
                <w:color w:val="auto"/>
                <w:sz w:val="21"/>
                <w:highlight w:val="none"/>
              </w:rPr>
            </w:pPr>
          </w:p>
        </w:tc>
        <w:tc>
          <w:tcPr>
            <w:tcW w:w="775" w:type="dxa"/>
            <w:vAlign w:val="top"/>
          </w:tcPr>
          <w:p w14:paraId="3BC022C3">
            <w:pPr>
              <w:rPr>
                <w:rFonts w:ascii="Arial"/>
                <w:color w:val="auto"/>
                <w:sz w:val="21"/>
                <w:highlight w:val="none"/>
              </w:rPr>
            </w:pPr>
          </w:p>
        </w:tc>
        <w:tc>
          <w:tcPr>
            <w:tcW w:w="544" w:type="dxa"/>
            <w:vAlign w:val="top"/>
          </w:tcPr>
          <w:p w14:paraId="53D41577">
            <w:pPr>
              <w:rPr>
                <w:rFonts w:ascii="Arial"/>
                <w:color w:val="auto"/>
                <w:sz w:val="21"/>
                <w:highlight w:val="none"/>
              </w:rPr>
            </w:pPr>
          </w:p>
        </w:tc>
        <w:tc>
          <w:tcPr>
            <w:tcW w:w="1264" w:type="dxa"/>
            <w:vAlign w:val="top"/>
          </w:tcPr>
          <w:p w14:paraId="79F187DA">
            <w:pPr>
              <w:rPr>
                <w:rFonts w:ascii="Arial"/>
                <w:color w:val="auto"/>
                <w:sz w:val="21"/>
                <w:highlight w:val="none"/>
              </w:rPr>
            </w:pPr>
          </w:p>
        </w:tc>
        <w:tc>
          <w:tcPr>
            <w:tcW w:w="791" w:type="dxa"/>
            <w:vAlign w:val="top"/>
          </w:tcPr>
          <w:p w14:paraId="44144795">
            <w:pPr>
              <w:rPr>
                <w:rFonts w:ascii="Arial"/>
                <w:color w:val="auto"/>
                <w:sz w:val="21"/>
                <w:highlight w:val="none"/>
              </w:rPr>
            </w:pPr>
          </w:p>
        </w:tc>
        <w:tc>
          <w:tcPr>
            <w:tcW w:w="971" w:type="dxa"/>
            <w:vAlign w:val="top"/>
          </w:tcPr>
          <w:p w14:paraId="138E7410">
            <w:pPr>
              <w:rPr>
                <w:rFonts w:ascii="Arial"/>
                <w:color w:val="auto"/>
                <w:sz w:val="21"/>
                <w:highlight w:val="none"/>
              </w:rPr>
            </w:pPr>
          </w:p>
        </w:tc>
        <w:tc>
          <w:tcPr>
            <w:tcW w:w="1266" w:type="dxa"/>
            <w:vAlign w:val="top"/>
          </w:tcPr>
          <w:p w14:paraId="6DD7D956">
            <w:pPr>
              <w:rPr>
                <w:rFonts w:ascii="Arial"/>
                <w:color w:val="auto"/>
                <w:sz w:val="21"/>
                <w:highlight w:val="none"/>
              </w:rPr>
            </w:pPr>
          </w:p>
        </w:tc>
      </w:tr>
      <w:tr w14:paraId="47128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7B77E893">
            <w:pPr>
              <w:rPr>
                <w:rFonts w:ascii="Arial"/>
                <w:color w:val="auto"/>
                <w:sz w:val="21"/>
                <w:highlight w:val="none"/>
              </w:rPr>
            </w:pPr>
          </w:p>
        </w:tc>
        <w:tc>
          <w:tcPr>
            <w:tcW w:w="1421" w:type="dxa"/>
            <w:vAlign w:val="top"/>
          </w:tcPr>
          <w:p w14:paraId="2768ECD1">
            <w:pPr>
              <w:rPr>
                <w:rFonts w:ascii="Arial"/>
                <w:color w:val="auto"/>
                <w:sz w:val="21"/>
                <w:highlight w:val="none"/>
              </w:rPr>
            </w:pPr>
          </w:p>
        </w:tc>
        <w:tc>
          <w:tcPr>
            <w:tcW w:w="1005" w:type="dxa"/>
            <w:vAlign w:val="top"/>
          </w:tcPr>
          <w:p w14:paraId="266C3BFF">
            <w:pPr>
              <w:rPr>
                <w:rFonts w:ascii="Arial"/>
                <w:color w:val="auto"/>
                <w:sz w:val="21"/>
                <w:highlight w:val="none"/>
              </w:rPr>
            </w:pPr>
          </w:p>
        </w:tc>
        <w:tc>
          <w:tcPr>
            <w:tcW w:w="775" w:type="dxa"/>
            <w:vAlign w:val="top"/>
          </w:tcPr>
          <w:p w14:paraId="499DE42F">
            <w:pPr>
              <w:rPr>
                <w:rFonts w:ascii="Arial"/>
                <w:color w:val="auto"/>
                <w:sz w:val="21"/>
                <w:highlight w:val="none"/>
              </w:rPr>
            </w:pPr>
          </w:p>
        </w:tc>
        <w:tc>
          <w:tcPr>
            <w:tcW w:w="544" w:type="dxa"/>
            <w:vAlign w:val="top"/>
          </w:tcPr>
          <w:p w14:paraId="52AFB137">
            <w:pPr>
              <w:rPr>
                <w:rFonts w:ascii="Arial"/>
                <w:color w:val="auto"/>
                <w:sz w:val="21"/>
                <w:highlight w:val="none"/>
              </w:rPr>
            </w:pPr>
          </w:p>
        </w:tc>
        <w:tc>
          <w:tcPr>
            <w:tcW w:w="1264" w:type="dxa"/>
            <w:vAlign w:val="top"/>
          </w:tcPr>
          <w:p w14:paraId="07A214E7">
            <w:pPr>
              <w:rPr>
                <w:rFonts w:ascii="Arial"/>
                <w:color w:val="auto"/>
                <w:sz w:val="21"/>
                <w:highlight w:val="none"/>
              </w:rPr>
            </w:pPr>
          </w:p>
        </w:tc>
        <w:tc>
          <w:tcPr>
            <w:tcW w:w="791" w:type="dxa"/>
            <w:vAlign w:val="top"/>
          </w:tcPr>
          <w:p w14:paraId="4A33016E">
            <w:pPr>
              <w:rPr>
                <w:rFonts w:ascii="Arial"/>
                <w:color w:val="auto"/>
                <w:sz w:val="21"/>
                <w:highlight w:val="none"/>
              </w:rPr>
            </w:pPr>
          </w:p>
        </w:tc>
        <w:tc>
          <w:tcPr>
            <w:tcW w:w="971" w:type="dxa"/>
            <w:vAlign w:val="top"/>
          </w:tcPr>
          <w:p w14:paraId="42BDE2A3">
            <w:pPr>
              <w:rPr>
                <w:rFonts w:ascii="Arial"/>
                <w:color w:val="auto"/>
                <w:sz w:val="21"/>
                <w:highlight w:val="none"/>
              </w:rPr>
            </w:pPr>
          </w:p>
        </w:tc>
        <w:tc>
          <w:tcPr>
            <w:tcW w:w="1266" w:type="dxa"/>
            <w:vAlign w:val="top"/>
          </w:tcPr>
          <w:p w14:paraId="6B06F5DD">
            <w:pPr>
              <w:rPr>
                <w:rFonts w:ascii="Arial"/>
                <w:color w:val="auto"/>
                <w:sz w:val="21"/>
                <w:highlight w:val="none"/>
              </w:rPr>
            </w:pPr>
          </w:p>
        </w:tc>
      </w:tr>
      <w:tr w14:paraId="7F30B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0ABB75FF">
            <w:pPr>
              <w:rPr>
                <w:rFonts w:ascii="Arial"/>
                <w:color w:val="auto"/>
                <w:sz w:val="21"/>
                <w:highlight w:val="none"/>
              </w:rPr>
            </w:pPr>
          </w:p>
        </w:tc>
        <w:tc>
          <w:tcPr>
            <w:tcW w:w="1421" w:type="dxa"/>
            <w:vAlign w:val="top"/>
          </w:tcPr>
          <w:p w14:paraId="339EDC49">
            <w:pPr>
              <w:rPr>
                <w:rFonts w:ascii="Arial"/>
                <w:color w:val="auto"/>
                <w:sz w:val="21"/>
                <w:highlight w:val="none"/>
              </w:rPr>
            </w:pPr>
          </w:p>
        </w:tc>
        <w:tc>
          <w:tcPr>
            <w:tcW w:w="1005" w:type="dxa"/>
            <w:vAlign w:val="top"/>
          </w:tcPr>
          <w:p w14:paraId="578C384A">
            <w:pPr>
              <w:rPr>
                <w:rFonts w:ascii="Arial"/>
                <w:color w:val="auto"/>
                <w:sz w:val="21"/>
                <w:highlight w:val="none"/>
              </w:rPr>
            </w:pPr>
          </w:p>
        </w:tc>
        <w:tc>
          <w:tcPr>
            <w:tcW w:w="775" w:type="dxa"/>
            <w:vAlign w:val="top"/>
          </w:tcPr>
          <w:p w14:paraId="4085BA6A">
            <w:pPr>
              <w:rPr>
                <w:rFonts w:ascii="Arial"/>
                <w:color w:val="auto"/>
                <w:sz w:val="21"/>
                <w:highlight w:val="none"/>
              </w:rPr>
            </w:pPr>
          </w:p>
        </w:tc>
        <w:tc>
          <w:tcPr>
            <w:tcW w:w="544" w:type="dxa"/>
            <w:vAlign w:val="top"/>
          </w:tcPr>
          <w:p w14:paraId="79CE9F30">
            <w:pPr>
              <w:rPr>
                <w:rFonts w:ascii="Arial"/>
                <w:color w:val="auto"/>
                <w:sz w:val="21"/>
                <w:highlight w:val="none"/>
              </w:rPr>
            </w:pPr>
          </w:p>
        </w:tc>
        <w:tc>
          <w:tcPr>
            <w:tcW w:w="1264" w:type="dxa"/>
            <w:vAlign w:val="top"/>
          </w:tcPr>
          <w:p w14:paraId="21AC372F">
            <w:pPr>
              <w:rPr>
                <w:rFonts w:ascii="Arial"/>
                <w:color w:val="auto"/>
                <w:sz w:val="21"/>
                <w:highlight w:val="none"/>
              </w:rPr>
            </w:pPr>
          </w:p>
        </w:tc>
        <w:tc>
          <w:tcPr>
            <w:tcW w:w="791" w:type="dxa"/>
            <w:vAlign w:val="top"/>
          </w:tcPr>
          <w:p w14:paraId="6F68890D">
            <w:pPr>
              <w:rPr>
                <w:rFonts w:ascii="Arial"/>
                <w:color w:val="auto"/>
                <w:sz w:val="21"/>
                <w:highlight w:val="none"/>
              </w:rPr>
            </w:pPr>
          </w:p>
        </w:tc>
        <w:tc>
          <w:tcPr>
            <w:tcW w:w="971" w:type="dxa"/>
            <w:vAlign w:val="top"/>
          </w:tcPr>
          <w:p w14:paraId="2BC0727E">
            <w:pPr>
              <w:rPr>
                <w:rFonts w:ascii="Arial"/>
                <w:color w:val="auto"/>
                <w:sz w:val="21"/>
                <w:highlight w:val="none"/>
              </w:rPr>
            </w:pPr>
          </w:p>
        </w:tc>
        <w:tc>
          <w:tcPr>
            <w:tcW w:w="1266" w:type="dxa"/>
            <w:vAlign w:val="top"/>
          </w:tcPr>
          <w:p w14:paraId="2ADF4176">
            <w:pPr>
              <w:rPr>
                <w:rFonts w:ascii="Arial"/>
                <w:color w:val="auto"/>
                <w:sz w:val="21"/>
                <w:highlight w:val="none"/>
              </w:rPr>
            </w:pPr>
          </w:p>
        </w:tc>
      </w:tr>
      <w:tr w14:paraId="15107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2DD4E4F4">
            <w:pPr>
              <w:rPr>
                <w:rFonts w:ascii="Arial"/>
                <w:color w:val="auto"/>
                <w:sz w:val="21"/>
                <w:highlight w:val="none"/>
              </w:rPr>
            </w:pPr>
          </w:p>
        </w:tc>
        <w:tc>
          <w:tcPr>
            <w:tcW w:w="1421" w:type="dxa"/>
            <w:vAlign w:val="top"/>
          </w:tcPr>
          <w:p w14:paraId="2D14DD89">
            <w:pPr>
              <w:rPr>
                <w:rFonts w:ascii="Arial"/>
                <w:color w:val="auto"/>
                <w:sz w:val="21"/>
                <w:highlight w:val="none"/>
              </w:rPr>
            </w:pPr>
          </w:p>
        </w:tc>
        <w:tc>
          <w:tcPr>
            <w:tcW w:w="1005" w:type="dxa"/>
            <w:vAlign w:val="top"/>
          </w:tcPr>
          <w:p w14:paraId="4A162C4B">
            <w:pPr>
              <w:rPr>
                <w:rFonts w:ascii="Arial"/>
                <w:color w:val="auto"/>
                <w:sz w:val="21"/>
                <w:highlight w:val="none"/>
              </w:rPr>
            </w:pPr>
          </w:p>
        </w:tc>
        <w:tc>
          <w:tcPr>
            <w:tcW w:w="775" w:type="dxa"/>
            <w:vAlign w:val="top"/>
          </w:tcPr>
          <w:p w14:paraId="30D3D794">
            <w:pPr>
              <w:rPr>
                <w:rFonts w:ascii="Arial"/>
                <w:color w:val="auto"/>
                <w:sz w:val="21"/>
                <w:highlight w:val="none"/>
              </w:rPr>
            </w:pPr>
          </w:p>
        </w:tc>
        <w:tc>
          <w:tcPr>
            <w:tcW w:w="544" w:type="dxa"/>
            <w:vAlign w:val="top"/>
          </w:tcPr>
          <w:p w14:paraId="5815DBA6">
            <w:pPr>
              <w:rPr>
                <w:rFonts w:ascii="Arial"/>
                <w:color w:val="auto"/>
                <w:sz w:val="21"/>
                <w:highlight w:val="none"/>
              </w:rPr>
            </w:pPr>
          </w:p>
        </w:tc>
        <w:tc>
          <w:tcPr>
            <w:tcW w:w="1264" w:type="dxa"/>
            <w:vAlign w:val="top"/>
          </w:tcPr>
          <w:p w14:paraId="6365527A">
            <w:pPr>
              <w:rPr>
                <w:rFonts w:ascii="Arial"/>
                <w:color w:val="auto"/>
                <w:sz w:val="21"/>
                <w:highlight w:val="none"/>
              </w:rPr>
            </w:pPr>
          </w:p>
        </w:tc>
        <w:tc>
          <w:tcPr>
            <w:tcW w:w="791" w:type="dxa"/>
            <w:vAlign w:val="top"/>
          </w:tcPr>
          <w:p w14:paraId="509517C2">
            <w:pPr>
              <w:rPr>
                <w:rFonts w:ascii="Arial"/>
                <w:color w:val="auto"/>
                <w:sz w:val="21"/>
                <w:highlight w:val="none"/>
              </w:rPr>
            </w:pPr>
          </w:p>
        </w:tc>
        <w:tc>
          <w:tcPr>
            <w:tcW w:w="971" w:type="dxa"/>
            <w:vAlign w:val="top"/>
          </w:tcPr>
          <w:p w14:paraId="1F64C73A">
            <w:pPr>
              <w:rPr>
                <w:rFonts w:ascii="Arial"/>
                <w:color w:val="auto"/>
                <w:sz w:val="21"/>
                <w:highlight w:val="none"/>
              </w:rPr>
            </w:pPr>
          </w:p>
        </w:tc>
        <w:tc>
          <w:tcPr>
            <w:tcW w:w="1266" w:type="dxa"/>
            <w:vAlign w:val="top"/>
          </w:tcPr>
          <w:p w14:paraId="4CD1EC75">
            <w:pPr>
              <w:rPr>
                <w:rFonts w:ascii="Arial"/>
                <w:color w:val="auto"/>
                <w:sz w:val="21"/>
                <w:highlight w:val="none"/>
              </w:rPr>
            </w:pPr>
          </w:p>
        </w:tc>
      </w:tr>
      <w:tr w14:paraId="144AF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4948E7E5">
            <w:pPr>
              <w:rPr>
                <w:rFonts w:ascii="Arial"/>
                <w:color w:val="auto"/>
                <w:sz w:val="21"/>
                <w:highlight w:val="none"/>
              </w:rPr>
            </w:pPr>
          </w:p>
        </w:tc>
        <w:tc>
          <w:tcPr>
            <w:tcW w:w="1421" w:type="dxa"/>
            <w:vAlign w:val="top"/>
          </w:tcPr>
          <w:p w14:paraId="26BFA4FF">
            <w:pPr>
              <w:rPr>
                <w:rFonts w:ascii="Arial"/>
                <w:color w:val="auto"/>
                <w:sz w:val="21"/>
                <w:highlight w:val="none"/>
              </w:rPr>
            </w:pPr>
          </w:p>
        </w:tc>
        <w:tc>
          <w:tcPr>
            <w:tcW w:w="1005" w:type="dxa"/>
            <w:vAlign w:val="top"/>
          </w:tcPr>
          <w:p w14:paraId="5405B8A2">
            <w:pPr>
              <w:rPr>
                <w:rFonts w:ascii="Arial"/>
                <w:color w:val="auto"/>
                <w:sz w:val="21"/>
                <w:highlight w:val="none"/>
              </w:rPr>
            </w:pPr>
          </w:p>
        </w:tc>
        <w:tc>
          <w:tcPr>
            <w:tcW w:w="775" w:type="dxa"/>
            <w:vAlign w:val="top"/>
          </w:tcPr>
          <w:p w14:paraId="5E374B7B">
            <w:pPr>
              <w:rPr>
                <w:rFonts w:ascii="Arial"/>
                <w:color w:val="auto"/>
                <w:sz w:val="21"/>
                <w:highlight w:val="none"/>
              </w:rPr>
            </w:pPr>
          </w:p>
        </w:tc>
        <w:tc>
          <w:tcPr>
            <w:tcW w:w="544" w:type="dxa"/>
            <w:vAlign w:val="top"/>
          </w:tcPr>
          <w:p w14:paraId="26D40B9B">
            <w:pPr>
              <w:rPr>
                <w:rFonts w:ascii="Arial"/>
                <w:color w:val="auto"/>
                <w:sz w:val="21"/>
                <w:highlight w:val="none"/>
              </w:rPr>
            </w:pPr>
          </w:p>
        </w:tc>
        <w:tc>
          <w:tcPr>
            <w:tcW w:w="1264" w:type="dxa"/>
            <w:vAlign w:val="top"/>
          </w:tcPr>
          <w:p w14:paraId="4CF89193">
            <w:pPr>
              <w:rPr>
                <w:rFonts w:ascii="Arial"/>
                <w:color w:val="auto"/>
                <w:sz w:val="21"/>
                <w:highlight w:val="none"/>
              </w:rPr>
            </w:pPr>
          </w:p>
        </w:tc>
        <w:tc>
          <w:tcPr>
            <w:tcW w:w="791" w:type="dxa"/>
            <w:vAlign w:val="top"/>
          </w:tcPr>
          <w:p w14:paraId="7DAED9B4">
            <w:pPr>
              <w:rPr>
                <w:rFonts w:ascii="Arial"/>
                <w:color w:val="auto"/>
                <w:sz w:val="21"/>
                <w:highlight w:val="none"/>
              </w:rPr>
            </w:pPr>
          </w:p>
        </w:tc>
        <w:tc>
          <w:tcPr>
            <w:tcW w:w="971" w:type="dxa"/>
            <w:vAlign w:val="top"/>
          </w:tcPr>
          <w:p w14:paraId="10E353A7">
            <w:pPr>
              <w:rPr>
                <w:rFonts w:ascii="Arial"/>
                <w:color w:val="auto"/>
                <w:sz w:val="21"/>
                <w:highlight w:val="none"/>
              </w:rPr>
            </w:pPr>
          </w:p>
        </w:tc>
        <w:tc>
          <w:tcPr>
            <w:tcW w:w="1266" w:type="dxa"/>
            <w:vAlign w:val="top"/>
          </w:tcPr>
          <w:p w14:paraId="0FAA6E18">
            <w:pPr>
              <w:rPr>
                <w:rFonts w:ascii="Arial"/>
                <w:color w:val="auto"/>
                <w:sz w:val="21"/>
                <w:highlight w:val="none"/>
              </w:rPr>
            </w:pPr>
          </w:p>
        </w:tc>
      </w:tr>
      <w:tr w14:paraId="56DD3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3A583FA7">
            <w:pPr>
              <w:rPr>
                <w:rFonts w:ascii="Arial"/>
                <w:color w:val="auto"/>
                <w:sz w:val="21"/>
                <w:highlight w:val="none"/>
              </w:rPr>
            </w:pPr>
          </w:p>
        </w:tc>
        <w:tc>
          <w:tcPr>
            <w:tcW w:w="1421" w:type="dxa"/>
            <w:vAlign w:val="top"/>
          </w:tcPr>
          <w:p w14:paraId="0571CFC5">
            <w:pPr>
              <w:rPr>
                <w:rFonts w:ascii="Arial"/>
                <w:color w:val="auto"/>
                <w:sz w:val="21"/>
                <w:highlight w:val="none"/>
              </w:rPr>
            </w:pPr>
          </w:p>
        </w:tc>
        <w:tc>
          <w:tcPr>
            <w:tcW w:w="1005" w:type="dxa"/>
            <w:vAlign w:val="top"/>
          </w:tcPr>
          <w:p w14:paraId="6BF9AB29">
            <w:pPr>
              <w:rPr>
                <w:rFonts w:ascii="Arial"/>
                <w:color w:val="auto"/>
                <w:sz w:val="21"/>
                <w:highlight w:val="none"/>
              </w:rPr>
            </w:pPr>
          </w:p>
        </w:tc>
        <w:tc>
          <w:tcPr>
            <w:tcW w:w="775" w:type="dxa"/>
            <w:vAlign w:val="top"/>
          </w:tcPr>
          <w:p w14:paraId="32611D79">
            <w:pPr>
              <w:rPr>
                <w:rFonts w:ascii="Arial"/>
                <w:color w:val="auto"/>
                <w:sz w:val="21"/>
                <w:highlight w:val="none"/>
              </w:rPr>
            </w:pPr>
          </w:p>
        </w:tc>
        <w:tc>
          <w:tcPr>
            <w:tcW w:w="544" w:type="dxa"/>
            <w:vAlign w:val="top"/>
          </w:tcPr>
          <w:p w14:paraId="1054F2D2">
            <w:pPr>
              <w:rPr>
                <w:rFonts w:ascii="Arial"/>
                <w:color w:val="auto"/>
                <w:sz w:val="21"/>
                <w:highlight w:val="none"/>
              </w:rPr>
            </w:pPr>
          </w:p>
        </w:tc>
        <w:tc>
          <w:tcPr>
            <w:tcW w:w="1264" w:type="dxa"/>
            <w:vAlign w:val="top"/>
          </w:tcPr>
          <w:p w14:paraId="2AEE9606">
            <w:pPr>
              <w:rPr>
                <w:rFonts w:ascii="Arial"/>
                <w:color w:val="auto"/>
                <w:sz w:val="21"/>
                <w:highlight w:val="none"/>
              </w:rPr>
            </w:pPr>
          </w:p>
        </w:tc>
        <w:tc>
          <w:tcPr>
            <w:tcW w:w="791" w:type="dxa"/>
            <w:vAlign w:val="top"/>
          </w:tcPr>
          <w:p w14:paraId="6C15B6BD">
            <w:pPr>
              <w:rPr>
                <w:rFonts w:ascii="Arial"/>
                <w:color w:val="auto"/>
                <w:sz w:val="21"/>
                <w:highlight w:val="none"/>
              </w:rPr>
            </w:pPr>
          </w:p>
        </w:tc>
        <w:tc>
          <w:tcPr>
            <w:tcW w:w="971" w:type="dxa"/>
            <w:vAlign w:val="top"/>
          </w:tcPr>
          <w:p w14:paraId="0E5A7F88">
            <w:pPr>
              <w:rPr>
                <w:rFonts w:ascii="Arial"/>
                <w:color w:val="auto"/>
                <w:sz w:val="21"/>
                <w:highlight w:val="none"/>
              </w:rPr>
            </w:pPr>
          </w:p>
        </w:tc>
        <w:tc>
          <w:tcPr>
            <w:tcW w:w="1266" w:type="dxa"/>
            <w:vAlign w:val="top"/>
          </w:tcPr>
          <w:p w14:paraId="46379D78">
            <w:pPr>
              <w:rPr>
                <w:rFonts w:ascii="Arial"/>
                <w:color w:val="auto"/>
                <w:sz w:val="21"/>
                <w:highlight w:val="none"/>
              </w:rPr>
            </w:pPr>
          </w:p>
        </w:tc>
      </w:tr>
      <w:tr w14:paraId="0937A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3C591F73">
            <w:pPr>
              <w:rPr>
                <w:rFonts w:ascii="Arial"/>
                <w:color w:val="auto"/>
                <w:sz w:val="21"/>
                <w:highlight w:val="none"/>
              </w:rPr>
            </w:pPr>
          </w:p>
        </w:tc>
        <w:tc>
          <w:tcPr>
            <w:tcW w:w="1421" w:type="dxa"/>
            <w:vAlign w:val="top"/>
          </w:tcPr>
          <w:p w14:paraId="1A406B0C">
            <w:pPr>
              <w:rPr>
                <w:rFonts w:ascii="Arial"/>
                <w:color w:val="auto"/>
                <w:sz w:val="21"/>
                <w:highlight w:val="none"/>
              </w:rPr>
            </w:pPr>
          </w:p>
        </w:tc>
        <w:tc>
          <w:tcPr>
            <w:tcW w:w="1005" w:type="dxa"/>
            <w:vAlign w:val="top"/>
          </w:tcPr>
          <w:p w14:paraId="0397D40F">
            <w:pPr>
              <w:rPr>
                <w:rFonts w:ascii="Arial"/>
                <w:color w:val="auto"/>
                <w:sz w:val="21"/>
                <w:highlight w:val="none"/>
              </w:rPr>
            </w:pPr>
          </w:p>
        </w:tc>
        <w:tc>
          <w:tcPr>
            <w:tcW w:w="775" w:type="dxa"/>
            <w:vAlign w:val="top"/>
          </w:tcPr>
          <w:p w14:paraId="6D78C873">
            <w:pPr>
              <w:rPr>
                <w:rFonts w:ascii="Arial"/>
                <w:color w:val="auto"/>
                <w:sz w:val="21"/>
                <w:highlight w:val="none"/>
              </w:rPr>
            </w:pPr>
          </w:p>
        </w:tc>
        <w:tc>
          <w:tcPr>
            <w:tcW w:w="544" w:type="dxa"/>
            <w:vAlign w:val="top"/>
          </w:tcPr>
          <w:p w14:paraId="6F273DEB">
            <w:pPr>
              <w:rPr>
                <w:rFonts w:ascii="Arial"/>
                <w:color w:val="auto"/>
                <w:sz w:val="21"/>
                <w:highlight w:val="none"/>
              </w:rPr>
            </w:pPr>
          </w:p>
        </w:tc>
        <w:tc>
          <w:tcPr>
            <w:tcW w:w="1264" w:type="dxa"/>
            <w:vAlign w:val="top"/>
          </w:tcPr>
          <w:p w14:paraId="489300DC">
            <w:pPr>
              <w:rPr>
                <w:rFonts w:ascii="Arial"/>
                <w:color w:val="auto"/>
                <w:sz w:val="21"/>
                <w:highlight w:val="none"/>
              </w:rPr>
            </w:pPr>
          </w:p>
        </w:tc>
        <w:tc>
          <w:tcPr>
            <w:tcW w:w="791" w:type="dxa"/>
            <w:vAlign w:val="top"/>
          </w:tcPr>
          <w:p w14:paraId="4C033346">
            <w:pPr>
              <w:rPr>
                <w:rFonts w:ascii="Arial"/>
                <w:color w:val="auto"/>
                <w:sz w:val="21"/>
                <w:highlight w:val="none"/>
              </w:rPr>
            </w:pPr>
          </w:p>
        </w:tc>
        <w:tc>
          <w:tcPr>
            <w:tcW w:w="971" w:type="dxa"/>
            <w:vAlign w:val="top"/>
          </w:tcPr>
          <w:p w14:paraId="22DC67F3">
            <w:pPr>
              <w:rPr>
                <w:rFonts w:ascii="Arial"/>
                <w:color w:val="auto"/>
                <w:sz w:val="21"/>
                <w:highlight w:val="none"/>
              </w:rPr>
            </w:pPr>
          </w:p>
        </w:tc>
        <w:tc>
          <w:tcPr>
            <w:tcW w:w="1266" w:type="dxa"/>
            <w:vAlign w:val="top"/>
          </w:tcPr>
          <w:p w14:paraId="3D2DDC95">
            <w:pPr>
              <w:rPr>
                <w:rFonts w:ascii="Arial"/>
                <w:color w:val="auto"/>
                <w:sz w:val="21"/>
                <w:highlight w:val="none"/>
              </w:rPr>
            </w:pPr>
          </w:p>
        </w:tc>
      </w:tr>
      <w:tr w14:paraId="3C814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6D0323E5">
            <w:pPr>
              <w:rPr>
                <w:rFonts w:ascii="Arial"/>
                <w:color w:val="auto"/>
                <w:sz w:val="21"/>
                <w:highlight w:val="none"/>
              </w:rPr>
            </w:pPr>
          </w:p>
        </w:tc>
        <w:tc>
          <w:tcPr>
            <w:tcW w:w="1421" w:type="dxa"/>
            <w:vAlign w:val="top"/>
          </w:tcPr>
          <w:p w14:paraId="11FFACE3">
            <w:pPr>
              <w:rPr>
                <w:rFonts w:ascii="Arial"/>
                <w:color w:val="auto"/>
                <w:sz w:val="21"/>
                <w:highlight w:val="none"/>
              </w:rPr>
            </w:pPr>
          </w:p>
        </w:tc>
        <w:tc>
          <w:tcPr>
            <w:tcW w:w="1005" w:type="dxa"/>
            <w:vAlign w:val="top"/>
          </w:tcPr>
          <w:p w14:paraId="390034AA">
            <w:pPr>
              <w:rPr>
                <w:rFonts w:ascii="Arial"/>
                <w:color w:val="auto"/>
                <w:sz w:val="21"/>
                <w:highlight w:val="none"/>
              </w:rPr>
            </w:pPr>
          </w:p>
        </w:tc>
        <w:tc>
          <w:tcPr>
            <w:tcW w:w="775" w:type="dxa"/>
            <w:vAlign w:val="top"/>
          </w:tcPr>
          <w:p w14:paraId="5873A63A">
            <w:pPr>
              <w:rPr>
                <w:rFonts w:ascii="Arial"/>
                <w:color w:val="auto"/>
                <w:sz w:val="21"/>
                <w:highlight w:val="none"/>
              </w:rPr>
            </w:pPr>
          </w:p>
        </w:tc>
        <w:tc>
          <w:tcPr>
            <w:tcW w:w="544" w:type="dxa"/>
            <w:vAlign w:val="top"/>
          </w:tcPr>
          <w:p w14:paraId="7574BCCC">
            <w:pPr>
              <w:rPr>
                <w:rFonts w:ascii="Arial"/>
                <w:color w:val="auto"/>
                <w:sz w:val="21"/>
                <w:highlight w:val="none"/>
              </w:rPr>
            </w:pPr>
          </w:p>
        </w:tc>
        <w:tc>
          <w:tcPr>
            <w:tcW w:w="1264" w:type="dxa"/>
            <w:vAlign w:val="top"/>
          </w:tcPr>
          <w:p w14:paraId="3FBBB591">
            <w:pPr>
              <w:rPr>
                <w:rFonts w:ascii="Arial"/>
                <w:color w:val="auto"/>
                <w:sz w:val="21"/>
                <w:highlight w:val="none"/>
              </w:rPr>
            </w:pPr>
          </w:p>
        </w:tc>
        <w:tc>
          <w:tcPr>
            <w:tcW w:w="791" w:type="dxa"/>
            <w:vAlign w:val="top"/>
          </w:tcPr>
          <w:p w14:paraId="21924F05">
            <w:pPr>
              <w:rPr>
                <w:rFonts w:ascii="Arial"/>
                <w:color w:val="auto"/>
                <w:sz w:val="21"/>
                <w:highlight w:val="none"/>
              </w:rPr>
            </w:pPr>
          </w:p>
        </w:tc>
        <w:tc>
          <w:tcPr>
            <w:tcW w:w="971" w:type="dxa"/>
            <w:vAlign w:val="top"/>
          </w:tcPr>
          <w:p w14:paraId="750D122C">
            <w:pPr>
              <w:rPr>
                <w:rFonts w:ascii="Arial"/>
                <w:color w:val="auto"/>
                <w:sz w:val="21"/>
                <w:highlight w:val="none"/>
              </w:rPr>
            </w:pPr>
          </w:p>
        </w:tc>
        <w:tc>
          <w:tcPr>
            <w:tcW w:w="1266" w:type="dxa"/>
            <w:vAlign w:val="top"/>
          </w:tcPr>
          <w:p w14:paraId="739E9B72">
            <w:pPr>
              <w:rPr>
                <w:rFonts w:ascii="Arial"/>
                <w:color w:val="auto"/>
                <w:sz w:val="21"/>
                <w:highlight w:val="none"/>
              </w:rPr>
            </w:pPr>
          </w:p>
        </w:tc>
      </w:tr>
      <w:tr w14:paraId="0A4C1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400CB8AA">
            <w:pPr>
              <w:rPr>
                <w:rFonts w:ascii="Arial"/>
                <w:color w:val="auto"/>
                <w:sz w:val="21"/>
                <w:highlight w:val="none"/>
              </w:rPr>
            </w:pPr>
          </w:p>
        </w:tc>
        <w:tc>
          <w:tcPr>
            <w:tcW w:w="1421" w:type="dxa"/>
            <w:vAlign w:val="top"/>
          </w:tcPr>
          <w:p w14:paraId="779C7EE5">
            <w:pPr>
              <w:rPr>
                <w:rFonts w:ascii="Arial"/>
                <w:color w:val="auto"/>
                <w:sz w:val="21"/>
                <w:highlight w:val="none"/>
              </w:rPr>
            </w:pPr>
          </w:p>
        </w:tc>
        <w:tc>
          <w:tcPr>
            <w:tcW w:w="1005" w:type="dxa"/>
            <w:vAlign w:val="top"/>
          </w:tcPr>
          <w:p w14:paraId="5F241BE8">
            <w:pPr>
              <w:rPr>
                <w:rFonts w:ascii="Arial"/>
                <w:color w:val="auto"/>
                <w:sz w:val="21"/>
                <w:highlight w:val="none"/>
              </w:rPr>
            </w:pPr>
          </w:p>
        </w:tc>
        <w:tc>
          <w:tcPr>
            <w:tcW w:w="775" w:type="dxa"/>
            <w:vAlign w:val="top"/>
          </w:tcPr>
          <w:p w14:paraId="58A43D35">
            <w:pPr>
              <w:rPr>
                <w:rFonts w:ascii="Arial"/>
                <w:color w:val="auto"/>
                <w:sz w:val="21"/>
                <w:highlight w:val="none"/>
              </w:rPr>
            </w:pPr>
          </w:p>
        </w:tc>
        <w:tc>
          <w:tcPr>
            <w:tcW w:w="544" w:type="dxa"/>
            <w:vAlign w:val="top"/>
          </w:tcPr>
          <w:p w14:paraId="149276F8">
            <w:pPr>
              <w:rPr>
                <w:rFonts w:ascii="Arial"/>
                <w:color w:val="auto"/>
                <w:sz w:val="21"/>
                <w:highlight w:val="none"/>
              </w:rPr>
            </w:pPr>
          </w:p>
        </w:tc>
        <w:tc>
          <w:tcPr>
            <w:tcW w:w="1264" w:type="dxa"/>
            <w:vAlign w:val="top"/>
          </w:tcPr>
          <w:p w14:paraId="0999F4EF">
            <w:pPr>
              <w:rPr>
                <w:rFonts w:ascii="Arial"/>
                <w:color w:val="auto"/>
                <w:sz w:val="21"/>
                <w:highlight w:val="none"/>
              </w:rPr>
            </w:pPr>
          </w:p>
        </w:tc>
        <w:tc>
          <w:tcPr>
            <w:tcW w:w="791" w:type="dxa"/>
            <w:vAlign w:val="top"/>
          </w:tcPr>
          <w:p w14:paraId="34FF3413">
            <w:pPr>
              <w:rPr>
                <w:rFonts w:ascii="Arial"/>
                <w:color w:val="auto"/>
                <w:sz w:val="21"/>
                <w:highlight w:val="none"/>
              </w:rPr>
            </w:pPr>
          </w:p>
        </w:tc>
        <w:tc>
          <w:tcPr>
            <w:tcW w:w="971" w:type="dxa"/>
            <w:vAlign w:val="top"/>
          </w:tcPr>
          <w:p w14:paraId="0C17E8A1">
            <w:pPr>
              <w:rPr>
                <w:rFonts w:ascii="Arial"/>
                <w:color w:val="auto"/>
                <w:sz w:val="21"/>
                <w:highlight w:val="none"/>
              </w:rPr>
            </w:pPr>
          </w:p>
        </w:tc>
        <w:tc>
          <w:tcPr>
            <w:tcW w:w="1266" w:type="dxa"/>
            <w:vAlign w:val="top"/>
          </w:tcPr>
          <w:p w14:paraId="1963D713">
            <w:pPr>
              <w:rPr>
                <w:rFonts w:ascii="Arial"/>
                <w:color w:val="auto"/>
                <w:sz w:val="21"/>
                <w:highlight w:val="none"/>
              </w:rPr>
            </w:pPr>
          </w:p>
        </w:tc>
      </w:tr>
      <w:tr w14:paraId="4F328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01F49013">
            <w:pPr>
              <w:rPr>
                <w:rFonts w:ascii="Arial"/>
                <w:color w:val="auto"/>
                <w:sz w:val="21"/>
                <w:highlight w:val="none"/>
              </w:rPr>
            </w:pPr>
          </w:p>
        </w:tc>
        <w:tc>
          <w:tcPr>
            <w:tcW w:w="1421" w:type="dxa"/>
            <w:vAlign w:val="top"/>
          </w:tcPr>
          <w:p w14:paraId="2B9245E3">
            <w:pPr>
              <w:rPr>
                <w:rFonts w:ascii="Arial"/>
                <w:color w:val="auto"/>
                <w:sz w:val="21"/>
                <w:highlight w:val="none"/>
              </w:rPr>
            </w:pPr>
          </w:p>
        </w:tc>
        <w:tc>
          <w:tcPr>
            <w:tcW w:w="1005" w:type="dxa"/>
            <w:vAlign w:val="top"/>
          </w:tcPr>
          <w:p w14:paraId="52D36102">
            <w:pPr>
              <w:rPr>
                <w:rFonts w:ascii="Arial"/>
                <w:color w:val="auto"/>
                <w:sz w:val="21"/>
                <w:highlight w:val="none"/>
              </w:rPr>
            </w:pPr>
          </w:p>
        </w:tc>
        <w:tc>
          <w:tcPr>
            <w:tcW w:w="775" w:type="dxa"/>
            <w:vAlign w:val="top"/>
          </w:tcPr>
          <w:p w14:paraId="5531CE2A">
            <w:pPr>
              <w:rPr>
                <w:rFonts w:ascii="Arial"/>
                <w:color w:val="auto"/>
                <w:sz w:val="21"/>
                <w:highlight w:val="none"/>
              </w:rPr>
            </w:pPr>
          </w:p>
        </w:tc>
        <w:tc>
          <w:tcPr>
            <w:tcW w:w="544" w:type="dxa"/>
            <w:vAlign w:val="top"/>
          </w:tcPr>
          <w:p w14:paraId="7813B025">
            <w:pPr>
              <w:rPr>
                <w:rFonts w:ascii="Arial"/>
                <w:color w:val="auto"/>
                <w:sz w:val="21"/>
                <w:highlight w:val="none"/>
              </w:rPr>
            </w:pPr>
          </w:p>
        </w:tc>
        <w:tc>
          <w:tcPr>
            <w:tcW w:w="1264" w:type="dxa"/>
            <w:vAlign w:val="top"/>
          </w:tcPr>
          <w:p w14:paraId="57219C09">
            <w:pPr>
              <w:rPr>
                <w:rFonts w:ascii="Arial"/>
                <w:color w:val="auto"/>
                <w:sz w:val="21"/>
                <w:highlight w:val="none"/>
              </w:rPr>
            </w:pPr>
          </w:p>
        </w:tc>
        <w:tc>
          <w:tcPr>
            <w:tcW w:w="791" w:type="dxa"/>
            <w:vAlign w:val="top"/>
          </w:tcPr>
          <w:p w14:paraId="72246533">
            <w:pPr>
              <w:rPr>
                <w:rFonts w:ascii="Arial"/>
                <w:color w:val="auto"/>
                <w:sz w:val="21"/>
                <w:highlight w:val="none"/>
              </w:rPr>
            </w:pPr>
          </w:p>
        </w:tc>
        <w:tc>
          <w:tcPr>
            <w:tcW w:w="971" w:type="dxa"/>
            <w:vAlign w:val="top"/>
          </w:tcPr>
          <w:p w14:paraId="728EC3F3">
            <w:pPr>
              <w:rPr>
                <w:rFonts w:ascii="Arial"/>
                <w:color w:val="auto"/>
                <w:sz w:val="21"/>
                <w:highlight w:val="none"/>
              </w:rPr>
            </w:pPr>
          </w:p>
        </w:tc>
        <w:tc>
          <w:tcPr>
            <w:tcW w:w="1266" w:type="dxa"/>
            <w:vAlign w:val="top"/>
          </w:tcPr>
          <w:p w14:paraId="24A2ECDC">
            <w:pPr>
              <w:rPr>
                <w:rFonts w:ascii="Arial"/>
                <w:color w:val="auto"/>
                <w:sz w:val="21"/>
                <w:highlight w:val="none"/>
              </w:rPr>
            </w:pPr>
          </w:p>
        </w:tc>
      </w:tr>
      <w:tr w14:paraId="65F03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vAlign w:val="top"/>
          </w:tcPr>
          <w:p w14:paraId="6BE9E6E5">
            <w:pPr>
              <w:rPr>
                <w:rFonts w:ascii="Arial"/>
                <w:color w:val="auto"/>
                <w:sz w:val="21"/>
                <w:highlight w:val="none"/>
              </w:rPr>
            </w:pPr>
          </w:p>
        </w:tc>
        <w:tc>
          <w:tcPr>
            <w:tcW w:w="1421" w:type="dxa"/>
            <w:vAlign w:val="top"/>
          </w:tcPr>
          <w:p w14:paraId="5FB3BF3C">
            <w:pPr>
              <w:rPr>
                <w:rFonts w:ascii="Arial"/>
                <w:color w:val="auto"/>
                <w:sz w:val="21"/>
                <w:highlight w:val="none"/>
              </w:rPr>
            </w:pPr>
          </w:p>
        </w:tc>
        <w:tc>
          <w:tcPr>
            <w:tcW w:w="1005" w:type="dxa"/>
            <w:vAlign w:val="top"/>
          </w:tcPr>
          <w:p w14:paraId="63EA223E">
            <w:pPr>
              <w:rPr>
                <w:rFonts w:ascii="Arial"/>
                <w:color w:val="auto"/>
                <w:sz w:val="21"/>
                <w:highlight w:val="none"/>
              </w:rPr>
            </w:pPr>
          </w:p>
        </w:tc>
        <w:tc>
          <w:tcPr>
            <w:tcW w:w="775" w:type="dxa"/>
            <w:vAlign w:val="top"/>
          </w:tcPr>
          <w:p w14:paraId="5720A350">
            <w:pPr>
              <w:rPr>
                <w:rFonts w:ascii="Arial"/>
                <w:color w:val="auto"/>
                <w:sz w:val="21"/>
                <w:highlight w:val="none"/>
              </w:rPr>
            </w:pPr>
          </w:p>
        </w:tc>
        <w:tc>
          <w:tcPr>
            <w:tcW w:w="544" w:type="dxa"/>
            <w:vAlign w:val="top"/>
          </w:tcPr>
          <w:p w14:paraId="503741EB">
            <w:pPr>
              <w:rPr>
                <w:rFonts w:ascii="Arial"/>
                <w:color w:val="auto"/>
                <w:sz w:val="21"/>
                <w:highlight w:val="none"/>
              </w:rPr>
            </w:pPr>
          </w:p>
        </w:tc>
        <w:tc>
          <w:tcPr>
            <w:tcW w:w="1264" w:type="dxa"/>
            <w:vAlign w:val="top"/>
          </w:tcPr>
          <w:p w14:paraId="5B38E078">
            <w:pPr>
              <w:rPr>
                <w:rFonts w:ascii="Arial"/>
                <w:color w:val="auto"/>
                <w:sz w:val="21"/>
                <w:highlight w:val="none"/>
              </w:rPr>
            </w:pPr>
          </w:p>
        </w:tc>
        <w:tc>
          <w:tcPr>
            <w:tcW w:w="791" w:type="dxa"/>
            <w:vAlign w:val="top"/>
          </w:tcPr>
          <w:p w14:paraId="1504359C">
            <w:pPr>
              <w:rPr>
                <w:rFonts w:ascii="Arial"/>
                <w:color w:val="auto"/>
                <w:sz w:val="21"/>
                <w:highlight w:val="none"/>
              </w:rPr>
            </w:pPr>
          </w:p>
        </w:tc>
        <w:tc>
          <w:tcPr>
            <w:tcW w:w="971" w:type="dxa"/>
            <w:vAlign w:val="top"/>
          </w:tcPr>
          <w:p w14:paraId="4406BC59">
            <w:pPr>
              <w:rPr>
                <w:rFonts w:ascii="Arial"/>
                <w:color w:val="auto"/>
                <w:sz w:val="21"/>
                <w:highlight w:val="none"/>
              </w:rPr>
            </w:pPr>
          </w:p>
        </w:tc>
        <w:tc>
          <w:tcPr>
            <w:tcW w:w="1266" w:type="dxa"/>
            <w:vAlign w:val="top"/>
          </w:tcPr>
          <w:p w14:paraId="576A43B6">
            <w:pPr>
              <w:rPr>
                <w:rFonts w:ascii="Arial"/>
                <w:color w:val="auto"/>
                <w:sz w:val="21"/>
                <w:highlight w:val="none"/>
              </w:rPr>
            </w:pPr>
          </w:p>
        </w:tc>
      </w:tr>
      <w:tr w14:paraId="1A101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477A717C">
            <w:pPr>
              <w:rPr>
                <w:rFonts w:ascii="Arial"/>
                <w:color w:val="auto"/>
                <w:sz w:val="21"/>
                <w:highlight w:val="none"/>
              </w:rPr>
            </w:pPr>
          </w:p>
        </w:tc>
        <w:tc>
          <w:tcPr>
            <w:tcW w:w="1421" w:type="dxa"/>
            <w:vAlign w:val="top"/>
          </w:tcPr>
          <w:p w14:paraId="22F3A39A">
            <w:pPr>
              <w:rPr>
                <w:rFonts w:ascii="Arial"/>
                <w:color w:val="auto"/>
                <w:sz w:val="21"/>
                <w:highlight w:val="none"/>
              </w:rPr>
            </w:pPr>
          </w:p>
        </w:tc>
        <w:tc>
          <w:tcPr>
            <w:tcW w:w="1005" w:type="dxa"/>
            <w:vAlign w:val="top"/>
          </w:tcPr>
          <w:p w14:paraId="08CDBEC4">
            <w:pPr>
              <w:rPr>
                <w:rFonts w:ascii="Arial"/>
                <w:color w:val="auto"/>
                <w:sz w:val="21"/>
                <w:highlight w:val="none"/>
              </w:rPr>
            </w:pPr>
          </w:p>
        </w:tc>
        <w:tc>
          <w:tcPr>
            <w:tcW w:w="775" w:type="dxa"/>
            <w:vAlign w:val="top"/>
          </w:tcPr>
          <w:p w14:paraId="1AFA5BF9">
            <w:pPr>
              <w:rPr>
                <w:rFonts w:ascii="Arial"/>
                <w:color w:val="auto"/>
                <w:sz w:val="21"/>
                <w:highlight w:val="none"/>
              </w:rPr>
            </w:pPr>
          </w:p>
        </w:tc>
        <w:tc>
          <w:tcPr>
            <w:tcW w:w="544" w:type="dxa"/>
            <w:vAlign w:val="top"/>
          </w:tcPr>
          <w:p w14:paraId="0CA1AB62">
            <w:pPr>
              <w:rPr>
                <w:rFonts w:ascii="Arial"/>
                <w:color w:val="auto"/>
                <w:sz w:val="21"/>
                <w:highlight w:val="none"/>
              </w:rPr>
            </w:pPr>
          </w:p>
        </w:tc>
        <w:tc>
          <w:tcPr>
            <w:tcW w:w="1264" w:type="dxa"/>
            <w:vAlign w:val="top"/>
          </w:tcPr>
          <w:p w14:paraId="01FE4324">
            <w:pPr>
              <w:rPr>
                <w:rFonts w:ascii="Arial"/>
                <w:color w:val="auto"/>
                <w:sz w:val="21"/>
                <w:highlight w:val="none"/>
              </w:rPr>
            </w:pPr>
          </w:p>
        </w:tc>
        <w:tc>
          <w:tcPr>
            <w:tcW w:w="791" w:type="dxa"/>
            <w:vAlign w:val="top"/>
          </w:tcPr>
          <w:p w14:paraId="5B143DDE">
            <w:pPr>
              <w:rPr>
                <w:rFonts w:ascii="Arial"/>
                <w:color w:val="auto"/>
                <w:sz w:val="21"/>
                <w:highlight w:val="none"/>
              </w:rPr>
            </w:pPr>
          </w:p>
        </w:tc>
        <w:tc>
          <w:tcPr>
            <w:tcW w:w="971" w:type="dxa"/>
            <w:vAlign w:val="top"/>
          </w:tcPr>
          <w:p w14:paraId="59E7EEC9">
            <w:pPr>
              <w:rPr>
                <w:rFonts w:ascii="Arial"/>
                <w:color w:val="auto"/>
                <w:sz w:val="21"/>
                <w:highlight w:val="none"/>
              </w:rPr>
            </w:pPr>
          </w:p>
        </w:tc>
        <w:tc>
          <w:tcPr>
            <w:tcW w:w="1266" w:type="dxa"/>
            <w:vAlign w:val="top"/>
          </w:tcPr>
          <w:p w14:paraId="2115CE7D">
            <w:pPr>
              <w:rPr>
                <w:rFonts w:ascii="Arial"/>
                <w:color w:val="auto"/>
                <w:sz w:val="21"/>
                <w:highlight w:val="none"/>
              </w:rPr>
            </w:pPr>
          </w:p>
        </w:tc>
      </w:tr>
      <w:tr w14:paraId="61B2A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6A4DC7E4">
            <w:pPr>
              <w:rPr>
                <w:rFonts w:ascii="Arial"/>
                <w:color w:val="auto"/>
                <w:sz w:val="21"/>
                <w:highlight w:val="none"/>
              </w:rPr>
            </w:pPr>
          </w:p>
        </w:tc>
        <w:tc>
          <w:tcPr>
            <w:tcW w:w="1421" w:type="dxa"/>
            <w:vAlign w:val="top"/>
          </w:tcPr>
          <w:p w14:paraId="1608FA6C">
            <w:pPr>
              <w:rPr>
                <w:rFonts w:ascii="Arial"/>
                <w:color w:val="auto"/>
                <w:sz w:val="21"/>
                <w:highlight w:val="none"/>
              </w:rPr>
            </w:pPr>
          </w:p>
        </w:tc>
        <w:tc>
          <w:tcPr>
            <w:tcW w:w="1005" w:type="dxa"/>
            <w:vAlign w:val="top"/>
          </w:tcPr>
          <w:p w14:paraId="5DF4C3C7">
            <w:pPr>
              <w:rPr>
                <w:rFonts w:ascii="Arial"/>
                <w:color w:val="auto"/>
                <w:sz w:val="21"/>
                <w:highlight w:val="none"/>
              </w:rPr>
            </w:pPr>
          </w:p>
        </w:tc>
        <w:tc>
          <w:tcPr>
            <w:tcW w:w="775" w:type="dxa"/>
            <w:vAlign w:val="top"/>
          </w:tcPr>
          <w:p w14:paraId="59E5DBC1">
            <w:pPr>
              <w:rPr>
                <w:rFonts w:ascii="Arial"/>
                <w:color w:val="auto"/>
                <w:sz w:val="21"/>
                <w:highlight w:val="none"/>
              </w:rPr>
            </w:pPr>
          </w:p>
        </w:tc>
        <w:tc>
          <w:tcPr>
            <w:tcW w:w="544" w:type="dxa"/>
            <w:vAlign w:val="top"/>
          </w:tcPr>
          <w:p w14:paraId="1BEE1359">
            <w:pPr>
              <w:rPr>
                <w:rFonts w:ascii="Arial"/>
                <w:color w:val="auto"/>
                <w:sz w:val="21"/>
                <w:highlight w:val="none"/>
              </w:rPr>
            </w:pPr>
          </w:p>
        </w:tc>
        <w:tc>
          <w:tcPr>
            <w:tcW w:w="1264" w:type="dxa"/>
            <w:vAlign w:val="top"/>
          </w:tcPr>
          <w:p w14:paraId="091E09FF">
            <w:pPr>
              <w:rPr>
                <w:rFonts w:ascii="Arial"/>
                <w:color w:val="auto"/>
                <w:sz w:val="21"/>
                <w:highlight w:val="none"/>
              </w:rPr>
            </w:pPr>
          </w:p>
        </w:tc>
        <w:tc>
          <w:tcPr>
            <w:tcW w:w="791" w:type="dxa"/>
            <w:vAlign w:val="top"/>
          </w:tcPr>
          <w:p w14:paraId="2DE4B024">
            <w:pPr>
              <w:rPr>
                <w:rFonts w:ascii="Arial"/>
                <w:color w:val="auto"/>
                <w:sz w:val="21"/>
                <w:highlight w:val="none"/>
              </w:rPr>
            </w:pPr>
          </w:p>
        </w:tc>
        <w:tc>
          <w:tcPr>
            <w:tcW w:w="971" w:type="dxa"/>
            <w:vAlign w:val="top"/>
          </w:tcPr>
          <w:p w14:paraId="47B0575B">
            <w:pPr>
              <w:rPr>
                <w:rFonts w:ascii="Arial"/>
                <w:color w:val="auto"/>
                <w:sz w:val="21"/>
                <w:highlight w:val="none"/>
              </w:rPr>
            </w:pPr>
          </w:p>
        </w:tc>
        <w:tc>
          <w:tcPr>
            <w:tcW w:w="1266" w:type="dxa"/>
            <w:vAlign w:val="top"/>
          </w:tcPr>
          <w:p w14:paraId="398E4602">
            <w:pPr>
              <w:rPr>
                <w:rFonts w:ascii="Arial"/>
                <w:color w:val="auto"/>
                <w:sz w:val="21"/>
                <w:highlight w:val="none"/>
              </w:rPr>
            </w:pPr>
          </w:p>
        </w:tc>
      </w:tr>
      <w:tr w14:paraId="60DFE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vAlign w:val="top"/>
          </w:tcPr>
          <w:p w14:paraId="5D1504F1">
            <w:pPr>
              <w:rPr>
                <w:rFonts w:ascii="Arial"/>
                <w:color w:val="auto"/>
                <w:sz w:val="21"/>
                <w:highlight w:val="none"/>
              </w:rPr>
            </w:pPr>
          </w:p>
        </w:tc>
        <w:tc>
          <w:tcPr>
            <w:tcW w:w="1421" w:type="dxa"/>
            <w:vAlign w:val="top"/>
          </w:tcPr>
          <w:p w14:paraId="146898D9">
            <w:pPr>
              <w:rPr>
                <w:rFonts w:ascii="Arial"/>
                <w:color w:val="auto"/>
                <w:sz w:val="21"/>
                <w:highlight w:val="none"/>
              </w:rPr>
            </w:pPr>
          </w:p>
        </w:tc>
        <w:tc>
          <w:tcPr>
            <w:tcW w:w="1005" w:type="dxa"/>
            <w:vAlign w:val="top"/>
          </w:tcPr>
          <w:p w14:paraId="49200487">
            <w:pPr>
              <w:rPr>
                <w:rFonts w:ascii="Arial"/>
                <w:color w:val="auto"/>
                <w:sz w:val="21"/>
                <w:highlight w:val="none"/>
              </w:rPr>
            </w:pPr>
          </w:p>
        </w:tc>
        <w:tc>
          <w:tcPr>
            <w:tcW w:w="775" w:type="dxa"/>
            <w:vAlign w:val="top"/>
          </w:tcPr>
          <w:p w14:paraId="558482D5">
            <w:pPr>
              <w:rPr>
                <w:rFonts w:ascii="Arial"/>
                <w:color w:val="auto"/>
                <w:sz w:val="21"/>
                <w:highlight w:val="none"/>
              </w:rPr>
            </w:pPr>
          </w:p>
        </w:tc>
        <w:tc>
          <w:tcPr>
            <w:tcW w:w="544" w:type="dxa"/>
            <w:vAlign w:val="top"/>
          </w:tcPr>
          <w:p w14:paraId="4AD82D16">
            <w:pPr>
              <w:rPr>
                <w:rFonts w:ascii="Arial"/>
                <w:color w:val="auto"/>
                <w:sz w:val="21"/>
                <w:highlight w:val="none"/>
              </w:rPr>
            </w:pPr>
          </w:p>
        </w:tc>
        <w:tc>
          <w:tcPr>
            <w:tcW w:w="1264" w:type="dxa"/>
            <w:vAlign w:val="top"/>
          </w:tcPr>
          <w:p w14:paraId="0EEF2F86">
            <w:pPr>
              <w:rPr>
                <w:rFonts w:ascii="Arial"/>
                <w:color w:val="auto"/>
                <w:sz w:val="21"/>
                <w:highlight w:val="none"/>
              </w:rPr>
            </w:pPr>
          </w:p>
        </w:tc>
        <w:tc>
          <w:tcPr>
            <w:tcW w:w="791" w:type="dxa"/>
            <w:vAlign w:val="top"/>
          </w:tcPr>
          <w:p w14:paraId="063EFC4D">
            <w:pPr>
              <w:rPr>
                <w:rFonts w:ascii="Arial"/>
                <w:color w:val="auto"/>
                <w:sz w:val="21"/>
                <w:highlight w:val="none"/>
              </w:rPr>
            </w:pPr>
          </w:p>
        </w:tc>
        <w:tc>
          <w:tcPr>
            <w:tcW w:w="971" w:type="dxa"/>
            <w:vAlign w:val="top"/>
          </w:tcPr>
          <w:p w14:paraId="1BA2DBC4">
            <w:pPr>
              <w:rPr>
                <w:rFonts w:ascii="Arial"/>
                <w:color w:val="auto"/>
                <w:sz w:val="21"/>
                <w:highlight w:val="none"/>
              </w:rPr>
            </w:pPr>
          </w:p>
        </w:tc>
        <w:tc>
          <w:tcPr>
            <w:tcW w:w="1266" w:type="dxa"/>
            <w:vAlign w:val="top"/>
          </w:tcPr>
          <w:p w14:paraId="2459FD40">
            <w:pPr>
              <w:rPr>
                <w:rFonts w:ascii="Arial"/>
                <w:color w:val="auto"/>
                <w:sz w:val="21"/>
                <w:highlight w:val="none"/>
              </w:rPr>
            </w:pPr>
          </w:p>
        </w:tc>
      </w:tr>
      <w:tr w14:paraId="5D9FF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14" w:type="dxa"/>
            <w:vAlign w:val="top"/>
          </w:tcPr>
          <w:p w14:paraId="7E6ECEBD">
            <w:pPr>
              <w:rPr>
                <w:rFonts w:ascii="Arial"/>
                <w:color w:val="auto"/>
                <w:sz w:val="21"/>
                <w:highlight w:val="none"/>
              </w:rPr>
            </w:pPr>
          </w:p>
        </w:tc>
        <w:tc>
          <w:tcPr>
            <w:tcW w:w="1421" w:type="dxa"/>
            <w:vAlign w:val="top"/>
          </w:tcPr>
          <w:p w14:paraId="1D316550">
            <w:pPr>
              <w:rPr>
                <w:rFonts w:ascii="Arial"/>
                <w:color w:val="auto"/>
                <w:sz w:val="21"/>
                <w:highlight w:val="none"/>
              </w:rPr>
            </w:pPr>
          </w:p>
        </w:tc>
        <w:tc>
          <w:tcPr>
            <w:tcW w:w="1005" w:type="dxa"/>
            <w:vAlign w:val="top"/>
          </w:tcPr>
          <w:p w14:paraId="4691D1DF">
            <w:pPr>
              <w:rPr>
                <w:rFonts w:ascii="Arial"/>
                <w:color w:val="auto"/>
                <w:sz w:val="21"/>
                <w:highlight w:val="none"/>
              </w:rPr>
            </w:pPr>
          </w:p>
        </w:tc>
        <w:tc>
          <w:tcPr>
            <w:tcW w:w="775" w:type="dxa"/>
            <w:vAlign w:val="top"/>
          </w:tcPr>
          <w:p w14:paraId="20E3E48C">
            <w:pPr>
              <w:rPr>
                <w:rFonts w:ascii="Arial"/>
                <w:color w:val="auto"/>
                <w:sz w:val="21"/>
                <w:highlight w:val="none"/>
              </w:rPr>
            </w:pPr>
          </w:p>
        </w:tc>
        <w:tc>
          <w:tcPr>
            <w:tcW w:w="544" w:type="dxa"/>
            <w:vAlign w:val="top"/>
          </w:tcPr>
          <w:p w14:paraId="316A29D3">
            <w:pPr>
              <w:rPr>
                <w:rFonts w:ascii="Arial"/>
                <w:color w:val="auto"/>
                <w:sz w:val="21"/>
                <w:highlight w:val="none"/>
              </w:rPr>
            </w:pPr>
          </w:p>
        </w:tc>
        <w:tc>
          <w:tcPr>
            <w:tcW w:w="1264" w:type="dxa"/>
            <w:vAlign w:val="top"/>
          </w:tcPr>
          <w:p w14:paraId="1DA8A500">
            <w:pPr>
              <w:rPr>
                <w:rFonts w:ascii="Arial"/>
                <w:color w:val="auto"/>
                <w:sz w:val="21"/>
                <w:highlight w:val="none"/>
              </w:rPr>
            </w:pPr>
          </w:p>
        </w:tc>
        <w:tc>
          <w:tcPr>
            <w:tcW w:w="791" w:type="dxa"/>
            <w:vAlign w:val="top"/>
          </w:tcPr>
          <w:p w14:paraId="0150ACF5">
            <w:pPr>
              <w:rPr>
                <w:rFonts w:ascii="Arial"/>
                <w:color w:val="auto"/>
                <w:sz w:val="21"/>
                <w:highlight w:val="none"/>
              </w:rPr>
            </w:pPr>
          </w:p>
        </w:tc>
        <w:tc>
          <w:tcPr>
            <w:tcW w:w="971" w:type="dxa"/>
            <w:vAlign w:val="top"/>
          </w:tcPr>
          <w:p w14:paraId="2899279C">
            <w:pPr>
              <w:rPr>
                <w:rFonts w:ascii="Arial"/>
                <w:color w:val="auto"/>
                <w:sz w:val="21"/>
                <w:highlight w:val="none"/>
              </w:rPr>
            </w:pPr>
          </w:p>
        </w:tc>
        <w:tc>
          <w:tcPr>
            <w:tcW w:w="1266" w:type="dxa"/>
            <w:vAlign w:val="top"/>
          </w:tcPr>
          <w:p w14:paraId="4BEEB841">
            <w:pPr>
              <w:rPr>
                <w:rFonts w:ascii="Arial"/>
                <w:color w:val="auto"/>
                <w:sz w:val="21"/>
                <w:highlight w:val="none"/>
              </w:rPr>
            </w:pPr>
          </w:p>
        </w:tc>
      </w:tr>
    </w:tbl>
    <w:p w14:paraId="774B30D4">
      <w:pPr>
        <w:spacing w:before="158" w:line="227" w:lineRule="auto"/>
        <w:ind w:left="7"/>
        <w:rPr>
          <w:rFonts w:hint="default" w:ascii="宋体" w:hAnsi="宋体" w:eastAsia="宋体" w:cs="宋体"/>
          <w:color w:val="auto"/>
          <w:sz w:val="20"/>
          <w:szCs w:val="20"/>
          <w:highlight w:val="none"/>
          <w:lang w:val="en-US" w:eastAsia="zh-CN"/>
        </w:rPr>
      </w:pPr>
      <w:r>
        <w:rPr>
          <w:rFonts w:ascii="宋体" w:hAnsi="宋体" w:eastAsia="宋体" w:cs="宋体"/>
          <w:color w:val="auto"/>
          <w:spacing w:val="7"/>
          <w:sz w:val="20"/>
          <w:szCs w:val="20"/>
          <w:highlight w:val="none"/>
        </w:rPr>
        <w:t>注：本表填报的人员应满足招标文件第二章“投标人须知</w:t>
      </w:r>
      <w:r>
        <w:rPr>
          <w:rFonts w:ascii="宋体" w:hAnsi="宋体" w:eastAsia="宋体" w:cs="宋体"/>
          <w:color w:val="auto"/>
          <w:spacing w:val="-57"/>
          <w:sz w:val="20"/>
          <w:szCs w:val="20"/>
          <w:highlight w:val="none"/>
        </w:rPr>
        <w:t xml:space="preserve"> </w:t>
      </w:r>
      <w:r>
        <w:rPr>
          <w:rFonts w:ascii="宋体" w:hAnsi="宋体" w:eastAsia="宋体" w:cs="宋体"/>
          <w:color w:val="auto"/>
          <w:spacing w:val="7"/>
          <w:sz w:val="20"/>
          <w:szCs w:val="20"/>
          <w:highlight w:val="none"/>
        </w:rPr>
        <w:t>”前附表附录</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5</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的要求。</w:t>
      </w:r>
      <w:r>
        <w:rPr>
          <w:rFonts w:hint="eastAsia" w:ascii="宋体" w:hAnsi="宋体" w:eastAsia="宋体" w:cs="宋体"/>
          <w:color w:val="auto"/>
          <w:spacing w:val="7"/>
          <w:sz w:val="20"/>
          <w:szCs w:val="20"/>
          <w:highlight w:val="none"/>
          <w:lang w:val="en-US" w:eastAsia="zh-CN"/>
        </w:rPr>
        <w:t>(注：本次招标不需要提供其他主要监理人员汇总名单，仅须承诺按标段配置其他主要监理人员，若中标再向招标人提供其他主要监理人员的具体名单。)</w:t>
      </w:r>
    </w:p>
    <w:p w14:paraId="2859F79E">
      <w:pPr>
        <w:spacing w:line="255" w:lineRule="auto"/>
        <w:rPr>
          <w:rFonts w:ascii="Arial"/>
          <w:color w:val="auto"/>
          <w:sz w:val="21"/>
          <w:highlight w:val="none"/>
        </w:rPr>
      </w:pPr>
    </w:p>
    <w:p w14:paraId="3446AF77">
      <w:pPr>
        <w:spacing w:line="255" w:lineRule="auto"/>
        <w:rPr>
          <w:rFonts w:ascii="Arial"/>
          <w:color w:val="auto"/>
          <w:sz w:val="21"/>
          <w:highlight w:val="none"/>
        </w:rPr>
      </w:pPr>
    </w:p>
    <w:p w14:paraId="1A8BBD12">
      <w:pPr>
        <w:spacing w:line="255" w:lineRule="auto"/>
        <w:rPr>
          <w:rFonts w:ascii="Arial"/>
          <w:color w:val="auto"/>
          <w:sz w:val="21"/>
          <w:highlight w:val="none"/>
        </w:rPr>
      </w:pPr>
    </w:p>
    <w:p w14:paraId="4B5EF749">
      <w:pPr>
        <w:spacing w:line="255" w:lineRule="auto"/>
        <w:rPr>
          <w:rFonts w:ascii="Arial"/>
          <w:color w:val="auto"/>
          <w:sz w:val="21"/>
          <w:highlight w:val="none"/>
        </w:rPr>
      </w:pPr>
    </w:p>
    <w:p w14:paraId="15D1062E">
      <w:pPr>
        <w:spacing w:line="255" w:lineRule="auto"/>
        <w:rPr>
          <w:rFonts w:ascii="Arial"/>
          <w:color w:val="auto"/>
          <w:sz w:val="21"/>
          <w:highlight w:val="none"/>
        </w:rPr>
      </w:pPr>
    </w:p>
    <w:p w14:paraId="7E076FA2">
      <w:pPr>
        <w:spacing w:line="255" w:lineRule="auto"/>
        <w:rPr>
          <w:rFonts w:ascii="Arial"/>
          <w:color w:val="auto"/>
          <w:sz w:val="21"/>
          <w:highlight w:val="none"/>
        </w:rPr>
      </w:pPr>
    </w:p>
    <w:p w14:paraId="4B33A5C7">
      <w:pPr>
        <w:spacing w:line="256" w:lineRule="auto"/>
        <w:rPr>
          <w:rFonts w:ascii="Arial"/>
          <w:color w:val="auto"/>
          <w:sz w:val="21"/>
          <w:highlight w:val="none"/>
        </w:rPr>
      </w:pPr>
    </w:p>
    <w:p w14:paraId="3088BCDB">
      <w:pPr>
        <w:spacing w:line="256" w:lineRule="auto"/>
        <w:rPr>
          <w:rFonts w:ascii="Arial"/>
          <w:color w:val="auto"/>
          <w:sz w:val="21"/>
          <w:highlight w:val="none"/>
        </w:rPr>
      </w:pPr>
    </w:p>
    <w:p w14:paraId="2B04C56F">
      <w:pPr>
        <w:spacing w:line="256" w:lineRule="auto"/>
        <w:rPr>
          <w:rFonts w:ascii="Arial"/>
          <w:color w:val="auto"/>
          <w:sz w:val="21"/>
          <w:highlight w:val="none"/>
        </w:rPr>
      </w:pPr>
    </w:p>
    <w:p w14:paraId="21344D19">
      <w:pPr>
        <w:spacing w:before="65" w:line="233" w:lineRule="auto"/>
        <w:ind w:left="1808"/>
        <w:rPr>
          <w:rFonts w:hint="eastAsia" w:ascii="宋体" w:hAnsi="宋体" w:eastAsia="宋体" w:cs="宋体"/>
          <w:color w:val="auto"/>
          <w:sz w:val="14"/>
          <w:szCs w:val="14"/>
          <w:highlight w:val="none"/>
          <w:lang w:val="en-US" w:eastAsia="zh-CN"/>
        </w:rPr>
      </w:pPr>
      <w:bookmarkStart w:id="333" w:name="bookmark159"/>
      <w:bookmarkEnd w:id="333"/>
      <w:r>
        <w:rPr>
          <w:rFonts w:ascii="宋体" w:hAnsi="宋体" w:eastAsia="宋体" w:cs="宋体"/>
          <w:b/>
          <w:bCs/>
          <w:color w:val="auto"/>
          <w:spacing w:val="-3"/>
          <w:sz w:val="30"/>
          <w:szCs w:val="30"/>
          <w:highlight w:val="none"/>
        </w:rPr>
        <w:t>（八）拟委任的其他主要监理人员资历表</w:t>
      </w:r>
    </w:p>
    <w:p w14:paraId="3881CEFC">
      <w:pPr>
        <w:spacing w:before="147"/>
        <w:rPr>
          <w:color w:val="auto"/>
          <w:highlight w:val="none"/>
        </w:rPr>
      </w:pPr>
    </w:p>
    <w:tbl>
      <w:tblPr>
        <w:tblStyle w:val="16"/>
        <w:tblW w:w="91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222"/>
        <w:gridCol w:w="346"/>
        <w:gridCol w:w="1107"/>
        <w:gridCol w:w="1442"/>
        <w:gridCol w:w="303"/>
        <w:gridCol w:w="1661"/>
        <w:gridCol w:w="354"/>
        <w:gridCol w:w="1365"/>
      </w:tblGrid>
      <w:tr w14:paraId="48750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328" w:type="dxa"/>
            <w:vAlign w:val="top"/>
          </w:tcPr>
          <w:p w14:paraId="3A718942">
            <w:pPr>
              <w:spacing w:line="355" w:lineRule="auto"/>
              <w:rPr>
                <w:rFonts w:ascii="Arial"/>
                <w:color w:val="auto"/>
                <w:sz w:val="21"/>
                <w:highlight w:val="none"/>
              </w:rPr>
            </w:pPr>
          </w:p>
          <w:p w14:paraId="38B28261">
            <w:pPr>
              <w:pStyle w:val="17"/>
              <w:spacing w:before="65" w:line="228" w:lineRule="auto"/>
              <w:ind w:left="234"/>
              <w:rPr>
                <w:color w:val="auto"/>
                <w:highlight w:val="none"/>
              </w:rPr>
            </w:pPr>
            <w:r>
              <w:rPr>
                <w:color w:val="auto"/>
                <w:highlight w:val="none"/>
              </w:rPr>
              <w:t>姓</w:t>
            </w:r>
            <w:r>
              <w:rPr>
                <w:color w:val="auto"/>
                <w:spacing w:val="7"/>
                <w:highlight w:val="none"/>
              </w:rPr>
              <w:t xml:space="preserve">    </w:t>
            </w:r>
            <w:r>
              <w:rPr>
                <w:color w:val="auto"/>
                <w:highlight w:val="none"/>
              </w:rPr>
              <w:t>名</w:t>
            </w:r>
          </w:p>
        </w:tc>
        <w:tc>
          <w:tcPr>
            <w:tcW w:w="1568" w:type="dxa"/>
            <w:gridSpan w:val="2"/>
            <w:vAlign w:val="top"/>
          </w:tcPr>
          <w:p w14:paraId="50EF2C1C">
            <w:pPr>
              <w:rPr>
                <w:rFonts w:ascii="Arial"/>
                <w:color w:val="auto"/>
                <w:sz w:val="21"/>
                <w:highlight w:val="none"/>
              </w:rPr>
            </w:pPr>
          </w:p>
        </w:tc>
        <w:tc>
          <w:tcPr>
            <w:tcW w:w="1107" w:type="dxa"/>
            <w:vAlign w:val="top"/>
          </w:tcPr>
          <w:p w14:paraId="0A365E0A">
            <w:pPr>
              <w:spacing w:line="355" w:lineRule="auto"/>
              <w:rPr>
                <w:rFonts w:ascii="Arial"/>
                <w:color w:val="auto"/>
                <w:sz w:val="21"/>
                <w:highlight w:val="none"/>
              </w:rPr>
            </w:pPr>
          </w:p>
          <w:p w14:paraId="448A9BC1">
            <w:pPr>
              <w:pStyle w:val="17"/>
              <w:spacing w:before="65" w:line="228" w:lineRule="auto"/>
              <w:ind w:left="108"/>
              <w:rPr>
                <w:color w:val="auto"/>
                <w:highlight w:val="none"/>
              </w:rPr>
            </w:pPr>
            <w:r>
              <w:rPr>
                <w:color w:val="auto"/>
                <w:highlight w:val="none"/>
              </w:rPr>
              <w:t>年</w:t>
            </w:r>
            <w:r>
              <w:rPr>
                <w:color w:val="auto"/>
                <w:spacing w:val="6"/>
                <w:highlight w:val="none"/>
              </w:rPr>
              <w:t xml:space="preserve">    </w:t>
            </w:r>
            <w:r>
              <w:rPr>
                <w:color w:val="auto"/>
                <w:highlight w:val="none"/>
              </w:rPr>
              <w:t>龄</w:t>
            </w:r>
          </w:p>
        </w:tc>
        <w:tc>
          <w:tcPr>
            <w:tcW w:w="1442" w:type="dxa"/>
            <w:vAlign w:val="top"/>
          </w:tcPr>
          <w:p w14:paraId="6483FA3A">
            <w:pPr>
              <w:rPr>
                <w:rFonts w:ascii="Arial"/>
                <w:color w:val="auto"/>
                <w:sz w:val="21"/>
                <w:highlight w:val="none"/>
              </w:rPr>
            </w:pPr>
          </w:p>
        </w:tc>
        <w:tc>
          <w:tcPr>
            <w:tcW w:w="1964" w:type="dxa"/>
            <w:gridSpan w:val="2"/>
            <w:vAlign w:val="top"/>
          </w:tcPr>
          <w:p w14:paraId="484FBF1C">
            <w:pPr>
              <w:pStyle w:val="17"/>
              <w:spacing w:before="223" w:line="227" w:lineRule="auto"/>
              <w:ind w:left="11"/>
              <w:rPr>
                <w:color w:val="auto"/>
                <w:highlight w:val="none"/>
              </w:rPr>
            </w:pPr>
            <w:r>
              <w:rPr>
                <w:color w:val="auto"/>
                <w:spacing w:val="8"/>
                <w:highlight w:val="none"/>
              </w:rPr>
              <w:t>执业或职业资格证书</w:t>
            </w:r>
          </w:p>
          <w:p w14:paraId="0867A0E5">
            <w:pPr>
              <w:pStyle w:val="17"/>
              <w:spacing w:before="154" w:line="230" w:lineRule="auto"/>
              <w:ind w:left="748"/>
              <w:rPr>
                <w:color w:val="auto"/>
                <w:highlight w:val="none"/>
              </w:rPr>
            </w:pPr>
            <w:r>
              <w:rPr>
                <w:color w:val="auto"/>
                <w:spacing w:val="3"/>
                <w:highlight w:val="none"/>
              </w:rPr>
              <w:t>名称</w:t>
            </w:r>
          </w:p>
        </w:tc>
        <w:tc>
          <w:tcPr>
            <w:tcW w:w="1719" w:type="dxa"/>
            <w:gridSpan w:val="2"/>
            <w:vAlign w:val="top"/>
          </w:tcPr>
          <w:p w14:paraId="2C72C398">
            <w:pPr>
              <w:rPr>
                <w:rFonts w:ascii="Arial"/>
                <w:color w:val="auto"/>
                <w:sz w:val="21"/>
                <w:highlight w:val="none"/>
              </w:rPr>
            </w:pPr>
          </w:p>
        </w:tc>
      </w:tr>
      <w:tr w14:paraId="22FA3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328" w:type="dxa"/>
            <w:vAlign w:val="top"/>
          </w:tcPr>
          <w:p w14:paraId="1654CE9D">
            <w:pPr>
              <w:spacing w:line="381" w:lineRule="auto"/>
              <w:rPr>
                <w:rFonts w:ascii="Arial"/>
                <w:color w:val="auto"/>
                <w:sz w:val="21"/>
                <w:highlight w:val="none"/>
              </w:rPr>
            </w:pPr>
          </w:p>
          <w:p w14:paraId="49273E8E">
            <w:pPr>
              <w:pStyle w:val="17"/>
              <w:spacing w:before="65" w:line="228" w:lineRule="auto"/>
              <w:ind w:left="234"/>
              <w:rPr>
                <w:color w:val="auto"/>
                <w:highlight w:val="none"/>
              </w:rPr>
            </w:pPr>
            <w:r>
              <w:rPr>
                <w:color w:val="auto"/>
                <w:spacing w:val="7"/>
                <w:highlight w:val="none"/>
              </w:rPr>
              <w:t>技术职称</w:t>
            </w:r>
          </w:p>
        </w:tc>
        <w:tc>
          <w:tcPr>
            <w:tcW w:w="1568" w:type="dxa"/>
            <w:gridSpan w:val="2"/>
            <w:vAlign w:val="top"/>
          </w:tcPr>
          <w:p w14:paraId="1C9C80E2">
            <w:pPr>
              <w:rPr>
                <w:rFonts w:ascii="Arial"/>
                <w:color w:val="auto"/>
                <w:sz w:val="21"/>
                <w:highlight w:val="none"/>
              </w:rPr>
            </w:pPr>
          </w:p>
        </w:tc>
        <w:tc>
          <w:tcPr>
            <w:tcW w:w="1107" w:type="dxa"/>
            <w:vAlign w:val="top"/>
          </w:tcPr>
          <w:p w14:paraId="3911F5A8">
            <w:pPr>
              <w:spacing w:line="381" w:lineRule="auto"/>
              <w:rPr>
                <w:rFonts w:ascii="Arial"/>
                <w:color w:val="auto"/>
                <w:sz w:val="21"/>
                <w:highlight w:val="none"/>
              </w:rPr>
            </w:pPr>
          </w:p>
          <w:p w14:paraId="2478D9FE">
            <w:pPr>
              <w:pStyle w:val="17"/>
              <w:spacing w:before="66" w:line="229" w:lineRule="auto"/>
              <w:ind w:left="111"/>
              <w:rPr>
                <w:color w:val="auto"/>
                <w:highlight w:val="none"/>
              </w:rPr>
            </w:pPr>
            <w:r>
              <w:rPr>
                <w:color w:val="auto"/>
                <w:spacing w:val="-2"/>
                <w:highlight w:val="none"/>
              </w:rPr>
              <w:t>学</w:t>
            </w:r>
            <w:r>
              <w:rPr>
                <w:color w:val="auto"/>
                <w:spacing w:val="7"/>
                <w:highlight w:val="none"/>
              </w:rPr>
              <w:t xml:space="preserve">    </w:t>
            </w:r>
            <w:r>
              <w:rPr>
                <w:color w:val="auto"/>
                <w:spacing w:val="-2"/>
                <w:highlight w:val="none"/>
              </w:rPr>
              <w:t>历</w:t>
            </w:r>
          </w:p>
        </w:tc>
        <w:tc>
          <w:tcPr>
            <w:tcW w:w="1442" w:type="dxa"/>
            <w:vAlign w:val="top"/>
          </w:tcPr>
          <w:p w14:paraId="4840A69C">
            <w:pPr>
              <w:rPr>
                <w:rFonts w:ascii="Arial"/>
                <w:color w:val="auto"/>
                <w:sz w:val="21"/>
                <w:highlight w:val="none"/>
              </w:rPr>
            </w:pPr>
          </w:p>
        </w:tc>
        <w:tc>
          <w:tcPr>
            <w:tcW w:w="1964" w:type="dxa"/>
            <w:gridSpan w:val="2"/>
            <w:vAlign w:val="top"/>
          </w:tcPr>
          <w:p w14:paraId="7E6F4BD9">
            <w:pPr>
              <w:pStyle w:val="17"/>
              <w:spacing w:before="222" w:line="347" w:lineRule="auto"/>
              <w:ind w:left="539" w:right="486" w:hanging="108"/>
              <w:rPr>
                <w:color w:val="auto"/>
                <w:highlight w:val="none"/>
              </w:rPr>
            </w:pPr>
            <w:r>
              <w:rPr>
                <w:color w:val="auto"/>
                <w:spacing w:val="8"/>
                <w:highlight w:val="none"/>
              </w:rPr>
              <w:t>拟在本标段</w:t>
            </w:r>
            <w:r>
              <w:rPr>
                <w:color w:val="auto"/>
                <w:spacing w:val="6"/>
                <w:highlight w:val="none"/>
              </w:rPr>
              <w:t>工程任职</w:t>
            </w:r>
          </w:p>
        </w:tc>
        <w:tc>
          <w:tcPr>
            <w:tcW w:w="1719" w:type="dxa"/>
            <w:gridSpan w:val="2"/>
            <w:vAlign w:val="top"/>
          </w:tcPr>
          <w:p w14:paraId="23A389B8">
            <w:pPr>
              <w:rPr>
                <w:rFonts w:ascii="Arial"/>
                <w:color w:val="auto"/>
                <w:sz w:val="21"/>
                <w:highlight w:val="none"/>
              </w:rPr>
            </w:pPr>
          </w:p>
        </w:tc>
      </w:tr>
      <w:tr w14:paraId="2FCE8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328" w:type="dxa"/>
            <w:vAlign w:val="top"/>
          </w:tcPr>
          <w:p w14:paraId="01132E24">
            <w:pPr>
              <w:rPr>
                <w:rFonts w:ascii="Arial"/>
                <w:color w:val="auto"/>
                <w:sz w:val="21"/>
                <w:highlight w:val="none"/>
              </w:rPr>
            </w:pPr>
          </w:p>
          <w:p w14:paraId="6AFFACA3">
            <w:pPr>
              <w:pStyle w:val="17"/>
              <w:spacing w:before="65" w:line="228" w:lineRule="auto"/>
              <w:ind w:left="236"/>
              <w:rPr>
                <w:color w:val="auto"/>
                <w:highlight w:val="none"/>
              </w:rPr>
            </w:pPr>
            <w:r>
              <w:rPr>
                <w:color w:val="auto"/>
                <w:spacing w:val="6"/>
                <w:highlight w:val="none"/>
              </w:rPr>
              <w:t>工作年限</w:t>
            </w:r>
          </w:p>
        </w:tc>
        <w:tc>
          <w:tcPr>
            <w:tcW w:w="4117" w:type="dxa"/>
            <w:gridSpan w:val="4"/>
            <w:vAlign w:val="top"/>
          </w:tcPr>
          <w:p w14:paraId="2F0EC0ED">
            <w:pPr>
              <w:rPr>
                <w:rFonts w:ascii="Arial"/>
                <w:color w:val="auto"/>
                <w:sz w:val="21"/>
                <w:highlight w:val="none"/>
              </w:rPr>
            </w:pPr>
          </w:p>
        </w:tc>
        <w:tc>
          <w:tcPr>
            <w:tcW w:w="1964" w:type="dxa"/>
            <w:gridSpan w:val="2"/>
            <w:vAlign w:val="top"/>
          </w:tcPr>
          <w:p w14:paraId="7C70F77A">
            <w:pPr>
              <w:rPr>
                <w:rFonts w:ascii="Arial"/>
                <w:color w:val="auto"/>
                <w:sz w:val="21"/>
                <w:highlight w:val="none"/>
              </w:rPr>
            </w:pPr>
          </w:p>
          <w:p w14:paraId="4BAC1963">
            <w:pPr>
              <w:pStyle w:val="17"/>
              <w:spacing w:before="65" w:line="228" w:lineRule="auto"/>
              <w:ind w:left="119"/>
              <w:rPr>
                <w:color w:val="auto"/>
                <w:highlight w:val="none"/>
              </w:rPr>
            </w:pPr>
            <w:r>
              <w:rPr>
                <w:color w:val="auto"/>
                <w:spacing w:val="8"/>
                <w:highlight w:val="none"/>
              </w:rPr>
              <w:t>从事监理工作年限</w:t>
            </w:r>
          </w:p>
        </w:tc>
        <w:tc>
          <w:tcPr>
            <w:tcW w:w="1719" w:type="dxa"/>
            <w:gridSpan w:val="2"/>
            <w:vAlign w:val="top"/>
          </w:tcPr>
          <w:p w14:paraId="140F2A3C">
            <w:pPr>
              <w:rPr>
                <w:rFonts w:ascii="Arial"/>
                <w:color w:val="auto"/>
                <w:sz w:val="21"/>
                <w:highlight w:val="none"/>
              </w:rPr>
            </w:pPr>
          </w:p>
        </w:tc>
      </w:tr>
      <w:tr w14:paraId="0912E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28" w:type="dxa"/>
            <w:vAlign w:val="top"/>
          </w:tcPr>
          <w:p w14:paraId="21C5EEBA">
            <w:pPr>
              <w:pStyle w:val="17"/>
              <w:spacing w:before="221" w:line="228" w:lineRule="auto"/>
              <w:ind w:left="238"/>
              <w:rPr>
                <w:color w:val="auto"/>
                <w:highlight w:val="none"/>
              </w:rPr>
            </w:pPr>
            <w:r>
              <w:rPr>
                <w:color w:val="auto"/>
                <w:spacing w:val="6"/>
                <w:highlight w:val="none"/>
              </w:rPr>
              <w:t>毕业学校</w:t>
            </w:r>
          </w:p>
        </w:tc>
        <w:tc>
          <w:tcPr>
            <w:tcW w:w="7800" w:type="dxa"/>
            <w:gridSpan w:val="8"/>
            <w:vAlign w:val="top"/>
          </w:tcPr>
          <w:p w14:paraId="3E9164C5">
            <w:pPr>
              <w:pStyle w:val="17"/>
              <w:spacing w:before="222" w:line="221" w:lineRule="auto"/>
              <w:ind w:left="59"/>
              <w:rPr>
                <w:color w:val="auto"/>
                <w:highlight w:val="none"/>
              </w:rPr>
            </w:pPr>
            <w:r>
              <w:rPr>
                <w:color w:val="auto"/>
                <w:spacing w:val="3"/>
                <w:highlight w:val="none"/>
              </w:rPr>
              <w:t>______年___月毕业于_________________</w:t>
            </w:r>
            <w:r>
              <w:rPr>
                <w:color w:val="auto"/>
                <w:spacing w:val="2"/>
                <w:highlight w:val="none"/>
              </w:rPr>
              <w:t>___学校____________专业，学制______年</w:t>
            </w:r>
          </w:p>
        </w:tc>
      </w:tr>
      <w:tr w14:paraId="68B67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128" w:type="dxa"/>
            <w:gridSpan w:val="9"/>
            <w:vAlign w:val="top"/>
          </w:tcPr>
          <w:p w14:paraId="77B6596A">
            <w:pPr>
              <w:pStyle w:val="17"/>
              <w:spacing w:before="221" w:line="231" w:lineRule="auto"/>
              <w:ind w:left="3888"/>
              <w:rPr>
                <w:color w:val="auto"/>
                <w:highlight w:val="none"/>
              </w:rPr>
            </w:pPr>
            <w:r>
              <w:rPr>
                <w:color w:val="auto"/>
                <w:spacing w:val="-1"/>
                <w:highlight w:val="none"/>
              </w:rPr>
              <w:t>经</w:t>
            </w:r>
            <w:r>
              <w:rPr>
                <w:color w:val="auto"/>
                <w:spacing w:val="6"/>
                <w:highlight w:val="none"/>
              </w:rPr>
              <w:t xml:space="preserve">         </w:t>
            </w:r>
            <w:r>
              <w:rPr>
                <w:color w:val="auto"/>
                <w:spacing w:val="-1"/>
                <w:highlight w:val="none"/>
              </w:rPr>
              <w:t>历</w:t>
            </w:r>
          </w:p>
        </w:tc>
      </w:tr>
      <w:tr w14:paraId="413FC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328" w:type="dxa"/>
            <w:vAlign w:val="top"/>
          </w:tcPr>
          <w:p w14:paraId="50AC36EE">
            <w:pPr>
              <w:spacing w:line="354" w:lineRule="auto"/>
              <w:rPr>
                <w:rFonts w:ascii="Arial"/>
                <w:color w:val="auto"/>
                <w:sz w:val="21"/>
                <w:highlight w:val="none"/>
              </w:rPr>
            </w:pPr>
          </w:p>
          <w:p w14:paraId="145FB75E">
            <w:pPr>
              <w:pStyle w:val="17"/>
              <w:spacing w:before="65" w:line="230" w:lineRule="auto"/>
              <w:ind w:left="373"/>
              <w:rPr>
                <w:color w:val="auto"/>
                <w:highlight w:val="none"/>
              </w:rPr>
            </w:pPr>
            <w:r>
              <w:rPr>
                <w:color w:val="auto"/>
                <w:spacing w:val="-5"/>
                <w:highlight w:val="none"/>
              </w:rPr>
              <w:t>时</w:t>
            </w:r>
            <w:r>
              <w:rPr>
                <w:color w:val="auto"/>
                <w:spacing w:val="17"/>
                <w:highlight w:val="none"/>
              </w:rPr>
              <w:t xml:space="preserve">  </w:t>
            </w:r>
            <w:r>
              <w:rPr>
                <w:color w:val="auto"/>
                <w:spacing w:val="-5"/>
                <w:highlight w:val="none"/>
              </w:rPr>
              <w:t>间</w:t>
            </w:r>
          </w:p>
        </w:tc>
        <w:tc>
          <w:tcPr>
            <w:tcW w:w="4420" w:type="dxa"/>
            <w:gridSpan w:val="5"/>
            <w:vAlign w:val="top"/>
          </w:tcPr>
          <w:p w14:paraId="6C8D4491">
            <w:pPr>
              <w:spacing w:line="354" w:lineRule="auto"/>
              <w:rPr>
                <w:rFonts w:ascii="Arial"/>
                <w:color w:val="auto"/>
                <w:sz w:val="21"/>
                <w:highlight w:val="none"/>
              </w:rPr>
            </w:pPr>
          </w:p>
          <w:p w14:paraId="4F14C17D">
            <w:pPr>
              <w:pStyle w:val="17"/>
              <w:spacing w:before="65" w:line="228" w:lineRule="auto"/>
              <w:ind w:left="976"/>
              <w:rPr>
                <w:color w:val="auto"/>
                <w:highlight w:val="none"/>
              </w:rPr>
            </w:pPr>
            <w:r>
              <w:rPr>
                <w:color w:val="auto"/>
                <w:spacing w:val="8"/>
                <w:highlight w:val="none"/>
              </w:rPr>
              <w:t>参加过的类似工程项目名称</w:t>
            </w:r>
          </w:p>
        </w:tc>
        <w:tc>
          <w:tcPr>
            <w:tcW w:w="2015" w:type="dxa"/>
            <w:gridSpan w:val="2"/>
            <w:vAlign w:val="top"/>
          </w:tcPr>
          <w:p w14:paraId="047F5020">
            <w:pPr>
              <w:spacing w:line="354" w:lineRule="auto"/>
              <w:rPr>
                <w:rFonts w:ascii="Arial"/>
                <w:color w:val="auto"/>
                <w:sz w:val="21"/>
                <w:highlight w:val="none"/>
              </w:rPr>
            </w:pPr>
          </w:p>
          <w:p w14:paraId="6273D9A3">
            <w:pPr>
              <w:pStyle w:val="17"/>
              <w:spacing w:before="65" w:line="228" w:lineRule="auto"/>
              <w:ind w:left="614"/>
              <w:rPr>
                <w:color w:val="auto"/>
                <w:highlight w:val="none"/>
              </w:rPr>
            </w:pPr>
            <w:r>
              <w:rPr>
                <w:color w:val="auto"/>
                <w:spacing w:val="7"/>
                <w:highlight w:val="none"/>
              </w:rPr>
              <w:t>担任职务</w:t>
            </w:r>
          </w:p>
        </w:tc>
        <w:tc>
          <w:tcPr>
            <w:tcW w:w="1365" w:type="dxa"/>
            <w:vAlign w:val="top"/>
          </w:tcPr>
          <w:p w14:paraId="0D950D9D">
            <w:pPr>
              <w:pStyle w:val="17"/>
              <w:spacing w:before="220" w:line="320" w:lineRule="auto"/>
              <w:ind w:left="511" w:right="43" w:hanging="445"/>
              <w:rPr>
                <w:color w:val="auto"/>
                <w:highlight w:val="none"/>
              </w:rPr>
            </w:pPr>
            <w:r>
              <w:rPr>
                <w:color w:val="auto"/>
                <w:spacing w:val="8"/>
                <w:highlight w:val="none"/>
              </w:rPr>
              <w:t>委托人及联系</w:t>
            </w:r>
            <w:r>
              <w:rPr>
                <w:color w:val="auto"/>
                <w:spacing w:val="-8"/>
                <w:highlight w:val="none"/>
              </w:rPr>
              <w:t>电话</w:t>
            </w:r>
          </w:p>
        </w:tc>
      </w:tr>
      <w:tr w14:paraId="6F20D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328" w:type="dxa"/>
            <w:vAlign w:val="top"/>
          </w:tcPr>
          <w:p w14:paraId="146E854B">
            <w:pPr>
              <w:rPr>
                <w:rFonts w:ascii="Arial"/>
                <w:color w:val="auto"/>
                <w:sz w:val="21"/>
                <w:highlight w:val="none"/>
              </w:rPr>
            </w:pPr>
          </w:p>
        </w:tc>
        <w:tc>
          <w:tcPr>
            <w:tcW w:w="4420" w:type="dxa"/>
            <w:gridSpan w:val="5"/>
            <w:vAlign w:val="top"/>
          </w:tcPr>
          <w:p w14:paraId="219B167B">
            <w:pPr>
              <w:rPr>
                <w:rFonts w:ascii="Arial"/>
                <w:color w:val="auto"/>
                <w:sz w:val="21"/>
                <w:highlight w:val="none"/>
              </w:rPr>
            </w:pPr>
          </w:p>
        </w:tc>
        <w:tc>
          <w:tcPr>
            <w:tcW w:w="2015" w:type="dxa"/>
            <w:gridSpan w:val="2"/>
            <w:vAlign w:val="top"/>
          </w:tcPr>
          <w:p w14:paraId="3655BA38">
            <w:pPr>
              <w:rPr>
                <w:rFonts w:ascii="Arial"/>
                <w:color w:val="auto"/>
                <w:sz w:val="21"/>
                <w:highlight w:val="none"/>
              </w:rPr>
            </w:pPr>
          </w:p>
        </w:tc>
        <w:tc>
          <w:tcPr>
            <w:tcW w:w="1365" w:type="dxa"/>
            <w:vAlign w:val="top"/>
          </w:tcPr>
          <w:p w14:paraId="66CB8AC3">
            <w:pPr>
              <w:rPr>
                <w:rFonts w:ascii="Arial"/>
                <w:color w:val="auto"/>
                <w:sz w:val="21"/>
                <w:highlight w:val="none"/>
              </w:rPr>
            </w:pPr>
          </w:p>
        </w:tc>
      </w:tr>
      <w:tr w14:paraId="197BB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328" w:type="dxa"/>
            <w:vAlign w:val="top"/>
          </w:tcPr>
          <w:p w14:paraId="6B9220A4">
            <w:pPr>
              <w:rPr>
                <w:rFonts w:ascii="Arial"/>
                <w:color w:val="auto"/>
                <w:sz w:val="21"/>
                <w:highlight w:val="none"/>
              </w:rPr>
            </w:pPr>
          </w:p>
        </w:tc>
        <w:tc>
          <w:tcPr>
            <w:tcW w:w="4420" w:type="dxa"/>
            <w:gridSpan w:val="5"/>
            <w:vAlign w:val="top"/>
          </w:tcPr>
          <w:p w14:paraId="5EE0FAEB">
            <w:pPr>
              <w:rPr>
                <w:rFonts w:ascii="Arial"/>
                <w:color w:val="auto"/>
                <w:sz w:val="21"/>
                <w:highlight w:val="none"/>
              </w:rPr>
            </w:pPr>
          </w:p>
        </w:tc>
        <w:tc>
          <w:tcPr>
            <w:tcW w:w="2015" w:type="dxa"/>
            <w:gridSpan w:val="2"/>
            <w:vAlign w:val="top"/>
          </w:tcPr>
          <w:p w14:paraId="0BC4D195">
            <w:pPr>
              <w:rPr>
                <w:rFonts w:ascii="Arial"/>
                <w:color w:val="auto"/>
                <w:sz w:val="21"/>
                <w:highlight w:val="none"/>
              </w:rPr>
            </w:pPr>
          </w:p>
        </w:tc>
        <w:tc>
          <w:tcPr>
            <w:tcW w:w="1365" w:type="dxa"/>
            <w:vAlign w:val="top"/>
          </w:tcPr>
          <w:p w14:paraId="5C88BE1C">
            <w:pPr>
              <w:rPr>
                <w:rFonts w:ascii="Arial"/>
                <w:color w:val="auto"/>
                <w:sz w:val="21"/>
                <w:highlight w:val="none"/>
              </w:rPr>
            </w:pPr>
          </w:p>
        </w:tc>
      </w:tr>
      <w:tr w14:paraId="34487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328" w:type="dxa"/>
            <w:vAlign w:val="top"/>
          </w:tcPr>
          <w:p w14:paraId="72B5777C">
            <w:pPr>
              <w:rPr>
                <w:rFonts w:ascii="Arial"/>
                <w:color w:val="auto"/>
                <w:sz w:val="21"/>
                <w:highlight w:val="none"/>
              </w:rPr>
            </w:pPr>
          </w:p>
        </w:tc>
        <w:tc>
          <w:tcPr>
            <w:tcW w:w="4420" w:type="dxa"/>
            <w:gridSpan w:val="5"/>
            <w:vAlign w:val="top"/>
          </w:tcPr>
          <w:p w14:paraId="4AE64588">
            <w:pPr>
              <w:rPr>
                <w:rFonts w:ascii="Arial"/>
                <w:color w:val="auto"/>
                <w:sz w:val="21"/>
                <w:highlight w:val="none"/>
              </w:rPr>
            </w:pPr>
          </w:p>
        </w:tc>
        <w:tc>
          <w:tcPr>
            <w:tcW w:w="2015" w:type="dxa"/>
            <w:gridSpan w:val="2"/>
            <w:vAlign w:val="top"/>
          </w:tcPr>
          <w:p w14:paraId="0707805A">
            <w:pPr>
              <w:rPr>
                <w:rFonts w:ascii="Arial"/>
                <w:color w:val="auto"/>
                <w:sz w:val="21"/>
                <w:highlight w:val="none"/>
              </w:rPr>
            </w:pPr>
          </w:p>
        </w:tc>
        <w:tc>
          <w:tcPr>
            <w:tcW w:w="1365" w:type="dxa"/>
            <w:vAlign w:val="top"/>
          </w:tcPr>
          <w:p w14:paraId="4FCDFE00">
            <w:pPr>
              <w:rPr>
                <w:rFonts w:ascii="Arial"/>
                <w:color w:val="auto"/>
                <w:sz w:val="21"/>
                <w:highlight w:val="none"/>
              </w:rPr>
            </w:pPr>
          </w:p>
        </w:tc>
      </w:tr>
      <w:tr w14:paraId="70B1A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328" w:type="dxa"/>
            <w:vAlign w:val="top"/>
          </w:tcPr>
          <w:p w14:paraId="1BFEE617">
            <w:pPr>
              <w:rPr>
                <w:rFonts w:ascii="Arial"/>
                <w:color w:val="auto"/>
                <w:sz w:val="21"/>
                <w:highlight w:val="none"/>
              </w:rPr>
            </w:pPr>
          </w:p>
        </w:tc>
        <w:tc>
          <w:tcPr>
            <w:tcW w:w="4420" w:type="dxa"/>
            <w:gridSpan w:val="5"/>
            <w:vAlign w:val="top"/>
          </w:tcPr>
          <w:p w14:paraId="4D2A27C6">
            <w:pPr>
              <w:rPr>
                <w:rFonts w:ascii="Arial"/>
                <w:color w:val="auto"/>
                <w:sz w:val="21"/>
                <w:highlight w:val="none"/>
              </w:rPr>
            </w:pPr>
          </w:p>
        </w:tc>
        <w:tc>
          <w:tcPr>
            <w:tcW w:w="2015" w:type="dxa"/>
            <w:gridSpan w:val="2"/>
            <w:vAlign w:val="top"/>
          </w:tcPr>
          <w:p w14:paraId="4F01C4AF">
            <w:pPr>
              <w:rPr>
                <w:rFonts w:ascii="Arial"/>
                <w:color w:val="auto"/>
                <w:sz w:val="21"/>
                <w:highlight w:val="none"/>
              </w:rPr>
            </w:pPr>
          </w:p>
        </w:tc>
        <w:tc>
          <w:tcPr>
            <w:tcW w:w="1365" w:type="dxa"/>
            <w:vAlign w:val="top"/>
          </w:tcPr>
          <w:p w14:paraId="25036F97">
            <w:pPr>
              <w:rPr>
                <w:rFonts w:ascii="Arial"/>
                <w:color w:val="auto"/>
                <w:sz w:val="21"/>
                <w:highlight w:val="none"/>
              </w:rPr>
            </w:pPr>
          </w:p>
        </w:tc>
      </w:tr>
      <w:tr w14:paraId="1E299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328" w:type="dxa"/>
            <w:vAlign w:val="top"/>
          </w:tcPr>
          <w:p w14:paraId="06677FD1">
            <w:pPr>
              <w:rPr>
                <w:rFonts w:ascii="Arial"/>
                <w:color w:val="auto"/>
                <w:sz w:val="21"/>
                <w:highlight w:val="none"/>
              </w:rPr>
            </w:pPr>
          </w:p>
        </w:tc>
        <w:tc>
          <w:tcPr>
            <w:tcW w:w="4420" w:type="dxa"/>
            <w:gridSpan w:val="5"/>
            <w:vAlign w:val="top"/>
          </w:tcPr>
          <w:p w14:paraId="22F39892">
            <w:pPr>
              <w:rPr>
                <w:rFonts w:ascii="Arial"/>
                <w:color w:val="auto"/>
                <w:sz w:val="21"/>
                <w:highlight w:val="none"/>
              </w:rPr>
            </w:pPr>
          </w:p>
        </w:tc>
        <w:tc>
          <w:tcPr>
            <w:tcW w:w="2015" w:type="dxa"/>
            <w:gridSpan w:val="2"/>
            <w:vAlign w:val="top"/>
          </w:tcPr>
          <w:p w14:paraId="06223248">
            <w:pPr>
              <w:rPr>
                <w:rFonts w:ascii="Arial"/>
                <w:color w:val="auto"/>
                <w:sz w:val="21"/>
                <w:highlight w:val="none"/>
              </w:rPr>
            </w:pPr>
          </w:p>
        </w:tc>
        <w:tc>
          <w:tcPr>
            <w:tcW w:w="1365" w:type="dxa"/>
            <w:vAlign w:val="top"/>
          </w:tcPr>
          <w:p w14:paraId="6F135665">
            <w:pPr>
              <w:rPr>
                <w:rFonts w:ascii="Arial"/>
                <w:color w:val="auto"/>
                <w:sz w:val="21"/>
                <w:highlight w:val="none"/>
              </w:rPr>
            </w:pPr>
          </w:p>
        </w:tc>
      </w:tr>
      <w:tr w14:paraId="016F1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328" w:type="dxa"/>
            <w:vAlign w:val="top"/>
          </w:tcPr>
          <w:p w14:paraId="1C608604">
            <w:pPr>
              <w:rPr>
                <w:rFonts w:ascii="Arial"/>
                <w:color w:val="auto"/>
                <w:sz w:val="21"/>
                <w:highlight w:val="none"/>
              </w:rPr>
            </w:pPr>
          </w:p>
        </w:tc>
        <w:tc>
          <w:tcPr>
            <w:tcW w:w="4420" w:type="dxa"/>
            <w:gridSpan w:val="5"/>
            <w:vAlign w:val="top"/>
          </w:tcPr>
          <w:p w14:paraId="61BDC66C">
            <w:pPr>
              <w:rPr>
                <w:rFonts w:ascii="Arial"/>
                <w:color w:val="auto"/>
                <w:sz w:val="21"/>
                <w:highlight w:val="none"/>
              </w:rPr>
            </w:pPr>
          </w:p>
        </w:tc>
        <w:tc>
          <w:tcPr>
            <w:tcW w:w="2015" w:type="dxa"/>
            <w:gridSpan w:val="2"/>
            <w:vAlign w:val="top"/>
          </w:tcPr>
          <w:p w14:paraId="1F25677C">
            <w:pPr>
              <w:rPr>
                <w:rFonts w:ascii="Arial"/>
                <w:color w:val="auto"/>
                <w:sz w:val="21"/>
                <w:highlight w:val="none"/>
              </w:rPr>
            </w:pPr>
          </w:p>
        </w:tc>
        <w:tc>
          <w:tcPr>
            <w:tcW w:w="1365" w:type="dxa"/>
            <w:vAlign w:val="top"/>
          </w:tcPr>
          <w:p w14:paraId="3DDE7547">
            <w:pPr>
              <w:rPr>
                <w:rFonts w:ascii="Arial"/>
                <w:color w:val="auto"/>
                <w:sz w:val="21"/>
                <w:highlight w:val="none"/>
              </w:rPr>
            </w:pPr>
          </w:p>
        </w:tc>
      </w:tr>
      <w:tr w14:paraId="30090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550" w:type="dxa"/>
            <w:gridSpan w:val="2"/>
            <w:vAlign w:val="top"/>
          </w:tcPr>
          <w:p w14:paraId="1B6B754E">
            <w:pPr>
              <w:spacing w:line="242" w:lineRule="auto"/>
              <w:rPr>
                <w:rFonts w:ascii="Arial"/>
                <w:color w:val="auto"/>
                <w:sz w:val="21"/>
                <w:highlight w:val="none"/>
              </w:rPr>
            </w:pPr>
          </w:p>
          <w:p w14:paraId="3CFB390B">
            <w:pPr>
              <w:pStyle w:val="17"/>
              <w:spacing w:before="65" w:line="228" w:lineRule="auto"/>
              <w:ind w:left="863"/>
              <w:rPr>
                <w:color w:val="auto"/>
                <w:highlight w:val="none"/>
              </w:rPr>
            </w:pPr>
            <w:r>
              <w:rPr>
                <w:color w:val="auto"/>
                <w:spacing w:val="6"/>
                <w:highlight w:val="none"/>
              </w:rPr>
              <w:t>获奖情况</w:t>
            </w:r>
          </w:p>
        </w:tc>
        <w:tc>
          <w:tcPr>
            <w:tcW w:w="6578" w:type="dxa"/>
            <w:gridSpan w:val="7"/>
            <w:vAlign w:val="top"/>
          </w:tcPr>
          <w:p w14:paraId="61F86190">
            <w:pPr>
              <w:rPr>
                <w:rFonts w:ascii="Arial"/>
                <w:color w:val="auto"/>
                <w:sz w:val="21"/>
                <w:highlight w:val="none"/>
              </w:rPr>
            </w:pPr>
          </w:p>
        </w:tc>
      </w:tr>
      <w:tr w14:paraId="33193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550" w:type="dxa"/>
            <w:gridSpan w:val="2"/>
            <w:vAlign w:val="top"/>
          </w:tcPr>
          <w:p w14:paraId="05B86485">
            <w:pPr>
              <w:spacing w:line="464" w:lineRule="auto"/>
              <w:rPr>
                <w:rFonts w:ascii="Arial"/>
                <w:color w:val="auto"/>
                <w:sz w:val="21"/>
                <w:highlight w:val="none"/>
              </w:rPr>
            </w:pPr>
          </w:p>
          <w:p w14:paraId="65F6CAF1">
            <w:pPr>
              <w:pStyle w:val="17"/>
              <w:spacing w:before="65" w:line="229" w:lineRule="auto"/>
              <w:ind w:left="810"/>
              <w:rPr>
                <w:color w:val="auto"/>
                <w:highlight w:val="none"/>
              </w:rPr>
            </w:pPr>
            <w:r>
              <w:rPr>
                <w:color w:val="auto"/>
                <w:spacing w:val="-1"/>
                <w:highlight w:val="none"/>
              </w:rPr>
              <w:t>备</w:t>
            </w:r>
            <w:r>
              <w:rPr>
                <w:color w:val="auto"/>
                <w:spacing w:val="7"/>
                <w:highlight w:val="none"/>
              </w:rPr>
              <w:t xml:space="preserve">     </w:t>
            </w:r>
            <w:r>
              <w:rPr>
                <w:color w:val="auto"/>
                <w:spacing w:val="-1"/>
                <w:highlight w:val="none"/>
              </w:rPr>
              <w:t>注</w:t>
            </w:r>
          </w:p>
        </w:tc>
        <w:tc>
          <w:tcPr>
            <w:tcW w:w="6578" w:type="dxa"/>
            <w:gridSpan w:val="7"/>
            <w:vAlign w:val="top"/>
          </w:tcPr>
          <w:p w14:paraId="672B82AC">
            <w:pPr>
              <w:rPr>
                <w:rFonts w:ascii="Arial"/>
                <w:color w:val="auto"/>
                <w:sz w:val="21"/>
                <w:highlight w:val="none"/>
              </w:rPr>
            </w:pPr>
          </w:p>
        </w:tc>
      </w:tr>
    </w:tbl>
    <w:p w14:paraId="2A5B1A2E">
      <w:pPr>
        <w:spacing w:before="54" w:line="227" w:lineRule="auto"/>
        <w:ind w:left="46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w:t>
      </w:r>
      <w:r>
        <w:rPr>
          <w:rFonts w:hint="eastAsia" w:ascii="宋体" w:hAnsi="宋体" w:eastAsia="宋体" w:cs="宋体"/>
          <w:color w:val="auto"/>
          <w:spacing w:val="8"/>
          <w:sz w:val="20"/>
          <w:szCs w:val="20"/>
          <w:highlight w:val="none"/>
          <w:lang w:val="en-US" w:eastAsia="zh-CN"/>
        </w:rPr>
        <w:t>本次招标不作要求，无须填写</w:t>
      </w:r>
      <w:r>
        <w:rPr>
          <w:rFonts w:ascii="宋体" w:hAnsi="宋体" w:eastAsia="宋体" w:cs="宋体"/>
          <w:color w:val="auto"/>
          <w:spacing w:val="7"/>
          <w:sz w:val="20"/>
          <w:szCs w:val="20"/>
          <w:highlight w:val="none"/>
        </w:rPr>
        <w:t>。</w:t>
      </w:r>
    </w:p>
    <w:p w14:paraId="7645849F">
      <w:pPr>
        <w:spacing w:line="261" w:lineRule="auto"/>
        <w:rPr>
          <w:rFonts w:ascii="Arial"/>
          <w:color w:val="auto"/>
          <w:sz w:val="21"/>
          <w:highlight w:val="none"/>
        </w:rPr>
      </w:pPr>
    </w:p>
    <w:p w14:paraId="4EE1760F">
      <w:pPr>
        <w:spacing w:line="261" w:lineRule="auto"/>
        <w:rPr>
          <w:rFonts w:ascii="Arial"/>
          <w:color w:val="auto"/>
          <w:sz w:val="21"/>
          <w:highlight w:val="none"/>
        </w:rPr>
      </w:pPr>
    </w:p>
    <w:p w14:paraId="43924E37">
      <w:pPr>
        <w:spacing w:line="261" w:lineRule="auto"/>
        <w:rPr>
          <w:rFonts w:ascii="Arial"/>
          <w:color w:val="auto"/>
          <w:sz w:val="21"/>
          <w:highlight w:val="none"/>
        </w:rPr>
      </w:pPr>
    </w:p>
    <w:p w14:paraId="2350D378">
      <w:pPr>
        <w:spacing w:line="261" w:lineRule="auto"/>
        <w:rPr>
          <w:rFonts w:ascii="Arial"/>
          <w:color w:val="auto"/>
          <w:sz w:val="21"/>
          <w:highlight w:val="none"/>
        </w:rPr>
      </w:pPr>
    </w:p>
    <w:p w14:paraId="182D940A">
      <w:pPr>
        <w:spacing w:line="261" w:lineRule="auto"/>
        <w:rPr>
          <w:rFonts w:ascii="Arial"/>
          <w:color w:val="auto"/>
          <w:sz w:val="21"/>
          <w:highlight w:val="none"/>
        </w:rPr>
      </w:pPr>
    </w:p>
    <w:p w14:paraId="2B9296DC">
      <w:pPr>
        <w:spacing w:line="261" w:lineRule="auto"/>
        <w:rPr>
          <w:rFonts w:ascii="Arial"/>
          <w:color w:val="auto"/>
          <w:sz w:val="21"/>
          <w:highlight w:val="none"/>
        </w:rPr>
      </w:pPr>
    </w:p>
    <w:p w14:paraId="496C534B">
      <w:pPr>
        <w:spacing w:line="217" w:lineRule="auto"/>
        <w:rPr>
          <w:rFonts w:ascii="宋体" w:hAnsi="宋体" w:eastAsia="宋体" w:cs="宋体"/>
          <w:color w:val="auto"/>
          <w:sz w:val="18"/>
          <w:szCs w:val="18"/>
          <w:highlight w:val="none"/>
        </w:rPr>
        <w:sectPr>
          <w:footerReference r:id="rId103" w:type="default"/>
          <w:pgSz w:w="11906" w:h="16839"/>
          <w:pgMar w:top="1373" w:right="1388" w:bottom="1297" w:left="1384" w:header="0" w:footer="1065" w:gutter="0"/>
          <w:pgNumType w:fmt="decimal"/>
          <w:cols w:space="720" w:num="1"/>
        </w:sectPr>
      </w:pPr>
      <w:bookmarkStart w:id="334" w:name="bookmark160"/>
      <w:bookmarkEnd w:id="334"/>
    </w:p>
    <w:p w14:paraId="091BA139">
      <w:pPr>
        <w:spacing w:before="59" w:line="218" w:lineRule="auto"/>
        <w:ind w:left="1348"/>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（九）关于使用广东省信用评价等级的申请承诺书</w:t>
      </w:r>
    </w:p>
    <w:p w14:paraId="0D6B49E9">
      <w:pPr>
        <w:spacing w:line="306" w:lineRule="auto"/>
        <w:rPr>
          <w:rFonts w:ascii="Arial"/>
          <w:color w:val="auto"/>
          <w:sz w:val="21"/>
          <w:highlight w:val="none"/>
        </w:rPr>
      </w:pPr>
    </w:p>
    <w:p w14:paraId="6F9E099C">
      <w:pPr>
        <w:spacing w:before="78" w:line="220" w:lineRule="auto"/>
        <w:ind w:left="10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致招标人</w:t>
      </w:r>
      <w:r>
        <w:rPr>
          <w:rFonts w:ascii="宋体" w:hAnsi="宋体" w:eastAsia="宋体" w:cs="宋体"/>
          <w:color w:val="auto"/>
          <w:spacing w:val="-16"/>
          <w:sz w:val="24"/>
          <w:szCs w:val="24"/>
          <w:highlight w:val="none"/>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6"/>
          <w:sz w:val="24"/>
          <w:szCs w:val="24"/>
          <w:highlight w:val="none"/>
          <w:u w:val="single" w:color="auto"/>
        </w:rPr>
        <w:t>（</w:t>
      </w:r>
      <w:r>
        <w:rPr>
          <w:rFonts w:ascii="宋体" w:hAnsi="宋体" w:eastAsia="宋体" w:cs="宋体"/>
          <w:color w:val="auto"/>
          <w:spacing w:val="2"/>
          <w:sz w:val="24"/>
          <w:szCs w:val="24"/>
          <w:highlight w:val="none"/>
          <w:u w:val="single" w:color="auto"/>
        </w:rPr>
        <w:t>招标人全称）</w:t>
      </w:r>
    </w:p>
    <w:p w14:paraId="6BD39D80">
      <w:pPr>
        <w:spacing w:before="115" w:line="219" w:lineRule="auto"/>
        <w:ind w:left="5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按照相关要求，现我单位对使用信用等级申请如下：</w:t>
      </w:r>
    </w:p>
    <w:p w14:paraId="33CBC47B">
      <w:pPr>
        <w:spacing w:before="114" w:line="308" w:lineRule="auto"/>
        <w:ind w:left="109" w:right="10" w:firstLine="483"/>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一、我单位在</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施工监理</w:t>
      </w:r>
      <w:r>
        <w:rPr>
          <w:rFonts w:ascii="宋体" w:hAnsi="宋体" w:eastAsia="宋体" w:cs="宋体"/>
          <w:color w:val="auto"/>
          <w:spacing w:val="-2"/>
          <w:sz w:val="24"/>
          <w:szCs w:val="24"/>
          <w:highlight w:val="none"/>
        </w:rPr>
        <w:t>招标（第</w:t>
      </w:r>
      <w:r>
        <w:rPr>
          <w:rFonts w:ascii="宋体" w:hAnsi="宋体" w:eastAsia="宋体" w:cs="宋体"/>
          <w:color w:val="auto"/>
          <w:spacing w:val="-2"/>
          <w:sz w:val="24"/>
          <w:szCs w:val="24"/>
          <w:highlight w:val="none"/>
          <w:u w:val="single" w:color="auto"/>
        </w:rPr>
        <w:t xml:space="preserve">      标段）</w:t>
      </w:r>
      <w:r>
        <w:rPr>
          <w:rFonts w:ascii="宋体" w:hAnsi="宋体" w:eastAsia="宋体" w:cs="宋体"/>
          <w:color w:val="auto"/>
          <w:spacing w:val="-2"/>
          <w:sz w:val="24"/>
          <w:szCs w:val="24"/>
          <w:highlight w:val="none"/>
        </w:rPr>
        <w:t>的招标中，</w:t>
      </w:r>
      <w:r>
        <w:rPr>
          <w:rFonts w:ascii="宋体" w:hAnsi="宋体" w:eastAsia="宋体" w:cs="宋体"/>
          <w:b/>
          <w:bCs/>
          <w:color w:val="auto"/>
          <w:spacing w:val="-2"/>
          <w:sz w:val="24"/>
          <w:szCs w:val="24"/>
          <w:highlight w:val="none"/>
        </w:rPr>
        <w:t>第</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b/>
          <w:bCs/>
          <w:color w:val="auto"/>
          <w:spacing w:val="-2"/>
          <w:sz w:val="24"/>
          <w:szCs w:val="24"/>
          <w:highlight w:val="none"/>
        </w:rPr>
        <w:t>次使用（</w:t>
      </w:r>
      <w:r>
        <w:rPr>
          <w:rFonts w:ascii="宋体" w:hAnsi="宋体" w:eastAsia="宋体" w:cs="宋体"/>
          <w:color w:val="auto"/>
          <w:spacing w:val="-71"/>
          <w:sz w:val="24"/>
          <w:szCs w:val="24"/>
          <w:highlight w:val="none"/>
        </w:rPr>
        <w:t xml:space="preserve"> </w:t>
      </w:r>
      <w:r>
        <w:rPr>
          <w:rFonts w:ascii="宋体" w:hAnsi="宋体" w:eastAsia="宋体" w:cs="宋体"/>
          <w:b/>
          <w:bCs/>
          <w:color w:val="auto"/>
          <w:spacing w:val="-2"/>
          <w:sz w:val="24"/>
          <w:szCs w:val="24"/>
          <w:highlight w:val="none"/>
          <w:u w:val="single" w:color="auto"/>
        </w:rPr>
        <w:t>或不使用</w:t>
      </w:r>
      <w:r>
        <w:rPr>
          <w:rFonts w:ascii="宋体" w:hAnsi="宋体" w:eastAsia="宋体" w:cs="宋体"/>
          <w:b/>
          <w:bCs/>
          <w:color w:val="auto"/>
          <w:spacing w:val="-2"/>
          <w:sz w:val="24"/>
          <w:szCs w:val="24"/>
          <w:highlight w:val="none"/>
        </w:rPr>
        <w:t>）</w:t>
      </w:r>
      <w:r>
        <w:rPr>
          <w:rFonts w:ascii="宋体" w:hAnsi="宋体" w:eastAsia="宋体" w:cs="宋体"/>
          <w:color w:val="auto"/>
          <w:spacing w:val="-2"/>
          <w:sz w:val="24"/>
          <w:szCs w:val="24"/>
          <w:highlight w:val="none"/>
        </w:rPr>
        <w:t>广东省交通运输</w:t>
      </w:r>
      <w:r>
        <w:rPr>
          <w:rFonts w:ascii="宋体" w:hAnsi="宋体" w:eastAsia="宋体" w:cs="宋体"/>
          <w:color w:val="auto"/>
          <w:spacing w:val="-3"/>
          <w:sz w:val="24"/>
          <w:szCs w:val="24"/>
          <w:highlight w:val="none"/>
        </w:rPr>
        <w:t>厅发布的</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3"/>
          <w:sz w:val="24"/>
          <w:szCs w:val="24"/>
          <w:highlight w:val="none"/>
        </w:rPr>
        <w:t>年度信用评价</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3"/>
          <w:sz w:val="24"/>
          <w:szCs w:val="24"/>
          <w:highlight w:val="none"/>
        </w:rPr>
        <w:t>等级结果</w:t>
      </w:r>
      <w:r>
        <w:rPr>
          <w:rFonts w:ascii="宋体" w:hAnsi="宋体" w:eastAsia="宋体" w:cs="宋体"/>
          <w:color w:val="auto"/>
          <w:spacing w:val="-2"/>
          <w:sz w:val="24"/>
          <w:szCs w:val="24"/>
          <w:highlight w:val="none"/>
        </w:rPr>
        <w:t>和对应等级分值。</w:t>
      </w:r>
    </w:p>
    <w:p w14:paraId="2BA514B3">
      <w:pPr>
        <w:spacing w:line="218" w:lineRule="auto"/>
        <w:ind w:left="5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二、我单位承诺，在递交本次申请后，我单位将失去一次使用</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98"/>
          <w:sz w:val="24"/>
          <w:szCs w:val="24"/>
          <w:highlight w:val="none"/>
        </w:rPr>
        <w:t xml:space="preserve"> </w:t>
      </w:r>
      <w:r>
        <w:rPr>
          <w:rFonts w:ascii="宋体" w:hAnsi="宋体" w:eastAsia="宋体" w:cs="宋体"/>
          <w:color w:val="auto"/>
          <w:spacing w:val="-1"/>
          <w:sz w:val="24"/>
          <w:szCs w:val="24"/>
          <w:highlight w:val="none"/>
        </w:rPr>
        <w:t>等级结果</w:t>
      </w:r>
    </w:p>
    <w:p w14:paraId="08FBB5F0">
      <w:pPr>
        <w:spacing w:before="114" w:line="264" w:lineRule="auto"/>
        <w:ind w:left="110" w:right="180" w:hanging="11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宋体" w:hAnsi="宋体" w:eastAsia="宋体" w:cs="宋体"/>
          <w:b/>
          <w:bCs/>
          <w:color w:val="auto"/>
          <w:spacing w:val="-2"/>
          <w:sz w:val="24"/>
          <w:szCs w:val="24"/>
          <w:highlight w:val="none"/>
          <w:u w:val="single" w:color="auto"/>
        </w:rPr>
        <w:t>不使用时上述填“/</w:t>
      </w:r>
      <w:r>
        <w:rPr>
          <w:rFonts w:ascii="宋体" w:hAnsi="宋体" w:eastAsia="宋体" w:cs="宋体"/>
          <w:color w:val="auto"/>
          <w:spacing w:val="-82"/>
          <w:sz w:val="24"/>
          <w:szCs w:val="24"/>
          <w:highlight w:val="none"/>
          <w:u w:val="single" w:color="auto"/>
        </w:rPr>
        <w:t xml:space="preserve"> </w:t>
      </w:r>
      <w:r>
        <w:rPr>
          <w:rFonts w:ascii="宋体" w:hAnsi="宋体" w:eastAsia="宋体" w:cs="宋体"/>
          <w:b/>
          <w:bCs/>
          <w:color w:val="auto"/>
          <w:spacing w:val="-2"/>
          <w:sz w:val="24"/>
          <w:szCs w:val="24"/>
          <w:highlight w:val="none"/>
          <w:u w:val="single" w:color="auto"/>
        </w:rPr>
        <w:t>”）</w:t>
      </w:r>
      <w:r>
        <w:rPr>
          <w:rFonts w:ascii="宋体" w:hAnsi="宋体" w:eastAsia="宋体" w:cs="宋体"/>
          <w:color w:val="auto"/>
          <w:spacing w:val="-2"/>
          <w:sz w:val="24"/>
          <w:szCs w:val="24"/>
          <w:highlight w:val="none"/>
        </w:rPr>
        <w:t>参与投标的机会。当累计使用超过规定的次数，我单位同意</w:t>
      </w:r>
      <w:r>
        <w:rPr>
          <w:rFonts w:ascii="宋体" w:hAnsi="宋体" w:eastAsia="宋体" w:cs="宋体"/>
          <w:color w:val="auto"/>
          <w:spacing w:val="-1"/>
          <w:sz w:val="24"/>
          <w:szCs w:val="24"/>
          <w:highlight w:val="none"/>
        </w:rPr>
        <w:t>按降低一个信用等级对应分值来认定参与投标评审。</w:t>
      </w:r>
    </w:p>
    <w:p w14:paraId="3EF2C8BB">
      <w:pPr>
        <w:spacing w:before="115" w:line="263" w:lineRule="auto"/>
        <w:ind w:left="111" w:right="192"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三、如果我单位发生违反规定使用信用等级结果的情形，</w:t>
      </w:r>
      <w:r>
        <w:rPr>
          <w:rFonts w:ascii="宋体" w:hAnsi="宋体" w:eastAsia="宋体" w:cs="宋体"/>
          <w:color w:val="auto"/>
          <w:spacing w:val="-61"/>
          <w:sz w:val="24"/>
          <w:szCs w:val="24"/>
          <w:highlight w:val="none"/>
        </w:rPr>
        <w:t xml:space="preserve"> </w:t>
      </w:r>
      <w:r>
        <w:rPr>
          <w:rFonts w:ascii="宋体" w:hAnsi="宋体" w:eastAsia="宋体" w:cs="宋体"/>
          <w:color w:val="auto"/>
          <w:spacing w:val="-2"/>
          <w:sz w:val="24"/>
          <w:szCs w:val="24"/>
          <w:highlight w:val="none"/>
        </w:rPr>
        <w:t>自愿接受省级交通运输主管部门的处理。</w:t>
      </w:r>
    </w:p>
    <w:p w14:paraId="1E538CC5">
      <w:pPr>
        <w:spacing w:before="117" w:line="310" w:lineRule="auto"/>
        <w:ind w:left="589" w:right="312" w:firstLine="1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附件：本单位使用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
          <w:sz w:val="24"/>
          <w:szCs w:val="24"/>
          <w:highlight w:val="none"/>
        </w:rPr>
        <w:t>年度广东省公路水运工程从业单位信用等级情况</w:t>
      </w:r>
      <w:r>
        <w:rPr>
          <w:rFonts w:ascii="宋体" w:hAnsi="宋体" w:eastAsia="宋体" w:cs="宋体"/>
          <w:color w:val="auto"/>
          <w:spacing w:val="-2"/>
          <w:sz w:val="24"/>
          <w:szCs w:val="24"/>
          <w:highlight w:val="none"/>
        </w:rPr>
        <w:t>汇总表</w:t>
      </w:r>
      <w:r>
        <w:rPr>
          <w:rFonts w:ascii="宋体" w:hAnsi="宋体" w:eastAsia="宋体" w:cs="宋体"/>
          <w:color w:val="auto"/>
          <w:spacing w:val="-3"/>
          <w:sz w:val="24"/>
          <w:szCs w:val="24"/>
          <w:highlight w:val="none"/>
        </w:rPr>
        <w:t>特此承诺</w:t>
      </w:r>
    </w:p>
    <w:p w14:paraId="2AF06E6F">
      <w:pPr>
        <w:spacing w:before="304" w:line="220" w:lineRule="auto"/>
        <w:ind w:left="224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投标人（单位全称</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color="auto"/>
        </w:rPr>
        <w:t xml:space="preserve">                          </w:t>
      </w:r>
    </w:p>
    <w:p w14:paraId="5AC72DE7">
      <w:pPr>
        <w:spacing w:line="283" w:lineRule="auto"/>
        <w:rPr>
          <w:rFonts w:ascii="Arial"/>
          <w:color w:val="auto"/>
          <w:sz w:val="21"/>
          <w:highlight w:val="none"/>
        </w:rPr>
      </w:pPr>
    </w:p>
    <w:p w14:paraId="36750031">
      <w:pPr>
        <w:spacing w:line="283" w:lineRule="auto"/>
        <w:rPr>
          <w:rFonts w:ascii="Arial"/>
          <w:color w:val="auto"/>
          <w:sz w:val="21"/>
          <w:highlight w:val="none"/>
        </w:rPr>
      </w:pPr>
    </w:p>
    <w:p w14:paraId="7EC7ADAA">
      <w:pPr>
        <w:spacing w:before="79" w:line="219" w:lineRule="auto"/>
        <w:ind w:left="230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投标人的法定代表人或其委托代理人签名：</w:t>
      </w:r>
      <w:r>
        <w:rPr>
          <w:rFonts w:ascii="宋体" w:hAnsi="宋体" w:eastAsia="宋体" w:cs="宋体"/>
          <w:color w:val="auto"/>
          <w:sz w:val="24"/>
          <w:szCs w:val="24"/>
          <w:highlight w:val="none"/>
          <w:u w:val="single" w:color="auto"/>
        </w:rPr>
        <w:t xml:space="preserve">            </w:t>
      </w:r>
    </w:p>
    <w:p w14:paraId="3CD36EA1">
      <w:pPr>
        <w:spacing w:line="327" w:lineRule="auto"/>
        <w:rPr>
          <w:rFonts w:ascii="Arial"/>
          <w:color w:val="auto"/>
          <w:sz w:val="21"/>
          <w:highlight w:val="none"/>
        </w:rPr>
      </w:pPr>
    </w:p>
    <w:p w14:paraId="21A5EA40">
      <w:pPr>
        <w:spacing w:line="328" w:lineRule="auto"/>
        <w:rPr>
          <w:rFonts w:ascii="Arial"/>
          <w:color w:val="auto"/>
          <w:sz w:val="21"/>
          <w:highlight w:val="none"/>
        </w:rPr>
      </w:pPr>
    </w:p>
    <w:p w14:paraId="2185937F">
      <w:pPr>
        <w:spacing w:before="78" w:line="219" w:lineRule="auto"/>
        <w:jc w:val="right"/>
        <w:rPr>
          <w:rFonts w:ascii="宋体" w:hAnsi="宋体" w:eastAsia="宋体" w:cs="宋体"/>
          <w:color w:val="auto"/>
          <w:sz w:val="24"/>
          <w:szCs w:val="24"/>
          <w:highlight w:val="none"/>
        </w:rPr>
      </w:pPr>
      <w:r>
        <w:rPr>
          <w:rFonts w:ascii="宋体" w:hAnsi="宋体" w:eastAsia="宋体" w:cs="宋体"/>
          <w:color w:val="auto"/>
          <w:spacing w:val="-26"/>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color w:val="auto"/>
          <w:spacing w:val="-26"/>
          <w:sz w:val="24"/>
          <w:szCs w:val="24"/>
          <w:highlight w:val="none"/>
        </w:rPr>
        <w:t>月</w:t>
      </w:r>
      <w:r>
        <w:rPr>
          <w:rFonts w:ascii="宋体" w:hAnsi="宋体" w:eastAsia="宋体" w:cs="宋体"/>
          <w:color w:val="auto"/>
          <w:spacing w:val="12"/>
          <w:sz w:val="24"/>
          <w:szCs w:val="24"/>
          <w:highlight w:val="none"/>
        </w:rPr>
        <w:t xml:space="preserve">    </w:t>
      </w:r>
      <w:r>
        <w:rPr>
          <w:rFonts w:ascii="宋体" w:hAnsi="宋体" w:eastAsia="宋体" w:cs="宋体"/>
          <w:color w:val="auto"/>
          <w:spacing w:val="-26"/>
          <w:sz w:val="24"/>
          <w:szCs w:val="24"/>
          <w:highlight w:val="none"/>
        </w:rPr>
        <w:t>日</w:t>
      </w:r>
    </w:p>
    <w:p w14:paraId="4BB07878">
      <w:pPr>
        <w:spacing w:before="163" w:line="230" w:lineRule="auto"/>
        <w:ind w:left="537"/>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备注：</w:t>
      </w:r>
    </w:p>
    <w:p w14:paraId="772AD362">
      <w:pPr>
        <w:spacing w:before="161" w:line="309" w:lineRule="auto"/>
        <w:ind w:left="109" w:right="197" w:firstLine="440"/>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w:t>
      </w:r>
      <w:r>
        <w:rPr>
          <w:rFonts w:ascii="宋体" w:hAnsi="宋体" w:eastAsia="宋体" w:cs="宋体"/>
          <w:color w:val="auto"/>
          <w:sz w:val="19"/>
          <w:szCs w:val="19"/>
          <w:highlight w:val="none"/>
        </w:rPr>
        <w:t>AA</w:t>
      </w:r>
      <w:r>
        <w:rPr>
          <w:rFonts w:ascii="宋体" w:hAnsi="宋体" w:eastAsia="宋体" w:cs="宋体"/>
          <w:color w:val="auto"/>
          <w:spacing w:val="8"/>
          <w:sz w:val="19"/>
          <w:szCs w:val="19"/>
          <w:highlight w:val="none"/>
        </w:rPr>
        <w:t>、A</w:t>
      </w:r>
      <w:r>
        <w:rPr>
          <w:rFonts w:ascii="宋体" w:hAnsi="宋体" w:eastAsia="宋体" w:cs="宋体"/>
          <w:color w:val="auto"/>
          <w:spacing w:val="-16"/>
          <w:sz w:val="19"/>
          <w:szCs w:val="19"/>
          <w:highlight w:val="none"/>
        </w:rPr>
        <w:t xml:space="preserve"> </w:t>
      </w:r>
      <w:r>
        <w:rPr>
          <w:rFonts w:ascii="宋体" w:hAnsi="宋体" w:eastAsia="宋体" w:cs="宋体"/>
          <w:color w:val="auto"/>
          <w:spacing w:val="8"/>
          <w:sz w:val="19"/>
          <w:szCs w:val="19"/>
          <w:highlight w:val="none"/>
        </w:rPr>
        <w:t>级信用等级企业必须填写此申请承诺书；选择“使用</w:t>
      </w:r>
      <w:r>
        <w:rPr>
          <w:rFonts w:ascii="宋体" w:hAnsi="宋体" w:eastAsia="宋体" w:cs="宋体"/>
          <w:color w:val="auto"/>
          <w:spacing w:val="-66"/>
          <w:sz w:val="19"/>
          <w:szCs w:val="19"/>
          <w:highlight w:val="none"/>
        </w:rPr>
        <w:t xml:space="preserve"> </w:t>
      </w:r>
      <w:r>
        <w:rPr>
          <w:rFonts w:ascii="宋体" w:hAnsi="宋体" w:eastAsia="宋体" w:cs="宋体"/>
          <w:color w:val="auto"/>
          <w:spacing w:val="8"/>
          <w:sz w:val="19"/>
          <w:szCs w:val="19"/>
          <w:highlight w:val="none"/>
        </w:rPr>
        <w:t>”时需和附表（情况汇总表）一起</w:t>
      </w:r>
      <w:r>
        <w:rPr>
          <w:rFonts w:ascii="宋体" w:hAnsi="宋体" w:eastAsia="宋体" w:cs="宋体"/>
          <w:color w:val="auto"/>
          <w:spacing w:val="7"/>
          <w:sz w:val="19"/>
          <w:szCs w:val="19"/>
          <w:highlight w:val="none"/>
        </w:rPr>
        <w:t>编入投标文件中。</w:t>
      </w:r>
    </w:p>
    <w:p w14:paraId="4B15BE28">
      <w:pPr>
        <w:spacing w:before="167" w:line="227" w:lineRule="auto"/>
        <w:ind w:left="537"/>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2、</w:t>
      </w:r>
      <w:r>
        <w:rPr>
          <w:rFonts w:ascii="宋体" w:hAnsi="宋体" w:eastAsia="宋体" w:cs="宋体"/>
          <w:color w:val="auto"/>
          <w:sz w:val="19"/>
          <w:szCs w:val="19"/>
          <w:highlight w:val="none"/>
        </w:rPr>
        <w:t>AA</w:t>
      </w:r>
      <w:r>
        <w:rPr>
          <w:rFonts w:ascii="宋体" w:hAnsi="宋体" w:eastAsia="宋体" w:cs="宋体"/>
          <w:color w:val="auto"/>
          <w:spacing w:val="10"/>
          <w:sz w:val="19"/>
          <w:szCs w:val="19"/>
          <w:highlight w:val="none"/>
        </w:rPr>
        <w:t>、A 级信用等级企业应区分标段、分别填写并提</w:t>
      </w:r>
      <w:r>
        <w:rPr>
          <w:rFonts w:ascii="宋体" w:hAnsi="宋体" w:eastAsia="宋体" w:cs="宋体"/>
          <w:color w:val="auto"/>
          <w:spacing w:val="9"/>
          <w:sz w:val="19"/>
          <w:szCs w:val="19"/>
          <w:highlight w:val="none"/>
        </w:rPr>
        <w:t>交此申请承诺书；如同时对多个标段选择</w:t>
      </w:r>
    </w:p>
    <w:p w14:paraId="4A64DEC9">
      <w:pPr>
        <w:spacing w:before="166" w:line="335" w:lineRule="auto"/>
        <w:ind w:left="106" w:right="72" w:hanging="107"/>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“使用</w:t>
      </w:r>
      <w:r>
        <w:rPr>
          <w:rFonts w:ascii="宋体" w:hAnsi="宋体" w:eastAsia="宋体" w:cs="宋体"/>
          <w:color w:val="auto"/>
          <w:spacing w:val="-66"/>
          <w:sz w:val="19"/>
          <w:szCs w:val="19"/>
          <w:highlight w:val="none"/>
        </w:rPr>
        <w:t xml:space="preserve"> </w:t>
      </w:r>
      <w:r>
        <w:rPr>
          <w:rFonts w:ascii="宋体" w:hAnsi="宋体" w:eastAsia="宋体" w:cs="宋体"/>
          <w:color w:val="auto"/>
          <w:spacing w:val="9"/>
          <w:sz w:val="19"/>
          <w:szCs w:val="19"/>
          <w:highlight w:val="none"/>
        </w:rPr>
        <w:t>”时，使用次数应按标段累加（即各</w:t>
      </w:r>
      <w:r>
        <w:rPr>
          <w:rFonts w:ascii="宋体" w:hAnsi="宋体" w:eastAsia="宋体" w:cs="宋体"/>
          <w:color w:val="auto"/>
          <w:spacing w:val="8"/>
          <w:sz w:val="19"/>
          <w:szCs w:val="19"/>
          <w:highlight w:val="none"/>
        </w:rPr>
        <w:t>个标段申请承诺书的使用次数应不一致）</w:t>
      </w:r>
      <w:r>
        <w:rPr>
          <w:rFonts w:ascii="宋体" w:hAnsi="宋体" w:eastAsia="宋体" w:cs="宋体"/>
          <w:color w:val="auto"/>
          <w:spacing w:val="-56"/>
          <w:sz w:val="19"/>
          <w:szCs w:val="19"/>
          <w:highlight w:val="none"/>
        </w:rPr>
        <w:t xml:space="preserve"> </w:t>
      </w:r>
      <w:r>
        <w:rPr>
          <w:rFonts w:ascii="宋体" w:hAnsi="宋体" w:eastAsia="宋体" w:cs="宋体"/>
          <w:color w:val="auto"/>
          <w:spacing w:val="8"/>
          <w:sz w:val="19"/>
          <w:szCs w:val="19"/>
          <w:highlight w:val="none"/>
        </w:rPr>
        <w:t>。如同时对多个标</w:t>
      </w:r>
      <w:r>
        <w:rPr>
          <w:rFonts w:ascii="宋体" w:hAnsi="宋体" w:eastAsia="宋体" w:cs="宋体"/>
          <w:color w:val="auto"/>
          <w:spacing w:val="9"/>
          <w:sz w:val="19"/>
          <w:szCs w:val="19"/>
          <w:highlight w:val="none"/>
        </w:rPr>
        <w:t>段选择“使用</w:t>
      </w:r>
      <w:r>
        <w:rPr>
          <w:rFonts w:ascii="宋体" w:hAnsi="宋体" w:eastAsia="宋体" w:cs="宋体"/>
          <w:color w:val="auto"/>
          <w:spacing w:val="-60"/>
          <w:sz w:val="19"/>
          <w:szCs w:val="19"/>
          <w:highlight w:val="none"/>
        </w:rPr>
        <w:t xml:space="preserve"> </w:t>
      </w:r>
      <w:r>
        <w:rPr>
          <w:rFonts w:ascii="宋体" w:hAnsi="宋体" w:eastAsia="宋体" w:cs="宋体"/>
          <w:color w:val="auto"/>
          <w:spacing w:val="9"/>
          <w:sz w:val="19"/>
          <w:szCs w:val="19"/>
          <w:highlight w:val="none"/>
        </w:rPr>
        <w:t>”而多个标段所附申请承诺书的使用次数为同一次时，多个标段均视为未正确填报申请承诺书，均按不承诺使用对应的信用等级处理。</w:t>
      </w:r>
    </w:p>
    <w:p w14:paraId="576130E1">
      <w:pPr>
        <w:spacing w:before="165" w:line="309" w:lineRule="auto"/>
        <w:ind w:left="108" w:right="144" w:firstLine="430"/>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3、中标候选人公示将对所有承诺使用最新一年度</w:t>
      </w:r>
      <w:r>
        <w:rPr>
          <w:rFonts w:ascii="宋体" w:hAnsi="宋体" w:eastAsia="宋体" w:cs="宋体"/>
          <w:color w:val="auto"/>
          <w:spacing w:val="-28"/>
          <w:sz w:val="19"/>
          <w:szCs w:val="19"/>
          <w:highlight w:val="none"/>
        </w:rPr>
        <w:t xml:space="preserve"> </w:t>
      </w:r>
      <w:r>
        <w:rPr>
          <w:rFonts w:ascii="宋体" w:hAnsi="宋体" w:eastAsia="宋体" w:cs="宋体"/>
          <w:color w:val="auto"/>
          <w:sz w:val="19"/>
          <w:szCs w:val="19"/>
          <w:highlight w:val="none"/>
        </w:rPr>
        <w:t>AA</w:t>
      </w:r>
      <w:r>
        <w:rPr>
          <w:rFonts w:ascii="宋体" w:hAnsi="宋体" w:eastAsia="宋体" w:cs="宋体"/>
          <w:color w:val="auto"/>
          <w:spacing w:val="9"/>
          <w:sz w:val="19"/>
          <w:szCs w:val="19"/>
          <w:highlight w:val="none"/>
        </w:rPr>
        <w:t>、A</w:t>
      </w:r>
      <w:r>
        <w:rPr>
          <w:rFonts w:ascii="宋体" w:hAnsi="宋体" w:eastAsia="宋体" w:cs="宋体"/>
          <w:color w:val="auto"/>
          <w:spacing w:val="-33"/>
          <w:sz w:val="19"/>
          <w:szCs w:val="19"/>
          <w:highlight w:val="none"/>
        </w:rPr>
        <w:t xml:space="preserve"> </w:t>
      </w:r>
      <w:r>
        <w:rPr>
          <w:rFonts w:ascii="宋体" w:hAnsi="宋体" w:eastAsia="宋体" w:cs="宋体"/>
          <w:color w:val="auto"/>
          <w:spacing w:val="9"/>
          <w:sz w:val="19"/>
          <w:szCs w:val="19"/>
          <w:highlight w:val="none"/>
        </w:rPr>
        <w:t>级投标人的年度信用等级使用情况进行公</w:t>
      </w:r>
      <w:r>
        <w:rPr>
          <w:rFonts w:ascii="宋体" w:hAnsi="宋体" w:eastAsia="宋体" w:cs="宋体"/>
          <w:color w:val="auto"/>
          <w:sz w:val="19"/>
          <w:szCs w:val="19"/>
          <w:highlight w:val="none"/>
        </w:rPr>
        <w:t>开。</w:t>
      </w:r>
    </w:p>
    <w:p w14:paraId="54BF6224">
      <w:pPr>
        <w:spacing w:before="151" w:line="229" w:lineRule="auto"/>
        <w:ind w:left="55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w:t>
      </w:r>
      <w:r>
        <w:rPr>
          <w:rFonts w:ascii="宋体" w:hAnsi="宋体" w:eastAsia="宋体" w:cs="宋体"/>
          <w:color w:val="auto"/>
          <w:spacing w:val="9"/>
          <w:sz w:val="19"/>
          <w:szCs w:val="19"/>
          <w:highlight w:val="none"/>
        </w:rPr>
        <w:t>以联合体形式投标的，联合体各成员应分别填写</w:t>
      </w:r>
      <w:r>
        <w:rPr>
          <w:rFonts w:ascii="宋体" w:hAnsi="宋体" w:eastAsia="宋体" w:cs="宋体"/>
          <w:color w:val="auto"/>
          <w:spacing w:val="9"/>
          <w:sz w:val="20"/>
          <w:szCs w:val="20"/>
          <w:highlight w:val="none"/>
        </w:rPr>
        <w:t>。</w:t>
      </w:r>
    </w:p>
    <w:p w14:paraId="25AC9127">
      <w:pPr>
        <w:spacing w:line="229" w:lineRule="auto"/>
        <w:rPr>
          <w:rFonts w:ascii="宋体" w:hAnsi="宋体" w:eastAsia="宋体" w:cs="宋体"/>
          <w:color w:val="auto"/>
          <w:sz w:val="20"/>
          <w:szCs w:val="20"/>
          <w:highlight w:val="none"/>
        </w:rPr>
        <w:sectPr>
          <w:footerReference r:id="rId104" w:type="default"/>
          <w:pgSz w:w="11906" w:h="16839"/>
          <w:pgMar w:top="1401" w:right="1417" w:bottom="1297" w:left="1315" w:header="0" w:footer="1067" w:gutter="0"/>
          <w:pgNumType w:fmt="decimal"/>
          <w:cols w:space="720" w:num="1"/>
        </w:sectPr>
      </w:pPr>
    </w:p>
    <w:p w14:paraId="70FCB91D">
      <w:pPr>
        <w:spacing w:before="56" w:line="219" w:lineRule="auto"/>
        <w:ind w:left="144"/>
        <w:rPr>
          <w:rFonts w:ascii="宋体" w:hAnsi="宋体" w:eastAsia="宋体" w:cs="宋体"/>
          <w:color w:val="auto"/>
          <w:sz w:val="28"/>
          <w:szCs w:val="28"/>
          <w:highlight w:val="none"/>
        </w:rPr>
      </w:pPr>
      <w:r>
        <w:rPr>
          <w:rFonts w:ascii="宋体" w:hAnsi="宋体" w:eastAsia="宋体" w:cs="宋体"/>
          <w:color w:val="auto"/>
          <w:spacing w:val="-11"/>
          <w:sz w:val="28"/>
          <w:szCs w:val="28"/>
          <w:highlight w:val="none"/>
        </w:rPr>
        <w:t>附表：</w:t>
      </w:r>
    </w:p>
    <w:p w14:paraId="6AF251A6">
      <w:pPr>
        <w:spacing w:line="298" w:lineRule="auto"/>
        <w:rPr>
          <w:rFonts w:ascii="Arial"/>
          <w:color w:val="auto"/>
          <w:sz w:val="21"/>
          <w:highlight w:val="none"/>
        </w:rPr>
      </w:pPr>
    </w:p>
    <w:p w14:paraId="51DA3217">
      <w:pPr>
        <w:tabs>
          <w:tab w:val="left" w:pos="2338"/>
        </w:tabs>
        <w:spacing w:before="91" w:line="243" w:lineRule="auto"/>
        <w:ind w:left="3397" w:right="793" w:hanging="2600"/>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125"/>
          <w:sz w:val="28"/>
          <w:szCs w:val="28"/>
          <w:highlight w:val="none"/>
        </w:rPr>
        <w:t xml:space="preserve"> </w:t>
      </w:r>
      <w:r>
        <w:rPr>
          <w:rFonts w:ascii="宋体" w:hAnsi="宋体" w:eastAsia="宋体" w:cs="宋体"/>
          <w:color w:val="auto"/>
          <w:spacing w:val="-1"/>
          <w:sz w:val="28"/>
          <w:szCs w:val="28"/>
          <w:highlight w:val="none"/>
        </w:rPr>
        <w:t>单位使用</w:t>
      </w:r>
      <w:r>
        <w:rPr>
          <w:rFonts w:ascii="宋体" w:hAnsi="宋体" w:eastAsia="宋体" w:cs="宋体"/>
          <w:color w:val="auto"/>
          <w:spacing w:val="-1"/>
          <w:sz w:val="28"/>
          <w:szCs w:val="28"/>
          <w:highlight w:val="none"/>
          <w:u w:val="single" w:color="auto"/>
        </w:rPr>
        <w:t xml:space="preserve">          </w:t>
      </w:r>
      <w:r>
        <w:rPr>
          <w:rFonts w:ascii="宋体" w:hAnsi="宋体" w:eastAsia="宋体" w:cs="宋体"/>
          <w:color w:val="auto"/>
          <w:spacing w:val="-128"/>
          <w:sz w:val="28"/>
          <w:szCs w:val="28"/>
          <w:highlight w:val="none"/>
        </w:rPr>
        <w:t xml:space="preserve"> </w:t>
      </w:r>
      <w:r>
        <w:rPr>
          <w:rFonts w:ascii="宋体" w:hAnsi="宋体" w:eastAsia="宋体" w:cs="宋体"/>
          <w:color w:val="auto"/>
          <w:spacing w:val="-1"/>
          <w:sz w:val="28"/>
          <w:szCs w:val="28"/>
          <w:highlight w:val="none"/>
        </w:rPr>
        <w:t>年度广东省公路工程从业单位</w:t>
      </w:r>
      <w:r>
        <w:rPr>
          <w:rFonts w:ascii="宋体" w:hAnsi="宋体" w:eastAsia="宋体" w:cs="宋体"/>
          <w:color w:val="auto"/>
          <w:spacing w:val="-2"/>
          <w:sz w:val="28"/>
          <w:szCs w:val="28"/>
          <w:highlight w:val="none"/>
        </w:rPr>
        <w:t>信用等级情况汇总表</w:t>
      </w:r>
    </w:p>
    <w:p w14:paraId="15BB5F45">
      <w:pPr>
        <w:spacing w:before="75"/>
        <w:rPr>
          <w:color w:val="auto"/>
          <w:highlight w:val="none"/>
        </w:rPr>
      </w:pPr>
    </w:p>
    <w:p w14:paraId="63B35C06">
      <w:pPr>
        <w:spacing w:before="75"/>
        <w:rPr>
          <w:color w:val="auto"/>
          <w:highlight w:val="none"/>
        </w:rPr>
      </w:pPr>
    </w:p>
    <w:p w14:paraId="3705F774">
      <w:pPr>
        <w:spacing w:before="74"/>
        <w:rPr>
          <w:color w:val="auto"/>
          <w:highlight w:val="none"/>
        </w:rPr>
      </w:pPr>
    </w:p>
    <w:tbl>
      <w:tblPr>
        <w:tblStyle w:val="16"/>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2171"/>
        <w:gridCol w:w="1547"/>
        <w:gridCol w:w="1720"/>
        <w:gridCol w:w="1671"/>
        <w:gridCol w:w="1254"/>
      </w:tblGrid>
      <w:tr w14:paraId="7102D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25" w:type="dxa"/>
            <w:vAlign w:val="top"/>
          </w:tcPr>
          <w:p w14:paraId="16A46B10">
            <w:pPr>
              <w:pStyle w:val="17"/>
              <w:spacing w:before="172" w:line="229" w:lineRule="auto"/>
              <w:ind w:left="258"/>
              <w:rPr>
                <w:color w:val="auto"/>
                <w:highlight w:val="none"/>
              </w:rPr>
            </w:pPr>
            <w:r>
              <w:rPr>
                <w:color w:val="auto"/>
                <w:spacing w:val="5"/>
                <w:highlight w:val="none"/>
              </w:rPr>
              <w:t>序号</w:t>
            </w:r>
          </w:p>
        </w:tc>
        <w:tc>
          <w:tcPr>
            <w:tcW w:w="2171" w:type="dxa"/>
            <w:vAlign w:val="top"/>
          </w:tcPr>
          <w:p w14:paraId="6AA5777E">
            <w:pPr>
              <w:pStyle w:val="17"/>
              <w:spacing w:before="172" w:line="228" w:lineRule="auto"/>
              <w:ind w:left="565"/>
              <w:rPr>
                <w:color w:val="auto"/>
                <w:highlight w:val="none"/>
              </w:rPr>
            </w:pPr>
            <w:r>
              <w:rPr>
                <w:color w:val="auto"/>
                <w:spacing w:val="7"/>
                <w:highlight w:val="none"/>
              </w:rPr>
              <w:t>招标人名称</w:t>
            </w:r>
          </w:p>
        </w:tc>
        <w:tc>
          <w:tcPr>
            <w:tcW w:w="1547" w:type="dxa"/>
            <w:vAlign w:val="top"/>
          </w:tcPr>
          <w:p w14:paraId="0FFF9199">
            <w:pPr>
              <w:pStyle w:val="17"/>
              <w:spacing w:before="34" w:line="235" w:lineRule="auto"/>
              <w:ind w:left="570" w:right="162" w:hanging="421"/>
              <w:rPr>
                <w:color w:val="auto"/>
                <w:highlight w:val="none"/>
              </w:rPr>
            </w:pPr>
            <w:r>
              <w:rPr>
                <w:color w:val="auto"/>
                <w:spacing w:val="5"/>
                <w:highlight w:val="none"/>
              </w:rPr>
              <w:t>标段（标类）</w:t>
            </w:r>
            <w:r>
              <w:rPr>
                <w:color w:val="auto"/>
                <w:spacing w:val="3"/>
                <w:highlight w:val="none"/>
              </w:rPr>
              <w:t>名称</w:t>
            </w:r>
          </w:p>
        </w:tc>
        <w:tc>
          <w:tcPr>
            <w:tcW w:w="1720" w:type="dxa"/>
            <w:vAlign w:val="top"/>
          </w:tcPr>
          <w:p w14:paraId="76BD59D8">
            <w:pPr>
              <w:pStyle w:val="17"/>
              <w:spacing w:before="34" w:line="235" w:lineRule="auto"/>
              <w:ind w:left="350" w:right="229" w:hanging="114"/>
              <w:rPr>
                <w:color w:val="auto"/>
                <w:highlight w:val="none"/>
              </w:rPr>
            </w:pPr>
            <w:r>
              <w:rPr>
                <w:color w:val="auto"/>
                <w:spacing w:val="8"/>
                <w:highlight w:val="none"/>
              </w:rPr>
              <w:t>递交文件时间</w:t>
            </w:r>
            <w:r>
              <w:rPr>
                <w:color w:val="auto"/>
                <w:spacing w:val="3"/>
                <w:highlight w:val="none"/>
              </w:rPr>
              <w:t>（年月日）</w:t>
            </w:r>
          </w:p>
        </w:tc>
        <w:tc>
          <w:tcPr>
            <w:tcW w:w="1671" w:type="dxa"/>
            <w:vAlign w:val="top"/>
          </w:tcPr>
          <w:p w14:paraId="66601DCD">
            <w:pPr>
              <w:pStyle w:val="17"/>
              <w:spacing w:before="35" w:line="228" w:lineRule="auto"/>
              <w:ind w:left="213"/>
              <w:rPr>
                <w:color w:val="auto"/>
                <w:highlight w:val="none"/>
              </w:rPr>
            </w:pPr>
            <w:r>
              <w:rPr>
                <w:color w:val="auto"/>
                <w:spacing w:val="8"/>
                <w:highlight w:val="none"/>
              </w:rPr>
              <w:t>使用信用等级</w:t>
            </w:r>
          </w:p>
          <w:p w14:paraId="564AD440">
            <w:pPr>
              <w:pStyle w:val="17"/>
              <w:spacing w:before="26" w:line="217" w:lineRule="auto"/>
              <w:ind w:left="434"/>
              <w:rPr>
                <w:color w:val="auto"/>
                <w:highlight w:val="none"/>
              </w:rPr>
            </w:pPr>
            <w:r>
              <w:rPr>
                <w:color w:val="auto"/>
                <w:spacing w:val="2"/>
                <w:highlight w:val="none"/>
              </w:rPr>
              <w:t>（</w:t>
            </w:r>
            <w:r>
              <w:rPr>
                <w:color w:val="auto"/>
                <w:highlight w:val="none"/>
              </w:rPr>
              <w:t>AA</w:t>
            </w:r>
            <w:r>
              <w:rPr>
                <w:color w:val="auto"/>
                <w:spacing w:val="2"/>
                <w:highlight w:val="none"/>
              </w:rPr>
              <w:t>/A）</w:t>
            </w:r>
          </w:p>
        </w:tc>
        <w:tc>
          <w:tcPr>
            <w:tcW w:w="1254" w:type="dxa"/>
            <w:vAlign w:val="top"/>
          </w:tcPr>
          <w:p w14:paraId="79DE8948">
            <w:pPr>
              <w:pStyle w:val="17"/>
              <w:spacing w:before="172" w:line="229" w:lineRule="auto"/>
              <w:ind w:left="425"/>
              <w:rPr>
                <w:color w:val="auto"/>
                <w:highlight w:val="none"/>
              </w:rPr>
            </w:pPr>
            <w:r>
              <w:rPr>
                <w:color w:val="auto"/>
                <w:spacing w:val="3"/>
                <w:highlight w:val="none"/>
              </w:rPr>
              <w:t>备注</w:t>
            </w:r>
          </w:p>
        </w:tc>
      </w:tr>
      <w:tr w14:paraId="07482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25" w:type="dxa"/>
            <w:vAlign w:val="top"/>
          </w:tcPr>
          <w:p w14:paraId="01890C1E">
            <w:pPr>
              <w:pStyle w:val="17"/>
              <w:spacing w:before="31" w:line="270" w:lineRule="exact"/>
              <w:ind w:left="430"/>
              <w:rPr>
                <w:color w:val="auto"/>
                <w:highlight w:val="none"/>
              </w:rPr>
            </w:pPr>
            <w:r>
              <w:rPr>
                <w:color w:val="auto"/>
                <w:position w:val="1"/>
                <w:highlight w:val="none"/>
              </w:rPr>
              <w:t>1</w:t>
            </w:r>
          </w:p>
        </w:tc>
        <w:tc>
          <w:tcPr>
            <w:tcW w:w="2171" w:type="dxa"/>
            <w:vAlign w:val="top"/>
          </w:tcPr>
          <w:p w14:paraId="55E9D5BB">
            <w:pPr>
              <w:rPr>
                <w:rFonts w:ascii="Arial"/>
                <w:color w:val="auto"/>
                <w:sz w:val="21"/>
                <w:highlight w:val="none"/>
              </w:rPr>
            </w:pPr>
          </w:p>
        </w:tc>
        <w:tc>
          <w:tcPr>
            <w:tcW w:w="1547" w:type="dxa"/>
            <w:vAlign w:val="top"/>
          </w:tcPr>
          <w:p w14:paraId="4D34712F">
            <w:pPr>
              <w:rPr>
                <w:rFonts w:ascii="Arial"/>
                <w:color w:val="auto"/>
                <w:sz w:val="21"/>
                <w:highlight w:val="none"/>
              </w:rPr>
            </w:pPr>
          </w:p>
        </w:tc>
        <w:tc>
          <w:tcPr>
            <w:tcW w:w="1720" w:type="dxa"/>
            <w:vAlign w:val="top"/>
          </w:tcPr>
          <w:p w14:paraId="1CD73383">
            <w:pPr>
              <w:rPr>
                <w:rFonts w:ascii="Arial"/>
                <w:color w:val="auto"/>
                <w:sz w:val="21"/>
                <w:highlight w:val="none"/>
              </w:rPr>
            </w:pPr>
          </w:p>
        </w:tc>
        <w:tc>
          <w:tcPr>
            <w:tcW w:w="1671" w:type="dxa"/>
            <w:vAlign w:val="top"/>
          </w:tcPr>
          <w:p w14:paraId="4C778C01">
            <w:pPr>
              <w:rPr>
                <w:rFonts w:ascii="Arial"/>
                <w:color w:val="auto"/>
                <w:sz w:val="21"/>
                <w:highlight w:val="none"/>
              </w:rPr>
            </w:pPr>
          </w:p>
        </w:tc>
        <w:tc>
          <w:tcPr>
            <w:tcW w:w="1254" w:type="dxa"/>
            <w:vAlign w:val="top"/>
          </w:tcPr>
          <w:p w14:paraId="3351122F">
            <w:pPr>
              <w:rPr>
                <w:rFonts w:ascii="Arial"/>
                <w:color w:val="auto"/>
                <w:sz w:val="21"/>
                <w:highlight w:val="none"/>
              </w:rPr>
            </w:pPr>
          </w:p>
        </w:tc>
      </w:tr>
      <w:tr w14:paraId="60B46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25" w:type="dxa"/>
            <w:vAlign w:val="top"/>
          </w:tcPr>
          <w:p w14:paraId="3E32EFB2">
            <w:pPr>
              <w:pStyle w:val="17"/>
              <w:spacing w:before="32" w:line="270" w:lineRule="exact"/>
              <w:ind w:left="417"/>
              <w:rPr>
                <w:color w:val="auto"/>
                <w:highlight w:val="none"/>
              </w:rPr>
            </w:pPr>
            <w:r>
              <w:rPr>
                <w:color w:val="auto"/>
                <w:position w:val="1"/>
                <w:highlight w:val="none"/>
              </w:rPr>
              <w:t>2</w:t>
            </w:r>
          </w:p>
        </w:tc>
        <w:tc>
          <w:tcPr>
            <w:tcW w:w="2171" w:type="dxa"/>
            <w:vAlign w:val="top"/>
          </w:tcPr>
          <w:p w14:paraId="458EA13F">
            <w:pPr>
              <w:rPr>
                <w:rFonts w:ascii="Arial"/>
                <w:color w:val="auto"/>
                <w:sz w:val="21"/>
                <w:highlight w:val="none"/>
              </w:rPr>
            </w:pPr>
          </w:p>
        </w:tc>
        <w:tc>
          <w:tcPr>
            <w:tcW w:w="1547" w:type="dxa"/>
            <w:vAlign w:val="top"/>
          </w:tcPr>
          <w:p w14:paraId="3189634F">
            <w:pPr>
              <w:rPr>
                <w:rFonts w:ascii="Arial"/>
                <w:color w:val="auto"/>
                <w:sz w:val="21"/>
                <w:highlight w:val="none"/>
              </w:rPr>
            </w:pPr>
          </w:p>
        </w:tc>
        <w:tc>
          <w:tcPr>
            <w:tcW w:w="1720" w:type="dxa"/>
            <w:vAlign w:val="top"/>
          </w:tcPr>
          <w:p w14:paraId="794311FF">
            <w:pPr>
              <w:rPr>
                <w:rFonts w:ascii="Arial"/>
                <w:color w:val="auto"/>
                <w:sz w:val="21"/>
                <w:highlight w:val="none"/>
              </w:rPr>
            </w:pPr>
          </w:p>
        </w:tc>
        <w:tc>
          <w:tcPr>
            <w:tcW w:w="1671" w:type="dxa"/>
            <w:vAlign w:val="top"/>
          </w:tcPr>
          <w:p w14:paraId="3B3554C4">
            <w:pPr>
              <w:rPr>
                <w:rFonts w:ascii="Arial"/>
                <w:color w:val="auto"/>
                <w:sz w:val="21"/>
                <w:highlight w:val="none"/>
              </w:rPr>
            </w:pPr>
          </w:p>
        </w:tc>
        <w:tc>
          <w:tcPr>
            <w:tcW w:w="1254" w:type="dxa"/>
            <w:vAlign w:val="top"/>
          </w:tcPr>
          <w:p w14:paraId="791A25FC">
            <w:pPr>
              <w:rPr>
                <w:rFonts w:ascii="Arial"/>
                <w:color w:val="auto"/>
                <w:sz w:val="21"/>
                <w:highlight w:val="none"/>
              </w:rPr>
            </w:pPr>
          </w:p>
        </w:tc>
      </w:tr>
      <w:tr w14:paraId="203C3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25" w:type="dxa"/>
            <w:vAlign w:val="top"/>
          </w:tcPr>
          <w:p w14:paraId="314FC02F">
            <w:pPr>
              <w:pStyle w:val="17"/>
              <w:spacing w:before="32" w:line="268" w:lineRule="exact"/>
              <w:ind w:left="419"/>
              <w:rPr>
                <w:color w:val="auto"/>
                <w:highlight w:val="none"/>
              </w:rPr>
            </w:pPr>
            <w:r>
              <w:rPr>
                <w:color w:val="auto"/>
                <w:position w:val="1"/>
                <w:highlight w:val="none"/>
              </w:rPr>
              <w:t>3</w:t>
            </w:r>
          </w:p>
        </w:tc>
        <w:tc>
          <w:tcPr>
            <w:tcW w:w="2171" w:type="dxa"/>
            <w:vAlign w:val="top"/>
          </w:tcPr>
          <w:p w14:paraId="5C2E4E1A">
            <w:pPr>
              <w:rPr>
                <w:rFonts w:ascii="Arial"/>
                <w:color w:val="auto"/>
                <w:sz w:val="21"/>
                <w:highlight w:val="none"/>
              </w:rPr>
            </w:pPr>
          </w:p>
        </w:tc>
        <w:tc>
          <w:tcPr>
            <w:tcW w:w="1547" w:type="dxa"/>
            <w:vAlign w:val="top"/>
          </w:tcPr>
          <w:p w14:paraId="5BACCB8F">
            <w:pPr>
              <w:rPr>
                <w:rFonts w:ascii="Arial"/>
                <w:color w:val="auto"/>
                <w:sz w:val="21"/>
                <w:highlight w:val="none"/>
              </w:rPr>
            </w:pPr>
          </w:p>
        </w:tc>
        <w:tc>
          <w:tcPr>
            <w:tcW w:w="1720" w:type="dxa"/>
            <w:vAlign w:val="top"/>
          </w:tcPr>
          <w:p w14:paraId="221948D3">
            <w:pPr>
              <w:rPr>
                <w:rFonts w:ascii="Arial"/>
                <w:color w:val="auto"/>
                <w:sz w:val="21"/>
                <w:highlight w:val="none"/>
              </w:rPr>
            </w:pPr>
          </w:p>
        </w:tc>
        <w:tc>
          <w:tcPr>
            <w:tcW w:w="1671" w:type="dxa"/>
            <w:vAlign w:val="top"/>
          </w:tcPr>
          <w:p w14:paraId="3A58E2FB">
            <w:pPr>
              <w:rPr>
                <w:rFonts w:ascii="Arial"/>
                <w:color w:val="auto"/>
                <w:sz w:val="21"/>
                <w:highlight w:val="none"/>
              </w:rPr>
            </w:pPr>
          </w:p>
        </w:tc>
        <w:tc>
          <w:tcPr>
            <w:tcW w:w="1254" w:type="dxa"/>
            <w:vAlign w:val="top"/>
          </w:tcPr>
          <w:p w14:paraId="58E1CACA">
            <w:pPr>
              <w:rPr>
                <w:rFonts w:ascii="Arial"/>
                <w:color w:val="auto"/>
                <w:sz w:val="21"/>
                <w:highlight w:val="none"/>
              </w:rPr>
            </w:pPr>
          </w:p>
        </w:tc>
      </w:tr>
      <w:tr w14:paraId="64D4A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25" w:type="dxa"/>
            <w:vAlign w:val="top"/>
          </w:tcPr>
          <w:p w14:paraId="7CC04E36">
            <w:pPr>
              <w:pStyle w:val="17"/>
              <w:spacing w:before="34" w:line="270" w:lineRule="exact"/>
              <w:ind w:left="414"/>
              <w:rPr>
                <w:color w:val="auto"/>
                <w:highlight w:val="none"/>
              </w:rPr>
            </w:pPr>
            <w:r>
              <w:rPr>
                <w:color w:val="auto"/>
                <w:position w:val="1"/>
                <w:highlight w:val="none"/>
              </w:rPr>
              <w:t>4</w:t>
            </w:r>
          </w:p>
        </w:tc>
        <w:tc>
          <w:tcPr>
            <w:tcW w:w="2171" w:type="dxa"/>
            <w:vAlign w:val="top"/>
          </w:tcPr>
          <w:p w14:paraId="4B8FE2C8">
            <w:pPr>
              <w:rPr>
                <w:rFonts w:ascii="Arial"/>
                <w:color w:val="auto"/>
                <w:sz w:val="21"/>
                <w:highlight w:val="none"/>
              </w:rPr>
            </w:pPr>
          </w:p>
        </w:tc>
        <w:tc>
          <w:tcPr>
            <w:tcW w:w="1547" w:type="dxa"/>
            <w:vAlign w:val="top"/>
          </w:tcPr>
          <w:p w14:paraId="1E067DFC">
            <w:pPr>
              <w:rPr>
                <w:rFonts w:ascii="Arial"/>
                <w:color w:val="auto"/>
                <w:sz w:val="21"/>
                <w:highlight w:val="none"/>
              </w:rPr>
            </w:pPr>
          </w:p>
        </w:tc>
        <w:tc>
          <w:tcPr>
            <w:tcW w:w="1720" w:type="dxa"/>
            <w:vAlign w:val="top"/>
          </w:tcPr>
          <w:p w14:paraId="68B77524">
            <w:pPr>
              <w:rPr>
                <w:rFonts w:ascii="Arial"/>
                <w:color w:val="auto"/>
                <w:sz w:val="21"/>
                <w:highlight w:val="none"/>
              </w:rPr>
            </w:pPr>
          </w:p>
        </w:tc>
        <w:tc>
          <w:tcPr>
            <w:tcW w:w="1671" w:type="dxa"/>
            <w:vAlign w:val="top"/>
          </w:tcPr>
          <w:p w14:paraId="04B21925">
            <w:pPr>
              <w:rPr>
                <w:rFonts w:ascii="Arial"/>
                <w:color w:val="auto"/>
                <w:sz w:val="21"/>
                <w:highlight w:val="none"/>
              </w:rPr>
            </w:pPr>
          </w:p>
        </w:tc>
        <w:tc>
          <w:tcPr>
            <w:tcW w:w="1254" w:type="dxa"/>
            <w:vAlign w:val="top"/>
          </w:tcPr>
          <w:p w14:paraId="0A7891C1">
            <w:pPr>
              <w:rPr>
                <w:rFonts w:ascii="Arial"/>
                <w:color w:val="auto"/>
                <w:sz w:val="21"/>
                <w:highlight w:val="none"/>
              </w:rPr>
            </w:pPr>
          </w:p>
        </w:tc>
      </w:tr>
      <w:tr w14:paraId="5B54E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25" w:type="dxa"/>
            <w:vAlign w:val="top"/>
          </w:tcPr>
          <w:p w14:paraId="08AA2F99">
            <w:pPr>
              <w:pStyle w:val="17"/>
              <w:spacing w:before="33" w:line="269" w:lineRule="exact"/>
              <w:ind w:left="419"/>
              <w:rPr>
                <w:color w:val="auto"/>
                <w:highlight w:val="none"/>
              </w:rPr>
            </w:pPr>
            <w:r>
              <w:rPr>
                <w:color w:val="auto"/>
                <w:position w:val="1"/>
                <w:highlight w:val="none"/>
              </w:rPr>
              <w:t>5</w:t>
            </w:r>
          </w:p>
        </w:tc>
        <w:tc>
          <w:tcPr>
            <w:tcW w:w="2171" w:type="dxa"/>
            <w:vAlign w:val="top"/>
          </w:tcPr>
          <w:p w14:paraId="1153E723">
            <w:pPr>
              <w:rPr>
                <w:rFonts w:ascii="Arial"/>
                <w:color w:val="auto"/>
                <w:sz w:val="21"/>
                <w:highlight w:val="none"/>
              </w:rPr>
            </w:pPr>
          </w:p>
        </w:tc>
        <w:tc>
          <w:tcPr>
            <w:tcW w:w="1547" w:type="dxa"/>
            <w:vAlign w:val="top"/>
          </w:tcPr>
          <w:p w14:paraId="1C370D4E">
            <w:pPr>
              <w:rPr>
                <w:rFonts w:ascii="Arial"/>
                <w:color w:val="auto"/>
                <w:sz w:val="21"/>
                <w:highlight w:val="none"/>
              </w:rPr>
            </w:pPr>
          </w:p>
        </w:tc>
        <w:tc>
          <w:tcPr>
            <w:tcW w:w="1720" w:type="dxa"/>
            <w:vAlign w:val="top"/>
          </w:tcPr>
          <w:p w14:paraId="30FED9D5">
            <w:pPr>
              <w:rPr>
                <w:rFonts w:ascii="Arial"/>
                <w:color w:val="auto"/>
                <w:sz w:val="21"/>
                <w:highlight w:val="none"/>
              </w:rPr>
            </w:pPr>
          </w:p>
        </w:tc>
        <w:tc>
          <w:tcPr>
            <w:tcW w:w="1671" w:type="dxa"/>
            <w:vAlign w:val="top"/>
          </w:tcPr>
          <w:p w14:paraId="73EA37E9">
            <w:pPr>
              <w:rPr>
                <w:rFonts w:ascii="Arial"/>
                <w:color w:val="auto"/>
                <w:sz w:val="21"/>
                <w:highlight w:val="none"/>
              </w:rPr>
            </w:pPr>
          </w:p>
        </w:tc>
        <w:tc>
          <w:tcPr>
            <w:tcW w:w="1254" w:type="dxa"/>
            <w:vAlign w:val="top"/>
          </w:tcPr>
          <w:p w14:paraId="25CFD30E">
            <w:pPr>
              <w:rPr>
                <w:rFonts w:ascii="Arial"/>
                <w:color w:val="auto"/>
                <w:sz w:val="21"/>
                <w:highlight w:val="none"/>
              </w:rPr>
            </w:pPr>
          </w:p>
        </w:tc>
      </w:tr>
      <w:tr w14:paraId="03783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25" w:type="dxa"/>
            <w:vAlign w:val="top"/>
          </w:tcPr>
          <w:p w14:paraId="0845924A">
            <w:pPr>
              <w:pStyle w:val="17"/>
              <w:spacing w:before="35" w:line="268" w:lineRule="exact"/>
              <w:ind w:left="416"/>
              <w:rPr>
                <w:color w:val="auto"/>
                <w:highlight w:val="none"/>
              </w:rPr>
            </w:pPr>
            <w:r>
              <w:rPr>
                <w:color w:val="auto"/>
                <w:position w:val="1"/>
                <w:highlight w:val="none"/>
              </w:rPr>
              <w:t>6</w:t>
            </w:r>
          </w:p>
        </w:tc>
        <w:tc>
          <w:tcPr>
            <w:tcW w:w="2171" w:type="dxa"/>
            <w:vAlign w:val="top"/>
          </w:tcPr>
          <w:p w14:paraId="70338CED">
            <w:pPr>
              <w:rPr>
                <w:rFonts w:ascii="Arial"/>
                <w:color w:val="auto"/>
                <w:sz w:val="21"/>
                <w:highlight w:val="none"/>
              </w:rPr>
            </w:pPr>
          </w:p>
        </w:tc>
        <w:tc>
          <w:tcPr>
            <w:tcW w:w="1547" w:type="dxa"/>
            <w:vAlign w:val="top"/>
          </w:tcPr>
          <w:p w14:paraId="3A1DCF7A">
            <w:pPr>
              <w:rPr>
                <w:rFonts w:ascii="Arial"/>
                <w:color w:val="auto"/>
                <w:sz w:val="21"/>
                <w:highlight w:val="none"/>
              </w:rPr>
            </w:pPr>
          </w:p>
        </w:tc>
        <w:tc>
          <w:tcPr>
            <w:tcW w:w="1720" w:type="dxa"/>
            <w:vAlign w:val="top"/>
          </w:tcPr>
          <w:p w14:paraId="183ADD61">
            <w:pPr>
              <w:rPr>
                <w:rFonts w:ascii="Arial"/>
                <w:color w:val="auto"/>
                <w:sz w:val="21"/>
                <w:highlight w:val="none"/>
              </w:rPr>
            </w:pPr>
          </w:p>
        </w:tc>
        <w:tc>
          <w:tcPr>
            <w:tcW w:w="1671" w:type="dxa"/>
            <w:vAlign w:val="top"/>
          </w:tcPr>
          <w:p w14:paraId="252CE55D">
            <w:pPr>
              <w:rPr>
                <w:rFonts w:ascii="Arial"/>
                <w:color w:val="auto"/>
                <w:sz w:val="21"/>
                <w:highlight w:val="none"/>
              </w:rPr>
            </w:pPr>
          </w:p>
        </w:tc>
        <w:tc>
          <w:tcPr>
            <w:tcW w:w="1254" w:type="dxa"/>
            <w:vAlign w:val="top"/>
          </w:tcPr>
          <w:p w14:paraId="60237916">
            <w:pPr>
              <w:rPr>
                <w:rFonts w:ascii="Arial"/>
                <w:color w:val="auto"/>
                <w:sz w:val="21"/>
                <w:highlight w:val="none"/>
              </w:rPr>
            </w:pPr>
          </w:p>
        </w:tc>
      </w:tr>
      <w:tr w14:paraId="2E20A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25" w:type="dxa"/>
            <w:vAlign w:val="top"/>
          </w:tcPr>
          <w:p w14:paraId="6A56C275">
            <w:pPr>
              <w:pStyle w:val="17"/>
              <w:spacing w:before="34" w:line="268" w:lineRule="exact"/>
              <w:ind w:left="419"/>
              <w:rPr>
                <w:color w:val="auto"/>
                <w:highlight w:val="none"/>
              </w:rPr>
            </w:pPr>
            <w:r>
              <w:rPr>
                <w:color w:val="auto"/>
                <w:position w:val="1"/>
                <w:highlight w:val="none"/>
              </w:rPr>
              <w:t>7</w:t>
            </w:r>
          </w:p>
        </w:tc>
        <w:tc>
          <w:tcPr>
            <w:tcW w:w="2171" w:type="dxa"/>
            <w:vAlign w:val="top"/>
          </w:tcPr>
          <w:p w14:paraId="08AA0A55">
            <w:pPr>
              <w:rPr>
                <w:rFonts w:ascii="Arial"/>
                <w:color w:val="auto"/>
                <w:sz w:val="21"/>
                <w:highlight w:val="none"/>
              </w:rPr>
            </w:pPr>
          </w:p>
        </w:tc>
        <w:tc>
          <w:tcPr>
            <w:tcW w:w="1547" w:type="dxa"/>
            <w:vAlign w:val="top"/>
          </w:tcPr>
          <w:p w14:paraId="528C894B">
            <w:pPr>
              <w:rPr>
                <w:rFonts w:ascii="Arial"/>
                <w:color w:val="auto"/>
                <w:sz w:val="21"/>
                <w:highlight w:val="none"/>
              </w:rPr>
            </w:pPr>
          </w:p>
        </w:tc>
        <w:tc>
          <w:tcPr>
            <w:tcW w:w="1720" w:type="dxa"/>
            <w:vAlign w:val="top"/>
          </w:tcPr>
          <w:p w14:paraId="33D94C5A">
            <w:pPr>
              <w:rPr>
                <w:rFonts w:ascii="Arial"/>
                <w:color w:val="auto"/>
                <w:sz w:val="21"/>
                <w:highlight w:val="none"/>
              </w:rPr>
            </w:pPr>
          </w:p>
        </w:tc>
        <w:tc>
          <w:tcPr>
            <w:tcW w:w="1671" w:type="dxa"/>
            <w:vAlign w:val="top"/>
          </w:tcPr>
          <w:p w14:paraId="548ADD42">
            <w:pPr>
              <w:rPr>
                <w:rFonts w:ascii="Arial"/>
                <w:color w:val="auto"/>
                <w:sz w:val="21"/>
                <w:highlight w:val="none"/>
              </w:rPr>
            </w:pPr>
          </w:p>
        </w:tc>
        <w:tc>
          <w:tcPr>
            <w:tcW w:w="1254" w:type="dxa"/>
            <w:vAlign w:val="top"/>
          </w:tcPr>
          <w:p w14:paraId="2DAF6BAF">
            <w:pPr>
              <w:rPr>
                <w:rFonts w:ascii="Arial"/>
                <w:color w:val="auto"/>
                <w:sz w:val="21"/>
                <w:highlight w:val="none"/>
              </w:rPr>
            </w:pPr>
          </w:p>
        </w:tc>
      </w:tr>
      <w:tr w14:paraId="10ECC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25" w:type="dxa"/>
            <w:vAlign w:val="top"/>
          </w:tcPr>
          <w:p w14:paraId="1239AFCA">
            <w:pPr>
              <w:pStyle w:val="17"/>
              <w:spacing w:before="34" w:line="268" w:lineRule="exact"/>
              <w:ind w:left="415"/>
              <w:rPr>
                <w:color w:val="auto"/>
                <w:highlight w:val="none"/>
              </w:rPr>
            </w:pPr>
            <w:r>
              <w:rPr>
                <w:color w:val="auto"/>
                <w:position w:val="1"/>
                <w:highlight w:val="none"/>
              </w:rPr>
              <w:t>8</w:t>
            </w:r>
          </w:p>
        </w:tc>
        <w:tc>
          <w:tcPr>
            <w:tcW w:w="2171" w:type="dxa"/>
            <w:vAlign w:val="top"/>
          </w:tcPr>
          <w:p w14:paraId="30001A2C">
            <w:pPr>
              <w:rPr>
                <w:rFonts w:ascii="Arial"/>
                <w:color w:val="auto"/>
                <w:sz w:val="21"/>
                <w:highlight w:val="none"/>
              </w:rPr>
            </w:pPr>
          </w:p>
        </w:tc>
        <w:tc>
          <w:tcPr>
            <w:tcW w:w="1547" w:type="dxa"/>
            <w:vAlign w:val="top"/>
          </w:tcPr>
          <w:p w14:paraId="721198F3">
            <w:pPr>
              <w:rPr>
                <w:rFonts w:ascii="Arial"/>
                <w:color w:val="auto"/>
                <w:sz w:val="21"/>
                <w:highlight w:val="none"/>
              </w:rPr>
            </w:pPr>
          </w:p>
        </w:tc>
        <w:tc>
          <w:tcPr>
            <w:tcW w:w="1720" w:type="dxa"/>
            <w:vAlign w:val="top"/>
          </w:tcPr>
          <w:p w14:paraId="23BF8C67">
            <w:pPr>
              <w:rPr>
                <w:rFonts w:ascii="Arial"/>
                <w:color w:val="auto"/>
                <w:sz w:val="21"/>
                <w:highlight w:val="none"/>
              </w:rPr>
            </w:pPr>
          </w:p>
        </w:tc>
        <w:tc>
          <w:tcPr>
            <w:tcW w:w="1671" w:type="dxa"/>
            <w:vAlign w:val="top"/>
          </w:tcPr>
          <w:p w14:paraId="6777D414">
            <w:pPr>
              <w:rPr>
                <w:rFonts w:ascii="Arial"/>
                <w:color w:val="auto"/>
                <w:sz w:val="21"/>
                <w:highlight w:val="none"/>
              </w:rPr>
            </w:pPr>
          </w:p>
        </w:tc>
        <w:tc>
          <w:tcPr>
            <w:tcW w:w="1254" w:type="dxa"/>
            <w:vAlign w:val="top"/>
          </w:tcPr>
          <w:p w14:paraId="3D4D91BC">
            <w:pPr>
              <w:rPr>
                <w:rFonts w:ascii="Arial"/>
                <w:color w:val="auto"/>
                <w:sz w:val="21"/>
                <w:highlight w:val="none"/>
              </w:rPr>
            </w:pPr>
          </w:p>
        </w:tc>
      </w:tr>
      <w:tr w14:paraId="77CE6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25" w:type="dxa"/>
            <w:vAlign w:val="top"/>
          </w:tcPr>
          <w:p w14:paraId="0F302DC6">
            <w:pPr>
              <w:pStyle w:val="17"/>
              <w:spacing w:before="189" w:line="84" w:lineRule="exact"/>
              <w:ind w:left="317"/>
              <w:rPr>
                <w:color w:val="auto"/>
                <w:highlight w:val="none"/>
              </w:rPr>
            </w:pPr>
            <w:r>
              <w:rPr>
                <w:color w:val="auto"/>
                <w:spacing w:val="3"/>
                <w:position w:val="1"/>
                <w:highlight w:val="none"/>
              </w:rPr>
              <w:t>...</w:t>
            </w:r>
          </w:p>
        </w:tc>
        <w:tc>
          <w:tcPr>
            <w:tcW w:w="2171" w:type="dxa"/>
            <w:vAlign w:val="top"/>
          </w:tcPr>
          <w:p w14:paraId="3C1B10F3">
            <w:pPr>
              <w:rPr>
                <w:rFonts w:ascii="Arial"/>
                <w:color w:val="auto"/>
                <w:sz w:val="21"/>
                <w:highlight w:val="none"/>
              </w:rPr>
            </w:pPr>
          </w:p>
        </w:tc>
        <w:tc>
          <w:tcPr>
            <w:tcW w:w="1547" w:type="dxa"/>
            <w:vAlign w:val="top"/>
          </w:tcPr>
          <w:p w14:paraId="4DFE87F8">
            <w:pPr>
              <w:rPr>
                <w:rFonts w:ascii="Arial"/>
                <w:color w:val="auto"/>
                <w:sz w:val="21"/>
                <w:highlight w:val="none"/>
              </w:rPr>
            </w:pPr>
          </w:p>
        </w:tc>
        <w:tc>
          <w:tcPr>
            <w:tcW w:w="1720" w:type="dxa"/>
            <w:vAlign w:val="top"/>
          </w:tcPr>
          <w:p w14:paraId="16B9FBB8">
            <w:pPr>
              <w:rPr>
                <w:rFonts w:ascii="Arial"/>
                <w:color w:val="auto"/>
                <w:sz w:val="21"/>
                <w:highlight w:val="none"/>
              </w:rPr>
            </w:pPr>
          </w:p>
        </w:tc>
        <w:tc>
          <w:tcPr>
            <w:tcW w:w="1671" w:type="dxa"/>
            <w:vAlign w:val="top"/>
          </w:tcPr>
          <w:p w14:paraId="316C29D1">
            <w:pPr>
              <w:rPr>
                <w:rFonts w:ascii="Arial"/>
                <w:color w:val="auto"/>
                <w:sz w:val="21"/>
                <w:highlight w:val="none"/>
              </w:rPr>
            </w:pPr>
          </w:p>
        </w:tc>
        <w:tc>
          <w:tcPr>
            <w:tcW w:w="1254" w:type="dxa"/>
            <w:vAlign w:val="top"/>
          </w:tcPr>
          <w:p w14:paraId="2526AE5D">
            <w:pPr>
              <w:rPr>
                <w:rFonts w:ascii="Arial"/>
                <w:color w:val="auto"/>
                <w:sz w:val="21"/>
                <w:highlight w:val="none"/>
              </w:rPr>
            </w:pPr>
          </w:p>
        </w:tc>
      </w:tr>
    </w:tbl>
    <w:p w14:paraId="00B8B6BA">
      <w:pPr>
        <w:spacing w:before="30" w:line="226" w:lineRule="auto"/>
        <w:ind w:left="1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备注：1、应如实填报信用评价等级使用情况。</w:t>
      </w:r>
    </w:p>
    <w:p w14:paraId="11F77AD4">
      <w:pPr>
        <w:spacing w:before="165" w:line="228" w:lineRule="auto"/>
        <w:ind w:left="75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2、以联合体形式投标的，联合体各成员应</w:t>
      </w:r>
      <w:r>
        <w:rPr>
          <w:rFonts w:ascii="宋体" w:hAnsi="宋体" w:eastAsia="宋体" w:cs="宋体"/>
          <w:color w:val="auto"/>
          <w:spacing w:val="8"/>
          <w:sz w:val="20"/>
          <w:szCs w:val="20"/>
          <w:highlight w:val="none"/>
        </w:rPr>
        <w:t>分别填写。</w:t>
      </w:r>
    </w:p>
    <w:p w14:paraId="7824FD0B">
      <w:pPr>
        <w:spacing w:line="228" w:lineRule="auto"/>
        <w:rPr>
          <w:rFonts w:ascii="宋体" w:hAnsi="宋体" w:eastAsia="宋体" w:cs="宋体"/>
          <w:color w:val="auto"/>
          <w:sz w:val="20"/>
          <w:szCs w:val="20"/>
          <w:highlight w:val="none"/>
        </w:rPr>
        <w:sectPr>
          <w:footerReference r:id="rId105" w:type="default"/>
          <w:pgSz w:w="11906" w:h="16839"/>
          <w:pgMar w:top="1402" w:right="1308" w:bottom="1297" w:left="1304" w:header="0" w:footer="1065" w:gutter="0"/>
          <w:pgNumType w:fmt="decimal"/>
          <w:cols w:space="720" w:num="1"/>
        </w:sectPr>
      </w:pPr>
    </w:p>
    <w:p w14:paraId="783F8B0C">
      <w:pPr>
        <w:spacing w:before="163" w:line="220" w:lineRule="auto"/>
        <w:ind w:left="3823"/>
        <w:outlineLvl w:val="1"/>
        <w:rPr>
          <w:rFonts w:ascii="宋体" w:hAnsi="宋体" w:eastAsia="宋体" w:cs="宋体"/>
          <w:color w:val="auto"/>
          <w:sz w:val="24"/>
          <w:szCs w:val="24"/>
          <w:highlight w:val="none"/>
        </w:rPr>
      </w:pPr>
      <w:bookmarkStart w:id="335" w:name="_Toc12003"/>
      <w:bookmarkStart w:id="336" w:name="_Toc5688"/>
      <w:bookmarkStart w:id="337" w:name="_Toc10748"/>
      <w:bookmarkStart w:id="338" w:name="_Toc26927"/>
      <w:bookmarkStart w:id="339" w:name="_Toc29810"/>
      <w:r>
        <w:rPr>
          <w:rFonts w:ascii="宋体" w:hAnsi="宋体" w:eastAsia="宋体" w:cs="宋体"/>
          <w:b/>
          <w:bCs/>
          <w:color w:val="auto"/>
          <w:spacing w:val="-4"/>
          <w:sz w:val="24"/>
          <w:szCs w:val="24"/>
          <w:highlight w:val="none"/>
        </w:rPr>
        <w:t>六、其他资料</w:t>
      </w:r>
      <w:bookmarkEnd w:id="335"/>
      <w:bookmarkEnd w:id="336"/>
      <w:bookmarkEnd w:id="337"/>
      <w:bookmarkEnd w:id="338"/>
      <w:bookmarkEnd w:id="339"/>
    </w:p>
    <w:p w14:paraId="3B3BBFB2">
      <w:pPr>
        <w:spacing w:line="250" w:lineRule="auto"/>
        <w:rPr>
          <w:rFonts w:ascii="Arial"/>
          <w:color w:val="auto"/>
          <w:sz w:val="21"/>
          <w:highlight w:val="none"/>
        </w:rPr>
      </w:pPr>
    </w:p>
    <w:p w14:paraId="0DB75374">
      <w:pPr>
        <w:spacing w:line="251" w:lineRule="auto"/>
        <w:rPr>
          <w:rFonts w:ascii="Arial"/>
          <w:color w:val="auto"/>
          <w:sz w:val="21"/>
          <w:highlight w:val="none"/>
        </w:rPr>
      </w:pPr>
    </w:p>
    <w:p w14:paraId="2DB05C81">
      <w:pPr>
        <w:spacing w:before="78" w:line="290" w:lineRule="auto"/>
        <w:ind w:left="8" w:firstLine="53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（一）提供最新年度广东省公路工程从业单位信用评价等级（若有</w:t>
      </w:r>
      <w:r>
        <w:rPr>
          <w:rFonts w:ascii="宋体" w:hAnsi="宋体" w:eastAsia="宋体" w:cs="宋体"/>
          <w:color w:val="auto"/>
          <w:spacing w:val="7"/>
          <w:sz w:val="24"/>
          <w:szCs w:val="24"/>
          <w:highlight w:val="none"/>
        </w:rPr>
        <w:t>），</w:t>
      </w:r>
      <w:r>
        <w:rPr>
          <w:rFonts w:ascii="宋体" w:hAnsi="宋体" w:eastAsia="宋体" w:cs="宋体"/>
          <w:color w:val="auto"/>
          <w:spacing w:val="-2"/>
          <w:sz w:val="24"/>
          <w:szCs w:val="24"/>
          <w:highlight w:val="none"/>
        </w:rPr>
        <w:t>并标识单位所在位置；</w:t>
      </w:r>
    </w:p>
    <w:p w14:paraId="78A7C188">
      <w:pPr>
        <w:spacing w:before="181" w:line="288" w:lineRule="auto"/>
        <w:ind w:left="9" w:firstLine="53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（二）初次进入且无广东省最新年度信用评价等级的，但在最新一年度的全国综合评价结果为</w:t>
      </w:r>
      <w:r>
        <w:rPr>
          <w:rFonts w:ascii="宋体" w:hAnsi="宋体" w:eastAsia="宋体" w:cs="宋体"/>
          <w:color w:val="auto"/>
          <w:spacing w:val="-53"/>
          <w:sz w:val="24"/>
          <w:szCs w:val="24"/>
          <w:highlight w:val="none"/>
        </w:rPr>
        <w:t xml:space="preserve"> </w:t>
      </w:r>
      <w:r>
        <w:rPr>
          <w:rFonts w:ascii="宋体" w:hAnsi="宋体" w:eastAsia="宋体" w:cs="宋体"/>
          <w:color w:val="auto"/>
          <w:spacing w:val="-1"/>
          <w:sz w:val="24"/>
          <w:szCs w:val="24"/>
          <w:highlight w:val="none"/>
        </w:rPr>
        <w:t>C</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级或</w:t>
      </w:r>
      <w:r>
        <w:rPr>
          <w:rFonts w:ascii="宋体" w:hAnsi="宋体" w:eastAsia="宋体" w:cs="宋体"/>
          <w:color w:val="auto"/>
          <w:spacing w:val="-55"/>
          <w:sz w:val="24"/>
          <w:szCs w:val="24"/>
          <w:highlight w:val="none"/>
        </w:rPr>
        <w:t xml:space="preserve"> </w:t>
      </w:r>
      <w:r>
        <w:rPr>
          <w:rFonts w:ascii="宋体" w:hAnsi="宋体" w:eastAsia="宋体" w:cs="宋体"/>
          <w:color w:val="auto"/>
          <w:spacing w:val="-1"/>
          <w:sz w:val="24"/>
          <w:szCs w:val="24"/>
          <w:highlight w:val="none"/>
        </w:rPr>
        <w:t>D</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级的，提供最新一年度的全国综</w:t>
      </w:r>
      <w:r>
        <w:rPr>
          <w:rFonts w:ascii="宋体" w:hAnsi="宋体" w:eastAsia="宋体" w:cs="宋体"/>
          <w:color w:val="auto"/>
          <w:spacing w:val="-2"/>
          <w:sz w:val="24"/>
          <w:szCs w:val="24"/>
          <w:highlight w:val="none"/>
        </w:rPr>
        <w:t>合评价结果单位查询所在页；</w:t>
      </w:r>
    </w:p>
    <w:p w14:paraId="06E7EF52">
      <w:pPr>
        <w:spacing w:before="182" w:line="289" w:lineRule="auto"/>
        <w:ind w:left="9" w:firstLine="53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（三）如上一年度有信用评价而最新年度在广东省无信用等级的需提供上一年度</w:t>
      </w:r>
      <w:r>
        <w:rPr>
          <w:rFonts w:ascii="宋体" w:hAnsi="宋体" w:eastAsia="宋体" w:cs="宋体"/>
          <w:color w:val="auto"/>
          <w:spacing w:val="-2"/>
          <w:sz w:val="24"/>
          <w:szCs w:val="24"/>
          <w:highlight w:val="none"/>
        </w:rPr>
        <w:t>有信用评价（若有</w:t>
      </w:r>
      <w:r>
        <w:rPr>
          <w:rFonts w:ascii="宋体" w:hAnsi="宋体" w:eastAsia="宋体" w:cs="宋体"/>
          <w:color w:val="auto"/>
          <w:spacing w:val="12"/>
          <w:sz w:val="24"/>
          <w:szCs w:val="24"/>
          <w:highlight w:val="none"/>
        </w:rPr>
        <w:t>），</w:t>
      </w:r>
      <w:r>
        <w:rPr>
          <w:rFonts w:ascii="宋体" w:hAnsi="宋体" w:eastAsia="宋体" w:cs="宋体"/>
          <w:color w:val="auto"/>
          <w:spacing w:val="-2"/>
          <w:sz w:val="24"/>
          <w:szCs w:val="24"/>
          <w:highlight w:val="none"/>
        </w:rPr>
        <w:t>并标识单位所在位置。</w:t>
      </w:r>
    </w:p>
    <w:p w14:paraId="14E37FC0">
      <w:pPr>
        <w:spacing w:before="185" w:line="310" w:lineRule="auto"/>
        <w:ind w:left="11" w:right="39" w:firstLine="53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（四）详细说明投标人因供应公路工程（含附属设施）施工监理原因导致质量、</w:t>
      </w:r>
      <w:r>
        <w:rPr>
          <w:rFonts w:ascii="宋体" w:hAnsi="宋体" w:eastAsia="宋体" w:cs="宋体"/>
          <w:color w:val="auto"/>
          <w:sz w:val="24"/>
          <w:szCs w:val="24"/>
          <w:highlight w:val="none"/>
        </w:rPr>
        <w:t>安全事故被交通运输部、广东省交通运输厅、</w:t>
      </w:r>
      <w:r>
        <w:rPr>
          <w:rFonts w:ascii="宋体" w:hAnsi="宋体" w:eastAsia="宋体" w:cs="宋体"/>
          <w:color w:val="auto"/>
          <w:sz w:val="24"/>
          <w:szCs w:val="24"/>
          <w:highlight w:val="none"/>
          <w:u w:val="single" w:color="auto"/>
        </w:rPr>
        <w:t>（项目</w:t>
      </w:r>
      <w:r>
        <w:rPr>
          <w:rFonts w:ascii="宋体" w:hAnsi="宋体" w:eastAsia="宋体" w:cs="宋体"/>
          <w:color w:val="auto"/>
          <w:spacing w:val="-1"/>
          <w:sz w:val="24"/>
          <w:szCs w:val="24"/>
          <w:highlight w:val="none"/>
          <w:u w:val="single" w:color="auto"/>
        </w:rPr>
        <w:t>涉及各地级以上市）市交通运输局</w:t>
      </w:r>
      <w:r>
        <w:rPr>
          <w:color w:val="auto"/>
          <w:highlight w:val="none"/>
        </w:rPr>
        <w:fldChar w:fldCharType="begin"/>
      </w:r>
      <w:r>
        <w:rPr>
          <w:color w:val="auto"/>
          <w:highlight w:val="none"/>
        </w:rPr>
        <w:instrText xml:space="preserve"> HYPERLINK \l "bookmark161" </w:instrText>
      </w:r>
      <w:r>
        <w:rPr>
          <w:color w:val="auto"/>
          <w:highlight w:val="none"/>
        </w:rPr>
        <w:fldChar w:fldCharType="separate"/>
      </w:r>
      <w:r>
        <w:rPr>
          <w:rFonts w:ascii="宋体" w:hAnsi="宋体" w:eastAsia="宋体" w:cs="宋体"/>
          <w:color w:val="auto"/>
          <w:spacing w:val="-1"/>
          <w:position w:val="12"/>
          <w:sz w:val="12"/>
          <w:szCs w:val="12"/>
          <w:highlight w:val="none"/>
          <w:u w:val="single" w:color="auto"/>
        </w:rPr>
        <w:t>①</w:t>
      </w:r>
      <w:r>
        <w:rPr>
          <w:rFonts w:ascii="宋体" w:hAnsi="宋体" w:eastAsia="宋体" w:cs="宋体"/>
          <w:color w:val="auto"/>
          <w:spacing w:val="-1"/>
          <w:position w:val="12"/>
          <w:sz w:val="12"/>
          <w:szCs w:val="12"/>
          <w:highlight w:val="none"/>
          <w:u w:val="single" w:color="auto"/>
        </w:rPr>
        <w:fldChar w:fldCharType="end"/>
      </w:r>
      <w:r>
        <w:rPr>
          <w:rFonts w:ascii="宋体" w:hAnsi="宋体" w:eastAsia="宋体" w:cs="宋体"/>
          <w:color w:val="auto"/>
          <w:spacing w:val="-1"/>
          <w:sz w:val="24"/>
          <w:szCs w:val="24"/>
          <w:highlight w:val="none"/>
          <w:u w:val="single" w:color="auto"/>
        </w:rPr>
        <w:t>行政处罚</w:t>
      </w:r>
      <w:r>
        <w:rPr>
          <w:rFonts w:ascii="宋体" w:hAnsi="宋体" w:eastAsia="宋体" w:cs="宋体"/>
          <w:color w:val="auto"/>
          <w:spacing w:val="-1"/>
          <w:sz w:val="24"/>
          <w:szCs w:val="24"/>
          <w:highlight w:val="none"/>
        </w:rPr>
        <w:t>且在处罚信息公示期内的情况，并附相关文件。</w:t>
      </w:r>
    </w:p>
    <w:p w14:paraId="7524069B">
      <w:pPr>
        <w:spacing w:before="189" w:line="219" w:lineRule="auto"/>
        <w:ind w:left="547"/>
        <w:rPr>
          <w:rFonts w:ascii="宋体" w:hAnsi="宋体" w:eastAsia="宋体" w:cs="宋体"/>
          <w:color w:val="auto"/>
          <w:sz w:val="24"/>
          <w:szCs w:val="24"/>
          <w:highlight w:val="none"/>
        </w:rPr>
      </w:pPr>
      <w:bookmarkStart w:id="340" w:name="bookmark161"/>
      <w:bookmarkEnd w:id="340"/>
      <w:r>
        <w:rPr>
          <w:rFonts w:ascii="宋体" w:hAnsi="宋体" w:eastAsia="宋体" w:cs="宋体"/>
          <w:color w:val="auto"/>
          <w:spacing w:val="-1"/>
          <w:sz w:val="24"/>
          <w:szCs w:val="24"/>
          <w:highlight w:val="none"/>
        </w:rPr>
        <w:t>（五）投标人认为需要的其他内容（如体现技术能力的相关证明材料）。</w:t>
      </w:r>
    </w:p>
    <w:p w14:paraId="5027381D">
      <w:pPr>
        <w:spacing w:line="247" w:lineRule="auto"/>
        <w:rPr>
          <w:rFonts w:ascii="Arial"/>
          <w:color w:val="auto"/>
          <w:sz w:val="21"/>
          <w:highlight w:val="none"/>
        </w:rPr>
      </w:pPr>
    </w:p>
    <w:p w14:paraId="2CD3CF7F">
      <w:pPr>
        <w:spacing w:line="247" w:lineRule="auto"/>
        <w:rPr>
          <w:rFonts w:ascii="Arial"/>
          <w:color w:val="auto"/>
          <w:sz w:val="21"/>
          <w:highlight w:val="none"/>
        </w:rPr>
      </w:pPr>
    </w:p>
    <w:p w14:paraId="5BCB24D1">
      <w:pPr>
        <w:spacing w:line="247" w:lineRule="auto"/>
        <w:rPr>
          <w:rFonts w:ascii="Arial"/>
          <w:color w:val="auto"/>
          <w:sz w:val="21"/>
          <w:highlight w:val="none"/>
        </w:rPr>
      </w:pPr>
    </w:p>
    <w:p w14:paraId="6E7C83F6">
      <w:pPr>
        <w:spacing w:line="247" w:lineRule="auto"/>
        <w:rPr>
          <w:rFonts w:ascii="Arial"/>
          <w:color w:val="auto"/>
          <w:sz w:val="21"/>
          <w:highlight w:val="none"/>
        </w:rPr>
      </w:pPr>
    </w:p>
    <w:p w14:paraId="19EEBC0F">
      <w:pPr>
        <w:spacing w:line="247" w:lineRule="auto"/>
        <w:rPr>
          <w:rFonts w:ascii="Arial"/>
          <w:color w:val="auto"/>
          <w:sz w:val="21"/>
          <w:highlight w:val="none"/>
        </w:rPr>
      </w:pPr>
    </w:p>
    <w:p w14:paraId="7B8C9970">
      <w:pPr>
        <w:spacing w:line="247" w:lineRule="auto"/>
        <w:rPr>
          <w:rFonts w:ascii="Arial"/>
          <w:color w:val="auto"/>
          <w:sz w:val="21"/>
          <w:highlight w:val="none"/>
        </w:rPr>
      </w:pPr>
    </w:p>
    <w:p w14:paraId="12EF124C">
      <w:pPr>
        <w:spacing w:line="247" w:lineRule="auto"/>
        <w:rPr>
          <w:rFonts w:ascii="Arial"/>
          <w:color w:val="auto"/>
          <w:sz w:val="21"/>
          <w:highlight w:val="none"/>
        </w:rPr>
      </w:pPr>
    </w:p>
    <w:p w14:paraId="63C75DBD">
      <w:pPr>
        <w:spacing w:line="247" w:lineRule="auto"/>
        <w:rPr>
          <w:rFonts w:ascii="Arial"/>
          <w:color w:val="auto"/>
          <w:sz w:val="21"/>
          <w:highlight w:val="none"/>
        </w:rPr>
      </w:pPr>
    </w:p>
    <w:p w14:paraId="274F901C">
      <w:pPr>
        <w:spacing w:line="247" w:lineRule="auto"/>
        <w:rPr>
          <w:rFonts w:ascii="Arial"/>
          <w:color w:val="auto"/>
          <w:sz w:val="21"/>
          <w:highlight w:val="none"/>
        </w:rPr>
      </w:pPr>
    </w:p>
    <w:p w14:paraId="64B1EB26">
      <w:pPr>
        <w:spacing w:line="247" w:lineRule="auto"/>
        <w:rPr>
          <w:rFonts w:ascii="Arial"/>
          <w:color w:val="auto"/>
          <w:sz w:val="21"/>
          <w:highlight w:val="none"/>
        </w:rPr>
      </w:pPr>
    </w:p>
    <w:p w14:paraId="25CE146A">
      <w:pPr>
        <w:spacing w:line="247" w:lineRule="auto"/>
        <w:rPr>
          <w:rFonts w:ascii="Arial"/>
          <w:color w:val="auto"/>
          <w:sz w:val="21"/>
          <w:highlight w:val="none"/>
        </w:rPr>
      </w:pPr>
    </w:p>
    <w:p w14:paraId="10DAC889">
      <w:pPr>
        <w:spacing w:line="247" w:lineRule="auto"/>
        <w:rPr>
          <w:rFonts w:ascii="Arial"/>
          <w:color w:val="auto"/>
          <w:sz w:val="21"/>
          <w:highlight w:val="none"/>
        </w:rPr>
      </w:pPr>
    </w:p>
    <w:p w14:paraId="561905E0">
      <w:pPr>
        <w:spacing w:line="247" w:lineRule="auto"/>
        <w:rPr>
          <w:rFonts w:ascii="Arial"/>
          <w:color w:val="auto"/>
          <w:sz w:val="21"/>
          <w:highlight w:val="none"/>
        </w:rPr>
      </w:pPr>
    </w:p>
    <w:p w14:paraId="74661C73">
      <w:pPr>
        <w:spacing w:line="247" w:lineRule="auto"/>
        <w:rPr>
          <w:rFonts w:ascii="Arial"/>
          <w:color w:val="auto"/>
          <w:sz w:val="21"/>
          <w:highlight w:val="none"/>
        </w:rPr>
      </w:pPr>
    </w:p>
    <w:p w14:paraId="14147FC7">
      <w:pPr>
        <w:spacing w:line="247" w:lineRule="auto"/>
        <w:rPr>
          <w:rFonts w:ascii="Arial"/>
          <w:color w:val="auto"/>
          <w:sz w:val="21"/>
          <w:highlight w:val="none"/>
        </w:rPr>
      </w:pPr>
    </w:p>
    <w:p w14:paraId="470F8891">
      <w:pPr>
        <w:spacing w:line="247" w:lineRule="auto"/>
        <w:rPr>
          <w:rFonts w:ascii="Arial"/>
          <w:color w:val="auto"/>
          <w:sz w:val="21"/>
          <w:highlight w:val="none"/>
        </w:rPr>
      </w:pPr>
    </w:p>
    <w:p w14:paraId="4E5B1A91">
      <w:pPr>
        <w:spacing w:line="247" w:lineRule="auto"/>
        <w:rPr>
          <w:rFonts w:ascii="Arial"/>
          <w:color w:val="auto"/>
          <w:sz w:val="21"/>
          <w:highlight w:val="none"/>
        </w:rPr>
      </w:pPr>
    </w:p>
    <w:p w14:paraId="1B249E7F">
      <w:pPr>
        <w:spacing w:line="247" w:lineRule="auto"/>
        <w:rPr>
          <w:rFonts w:ascii="Arial"/>
          <w:color w:val="auto"/>
          <w:sz w:val="21"/>
          <w:highlight w:val="none"/>
        </w:rPr>
      </w:pPr>
    </w:p>
    <w:p w14:paraId="3FA61A1A">
      <w:pPr>
        <w:spacing w:line="247" w:lineRule="auto"/>
        <w:rPr>
          <w:rFonts w:ascii="Arial"/>
          <w:color w:val="auto"/>
          <w:sz w:val="21"/>
          <w:highlight w:val="none"/>
        </w:rPr>
      </w:pPr>
    </w:p>
    <w:p w14:paraId="67257D78">
      <w:pPr>
        <w:spacing w:line="247" w:lineRule="auto"/>
        <w:rPr>
          <w:rFonts w:ascii="Arial"/>
          <w:color w:val="auto"/>
          <w:sz w:val="21"/>
          <w:highlight w:val="none"/>
        </w:rPr>
      </w:pPr>
    </w:p>
    <w:p w14:paraId="5924D7A9">
      <w:pPr>
        <w:spacing w:line="247" w:lineRule="auto"/>
        <w:rPr>
          <w:rFonts w:ascii="Arial"/>
          <w:color w:val="auto"/>
          <w:sz w:val="21"/>
          <w:highlight w:val="none"/>
        </w:rPr>
      </w:pPr>
    </w:p>
    <w:p w14:paraId="56385935">
      <w:pPr>
        <w:spacing w:line="247" w:lineRule="auto"/>
        <w:rPr>
          <w:rFonts w:ascii="Arial"/>
          <w:color w:val="auto"/>
          <w:sz w:val="21"/>
          <w:highlight w:val="none"/>
        </w:rPr>
      </w:pPr>
    </w:p>
    <w:p w14:paraId="66976B9E">
      <w:pPr>
        <w:spacing w:line="247" w:lineRule="auto"/>
        <w:rPr>
          <w:rFonts w:ascii="Arial"/>
          <w:color w:val="auto"/>
          <w:sz w:val="21"/>
          <w:highlight w:val="none"/>
        </w:rPr>
      </w:pPr>
    </w:p>
    <w:p w14:paraId="1EF9DB01">
      <w:pPr>
        <w:spacing w:line="247" w:lineRule="auto"/>
        <w:rPr>
          <w:rFonts w:ascii="Arial"/>
          <w:color w:val="auto"/>
          <w:sz w:val="21"/>
          <w:highlight w:val="none"/>
        </w:rPr>
      </w:pPr>
    </w:p>
    <w:p w14:paraId="541FFA11">
      <w:pPr>
        <w:spacing w:line="247" w:lineRule="auto"/>
        <w:rPr>
          <w:rFonts w:ascii="Arial"/>
          <w:color w:val="auto"/>
          <w:sz w:val="21"/>
          <w:highlight w:val="none"/>
        </w:rPr>
      </w:pPr>
    </w:p>
    <w:p w14:paraId="08B59E1F">
      <w:pPr>
        <w:spacing w:line="247" w:lineRule="auto"/>
        <w:rPr>
          <w:rFonts w:ascii="Arial"/>
          <w:color w:val="auto"/>
          <w:sz w:val="21"/>
          <w:highlight w:val="none"/>
        </w:rPr>
      </w:pPr>
    </w:p>
    <w:p w14:paraId="476B160D">
      <w:pPr>
        <w:spacing w:line="247" w:lineRule="auto"/>
        <w:rPr>
          <w:rFonts w:ascii="Arial"/>
          <w:color w:val="auto"/>
          <w:sz w:val="21"/>
          <w:highlight w:val="none"/>
        </w:rPr>
      </w:pPr>
    </w:p>
    <w:p w14:paraId="5525C456">
      <w:pPr>
        <w:spacing w:line="247" w:lineRule="auto"/>
        <w:rPr>
          <w:rFonts w:ascii="Arial"/>
          <w:color w:val="auto"/>
          <w:sz w:val="21"/>
          <w:highlight w:val="none"/>
        </w:rPr>
      </w:pPr>
    </w:p>
    <w:p w14:paraId="46276E53">
      <w:pPr>
        <w:spacing w:line="247" w:lineRule="auto"/>
        <w:rPr>
          <w:rFonts w:ascii="Arial"/>
          <w:color w:val="auto"/>
          <w:sz w:val="21"/>
          <w:highlight w:val="none"/>
        </w:rPr>
      </w:pPr>
    </w:p>
    <w:p w14:paraId="2A7471FF">
      <w:pPr>
        <w:spacing w:line="247" w:lineRule="auto"/>
        <w:rPr>
          <w:rFonts w:ascii="Arial"/>
          <w:color w:val="auto"/>
          <w:sz w:val="21"/>
          <w:highlight w:val="none"/>
        </w:rPr>
      </w:pPr>
    </w:p>
    <w:p w14:paraId="548774B1">
      <w:pPr>
        <w:spacing w:line="248" w:lineRule="auto"/>
        <w:rPr>
          <w:rFonts w:ascii="Arial"/>
          <w:color w:val="auto"/>
          <w:sz w:val="21"/>
          <w:highlight w:val="none"/>
        </w:rPr>
      </w:pPr>
    </w:p>
    <w:p w14:paraId="543B6D3C">
      <w:pPr>
        <w:spacing w:line="248" w:lineRule="auto"/>
        <w:rPr>
          <w:rFonts w:ascii="Arial"/>
          <w:color w:val="auto"/>
          <w:sz w:val="21"/>
          <w:highlight w:val="none"/>
        </w:rPr>
      </w:pPr>
      <w:r>
        <w:rPr>
          <w:color w:val="auto"/>
          <w:highlight w:val="none"/>
        </w:rPr>
        <w:pict>
          <v:shape id="_x0000_s1098" o:spid="_x0000_s1098" style="position:absolute;left:0pt;margin-left:0pt;margin-top:11.15pt;height:0pt;width:144pt;z-index:251706368;mso-width-relative:page;mso-height-relative:page;" filled="f" stroked="t" coordsize="2880,0" path="m0,0l2880,0e">
            <v:fill on="f" focussize="0,0"/>
            <v:stroke weight="0pt" color="#000000" miterlimit="0" joinstyle="bevel" endcap="square"/>
            <v:imagedata o:title=""/>
            <o:lock v:ext="edit"/>
          </v:shape>
        </w:pict>
      </w:r>
    </w:p>
    <w:p w14:paraId="38D55FF7">
      <w:pPr>
        <w:spacing w:line="248" w:lineRule="auto"/>
        <w:rPr>
          <w:rFonts w:ascii="Arial"/>
          <w:color w:val="auto"/>
          <w:sz w:val="21"/>
          <w:highlight w:val="none"/>
        </w:rPr>
      </w:pPr>
    </w:p>
    <w:p w14:paraId="1E2A1B3A">
      <w:pPr>
        <w:spacing w:before="60" w:line="217" w:lineRule="auto"/>
        <w:ind w:left="5"/>
        <w:rPr>
          <w:rFonts w:ascii="宋体" w:hAnsi="宋体" w:eastAsia="宋体" w:cs="宋体"/>
          <w:color w:val="auto"/>
          <w:sz w:val="18"/>
          <w:szCs w:val="18"/>
          <w:highlight w:val="none"/>
        </w:rPr>
      </w:pPr>
      <w:r>
        <w:rPr>
          <w:rFonts w:ascii="宋体" w:hAnsi="宋体" w:eastAsia="宋体" w:cs="宋体"/>
          <w:color w:val="auto"/>
          <w:sz w:val="18"/>
          <w:szCs w:val="18"/>
          <w:highlight w:val="none"/>
        </w:rPr>
        <w:t>① 根据评标办法中行政处罚扣分选择项目涉及各地级以上</w:t>
      </w:r>
      <w:r>
        <w:rPr>
          <w:rFonts w:ascii="宋体" w:hAnsi="宋体" w:eastAsia="宋体" w:cs="宋体"/>
          <w:color w:val="auto"/>
          <w:spacing w:val="-1"/>
          <w:sz w:val="18"/>
          <w:szCs w:val="18"/>
          <w:highlight w:val="none"/>
        </w:rPr>
        <w:t>市交通运输局。</w:t>
      </w:r>
    </w:p>
    <w:p w14:paraId="012C551E">
      <w:pPr>
        <w:spacing w:line="217" w:lineRule="auto"/>
        <w:rPr>
          <w:rFonts w:ascii="宋体" w:hAnsi="宋体" w:eastAsia="宋体" w:cs="宋体"/>
          <w:color w:val="auto"/>
          <w:sz w:val="18"/>
          <w:szCs w:val="18"/>
          <w:highlight w:val="none"/>
        </w:rPr>
        <w:sectPr>
          <w:footerReference r:id="rId106" w:type="default"/>
          <w:pgSz w:w="11906" w:h="16839"/>
          <w:pgMar w:top="1431" w:right="1562" w:bottom="1297" w:left="1417" w:header="0" w:footer="1067" w:gutter="0"/>
          <w:pgNumType w:fmt="decimal"/>
          <w:cols w:space="720" w:num="1"/>
        </w:sectPr>
      </w:pPr>
    </w:p>
    <w:p w14:paraId="00C6396C">
      <w:pPr>
        <w:spacing w:before="64" w:line="225" w:lineRule="auto"/>
        <w:ind w:left="2733"/>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（一）投标人的自评分表</w:t>
      </w:r>
    </w:p>
    <w:p w14:paraId="597DDFA7">
      <w:pPr>
        <w:spacing w:line="194" w:lineRule="exact"/>
        <w:rPr>
          <w:color w:val="auto"/>
          <w:highlight w:val="none"/>
        </w:rPr>
      </w:pPr>
    </w:p>
    <w:tbl>
      <w:tblPr>
        <w:tblStyle w:val="16"/>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59"/>
        <w:gridCol w:w="911"/>
        <w:gridCol w:w="1679"/>
        <w:gridCol w:w="1221"/>
        <w:gridCol w:w="1392"/>
        <w:gridCol w:w="1569"/>
      </w:tblGrid>
      <w:tr w14:paraId="0AE95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15" w:type="dxa"/>
            <w:vAlign w:val="top"/>
          </w:tcPr>
          <w:p w14:paraId="12CBAB49">
            <w:pPr>
              <w:spacing w:line="366" w:lineRule="auto"/>
              <w:rPr>
                <w:rFonts w:ascii="Arial"/>
                <w:color w:val="auto"/>
                <w:sz w:val="21"/>
                <w:highlight w:val="none"/>
              </w:rPr>
            </w:pPr>
          </w:p>
          <w:p w14:paraId="504C20C6">
            <w:pPr>
              <w:pStyle w:val="17"/>
              <w:spacing w:before="65" w:line="229" w:lineRule="auto"/>
              <w:ind w:left="113"/>
              <w:rPr>
                <w:color w:val="auto"/>
                <w:highlight w:val="none"/>
              </w:rPr>
            </w:pPr>
            <w:r>
              <w:rPr>
                <w:color w:val="auto"/>
                <w:spacing w:val="5"/>
                <w:highlight w:val="none"/>
              </w:rPr>
              <w:t>序号</w:t>
            </w:r>
          </w:p>
        </w:tc>
        <w:tc>
          <w:tcPr>
            <w:tcW w:w="1359" w:type="dxa"/>
            <w:vAlign w:val="top"/>
          </w:tcPr>
          <w:p w14:paraId="30D768E6">
            <w:pPr>
              <w:spacing w:line="365" w:lineRule="auto"/>
              <w:rPr>
                <w:rFonts w:ascii="Arial"/>
                <w:color w:val="auto"/>
                <w:sz w:val="21"/>
                <w:highlight w:val="none"/>
              </w:rPr>
            </w:pPr>
          </w:p>
          <w:p w14:paraId="55D7869E">
            <w:pPr>
              <w:pStyle w:val="17"/>
              <w:spacing w:before="65" w:line="228" w:lineRule="auto"/>
              <w:ind w:left="263"/>
              <w:rPr>
                <w:color w:val="auto"/>
                <w:highlight w:val="none"/>
              </w:rPr>
            </w:pPr>
            <w:r>
              <w:rPr>
                <w:color w:val="auto"/>
                <w:spacing w:val="7"/>
                <w:highlight w:val="none"/>
              </w:rPr>
              <w:t>评分因素</w:t>
            </w:r>
          </w:p>
        </w:tc>
        <w:tc>
          <w:tcPr>
            <w:tcW w:w="911" w:type="dxa"/>
            <w:vAlign w:val="top"/>
          </w:tcPr>
          <w:p w14:paraId="4AA36C36">
            <w:pPr>
              <w:spacing w:line="365" w:lineRule="auto"/>
              <w:rPr>
                <w:rFonts w:ascii="Arial"/>
                <w:color w:val="auto"/>
                <w:sz w:val="21"/>
                <w:highlight w:val="none"/>
              </w:rPr>
            </w:pPr>
          </w:p>
          <w:p w14:paraId="1D4755E3">
            <w:pPr>
              <w:pStyle w:val="17"/>
              <w:spacing w:before="65" w:line="228" w:lineRule="auto"/>
              <w:ind w:left="249"/>
              <w:rPr>
                <w:color w:val="auto"/>
                <w:highlight w:val="none"/>
              </w:rPr>
            </w:pPr>
            <w:r>
              <w:rPr>
                <w:color w:val="auto"/>
                <w:spacing w:val="4"/>
                <w:highlight w:val="none"/>
              </w:rPr>
              <w:t>满分</w:t>
            </w:r>
          </w:p>
        </w:tc>
        <w:tc>
          <w:tcPr>
            <w:tcW w:w="1679" w:type="dxa"/>
            <w:vAlign w:val="top"/>
          </w:tcPr>
          <w:p w14:paraId="49A04B26">
            <w:pPr>
              <w:spacing w:line="366" w:lineRule="auto"/>
              <w:rPr>
                <w:rFonts w:ascii="Arial"/>
                <w:color w:val="auto"/>
                <w:sz w:val="21"/>
                <w:highlight w:val="none"/>
              </w:rPr>
            </w:pPr>
          </w:p>
          <w:p w14:paraId="6A7CCD9B">
            <w:pPr>
              <w:pStyle w:val="17"/>
              <w:spacing w:before="65" w:line="228" w:lineRule="auto"/>
              <w:ind w:left="424"/>
              <w:rPr>
                <w:color w:val="auto"/>
                <w:highlight w:val="none"/>
              </w:rPr>
            </w:pPr>
            <w:r>
              <w:rPr>
                <w:color w:val="auto"/>
                <w:spacing w:val="7"/>
                <w:highlight w:val="none"/>
              </w:rPr>
              <w:t>评分标准</w:t>
            </w:r>
          </w:p>
        </w:tc>
        <w:tc>
          <w:tcPr>
            <w:tcW w:w="1221" w:type="dxa"/>
            <w:vAlign w:val="top"/>
          </w:tcPr>
          <w:p w14:paraId="6E6BC06D">
            <w:pPr>
              <w:spacing w:line="366" w:lineRule="auto"/>
              <w:rPr>
                <w:rFonts w:ascii="Arial"/>
                <w:color w:val="auto"/>
                <w:sz w:val="21"/>
                <w:highlight w:val="none"/>
              </w:rPr>
            </w:pPr>
          </w:p>
          <w:p w14:paraId="73D6B5CC">
            <w:pPr>
              <w:pStyle w:val="17"/>
              <w:spacing w:before="65" w:line="228" w:lineRule="auto"/>
              <w:ind w:left="336"/>
              <w:rPr>
                <w:color w:val="auto"/>
                <w:highlight w:val="none"/>
              </w:rPr>
            </w:pPr>
            <w:r>
              <w:rPr>
                <w:color w:val="auto"/>
                <w:spacing w:val="-5"/>
                <w:highlight w:val="none"/>
              </w:rPr>
              <w:t>自评分</w:t>
            </w:r>
          </w:p>
        </w:tc>
        <w:tc>
          <w:tcPr>
            <w:tcW w:w="1392" w:type="dxa"/>
            <w:vAlign w:val="top"/>
          </w:tcPr>
          <w:p w14:paraId="670241BF">
            <w:pPr>
              <w:pStyle w:val="17"/>
              <w:spacing w:before="229" w:line="378" w:lineRule="auto"/>
              <w:ind w:left="616" w:right="168" w:hanging="440"/>
              <w:rPr>
                <w:color w:val="auto"/>
                <w:highlight w:val="none"/>
              </w:rPr>
            </w:pPr>
            <w:r>
              <w:rPr>
                <w:color w:val="auto"/>
                <w:spacing w:val="8"/>
                <w:highlight w:val="none"/>
              </w:rPr>
              <w:t>评分情况说</w:t>
            </w:r>
            <w:r>
              <w:rPr>
                <w:color w:val="auto"/>
                <w:highlight w:val="none"/>
              </w:rPr>
              <w:t>明</w:t>
            </w:r>
          </w:p>
        </w:tc>
        <w:tc>
          <w:tcPr>
            <w:tcW w:w="1569" w:type="dxa"/>
            <w:vAlign w:val="top"/>
          </w:tcPr>
          <w:p w14:paraId="236E2DE5">
            <w:pPr>
              <w:spacing w:line="366" w:lineRule="auto"/>
              <w:rPr>
                <w:rFonts w:ascii="Arial"/>
                <w:color w:val="auto"/>
                <w:sz w:val="21"/>
                <w:highlight w:val="none"/>
              </w:rPr>
            </w:pPr>
          </w:p>
          <w:p w14:paraId="099DAF5A">
            <w:pPr>
              <w:pStyle w:val="17"/>
              <w:spacing w:before="65" w:line="228" w:lineRule="auto"/>
              <w:ind w:left="374"/>
              <w:rPr>
                <w:color w:val="auto"/>
                <w:highlight w:val="none"/>
              </w:rPr>
            </w:pPr>
            <w:r>
              <w:rPr>
                <w:color w:val="auto"/>
                <w:spacing w:val="6"/>
                <w:highlight w:val="none"/>
              </w:rPr>
              <w:t>页码索引</w:t>
            </w:r>
          </w:p>
        </w:tc>
      </w:tr>
      <w:tr w14:paraId="08C64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top"/>
          </w:tcPr>
          <w:p w14:paraId="0C6F8141">
            <w:pPr>
              <w:rPr>
                <w:rFonts w:ascii="Arial"/>
                <w:color w:val="auto"/>
                <w:sz w:val="21"/>
                <w:highlight w:val="none"/>
              </w:rPr>
            </w:pPr>
          </w:p>
        </w:tc>
        <w:tc>
          <w:tcPr>
            <w:tcW w:w="1359" w:type="dxa"/>
            <w:vAlign w:val="top"/>
          </w:tcPr>
          <w:p w14:paraId="60028D27">
            <w:pPr>
              <w:rPr>
                <w:rFonts w:ascii="Arial"/>
                <w:color w:val="auto"/>
                <w:sz w:val="21"/>
                <w:highlight w:val="none"/>
              </w:rPr>
            </w:pPr>
          </w:p>
        </w:tc>
        <w:tc>
          <w:tcPr>
            <w:tcW w:w="911" w:type="dxa"/>
            <w:vAlign w:val="top"/>
          </w:tcPr>
          <w:p w14:paraId="7F1DA73B">
            <w:pPr>
              <w:rPr>
                <w:rFonts w:ascii="Arial"/>
                <w:color w:val="auto"/>
                <w:sz w:val="21"/>
                <w:highlight w:val="none"/>
              </w:rPr>
            </w:pPr>
          </w:p>
        </w:tc>
        <w:tc>
          <w:tcPr>
            <w:tcW w:w="1679" w:type="dxa"/>
            <w:vAlign w:val="top"/>
          </w:tcPr>
          <w:p w14:paraId="7966DA5A">
            <w:pPr>
              <w:pStyle w:val="17"/>
              <w:spacing w:before="30" w:line="360" w:lineRule="auto"/>
              <w:ind w:left="533" w:right="209" w:hanging="315"/>
              <w:rPr>
                <w:color w:val="auto"/>
                <w:highlight w:val="none"/>
              </w:rPr>
            </w:pPr>
            <w:r>
              <w:rPr>
                <w:color w:val="auto"/>
                <w:spacing w:val="7"/>
                <w:highlight w:val="none"/>
              </w:rPr>
              <w:t>与评标办法规</w:t>
            </w:r>
            <w:r>
              <w:rPr>
                <w:color w:val="auto"/>
                <w:spacing w:val="5"/>
                <w:highlight w:val="none"/>
              </w:rPr>
              <w:t>定一致</w:t>
            </w:r>
          </w:p>
        </w:tc>
        <w:tc>
          <w:tcPr>
            <w:tcW w:w="1221" w:type="dxa"/>
            <w:vAlign w:val="top"/>
          </w:tcPr>
          <w:p w14:paraId="2EAD409E">
            <w:pPr>
              <w:rPr>
                <w:rFonts w:ascii="Arial"/>
                <w:color w:val="auto"/>
                <w:sz w:val="21"/>
                <w:highlight w:val="none"/>
              </w:rPr>
            </w:pPr>
          </w:p>
        </w:tc>
        <w:tc>
          <w:tcPr>
            <w:tcW w:w="1392" w:type="dxa"/>
            <w:vAlign w:val="top"/>
          </w:tcPr>
          <w:p w14:paraId="03F2E562">
            <w:pPr>
              <w:rPr>
                <w:rFonts w:ascii="Arial"/>
                <w:color w:val="auto"/>
                <w:sz w:val="21"/>
                <w:highlight w:val="none"/>
              </w:rPr>
            </w:pPr>
          </w:p>
        </w:tc>
        <w:tc>
          <w:tcPr>
            <w:tcW w:w="1569" w:type="dxa"/>
            <w:vAlign w:val="top"/>
          </w:tcPr>
          <w:p w14:paraId="11B49240">
            <w:pPr>
              <w:rPr>
                <w:rFonts w:ascii="Arial"/>
                <w:color w:val="auto"/>
                <w:sz w:val="21"/>
                <w:highlight w:val="none"/>
              </w:rPr>
            </w:pPr>
          </w:p>
        </w:tc>
      </w:tr>
      <w:tr w14:paraId="6C03A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top"/>
          </w:tcPr>
          <w:p w14:paraId="7EC6F799">
            <w:pPr>
              <w:rPr>
                <w:rFonts w:ascii="Arial"/>
                <w:color w:val="auto"/>
                <w:sz w:val="21"/>
                <w:highlight w:val="none"/>
              </w:rPr>
            </w:pPr>
          </w:p>
        </w:tc>
        <w:tc>
          <w:tcPr>
            <w:tcW w:w="1359" w:type="dxa"/>
            <w:vAlign w:val="top"/>
          </w:tcPr>
          <w:p w14:paraId="0CEDF14C">
            <w:pPr>
              <w:rPr>
                <w:rFonts w:ascii="Arial"/>
                <w:color w:val="auto"/>
                <w:sz w:val="21"/>
                <w:highlight w:val="none"/>
              </w:rPr>
            </w:pPr>
          </w:p>
        </w:tc>
        <w:tc>
          <w:tcPr>
            <w:tcW w:w="911" w:type="dxa"/>
            <w:vAlign w:val="top"/>
          </w:tcPr>
          <w:p w14:paraId="5DB264FE">
            <w:pPr>
              <w:rPr>
                <w:rFonts w:ascii="Arial"/>
                <w:color w:val="auto"/>
                <w:sz w:val="21"/>
                <w:highlight w:val="none"/>
              </w:rPr>
            </w:pPr>
          </w:p>
        </w:tc>
        <w:tc>
          <w:tcPr>
            <w:tcW w:w="1679" w:type="dxa"/>
            <w:vAlign w:val="top"/>
          </w:tcPr>
          <w:p w14:paraId="59B11D0E">
            <w:pPr>
              <w:pStyle w:val="17"/>
              <w:spacing w:before="33" w:line="359" w:lineRule="auto"/>
              <w:ind w:left="533" w:right="157" w:hanging="262"/>
              <w:rPr>
                <w:color w:val="auto"/>
                <w:highlight w:val="none"/>
              </w:rPr>
            </w:pPr>
            <w:r>
              <w:rPr>
                <w:color w:val="auto"/>
                <w:spacing w:val="7"/>
                <w:highlight w:val="none"/>
              </w:rPr>
              <w:t>与评标办法规</w:t>
            </w:r>
            <w:r>
              <w:rPr>
                <w:color w:val="auto"/>
                <w:spacing w:val="5"/>
                <w:highlight w:val="none"/>
              </w:rPr>
              <w:t>定一致</w:t>
            </w:r>
          </w:p>
        </w:tc>
        <w:tc>
          <w:tcPr>
            <w:tcW w:w="1221" w:type="dxa"/>
            <w:vAlign w:val="top"/>
          </w:tcPr>
          <w:p w14:paraId="18604BFE">
            <w:pPr>
              <w:rPr>
                <w:rFonts w:ascii="Arial"/>
                <w:color w:val="auto"/>
                <w:sz w:val="21"/>
                <w:highlight w:val="none"/>
              </w:rPr>
            </w:pPr>
          </w:p>
        </w:tc>
        <w:tc>
          <w:tcPr>
            <w:tcW w:w="1392" w:type="dxa"/>
            <w:vAlign w:val="top"/>
          </w:tcPr>
          <w:p w14:paraId="7D984BB9">
            <w:pPr>
              <w:rPr>
                <w:rFonts w:ascii="Arial"/>
                <w:color w:val="auto"/>
                <w:sz w:val="21"/>
                <w:highlight w:val="none"/>
              </w:rPr>
            </w:pPr>
          </w:p>
        </w:tc>
        <w:tc>
          <w:tcPr>
            <w:tcW w:w="1569" w:type="dxa"/>
            <w:vAlign w:val="top"/>
          </w:tcPr>
          <w:p w14:paraId="089F27C5">
            <w:pPr>
              <w:rPr>
                <w:rFonts w:ascii="Arial"/>
                <w:color w:val="auto"/>
                <w:sz w:val="21"/>
                <w:highlight w:val="none"/>
              </w:rPr>
            </w:pPr>
          </w:p>
        </w:tc>
      </w:tr>
      <w:tr w14:paraId="12CFB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815" w:type="dxa"/>
            <w:vAlign w:val="top"/>
          </w:tcPr>
          <w:p w14:paraId="71B2E129">
            <w:pPr>
              <w:rPr>
                <w:rFonts w:ascii="Arial"/>
                <w:color w:val="auto"/>
                <w:sz w:val="21"/>
                <w:highlight w:val="none"/>
              </w:rPr>
            </w:pPr>
          </w:p>
        </w:tc>
        <w:tc>
          <w:tcPr>
            <w:tcW w:w="1359" w:type="dxa"/>
            <w:vAlign w:val="top"/>
          </w:tcPr>
          <w:p w14:paraId="6C4EADE0">
            <w:pPr>
              <w:rPr>
                <w:rFonts w:ascii="Arial"/>
                <w:color w:val="auto"/>
                <w:sz w:val="21"/>
                <w:highlight w:val="none"/>
              </w:rPr>
            </w:pPr>
          </w:p>
        </w:tc>
        <w:tc>
          <w:tcPr>
            <w:tcW w:w="911" w:type="dxa"/>
            <w:vAlign w:val="top"/>
          </w:tcPr>
          <w:p w14:paraId="615F3CBA">
            <w:pPr>
              <w:rPr>
                <w:rFonts w:ascii="Arial"/>
                <w:color w:val="auto"/>
                <w:sz w:val="21"/>
                <w:highlight w:val="none"/>
              </w:rPr>
            </w:pPr>
          </w:p>
        </w:tc>
        <w:tc>
          <w:tcPr>
            <w:tcW w:w="1679" w:type="dxa"/>
            <w:vAlign w:val="top"/>
          </w:tcPr>
          <w:p w14:paraId="04986E79">
            <w:pPr>
              <w:pStyle w:val="17"/>
              <w:spacing w:before="74" w:line="378" w:lineRule="auto"/>
              <w:ind w:left="533" w:right="205" w:hanging="310"/>
              <w:rPr>
                <w:color w:val="auto"/>
                <w:highlight w:val="none"/>
              </w:rPr>
            </w:pPr>
            <w:r>
              <w:rPr>
                <w:color w:val="auto"/>
                <w:spacing w:val="7"/>
                <w:highlight w:val="none"/>
              </w:rPr>
              <w:t>与评标办法规</w:t>
            </w:r>
            <w:r>
              <w:rPr>
                <w:color w:val="auto"/>
                <w:spacing w:val="5"/>
                <w:highlight w:val="none"/>
              </w:rPr>
              <w:t>定一致</w:t>
            </w:r>
          </w:p>
        </w:tc>
        <w:tc>
          <w:tcPr>
            <w:tcW w:w="1221" w:type="dxa"/>
            <w:vAlign w:val="top"/>
          </w:tcPr>
          <w:p w14:paraId="288BF96C">
            <w:pPr>
              <w:rPr>
                <w:rFonts w:ascii="Arial"/>
                <w:color w:val="auto"/>
                <w:sz w:val="21"/>
                <w:highlight w:val="none"/>
              </w:rPr>
            </w:pPr>
          </w:p>
        </w:tc>
        <w:tc>
          <w:tcPr>
            <w:tcW w:w="1392" w:type="dxa"/>
            <w:vAlign w:val="top"/>
          </w:tcPr>
          <w:p w14:paraId="391BC98A">
            <w:pPr>
              <w:rPr>
                <w:rFonts w:ascii="Arial"/>
                <w:color w:val="auto"/>
                <w:sz w:val="21"/>
                <w:highlight w:val="none"/>
              </w:rPr>
            </w:pPr>
          </w:p>
        </w:tc>
        <w:tc>
          <w:tcPr>
            <w:tcW w:w="1569" w:type="dxa"/>
            <w:vAlign w:val="top"/>
          </w:tcPr>
          <w:p w14:paraId="0991101B">
            <w:pPr>
              <w:rPr>
                <w:rFonts w:ascii="Arial"/>
                <w:color w:val="auto"/>
                <w:sz w:val="21"/>
                <w:highlight w:val="none"/>
              </w:rPr>
            </w:pPr>
          </w:p>
        </w:tc>
      </w:tr>
      <w:tr w14:paraId="0A088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top"/>
          </w:tcPr>
          <w:p w14:paraId="663512A0">
            <w:pPr>
              <w:rPr>
                <w:rFonts w:ascii="Arial"/>
                <w:color w:val="auto"/>
                <w:sz w:val="21"/>
                <w:highlight w:val="none"/>
              </w:rPr>
            </w:pPr>
          </w:p>
        </w:tc>
        <w:tc>
          <w:tcPr>
            <w:tcW w:w="1359" w:type="dxa"/>
            <w:vAlign w:val="top"/>
          </w:tcPr>
          <w:p w14:paraId="4B52D6D2">
            <w:pPr>
              <w:rPr>
                <w:rFonts w:ascii="Arial"/>
                <w:color w:val="auto"/>
                <w:sz w:val="21"/>
                <w:highlight w:val="none"/>
              </w:rPr>
            </w:pPr>
          </w:p>
        </w:tc>
        <w:tc>
          <w:tcPr>
            <w:tcW w:w="911" w:type="dxa"/>
            <w:vAlign w:val="top"/>
          </w:tcPr>
          <w:p w14:paraId="4801A568">
            <w:pPr>
              <w:rPr>
                <w:rFonts w:ascii="Arial"/>
                <w:color w:val="auto"/>
                <w:sz w:val="21"/>
                <w:highlight w:val="none"/>
              </w:rPr>
            </w:pPr>
          </w:p>
        </w:tc>
        <w:tc>
          <w:tcPr>
            <w:tcW w:w="1679" w:type="dxa"/>
            <w:vAlign w:val="top"/>
          </w:tcPr>
          <w:p w14:paraId="57916E5E">
            <w:pPr>
              <w:pStyle w:val="17"/>
              <w:spacing w:before="35" w:line="358" w:lineRule="auto"/>
              <w:ind w:left="533" w:right="209" w:hanging="315"/>
              <w:rPr>
                <w:color w:val="auto"/>
                <w:highlight w:val="none"/>
              </w:rPr>
            </w:pPr>
            <w:r>
              <w:rPr>
                <w:color w:val="auto"/>
                <w:spacing w:val="7"/>
                <w:highlight w:val="none"/>
              </w:rPr>
              <w:t>与评标办法规</w:t>
            </w:r>
            <w:r>
              <w:rPr>
                <w:color w:val="auto"/>
                <w:spacing w:val="5"/>
                <w:highlight w:val="none"/>
              </w:rPr>
              <w:t>定一致</w:t>
            </w:r>
          </w:p>
        </w:tc>
        <w:tc>
          <w:tcPr>
            <w:tcW w:w="1221" w:type="dxa"/>
            <w:vAlign w:val="top"/>
          </w:tcPr>
          <w:p w14:paraId="4EFAB887">
            <w:pPr>
              <w:rPr>
                <w:rFonts w:ascii="Arial"/>
                <w:color w:val="auto"/>
                <w:sz w:val="21"/>
                <w:highlight w:val="none"/>
              </w:rPr>
            </w:pPr>
          </w:p>
        </w:tc>
        <w:tc>
          <w:tcPr>
            <w:tcW w:w="1392" w:type="dxa"/>
            <w:vAlign w:val="top"/>
          </w:tcPr>
          <w:p w14:paraId="51082A09">
            <w:pPr>
              <w:rPr>
                <w:rFonts w:ascii="Arial"/>
                <w:color w:val="auto"/>
                <w:sz w:val="21"/>
                <w:highlight w:val="none"/>
              </w:rPr>
            </w:pPr>
          </w:p>
        </w:tc>
        <w:tc>
          <w:tcPr>
            <w:tcW w:w="1569" w:type="dxa"/>
            <w:vAlign w:val="top"/>
          </w:tcPr>
          <w:p w14:paraId="101F37EA">
            <w:pPr>
              <w:rPr>
                <w:rFonts w:ascii="Arial"/>
                <w:color w:val="auto"/>
                <w:sz w:val="21"/>
                <w:highlight w:val="none"/>
              </w:rPr>
            </w:pPr>
          </w:p>
        </w:tc>
      </w:tr>
      <w:tr w14:paraId="19879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815" w:type="dxa"/>
            <w:tcBorders>
              <w:right w:val="nil"/>
            </w:tcBorders>
            <w:vAlign w:val="top"/>
          </w:tcPr>
          <w:p w14:paraId="02D2458A">
            <w:pPr>
              <w:rPr>
                <w:rFonts w:ascii="Arial"/>
                <w:color w:val="auto"/>
                <w:sz w:val="21"/>
                <w:highlight w:val="none"/>
              </w:rPr>
            </w:pPr>
          </w:p>
        </w:tc>
        <w:tc>
          <w:tcPr>
            <w:tcW w:w="1359" w:type="dxa"/>
            <w:tcBorders>
              <w:left w:val="nil"/>
            </w:tcBorders>
            <w:vAlign w:val="top"/>
          </w:tcPr>
          <w:p w14:paraId="4AB3CCAA">
            <w:pPr>
              <w:spacing w:line="246" w:lineRule="auto"/>
              <w:rPr>
                <w:rFonts w:ascii="Arial"/>
                <w:color w:val="auto"/>
                <w:sz w:val="21"/>
                <w:highlight w:val="none"/>
              </w:rPr>
            </w:pPr>
          </w:p>
          <w:p w14:paraId="469379AE">
            <w:pPr>
              <w:pStyle w:val="17"/>
              <w:spacing w:before="65" w:line="229" w:lineRule="auto"/>
              <w:ind w:left="71"/>
              <w:rPr>
                <w:color w:val="auto"/>
                <w:highlight w:val="none"/>
              </w:rPr>
            </w:pPr>
            <w:r>
              <w:rPr>
                <w:color w:val="auto"/>
                <w:spacing w:val="4"/>
                <w:highlight w:val="none"/>
              </w:rPr>
              <w:t>合计</w:t>
            </w:r>
          </w:p>
        </w:tc>
        <w:tc>
          <w:tcPr>
            <w:tcW w:w="911" w:type="dxa"/>
            <w:vAlign w:val="top"/>
          </w:tcPr>
          <w:p w14:paraId="0D1F6632">
            <w:pPr>
              <w:rPr>
                <w:rFonts w:ascii="Arial"/>
                <w:color w:val="auto"/>
                <w:sz w:val="21"/>
                <w:highlight w:val="none"/>
              </w:rPr>
            </w:pPr>
          </w:p>
        </w:tc>
        <w:tc>
          <w:tcPr>
            <w:tcW w:w="1679" w:type="dxa"/>
            <w:vAlign w:val="top"/>
          </w:tcPr>
          <w:p w14:paraId="2AC3BE6F">
            <w:pPr>
              <w:spacing w:line="343" w:lineRule="auto"/>
              <w:rPr>
                <w:rFonts w:ascii="Arial"/>
                <w:color w:val="auto"/>
                <w:sz w:val="21"/>
                <w:highlight w:val="none"/>
              </w:rPr>
            </w:pPr>
          </w:p>
          <w:p w14:paraId="53F2A3D9">
            <w:pPr>
              <w:pStyle w:val="17"/>
              <w:spacing w:before="65" w:line="136" w:lineRule="exact"/>
              <w:ind w:left="793"/>
              <w:rPr>
                <w:color w:val="auto"/>
                <w:highlight w:val="none"/>
              </w:rPr>
            </w:pPr>
            <w:r>
              <w:rPr>
                <w:color w:val="auto"/>
                <w:position w:val="-3"/>
                <w:highlight w:val="none"/>
              </w:rPr>
              <w:t>-</w:t>
            </w:r>
          </w:p>
        </w:tc>
        <w:tc>
          <w:tcPr>
            <w:tcW w:w="1221" w:type="dxa"/>
            <w:vAlign w:val="top"/>
          </w:tcPr>
          <w:p w14:paraId="7D9277A0">
            <w:pPr>
              <w:rPr>
                <w:rFonts w:ascii="Arial"/>
                <w:color w:val="auto"/>
                <w:sz w:val="21"/>
                <w:highlight w:val="none"/>
              </w:rPr>
            </w:pPr>
          </w:p>
        </w:tc>
        <w:tc>
          <w:tcPr>
            <w:tcW w:w="1392" w:type="dxa"/>
            <w:tcBorders>
              <w:right w:val="nil"/>
            </w:tcBorders>
            <w:vAlign w:val="top"/>
          </w:tcPr>
          <w:p w14:paraId="6E332EBE">
            <w:pPr>
              <w:rPr>
                <w:rFonts w:ascii="Arial"/>
                <w:color w:val="auto"/>
                <w:sz w:val="21"/>
                <w:highlight w:val="none"/>
              </w:rPr>
            </w:pPr>
          </w:p>
        </w:tc>
        <w:tc>
          <w:tcPr>
            <w:tcW w:w="1569" w:type="dxa"/>
            <w:tcBorders>
              <w:left w:val="nil"/>
            </w:tcBorders>
            <w:vAlign w:val="top"/>
          </w:tcPr>
          <w:p w14:paraId="47ECC115">
            <w:pPr>
              <w:spacing w:line="343" w:lineRule="auto"/>
              <w:rPr>
                <w:rFonts w:ascii="Arial"/>
                <w:color w:val="auto"/>
                <w:sz w:val="21"/>
                <w:highlight w:val="none"/>
              </w:rPr>
            </w:pPr>
          </w:p>
          <w:p w14:paraId="183F465F">
            <w:pPr>
              <w:pStyle w:val="17"/>
              <w:spacing w:before="65" w:line="136" w:lineRule="exact"/>
              <w:ind w:left="41"/>
              <w:rPr>
                <w:color w:val="auto"/>
                <w:highlight w:val="none"/>
              </w:rPr>
            </w:pPr>
            <w:r>
              <w:rPr>
                <w:color w:val="auto"/>
                <w:position w:val="-3"/>
                <w:highlight w:val="none"/>
              </w:rPr>
              <w:t>-</w:t>
            </w:r>
          </w:p>
        </w:tc>
      </w:tr>
    </w:tbl>
    <w:p w14:paraId="07DB1243">
      <w:pPr>
        <w:spacing w:line="373" w:lineRule="auto"/>
        <w:rPr>
          <w:rFonts w:ascii="Arial"/>
          <w:color w:val="auto"/>
          <w:sz w:val="21"/>
          <w:highlight w:val="none"/>
        </w:rPr>
      </w:pPr>
    </w:p>
    <w:p w14:paraId="40EE5A24">
      <w:pPr>
        <w:spacing w:before="65" w:line="227" w:lineRule="auto"/>
        <w:ind w:left="420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投标人：</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41"/>
          <w:sz w:val="20"/>
          <w:szCs w:val="20"/>
          <w:highlight w:val="none"/>
        </w:rPr>
        <w:t xml:space="preserve"> </w:t>
      </w:r>
      <w:r>
        <w:rPr>
          <w:rFonts w:ascii="宋体" w:hAnsi="宋体" w:eastAsia="宋体" w:cs="宋体"/>
          <w:color w:val="auto"/>
          <w:spacing w:val="3"/>
          <w:sz w:val="20"/>
          <w:szCs w:val="20"/>
          <w:highlight w:val="none"/>
        </w:rPr>
        <w:t>(盖单位章)</w:t>
      </w:r>
    </w:p>
    <w:p w14:paraId="7AEA79CE">
      <w:pPr>
        <w:spacing w:line="250" w:lineRule="auto"/>
        <w:rPr>
          <w:rFonts w:ascii="Arial"/>
          <w:color w:val="auto"/>
          <w:sz w:val="21"/>
          <w:highlight w:val="none"/>
        </w:rPr>
      </w:pPr>
    </w:p>
    <w:p w14:paraId="59247BF4">
      <w:pPr>
        <w:spacing w:line="251" w:lineRule="auto"/>
        <w:rPr>
          <w:rFonts w:ascii="Arial"/>
          <w:color w:val="auto"/>
          <w:sz w:val="21"/>
          <w:highlight w:val="none"/>
        </w:rPr>
      </w:pPr>
    </w:p>
    <w:p w14:paraId="7D21530B">
      <w:pPr>
        <w:spacing w:before="65" w:line="228" w:lineRule="auto"/>
        <w:ind w:left="4200"/>
        <w:outlineLvl w:val="1"/>
        <w:rPr>
          <w:rFonts w:ascii="宋体" w:hAnsi="宋体" w:eastAsia="宋体" w:cs="宋体"/>
          <w:color w:val="auto"/>
          <w:sz w:val="20"/>
          <w:szCs w:val="20"/>
          <w:highlight w:val="none"/>
        </w:rPr>
      </w:pPr>
      <w:bookmarkStart w:id="341" w:name="_Toc21754"/>
      <w:bookmarkStart w:id="342" w:name="_Toc29051"/>
      <w:bookmarkStart w:id="343" w:name="_Toc31403"/>
      <w:bookmarkStart w:id="344" w:name="_Toc28833"/>
      <w:bookmarkStart w:id="345" w:name="_Toc11736"/>
      <w:r>
        <w:rPr>
          <w:rFonts w:ascii="宋体" w:hAnsi="宋体" w:eastAsia="宋体" w:cs="宋体"/>
          <w:color w:val="auto"/>
          <w:spacing w:val="9"/>
          <w:sz w:val="20"/>
          <w:szCs w:val="20"/>
          <w:highlight w:val="none"/>
        </w:rPr>
        <w:t>法定代表人（或被授权人）签名：</w:t>
      </w:r>
      <w:bookmarkEnd w:id="341"/>
      <w:bookmarkEnd w:id="342"/>
      <w:bookmarkEnd w:id="343"/>
      <w:bookmarkEnd w:id="344"/>
      <w:bookmarkEnd w:id="345"/>
      <w:r>
        <w:rPr>
          <w:rFonts w:ascii="宋体" w:hAnsi="宋体" w:eastAsia="宋体" w:cs="宋体"/>
          <w:color w:val="auto"/>
          <w:sz w:val="20"/>
          <w:szCs w:val="20"/>
          <w:highlight w:val="none"/>
          <w:u w:val="single" w:color="auto"/>
        </w:rPr>
        <w:t xml:space="preserve">            </w:t>
      </w:r>
    </w:p>
    <w:p w14:paraId="7E30DEA6">
      <w:pPr>
        <w:spacing w:line="228" w:lineRule="auto"/>
        <w:rPr>
          <w:rFonts w:ascii="宋体" w:hAnsi="宋体" w:eastAsia="宋体" w:cs="宋体"/>
          <w:color w:val="auto"/>
          <w:sz w:val="20"/>
          <w:szCs w:val="20"/>
          <w:highlight w:val="none"/>
        </w:rPr>
        <w:sectPr>
          <w:footerReference r:id="rId107" w:type="default"/>
          <w:pgSz w:w="11906" w:h="16839"/>
          <w:pgMar w:top="1403" w:right="1477" w:bottom="1297" w:left="1477" w:header="0" w:footer="1067" w:gutter="0"/>
          <w:pgNumType w:fmt="decimal"/>
          <w:cols w:space="720" w:num="1"/>
        </w:sectPr>
      </w:pPr>
    </w:p>
    <w:p w14:paraId="107D23AB">
      <w:pPr>
        <w:spacing w:before="163" w:line="219" w:lineRule="auto"/>
        <w:ind w:left="369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七、技术建议书</w:t>
      </w:r>
    </w:p>
    <w:p w14:paraId="5EA98D90">
      <w:pPr>
        <w:spacing w:line="260" w:lineRule="auto"/>
        <w:rPr>
          <w:rFonts w:ascii="Arial"/>
          <w:color w:val="auto"/>
          <w:sz w:val="21"/>
          <w:highlight w:val="none"/>
        </w:rPr>
      </w:pPr>
    </w:p>
    <w:p w14:paraId="4E6D672C">
      <w:pPr>
        <w:spacing w:line="261" w:lineRule="auto"/>
        <w:rPr>
          <w:rFonts w:ascii="Arial"/>
          <w:color w:val="auto"/>
          <w:sz w:val="21"/>
          <w:highlight w:val="none"/>
        </w:rPr>
      </w:pPr>
    </w:p>
    <w:p w14:paraId="4D43CD5B">
      <w:pPr>
        <w:spacing w:line="261" w:lineRule="auto"/>
        <w:rPr>
          <w:rFonts w:ascii="Arial"/>
          <w:color w:val="auto"/>
          <w:sz w:val="21"/>
          <w:highlight w:val="none"/>
        </w:rPr>
      </w:pPr>
    </w:p>
    <w:p w14:paraId="281C7E29">
      <w:pPr>
        <w:spacing w:before="78"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 工程概述：主要对拟投监理标段的工程总体概况进行简单描述。</w:t>
      </w:r>
    </w:p>
    <w:p w14:paraId="3BB53B74">
      <w:pPr>
        <w:spacing w:before="153" w:line="279" w:lineRule="auto"/>
        <w:ind w:left="2"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 监理工作范围：依据监理合同中约定的监</w:t>
      </w:r>
      <w:r>
        <w:rPr>
          <w:rFonts w:ascii="宋体" w:hAnsi="宋体" w:eastAsia="宋体" w:cs="宋体"/>
          <w:color w:val="auto"/>
          <w:spacing w:val="1"/>
          <w:sz w:val="24"/>
          <w:szCs w:val="24"/>
          <w:highlight w:val="none"/>
        </w:rPr>
        <w:t>理服务的要求和范围，对拟投监理标</w:t>
      </w:r>
      <w:r>
        <w:rPr>
          <w:rFonts w:ascii="宋体" w:hAnsi="宋体" w:eastAsia="宋体" w:cs="宋体"/>
          <w:color w:val="auto"/>
          <w:spacing w:val="-1"/>
          <w:sz w:val="24"/>
          <w:szCs w:val="24"/>
          <w:highlight w:val="none"/>
        </w:rPr>
        <w:t>段的监理工作安排、主要监理人员的岗位职责进行必要的阐述。</w:t>
      </w:r>
    </w:p>
    <w:p w14:paraId="2831158A">
      <w:pPr>
        <w:spacing w:before="157" w:line="279" w:lineRule="auto"/>
        <w:ind w:left="5"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 现场监理机构设置与人员安排：通过</w:t>
      </w:r>
      <w:r>
        <w:rPr>
          <w:rFonts w:ascii="宋体" w:hAnsi="宋体" w:eastAsia="宋体" w:cs="宋体"/>
          <w:color w:val="auto"/>
          <w:spacing w:val="1"/>
          <w:sz w:val="24"/>
          <w:szCs w:val="24"/>
          <w:highlight w:val="none"/>
        </w:rPr>
        <w:t>框图形式，明确拟投监理标段的组织机构</w:t>
      </w:r>
      <w:r>
        <w:rPr>
          <w:rFonts w:ascii="宋体" w:hAnsi="宋体" w:eastAsia="宋体" w:cs="宋体"/>
          <w:color w:val="auto"/>
          <w:spacing w:val="-5"/>
          <w:sz w:val="24"/>
          <w:szCs w:val="24"/>
          <w:highlight w:val="none"/>
        </w:rPr>
        <w:t>设置。</w:t>
      </w:r>
    </w:p>
    <w:p w14:paraId="553910ED">
      <w:pPr>
        <w:spacing w:before="152" w:line="279" w:lineRule="auto"/>
        <w:ind w:left="2"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 监理仪器、设备和设施的配备：投标人根据拟投监</w:t>
      </w:r>
      <w:r>
        <w:rPr>
          <w:rFonts w:ascii="宋体" w:hAnsi="宋体" w:eastAsia="宋体" w:cs="宋体"/>
          <w:color w:val="auto"/>
          <w:spacing w:val="1"/>
          <w:sz w:val="24"/>
          <w:szCs w:val="24"/>
          <w:highlight w:val="none"/>
        </w:rPr>
        <w:t>理标段的现场工作需要，对</w:t>
      </w:r>
      <w:r>
        <w:rPr>
          <w:rFonts w:ascii="宋体" w:hAnsi="宋体" w:eastAsia="宋体" w:cs="宋体"/>
          <w:color w:val="auto"/>
          <w:spacing w:val="-1"/>
          <w:sz w:val="24"/>
          <w:szCs w:val="24"/>
          <w:highlight w:val="none"/>
        </w:rPr>
        <w:t>其拟投入本工程的监理仪器、设备和设施的配备等情况作简要介绍。</w:t>
      </w:r>
    </w:p>
    <w:p w14:paraId="02E814F7">
      <w:pPr>
        <w:spacing w:before="153" w:line="299" w:lineRule="auto"/>
        <w:ind w:firstLine="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 监理工作程序：结合监理工作的阶段</w:t>
      </w:r>
      <w:r>
        <w:rPr>
          <w:rFonts w:ascii="宋体" w:hAnsi="宋体" w:eastAsia="宋体" w:cs="宋体"/>
          <w:color w:val="auto"/>
          <w:spacing w:val="1"/>
          <w:sz w:val="24"/>
          <w:szCs w:val="24"/>
          <w:highlight w:val="none"/>
        </w:rPr>
        <w:t>划分，对工程质量控制、进度控制、施工</w:t>
      </w:r>
      <w:r>
        <w:rPr>
          <w:rFonts w:ascii="宋体" w:hAnsi="宋体" w:eastAsia="宋体" w:cs="宋体"/>
          <w:color w:val="auto"/>
          <w:spacing w:val="5"/>
          <w:sz w:val="24"/>
          <w:szCs w:val="24"/>
          <w:highlight w:val="none"/>
        </w:rPr>
        <w:t>安全控制、施工环境保护、费用控制、合同及其他事项管理、文件资料管理等方</w:t>
      </w:r>
      <w:r>
        <w:rPr>
          <w:rFonts w:ascii="宋体" w:hAnsi="宋体" w:eastAsia="宋体" w:cs="宋体"/>
          <w:color w:val="auto"/>
          <w:spacing w:val="4"/>
          <w:sz w:val="24"/>
          <w:szCs w:val="24"/>
          <w:highlight w:val="none"/>
        </w:rPr>
        <w:t>面，</w:t>
      </w:r>
      <w:r>
        <w:rPr>
          <w:rFonts w:ascii="宋体" w:hAnsi="宋体" w:eastAsia="宋体" w:cs="宋体"/>
          <w:color w:val="auto"/>
          <w:spacing w:val="-1"/>
          <w:sz w:val="24"/>
          <w:szCs w:val="24"/>
          <w:highlight w:val="none"/>
        </w:rPr>
        <w:t>进行监理工作的方法与流程的简要阐述。</w:t>
      </w:r>
    </w:p>
    <w:p w14:paraId="018E418A">
      <w:pPr>
        <w:spacing w:before="154" w:line="279" w:lineRule="auto"/>
        <w:ind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 监理大纲（或监理方案）和措施（包含《广</w:t>
      </w:r>
      <w:r>
        <w:rPr>
          <w:rFonts w:ascii="宋体" w:hAnsi="宋体" w:eastAsia="宋体" w:cs="宋体"/>
          <w:color w:val="auto"/>
          <w:spacing w:val="1"/>
          <w:sz w:val="24"/>
          <w:szCs w:val="24"/>
          <w:highlight w:val="none"/>
        </w:rPr>
        <w:t>东省公路工程施工标准化指南》中</w:t>
      </w:r>
      <w:r>
        <w:rPr>
          <w:rFonts w:ascii="宋体" w:hAnsi="宋体" w:eastAsia="宋体" w:cs="宋体"/>
          <w:color w:val="auto"/>
          <w:spacing w:val="-1"/>
          <w:sz w:val="24"/>
          <w:szCs w:val="24"/>
          <w:highlight w:val="none"/>
        </w:rPr>
        <w:t>对监理的要求执行方案）。</w:t>
      </w:r>
    </w:p>
    <w:p w14:paraId="46E058B1">
      <w:pPr>
        <w:spacing w:before="156" w:line="279" w:lineRule="auto"/>
        <w:ind w:left="4" w:firstLine="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 本工程监理工作的重点与难点分析：根据招标文件及现场考察，对本工程监理</w:t>
      </w:r>
      <w:r>
        <w:rPr>
          <w:rFonts w:ascii="宋体" w:hAnsi="宋体" w:eastAsia="宋体" w:cs="宋体"/>
          <w:color w:val="auto"/>
          <w:spacing w:val="-1"/>
          <w:sz w:val="24"/>
          <w:szCs w:val="24"/>
          <w:highlight w:val="none"/>
        </w:rPr>
        <w:t>工作需要特别给予重视的问题逐一论述并给出解决方法。</w:t>
      </w:r>
    </w:p>
    <w:p w14:paraId="2DA6BB83">
      <w:pPr>
        <w:spacing w:before="154" w:line="279" w:lineRule="auto"/>
        <w:ind w:right="58"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8. 对本工程建议：为更好地完成本工程的监理工作，监理人可根据以往的经验，</w:t>
      </w:r>
      <w:r>
        <w:rPr>
          <w:rFonts w:ascii="宋体" w:hAnsi="宋体" w:eastAsia="宋体" w:cs="宋体"/>
          <w:color w:val="auto"/>
          <w:spacing w:val="-1"/>
          <w:sz w:val="24"/>
          <w:szCs w:val="24"/>
          <w:highlight w:val="none"/>
        </w:rPr>
        <w:t>对本工程监理工作提出建议。</w:t>
      </w:r>
    </w:p>
    <w:p w14:paraId="2EA6D874">
      <w:pPr>
        <w:spacing w:line="279" w:lineRule="auto"/>
        <w:rPr>
          <w:rFonts w:ascii="宋体" w:hAnsi="宋体" w:eastAsia="宋体" w:cs="宋体"/>
          <w:color w:val="auto"/>
          <w:sz w:val="24"/>
          <w:szCs w:val="24"/>
          <w:highlight w:val="none"/>
        </w:rPr>
        <w:sectPr>
          <w:footerReference r:id="rId108" w:type="default"/>
          <w:pgSz w:w="11906" w:h="16839"/>
          <w:pgMar w:top="1431" w:right="1418" w:bottom="1297" w:left="1423" w:header="0" w:footer="1066" w:gutter="0"/>
          <w:pgNumType w:fmt="decimal"/>
          <w:cols w:space="720" w:num="1"/>
        </w:sectPr>
      </w:pPr>
    </w:p>
    <w:p w14:paraId="55AE4A6F">
      <w:pPr>
        <w:spacing w:line="316" w:lineRule="auto"/>
        <w:rPr>
          <w:rFonts w:ascii="Arial"/>
          <w:color w:val="auto"/>
          <w:sz w:val="21"/>
          <w:highlight w:val="none"/>
        </w:rPr>
      </w:pPr>
    </w:p>
    <w:p w14:paraId="458E1030">
      <w:pPr>
        <w:spacing w:line="316" w:lineRule="auto"/>
        <w:rPr>
          <w:rFonts w:ascii="Arial"/>
          <w:color w:val="auto"/>
          <w:sz w:val="21"/>
          <w:highlight w:val="none"/>
        </w:rPr>
      </w:pPr>
    </w:p>
    <w:p w14:paraId="48D0CA50">
      <w:pPr>
        <w:spacing w:before="130" w:line="220" w:lineRule="auto"/>
        <w:ind w:left="3581"/>
        <w:rPr>
          <w:rFonts w:ascii="宋体" w:hAnsi="宋体" w:eastAsia="宋体" w:cs="宋体"/>
          <w:color w:val="auto"/>
          <w:sz w:val="40"/>
          <w:szCs w:val="40"/>
          <w:highlight w:val="none"/>
        </w:rPr>
      </w:pPr>
      <w:r>
        <w:rPr>
          <w:rFonts w:ascii="宋体" w:hAnsi="宋体" w:eastAsia="宋体" w:cs="宋体"/>
          <w:color w:val="auto"/>
          <w:spacing w:val="-5"/>
          <w:sz w:val="40"/>
          <w:szCs w:val="40"/>
          <w:highlight w:val="none"/>
        </w:rPr>
        <w:t>广东省</w:t>
      </w:r>
    </w:p>
    <w:p w14:paraId="7EB85494">
      <w:pPr>
        <w:spacing w:line="364" w:lineRule="auto"/>
        <w:rPr>
          <w:rFonts w:ascii="Arial"/>
          <w:color w:val="auto"/>
          <w:sz w:val="21"/>
          <w:highlight w:val="none"/>
        </w:rPr>
      </w:pPr>
    </w:p>
    <w:p w14:paraId="07702FBD">
      <w:pPr>
        <w:tabs>
          <w:tab w:val="left" w:pos="1593"/>
        </w:tabs>
        <w:spacing w:before="130" w:line="221" w:lineRule="auto"/>
        <w:ind w:left="1367"/>
        <w:rPr>
          <w:rFonts w:ascii="宋体" w:hAnsi="宋体" w:eastAsia="宋体" w:cs="宋体"/>
          <w:color w:val="auto"/>
          <w:sz w:val="40"/>
          <w:szCs w:val="40"/>
          <w:highlight w:val="none"/>
        </w:rPr>
      </w:pPr>
      <w:r>
        <w:rPr>
          <w:rFonts w:ascii="宋体" w:hAnsi="宋体" w:eastAsia="宋体" w:cs="宋体"/>
          <w:color w:val="auto"/>
          <w:sz w:val="40"/>
          <w:szCs w:val="40"/>
          <w:highlight w:val="none"/>
          <w:u w:val="single" w:color="auto"/>
        </w:rPr>
        <w:tab/>
      </w:r>
      <w:r>
        <w:rPr>
          <w:rFonts w:ascii="宋体" w:hAnsi="宋体" w:eastAsia="宋体" w:cs="宋体"/>
          <w:color w:val="auto"/>
          <w:spacing w:val="-16"/>
          <w:sz w:val="40"/>
          <w:szCs w:val="40"/>
          <w:highlight w:val="none"/>
          <w:u w:val="single" w:color="auto"/>
        </w:rPr>
        <w:t xml:space="preserve">（项目名称）  </w:t>
      </w:r>
      <w:r>
        <w:rPr>
          <w:rFonts w:ascii="宋体" w:hAnsi="宋体" w:eastAsia="宋体" w:cs="宋体"/>
          <w:color w:val="auto"/>
          <w:spacing w:val="-172"/>
          <w:sz w:val="40"/>
          <w:szCs w:val="40"/>
          <w:highlight w:val="none"/>
        </w:rPr>
        <w:t xml:space="preserve"> </w:t>
      </w:r>
      <w:r>
        <w:rPr>
          <w:rFonts w:ascii="宋体" w:hAnsi="宋体" w:eastAsia="宋体" w:cs="宋体"/>
          <w:color w:val="auto"/>
          <w:spacing w:val="-16"/>
          <w:sz w:val="40"/>
          <w:szCs w:val="40"/>
          <w:highlight w:val="none"/>
        </w:rPr>
        <w:t>标段施工监理招标</w:t>
      </w:r>
    </w:p>
    <w:p w14:paraId="3EDA4EA5">
      <w:pPr>
        <w:spacing w:line="272" w:lineRule="auto"/>
        <w:rPr>
          <w:rFonts w:ascii="Arial"/>
          <w:color w:val="auto"/>
          <w:sz w:val="21"/>
          <w:highlight w:val="none"/>
        </w:rPr>
      </w:pPr>
    </w:p>
    <w:p w14:paraId="6D072ACA">
      <w:pPr>
        <w:spacing w:line="272" w:lineRule="auto"/>
        <w:rPr>
          <w:rFonts w:ascii="Arial"/>
          <w:color w:val="auto"/>
          <w:sz w:val="21"/>
          <w:highlight w:val="none"/>
        </w:rPr>
      </w:pPr>
    </w:p>
    <w:p w14:paraId="2F8789E7">
      <w:pPr>
        <w:spacing w:line="272" w:lineRule="auto"/>
        <w:rPr>
          <w:rFonts w:ascii="Arial"/>
          <w:color w:val="auto"/>
          <w:sz w:val="21"/>
          <w:highlight w:val="none"/>
        </w:rPr>
      </w:pPr>
    </w:p>
    <w:p w14:paraId="0EC9BAC5">
      <w:pPr>
        <w:spacing w:line="272" w:lineRule="auto"/>
        <w:rPr>
          <w:rFonts w:ascii="Arial"/>
          <w:color w:val="auto"/>
          <w:sz w:val="21"/>
          <w:highlight w:val="none"/>
        </w:rPr>
      </w:pPr>
    </w:p>
    <w:p w14:paraId="03538BED">
      <w:pPr>
        <w:spacing w:line="272" w:lineRule="auto"/>
        <w:rPr>
          <w:rFonts w:ascii="Arial"/>
          <w:color w:val="auto"/>
          <w:sz w:val="21"/>
          <w:highlight w:val="none"/>
        </w:rPr>
      </w:pPr>
    </w:p>
    <w:p w14:paraId="67883DDB">
      <w:pPr>
        <w:spacing w:line="272" w:lineRule="auto"/>
        <w:rPr>
          <w:rFonts w:ascii="Arial"/>
          <w:color w:val="auto"/>
          <w:sz w:val="21"/>
          <w:highlight w:val="none"/>
        </w:rPr>
      </w:pPr>
    </w:p>
    <w:p w14:paraId="4941C20D">
      <w:pPr>
        <w:spacing w:before="139" w:line="223" w:lineRule="auto"/>
        <w:ind w:left="2642"/>
        <w:rPr>
          <w:rFonts w:ascii="宋体" w:hAnsi="宋体" w:eastAsia="宋体" w:cs="宋体"/>
          <w:color w:val="auto"/>
          <w:sz w:val="43"/>
          <w:szCs w:val="43"/>
          <w:highlight w:val="none"/>
        </w:rPr>
      </w:pPr>
      <w:r>
        <w:rPr>
          <w:rFonts w:ascii="宋体" w:hAnsi="宋体" w:eastAsia="宋体" w:cs="宋体"/>
          <w:b/>
          <w:bCs/>
          <w:color w:val="auto"/>
          <w:spacing w:val="-14"/>
          <w:sz w:val="43"/>
          <w:szCs w:val="43"/>
          <w:highlight w:val="none"/>
        </w:rPr>
        <w:t>投</w:t>
      </w:r>
      <w:r>
        <w:rPr>
          <w:rFonts w:ascii="宋体" w:hAnsi="宋体" w:eastAsia="宋体" w:cs="宋体"/>
          <w:color w:val="auto"/>
          <w:spacing w:val="17"/>
          <w:sz w:val="43"/>
          <w:szCs w:val="43"/>
          <w:highlight w:val="none"/>
        </w:rPr>
        <w:t xml:space="preserve">  </w:t>
      </w:r>
      <w:r>
        <w:rPr>
          <w:rFonts w:ascii="宋体" w:hAnsi="宋体" w:eastAsia="宋体" w:cs="宋体"/>
          <w:b/>
          <w:bCs/>
          <w:color w:val="auto"/>
          <w:spacing w:val="-14"/>
          <w:sz w:val="43"/>
          <w:szCs w:val="43"/>
          <w:highlight w:val="none"/>
        </w:rPr>
        <w:t>标</w:t>
      </w:r>
      <w:r>
        <w:rPr>
          <w:rFonts w:ascii="宋体" w:hAnsi="宋体" w:eastAsia="宋体" w:cs="宋体"/>
          <w:color w:val="auto"/>
          <w:spacing w:val="17"/>
          <w:sz w:val="43"/>
          <w:szCs w:val="43"/>
          <w:highlight w:val="none"/>
        </w:rPr>
        <w:t xml:space="preserve">  </w:t>
      </w:r>
      <w:r>
        <w:rPr>
          <w:rFonts w:ascii="宋体" w:hAnsi="宋体" w:eastAsia="宋体" w:cs="宋体"/>
          <w:b/>
          <w:bCs/>
          <w:color w:val="auto"/>
          <w:spacing w:val="-14"/>
          <w:sz w:val="43"/>
          <w:szCs w:val="43"/>
          <w:highlight w:val="none"/>
        </w:rPr>
        <w:t>文</w:t>
      </w:r>
      <w:r>
        <w:rPr>
          <w:rFonts w:ascii="宋体" w:hAnsi="宋体" w:eastAsia="宋体" w:cs="宋体"/>
          <w:color w:val="auto"/>
          <w:spacing w:val="15"/>
          <w:sz w:val="43"/>
          <w:szCs w:val="43"/>
          <w:highlight w:val="none"/>
        </w:rPr>
        <w:t xml:space="preserve">  </w:t>
      </w:r>
      <w:r>
        <w:rPr>
          <w:rFonts w:ascii="宋体" w:hAnsi="宋体" w:eastAsia="宋体" w:cs="宋体"/>
          <w:b/>
          <w:bCs/>
          <w:color w:val="auto"/>
          <w:spacing w:val="-14"/>
          <w:sz w:val="43"/>
          <w:szCs w:val="43"/>
          <w:highlight w:val="none"/>
        </w:rPr>
        <w:t>件</w:t>
      </w:r>
    </w:p>
    <w:p w14:paraId="5A6B6444">
      <w:pPr>
        <w:spacing w:before="320" w:line="223" w:lineRule="auto"/>
        <w:ind w:left="3229"/>
        <w:outlineLvl w:val="0"/>
        <w:rPr>
          <w:rFonts w:ascii="宋体" w:hAnsi="宋体" w:eastAsia="宋体" w:cs="宋体"/>
          <w:color w:val="auto"/>
          <w:sz w:val="31"/>
          <w:szCs w:val="31"/>
          <w:highlight w:val="none"/>
        </w:rPr>
      </w:pPr>
      <w:bookmarkStart w:id="346" w:name="_Toc2989"/>
      <w:bookmarkStart w:id="347" w:name="_Toc2015"/>
      <w:bookmarkStart w:id="348" w:name="_Toc4172"/>
      <w:bookmarkStart w:id="349" w:name="_Toc21957"/>
      <w:bookmarkStart w:id="350" w:name="_Toc12916"/>
      <w:r>
        <w:rPr>
          <w:rFonts w:ascii="宋体" w:hAnsi="宋体" w:eastAsia="宋体" w:cs="宋体"/>
          <w:b/>
          <w:bCs/>
          <w:color w:val="auto"/>
          <w:spacing w:val="1"/>
          <w:sz w:val="31"/>
          <w:szCs w:val="31"/>
          <w:highlight w:val="none"/>
        </w:rPr>
        <w:t>（报价文件）</w:t>
      </w:r>
      <w:bookmarkEnd w:id="346"/>
      <w:bookmarkEnd w:id="347"/>
      <w:bookmarkEnd w:id="348"/>
      <w:bookmarkEnd w:id="349"/>
      <w:bookmarkEnd w:id="350"/>
    </w:p>
    <w:p w14:paraId="58AC62E6">
      <w:pPr>
        <w:spacing w:line="241" w:lineRule="auto"/>
        <w:rPr>
          <w:rFonts w:ascii="Arial"/>
          <w:color w:val="auto"/>
          <w:sz w:val="21"/>
          <w:highlight w:val="none"/>
        </w:rPr>
      </w:pPr>
    </w:p>
    <w:p w14:paraId="4E0C0B26">
      <w:pPr>
        <w:spacing w:line="241" w:lineRule="auto"/>
        <w:rPr>
          <w:rFonts w:ascii="Arial"/>
          <w:color w:val="auto"/>
          <w:sz w:val="21"/>
          <w:highlight w:val="none"/>
        </w:rPr>
      </w:pPr>
    </w:p>
    <w:p w14:paraId="70D42568">
      <w:pPr>
        <w:spacing w:line="241" w:lineRule="auto"/>
        <w:rPr>
          <w:rFonts w:ascii="Arial"/>
          <w:color w:val="auto"/>
          <w:sz w:val="21"/>
          <w:highlight w:val="none"/>
        </w:rPr>
      </w:pPr>
    </w:p>
    <w:p w14:paraId="69C51BC9">
      <w:pPr>
        <w:spacing w:line="241" w:lineRule="auto"/>
        <w:rPr>
          <w:rFonts w:ascii="Arial"/>
          <w:color w:val="auto"/>
          <w:sz w:val="21"/>
          <w:highlight w:val="none"/>
        </w:rPr>
      </w:pPr>
    </w:p>
    <w:p w14:paraId="177A1AF0">
      <w:pPr>
        <w:spacing w:line="241" w:lineRule="auto"/>
        <w:rPr>
          <w:rFonts w:ascii="Arial"/>
          <w:color w:val="auto"/>
          <w:sz w:val="21"/>
          <w:highlight w:val="none"/>
        </w:rPr>
      </w:pPr>
    </w:p>
    <w:p w14:paraId="4ACA2341">
      <w:pPr>
        <w:spacing w:line="241" w:lineRule="auto"/>
        <w:rPr>
          <w:rFonts w:ascii="Arial"/>
          <w:color w:val="auto"/>
          <w:sz w:val="21"/>
          <w:highlight w:val="none"/>
        </w:rPr>
      </w:pPr>
    </w:p>
    <w:p w14:paraId="0641089C">
      <w:pPr>
        <w:spacing w:line="241" w:lineRule="auto"/>
        <w:rPr>
          <w:rFonts w:ascii="Arial"/>
          <w:color w:val="auto"/>
          <w:sz w:val="21"/>
          <w:highlight w:val="none"/>
        </w:rPr>
      </w:pPr>
    </w:p>
    <w:p w14:paraId="0B7C2AA7">
      <w:pPr>
        <w:spacing w:line="241" w:lineRule="auto"/>
        <w:rPr>
          <w:rFonts w:ascii="Arial"/>
          <w:color w:val="auto"/>
          <w:sz w:val="21"/>
          <w:highlight w:val="none"/>
        </w:rPr>
      </w:pPr>
    </w:p>
    <w:p w14:paraId="48B6E2AE">
      <w:pPr>
        <w:spacing w:line="241" w:lineRule="auto"/>
        <w:rPr>
          <w:rFonts w:ascii="Arial"/>
          <w:color w:val="auto"/>
          <w:sz w:val="21"/>
          <w:highlight w:val="none"/>
        </w:rPr>
      </w:pPr>
    </w:p>
    <w:p w14:paraId="784B3140">
      <w:pPr>
        <w:spacing w:line="241" w:lineRule="auto"/>
        <w:rPr>
          <w:rFonts w:ascii="Arial"/>
          <w:color w:val="auto"/>
          <w:sz w:val="21"/>
          <w:highlight w:val="none"/>
        </w:rPr>
      </w:pPr>
    </w:p>
    <w:p w14:paraId="6F5D2942">
      <w:pPr>
        <w:spacing w:line="241" w:lineRule="auto"/>
        <w:rPr>
          <w:rFonts w:ascii="Arial"/>
          <w:color w:val="auto"/>
          <w:sz w:val="21"/>
          <w:highlight w:val="none"/>
        </w:rPr>
      </w:pPr>
    </w:p>
    <w:p w14:paraId="5C0D2267">
      <w:pPr>
        <w:spacing w:line="241" w:lineRule="auto"/>
        <w:rPr>
          <w:rFonts w:ascii="Arial"/>
          <w:color w:val="auto"/>
          <w:sz w:val="21"/>
          <w:highlight w:val="none"/>
        </w:rPr>
      </w:pPr>
    </w:p>
    <w:p w14:paraId="1CF2ACA7">
      <w:pPr>
        <w:spacing w:line="241" w:lineRule="auto"/>
        <w:rPr>
          <w:rFonts w:ascii="Arial"/>
          <w:color w:val="auto"/>
          <w:sz w:val="21"/>
          <w:highlight w:val="none"/>
        </w:rPr>
      </w:pPr>
    </w:p>
    <w:p w14:paraId="1205286C">
      <w:pPr>
        <w:spacing w:line="241" w:lineRule="auto"/>
        <w:rPr>
          <w:rFonts w:ascii="Arial"/>
          <w:color w:val="auto"/>
          <w:sz w:val="21"/>
          <w:highlight w:val="none"/>
        </w:rPr>
      </w:pPr>
    </w:p>
    <w:p w14:paraId="182B09D8">
      <w:pPr>
        <w:spacing w:line="241" w:lineRule="auto"/>
        <w:rPr>
          <w:rFonts w:ascii="Arial"/>
          <w:color w:val="auto"/>
          <w:sz w:val="21"/>
          <w:highlight w:val="none"/>
        </w:rPr>
      </w:pPr>
    </w:p>
    <w:p w14:paraId="1FAA4BCE">
      <w:pPr>
        <w:spacing w:line="242" w:lineRule="auto"/>
        <w:rPr>
          <w:rFonts w:ascii="Arial"/>
          <w:color w:val="auto"/>
          <w:sz w:val="21"/>
          <w:highlight w:val="none"/>
        </w:rPr>
      </w:pPr>
    </w:p>
    <w:p w14:paraId="30AD7607">
      <w:pPr>
        <w:spacing w:line="242" w:lineRule="auto"/>
        <w:rPr>
          <w:rFonts w:ascii="Arial"/>
          <w:color w:val="auto"/>
          <w:sz w:val="21"/>
          <w:highlight w:val="none"/>
        </w:rPr>
      </w:pPr>
    </w:p>
    <w:p w14:paraId="18EB5C89">
      <w:pPr>
        <w:spacing w:line="242" w:lineRule="auto"/>
        <w:rPr>
          <w:rFonts w:ascii="Arial"/>
          <w:color w:val="auto"/>
          <w:sz w:val="21"/>
          <w:highlight w:val="none"/>
        </w:rPr>
      </w:pPr>
    </w:p>
    <w:p w14:paraId="3977A5B6">
      <w:pPr>
        <w:spacing w:line="242" w:lineRule="auto"/>
        <w:rPr>
          <w:rFonts w:ascii="Arial"/>
          <w:color w:val="auto"/>
          <w:sz w:val="21"/>
          <w:highlight w:val="none"/>
        </w:rPr>
      </w:pPr>
    </w:p>
    <w:p w14:paraId="5636A7D7">
      <w:pPr>
        <w:spacing w:line="242" w:lineRule="auto"/>
        <w:rPr>
          <w:rFonts w:ascii="Arial"/>
          <w:color w:val="auto"/>
          <w:sz w:val="21"/>
          <w:highlight w:val="none"/>
        </w:rPr>
      </w:pPr>
    </w:p>
    <w:p w14:paraId="08491432">
      <w:pPr>
        <w:spacing w:line="242" w:lineRule="auto"/>
        <w:rPr>
          <w:rFonts w:ascii="Arial"/>
          <w:color w:val="auto"/>
          <w:sz w:val="21"/>
          <w:highlight w:val="none"/>
        </w:rPr>
      </w:pPr>
    </w:p>
    <w:p w14:paraId="47646FCC">
      <w:pPr>
        <w:spacing w:line="242" w:lineRule="auto"/>
        <w:rPr>
          <w:rFonts w:ascii="Arial"/>
          <w:color w:val="auto"/>
          <w:sz w:val="21"/>
          <w:highlight w:val="none"/>
        </w:rPr>
      </w:pPr>
    </w:p>
    <w:p w14:paraId="2912827A">
      <w:pPr>
        <w:spacing w:line="242" w:lineRule="auto"/>
        <w:rPr>
          <w:rFonts w:ascii="Arial"/>
          <w:color w:val="auto"/>
          <w:sz w:val="21"/>
          <w:highlight w:val="none"/>
        </w:rPr>
      </w:pPr>
    </w:p>
    <w:p w14:paraId="613E8E40">
      <w:pPr>
        <w:spacing w:line="242" w:lineRule="auto"/>
        <w:rPr>
          <w:rFonts w:ascii="Arial"/>
          <w:color w:val="auto"/>
          <w:sz w:val="21"/>
          <w:highlight w:val="none"/>
        </w:rPr>
      </w:pPr>
    </w:p>
    <w:p w14:paraId="56924F25">
      <w:pPr>
        <w:spacing w:line="242" w:lineRule="auto"/>
        <w:rPr>
          <w:rFonts w:ascii="Arial"/>
          <w:color w:val="auto"/>
          <w:sz w:val="21"/>
          <w:highlight w:val="none"/>
        </w:rPr>
      </w:pPr>
    </w:p>
    <w:p w14:paraId="2BE26257">
      <w:pPr>
        <w:spacing w:line="242" w:lineRule="auto"/>
        <w:rPr>
          <w:rFonts w:ascii="Arial"/>
          <w:color w:val="auto"/>
          <w:sz w:val="21"/>
          <w:highlight w:val="none"/>
        </w:rPr>
      </w:pPr>
    </w:p>
    <w:p w14:paraId="2144214E">
      <w:pPr>
        <w:spacing w:before="92" w:line="219" w:lineRule="auto"/>
        <w:ind w:left="542"/>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投标人：</w:t>
      </w:r>
      <w:r>
        <w:rPr>
          <w:rFonts w:ascii="宋体" w:hAnsi="宋体" w:eastAsia="宋体" w:cs="宋体"/>
          <w:color w:val="auto"/>
          <w:spacing w:val="-5"/>
          <w:sz w:val="28"/>
          <w:szCs w:val="28"/>
          <w:highlight w:val="none"/>
          <w:u w:val="single" w:color="auto"/>
        </w:rPr>
        <w:t xml:space="preserve">                                   </w:t>
      </w:r>
      <w:r>
        <w:rPr>
          <w:rFonts w:ascii="宋体" w:hAnsi="宋体" w:eastAsia="宋体" w:cs="宋体"/>
          <w:color w:val="auto"/>
          <w:spacing w:val="-70"/>
          <w:sz w:val="28"/>
          <w:szCs w:val="28"/>
          <w:highlight w:val="none"/>
        </w:rPr>
        <w:t xml:space="preserve"> </w:t>
      </w:r>
      <w:r>
        <w:rPr>
          <w:rFonts w:ascii="宋体" w:hAnsi="宋体" w:eastAsia="宋体" w:cs="宋体"/>
          <w:color w:val="auto"/>
          <w:spacing w:val="-5"/>
          <w:sz w:val="28"/>
          <w:szCs w:val="28"/>
          <w:highlight w:val="none"/>
        </w:rPr>
        <w:t>(盖单位章)</w:t>
      </w:r>
    </w:p>
    <w:p w14:paraId="15441540">
      <w:pPr>
        <w:spacing w:line="452" w:lineRule="auto"/>
        <w:rPr>
          <w:rFonts w:ascii="Arial"/>
          <w:color w:val="auto"/>
          <w:sz w:val="21"/>
          <w:highlight w:val="none"/>
        </w:rPr>
      </w:pPr>
    </w:p>
    <w:p w14:paraId="27841125">
      <w:pPr>
        <w:tabs>
          <w:tab w:val="left" w:pos="3117"/>
        </w:tabs>
        <w:spacing w:before="91" w:line="220" w:lineRule="auto"/>
        <w:ind w:left="1996"/>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127"/>
          <w:sz w:val="28"/>
          <w:szCs w:val="28"/>
          <w:highlight w:val="none"/>
        </w:rPr>
        <w:t xml:space="preserve"> </w:t>
      </w:r>
      <w:r>
        <w:rPr>
          <w:rFonts w:ascii="宋体" w:hAnsi="宋体" w:eastAsia="宋体" w:cs="宋体"/>
          <w:color w:val="auto"/>
          <w:spacing w:val="-10"/>
          <w:sz w:val="28"/>
          <w:szCs w:val="28"/>
          <w:highlight w:val="none"/>
        </w:rPr>
        <w:t>年</w:t>
      </w:r>
      <w:r>
        <w:rPr>
          <w:rFonts w:ascii="宋体" w:hAnsi="宋体" w:eastAsia="宋体" w:cs="宋体"/>
          <w:color w:val="auto"/>
          <w:spacing w:val="19"/>
          <w:sz w:val="28"/>
          <w:szCs w:val="28"/>
          <w:highlight w:val="none"/>
          <w:u w:val="single" w:color="auto"/>
        </w:rPr>
        <w:t xml:space="preserve">       </w:t>
      </w:r>
      <w:r>
        <w:rPr>
          <w:rFonts w:ascii="宋体" w:hAnsi="宋体" w:eastAsia="宋体" w:cs="宋体"/>
          <w:color w:val="auto"/>
          <w:spacing w:val="-117"/>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pacing w:val="17"/>
          <w:sz w:val="28"/>
          <w:szCs w:val="28"/>
          <w:highlight w:val="none"/>
          <w:u w:val="single" w:color="auto"/>
        </w:rPr>
        <w:t xml:space="preserve">        </w:t>
      </w:r>
      <w:r>
        <w:rPr>
          <w:rFonts w:ascii="宋体" w:hAnsi="宋体" w:eastAsia="宋体" w:cs="宋体"/>
          <w:color w:val="auto"/>
          <w:spacing w:val="-77"/>
          <w:sz w:val="28"/>
          <w:szCs w:val="28"/>
          <w:highlight w:val="none"/>
        </w:rPr>
        <w:t xml:space="preserve"> </w:t>
      </w:r>
      <w:r>
        <w:rPr>
          <w:rFonts w:ascii="宋体" w:hAnsi="宋体" w:eastAsia="宋体" w:cs="宋体"/>
          <w:color w:val="auto"/>
          <w:spacing w:val="-10"/>
          <w:sz w:val="28"/>
          <w:szCs w:val="28"/>
          <w:highlight w:val="none"/>
        </w:rPr>
        <w:t>日</w:t>
      </w:r>
    </w:p>
    <w:p w14:paraId="37236D3A">
      <w:pPr>
        <w:spacing w:line="220" w:lineRule="auto"/>
        <w:rPr>
          <w:rFonts w:ascii="宋体" w:hAnsi="宋体" w:eastAsia="宋体" w:cs="宋体"/>
          <w:color w:val="auto"/>
          <w:sz w:val="28"/>
          <w:szCs w:val="28"/>
          <w:highlight w:val="none"/>
        </w:rPr>
        <w:sectPr>
          <w:footerReference r:id="rId109" w:type="default"/>
          <w:pgSz w:w="11906" w:h="16839"/>
          <w:pgMar w:top="1431" w:right="1785" w:bottom="1297" w:left="1785" w:header="0" w:footer="1067" w:gutter="0"/>
          <w:pgNumType w:fmt="decimal"/>
          <w:cols w:space="720" w:num="1"/>
        </w:sectPr>
      </w:pPr>
    </w:p>
    <w:p w14:paraId="0D8A329E">
      <w:pPr>
        <w:spacing w:line="252" w:lineRule="auto"/>
        <w:rPr>
          <w:rFonts w:ascii="Arial"/>
          <w:color w:val="auto"/>
          <w:sz w:val="21"/>
          <w:highlight w:val="none"/>
        </w:rPr>
      </w:pPr>
    </w:p>
    <w:p w14:paraId="5AE5D20C">
      <w:pPr>
        <w:spacing w:line="253" w:lineRule="auto"/>
        <w:rPr>
          <w:rFonts w:ascii="Arial"/>
          <w:color w:val="auto"/>
          <w:sz w:val="21"/>
          <w:highlight w:val="none"/>
        </w:rPr>
      </w:pPr>
    </w:p>
    <w:p w14:paraId="162635C1">
      <w:pPr>
        <w:spacing w:line="253" w:lineRule="auto"/>
        <w:rPr>
          <w:rFonts w:ascii="Arial"/>
          <w:color w:val="auto"/>
          <w:sz w:val="21"/>
          <w:highlight w:val="none"/>
        </w:rPr>
      </w:pPr>
    </w:p>
    <w:p w14:paraId="59562795">
      <w:pPr>
        <w:spacing w:before="100" w:line="227" w:lineRule="auto"/>
        <w:ind w:left="3759"/>
        <w:rPr>
          <w:rFonts w:ascii="宋体" w:hAnsi="宋体" w:eastAsia="宋体" w:cs="宋体"/>
          <w:color w:val="auto"/>
          <w:sz w:val="31"/>
          <w:szCs w:val="31"/>
          <w:highlight w:val="none"/>
        </w:rPr>
      </w:pPr>
      <w:r>
        <w:rPr>
          <w:rFonts w:ascii="宋体" w:hAnsi="宋体" w:eastAsia="宋体" w:cs="宋体"/>
          <w:color w:val="auto"/>
          <w:spacing w:val="-33"/>
          <w:sz w:val="31"/>
          <w:szCs w:val="31"/>
          <w:highlight w:val="none"/>
        </w:rPr>
        <w:t>目</w:t>
      </w:r>
      <w:r>
        <w:rPr>
          <w:rFonts w:ascii="宋体" w:hAnsi="宋体" w:eastAsia="宋体" w:cs="宋体"/>
          <w:color w:val="auto"/>
          <w:spacing w:val="13"/>
          <w:sz w:val="31"/>
          <w:szCs w:val="31"/>
          <w:highlight w:val="none"/>
        </w:rPr>
        <w:t xml:space="preserve">  </w:t>
      </w:r>
      <w:r>
        <w:rPr>
          <w:rFonts w:ascii="宋体" w:hAnsi="宋体" w:eastAsia="宋体" w:cs="宋体"/>
          <w:color w:val="auto"/>
          <w:spacing w:val="-33"/>
          <w:sz w:val="31"/>
          <w:szCs w:val="31"/>
          <w:highlight w:val="none"/>
        </w:rPr>
        <w:t>录</w:t>
      </w:r>
    </w:p>
    <w:p w14:paraId="0E8EDE67">
      <w:pPr>
        <w:spacing w:line="271" w:lineRule="auto"/>
        <w:rPr>
          <w:rFonts w:ascii="Arial"/>
          <w:color w:val="auto"/>
          <w:sz w:val="21"/>
          <w:highlight w:val="none"/>
        </w:rPr>
      </w:pPr>
    </w:p>
    <w:p w14:paraId="192D9899">
      <w:pPr>
        <w:spacing w:before="91" w:line="221" w:lineRule="auto"/>
        <w:ind w:left="70"/>
        <w:outlineLvl w:val="1"/>
        <w:rPr>
          <w:rFonts w:ascii="宋体" w:hAnsi="宋体" w:eastAsia="宋体" w:cs="宋体"/>
          <w:color w:val="auto"/>
          <w:sz w:val="28"/>
          <w:szCs w:val="28"/>
          <w:highlight w:val="none"/>
        </w:rPr>
      </w:pPr>
      <w:bookmarkStart w:id="351" w:name="_Toc3956"/>
      <w:bookmarkStart w:id="352" w:name="_Toc6027"/>
      <w:bookmarkStart w:id="353" w:name="_Toc32037"/>
      <w:bookmarkStart w:id="354" w:name="_Toc15450"/>
      <w:bookmarkStart w:id="355" w:name="_Toc26072"/>
      <w:r>
        <w:rPr>
          <w:rFonts w:ascii="宋体" w:hAnsi="宋体" w:eastAsia="宋体" w:cs="宋体"/>
          <w:color w:val="auto"/>
          <w:spacing w:val="-3"/>
          <w:sz w:val="28"/>
          <w:szCs w:val="28"/>
          <w:highlight w:val="none"/>
        </w:rPr>
        <w:t>一、投标函</w:t>
      </w:r>
      <w:bookmarkEnd w:id="351"/>
      <w:bookmarkEnd w:id="352"/>
      <w:bookmarkEnd w:id="353"/>
      <w:bookmarkEnd w:id="354"/>
      <w:bookmarkEnd w:id="355"/>
    </w:p>
    <w:p w14:paraId="0016F445">
      <w:pPr>
        <w:spacing w:line="273" w:lineRule="auto"/>
        <w:rPr>
          <w:rFonts w:ascii="Arial"/>
          <w:color w:val="auto"/>
          <w:sz w:val="21"/>
          <w:highlight w:val="none"/>
        </w:rPr>
      </w:pPr>
    </w:p>
    <w:p w14:paraId="40DB3DF8">
      <w:pPr>
        <w:spacing w:before="91" w:line="220" w:lineRule="auto"/>
        <w:ind w:left="70"/>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二、监理服务费用清单</w:t>
      </w:r>
    </w:p>
    <w:p w14:paraId="679CCEA5">
      <w:pPr>
        <w:spacing w:line="220" w:lineRule="auto"/>
        <w:rPr>
          <w:rFonts w:ascii="宋体" w:hAnsi="宋体" w:eastAsia="宋体" w:cs="宋体"/>
          <w:color w:val="auto"/>
          <w:sz w:val="28"/>
          <w:szCs w:val="28"/>
          <w:highlight w:val="none"/>
        </w:rPr>
        <w:sectPr>
          <w:footerReference r:id="rId110" w:type="default"/>
          <w:pgSz w:w="11906" w:h="16839"/>
          <w:pgMar w:top="1431" w:right="1785" w:bottom="1297" w:left="1785" w:header="0" w:footer="1069" w:gutter="0"/>
          <w:pgNumType w:fmt="decimal"/>
          <w:cols w:space="720" w:num="1"/>
        </w:sectPr>
      </w:pPr>
    </w:p>
    <w:p w14:paraId="6285A6DC">
      <w:pPr>
        <w:spacing w:before="163" w:line="220" w:lineRule="auto"/>
        <w:ind w:left="3945"/>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一、投标函</w:t>
      </w:r>
    </w:p>
    <w:p w14:paraId="7C03C69B">
      <w:pPr>
        <w:spacing w:line="320" w:lineRule="auto"/>
        <w:rPr>
          <w:rFonts w:ascii="Arial"/>
          <w:color w:val="auto"/>
          <w:sz w:val="21"/>
          <w:highlight w:val="none"/>
        </w:rPr>
      </w:pPr>
    </w:p>
    <w:p w14:paraId="5D569AF2">
      <w:pPr>
        <w:tabs>
          <w:tab w:val="left" w:pos="2997"/>
        </w:tabs>
        <w:spacing w:before="78" w:line="220" w:lineRule="auto"/>
        <w:ind w:left="118"/>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（招标人名称）：</w:t>
      </w:r>
    </w:p>
    <w:p w14:paraId="155FE7F7">
      <w:pPr>
        <w:spacing w:before="232" w:line="286" w:lineRule="auto"/>
        <w:ind w:left="9" w:firstLine="49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1．我方已仔细研究</w:t>
      </w:r>
      <w:r>
        <w:rPr>
          <w:rFonts w:ascii="宋体" w:hAnsi="宋体" w:eastAsia="宋体" w:cs="宋体"/>
          <w:color w:val="auto"/>
          <w:spacing w:val="-118"/>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（项目名称）</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3"/>
          <w:sz w:val="24"/>
          <w:szCs w:val="24"/>
          <w:highlight w:val="none"/>
        </w:rPr>
        <w:t>标段</w:t>
      </w:r>
      <w:r>
        <w:rPr>
          <w:rFonts w:ascii="宋体" w:hAnsi="宋体" w:eastAsia="宋体" w:cs="宋体"/>
          <w:color w:val="auto"/>
          <w:spacing w:val="2"/>
          <w:sz w:val="24"/>
          <w:szCs w:val="24"/>
          <w:highlight w:val="none"/>
        </w:rPr>
        <w:t>施工监理招</w:t>
      </w:r>
      <w:r>
        <w:rPr>
          <w:rFonts w:ascii="宋体" w:hAnsi="宋体" w:eastAsia="宋体" w:cs="宋体"/>
          <w:color w:val="auto"/>
          <w:spacing w:val="23"/>
          <w:sz w:val="24"/>
          <w:szCs w:val="24"/>
          <w:highlight w:val="none"/>
        </w:rPr>
        <w:t>标文件的全部内容（含补遗书</w:t>
      </w:r>
      <w:r>
        <w:rPr>
          <w:rFonts w:ascii="宋体" w:hAnsi="宋体" w:eastAsia="宋体" w:cs="宋体"/>
          <w:color w:val="auto"/>
          <w:spacing w:val="4"/>
          <w:sz w:val="24"/>
          <w:szCs w:val="24"/>
          <w:highlight w:val="none"/>
        </w:rPr>
        <w:t>）</w:t>
      </w:r>
      <w:r>
        <w:rPr>
          <w:rFonts w:ascii="宋体" w:hAnsi="宋体" w:eastAsia="宋体" w:cs="宋体"/>
          <w:color w:val="auto"/>
          <w:spacing w:val="-36"/>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23"/>
          <w:sz w:val="24"/>
          <w:szCs w:val="24"/>
          <w:highlight w:val="none"/>
        </w:rPr>
        <w:t>在考察工程现场后</w:t>
      </w:r>
      <w:r>
        <w:rPr>
          <w:rFonts w:ascii="宋体" w:hAnsi="宋体" w:eastAsia="宋体" w:cs="宋体"/>
          <w:color w:val="auto"/>
          <w:spacing w:val="-62"/>
          <w:sz w:val="24"/>
          <w:szCs w:val="24"/>
          <w:highlight w:val="none"/>
        </w:rPr>
        <w:t xml:space="preserve"> </w:t>
      </w:r>
      <w:r>
        <w:rPr>
          <w:rFonts w:ascii="宋体" w:hAnsi="宋体" w:eastAsia="宋体" w:cs="宋体"/>
          <w:color w:val="auto"/>
          <w:spacing w:val="23"/>
          <w:sz w:val="24"/>
          <w:szCs w:val="24"/>
          <w:highlight w:val="none"/>
        </w:rPr>
        <w:t>，愿意以人民币（大</w:t>
      </w:r>
      <w:r>
        <w:rPr>
          <w:rFonts w:ascii="宋体" w:hAnsi="宋体" w:eastAsia="宋体" w:cs="宋体"/>
          <w:color w:val="auto"/>
          <w:spacing w:val="22"/>
          <w:sz w:val="24"/>
          <w:szCs w:val="24"/>
          <w:highlight w:val="none"/>
        </w:rPr>
        <w:t>写）</w:t>
      </w:r>
      <w:r>
        <w:rPr>
          <w:rFonts w:ascii="宋体" w:hAnsi="宋体" w:eastAsia="宋体" w:cs="宋体"/>
          <w:color w:val="auto"/>
          <w:sz w:val="24"/>
          <w:szCs w:val="24"/>
          <w:highlight w:val="none"/>
        </w:rPr>
        <w:t>元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85"/>
          <w:sz w:val="24"/>
          <w:szCs w:val="24"/>
          <w:highlight w:val="none"/>
        </w:rPr>
        <w:t xml:space="preserve"> </w:t>
      </w:r>
      <w:r>
        <w:rPr>
          <w:rFonts w:ascii="宋体" w:hAnsi="宋体" w:eastAsia="宋体" w:cs="宋体"/>
          <w:color w:val="auto"/>
          <w:sz w:val="24"/>
          <w:szCs w:val="24"/>
          <w:highlight w:val="none"/>
        </w:rPr>
        <w:t>)</w:t>
      </w:r>
      <w:r>
        <w:rPr>
          <w:rFonts w:ascii="宋体" w:hAnsi="宋体" w:eastAsia="宋体" w:cs="宋体"/>
          <w:color w:val="auto"/>
          <w:spacing w:val="47"/>
          <w:sz w:val="24"/>
          <w:szCs w:val="24"/>
          <w:highlight w:val="none"/>
        </w:rPr>
        <w:t xml:space="preserve"> </w:t>
      </w:r>
      <w:r>
        <w:rPr>
          <w:rFonts w:ascii="宋体" w:hAnsi="宋体" w:eastAsia="宋体" w:cs="宋体"/>
          <w:color w:val="auto"/>
          <w:sz w:val="24"/>
          <w:szCs w:val="24"/>
          <w:highlight w:val="none"/>
        </w:rPr>
        <w:t>的投标总报价（或</w:t>
      </w:r>
      <w:r>
        <w:rPr>
          <w:rFonts w:ascii="宋体" w:hAnsi="宋体" w:eastAsia="宋体" w:cs="宋体"/>
          <w:color w:val="auto"/>
          <w:spacing w:val="-1"/>
          <w:sz w:val="24"/>
          <w:szCs w:val="24"/>
          <w:highlight w:val="none"/>
        </w:rPr>
        <w:t>根据招标文件规定修正核实后确定的另一金额，其中，增值税税率为</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85"/>
          <w:sz w:val="24"/>
          <w:szCs w:val="24"/>
          <w:highlight w:val="none"/>
        </w:rPr>
        <w:t xml:space="preserve"> </w:t>
      </w:r>
      <w:r>
        <w:rPr>
          <w:rFonts w:ascii="宋体" w:hAnsi="宋体" w:eastAsia="宋体" w:cs="宋体"/>
          <w:color w:val="auto"/>
          <w:spacing w:val="-8"/>
          <w:sz w:val="24"/>
          <w:szCs w:val="24"/>
          <w:highlight w:val="none"/>
        </w:rPr>
        <w:t>），</w:t>
      </w:r>
      <w:r>
        <w:rPr>
          <w:rFonts w:ascii="宋体" w:hAnsi="宋体" w:eastAsia="宋体" w:cs="宋体"/>
          <w:color w:val="auto"/>
          <w:spacing w:val="-1"/>
          <w:sz w:val="24"/>
          <w:szCs w:val="24"/>
          <w:highlight w:val="none"/>
        </w:rPr>
        <w:t>按合同约定完成施工监理工作。</w:t>
      </w:r>
    </w:p>
    <w:p w14:paraId="18C759FC">
      <w:pPr>
        <w:spacing w:before="115" w:line="263" w:lineRule="auto"/>
        <w:ind w:left="8"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2．在合同协议书正式签署生效之前，本投标函连</w:t>
      </w:r>
      <w:r>
        <w:rPr>
          <w:rFonts w:ascii="宋体" w:hAnsi="宋体" w:eastAsia="宋体" w:cs="宋体"/>
          <w:color w:val="auto"/>
          <w:spacing w:val="1"/>
          <w:sz w:val="24"/>
          <w:szCs w:val="24"/>
          <w:highlight w:val="none"/>
        </w:rPr>
        <w:t>同你方的中标通知书将构成我们</w:t>
      </w:r>
      <w:r>
        <w:rPr>
          <w:rFonts w:ascii="宋体" w:hAnsi="宋体" w:eastAsia="宋体" w:cs="宋体"/>
          <w:color w:val="auto"/>
          <w:spacing w:val="-1"/>
          <w:sz w:val="24"/>
          <w:szCs w:val="24"/>
          <w:highlight w:val="none"/>
        </w:rPr>
        <w:t>双方之间共同遵守的文件，对双方具有约束力。</w:t>
      </w:r>
    </w:p>
    <w:p w14:paraId="6F67CD27">
      <w:pPr>
        <w:spacing w:before="116"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其他补充说明）。</w:t>
      </w:r>
    </w:p>
    <w:p w14:paraId="5E000926">
      <w:pPr>
        <w:spacing w:line="309" w:lineRule="auto"/>
        <w:rPr>
          <w:rFonts w:ascii="Arial"/>
          <w:color w:val="auto"/>
          <w:sz w:val="21"/>
          <w:highlight w:val="none"/>
        </w:rPr>
      </w:pPr>
    </w:p>
    <w:p w14:paraId="3ED888E8">
      <w:pPr>
        <w:spacing w:before="79" w:line="342" w:lineRule="auto"/>
        <w:ind w:left="3431"/>
        <w:rPr>
          <w:rFonts w:ascii="宋体" w:hAnsi="宋体" w:eastAsia="宋体" w:cs="宋体"/>
          <w:color w:val="auto"/>
          <w:sz w:val="12"/>
          <w:szCs w:val="12"/>
          <w:highlight w:val="none"/>
        </w:rPr>
      </w:pPr>
      <w:r>
        <w:rPr>
          <w:rFonts w:ascii="宋体" w:hAnsi="宋体" w:eastAsia="宋体" w:cs="宋体"/>
          <w:color w:val="auto"/>
          <w:spacing w:val="4"/>
          <w:sz w:val="24"/>
          <w:szCs w:val="24"/>
          <w:highlight w:val="none"/>
        </w:rPr>
        <w:t>投 标 人</w:t>
      </w:r>
      <w:r>
        <w:rPr>
          <w:rFonts w:ascii="宋体" w:hAnsi="宋体" w:eastAsia="宋体" w:cs="宋体"/>
          <w:color w:val="auto"/>
          <w:spacing w:val="-29"/>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9"/>
          <w:sz w:val="24"/>
          <w:szCs w:val="24"/>
          <w:highlight w:val="none"/>
        </w:rPr>
        <w:t>（</w:t>
      </w:r>
      <w:r>
        <w:rPr>
          <w:rFonts w:ascii="宋体" w:hAnsi="宋体" w:eastAsia="宋体" w:cs="宋体"/>
          <w:color w:val="auto"/>
          <w:spacing w:val="4"/>
          <w:sz w:val="24"/>
          <w:szCs w:val="24"/>
          <w:highlight w:val="none"/>
        </w:rPr>
        <w:t>盖单位章）</w:t>
      </w:r>
      <w:r>
        <w:rPr>
          <w:color w:val="auto"/>
          <w:highlight w:val="none"/>
        </w:rPr>
        <w:fldChar w:fldCharType="begin"/>
      </w:r>
      <w:r>
        <w:rPr>
          <w:color w:val="auto"/>
          <w:highlight w:val="none"/>
        </w:rPr>
        <w:instrText xml:space="preserve"> HYPERLINK \l "bookmark162" </w:instrText>
      </w:r>
      <w:r>
        <w:rPr>
          <w:color w:val="auto"/>
          <w:highlight w:val="none"/>
        </w:rPr>
        <w:fldChar w:fldCharType="separate"/>
      </w:r>
      <w:r>
        <w:rPr>
          <w:rFonts w:ascii="宋体" w:hAnsi="宋体" w:eastAsia="宋体" w:cs="宋体"/>
          <w:color w:val="auto"/>
          <w:spacing w:val="4"/>
          <w:position w:val="11"/>
          <w:sz w:val="12"/>
          <w:szCs w:val="12"/>
          <w:highlight w:val="none"/>
        </w:rPr>
        <w:t>①</w:t>
      </w:r>
      <w:r>
        <w:rPr>
          <w:rFonts w:ascii="宋体" w:hAnsi="宋体" w:eastAsia="宋体" w:cs="宋体"/>
          <w:color w:val="auto"/>
          <w:spacing w:val="4"/>
          <w:position w:val="11"/>
          <w:sz w:val="12"/>
          <w:szCs w:val="12"/>
          <w:highlight w:val="none"/>
        </w:rPr>
        <w:fldChar w:fldCharType="end"/>
      </w:r>
    </w:p>
    <w:p w14:paraId="607E5BF2">
      <w:pPr>
        <w:spacing w:before="81" w:line="219" w:lineRule="auto"/>
        <w:ind w:left="342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法定代表人或其委托代理人</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签字）</w:t>
      </w:r>
    </w:p>
    <w:p w14:paraId="31ECF2EB">
      <w:pPr>
        <w:spacing w:before="115" w:line="229" w:lineRule="auto"/>
        <w:ind w:left="34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14:paraId="6836B077">
      <w:pPr>
        <w:spacing w:before="101" w:line="224" w:lineRule="auto"/>
        <w:ind w:left="3447"/>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网址：</w:t>
      </w:r>
      <w:r>
        <w:rPr>
          <w:rFonts w:ascii="宋体" w:hAnsi="宋体" w:eastAsia="宋体" w:cs="宋体"/>
          <w:color w:val="auto"/>
          <w:sz w:val="24"/>
          <w:szCs w:val="24"/>
          <w:highlight w:val="none"/>
          <w:u w:val="single" w:color="auto"/>
        </w:rPr>
        <w:t xml:space="preserve">                                     </w:t>
      </w:r>
    </w:p>
    <w:p w14:paraId="2144AD8C">
      <w:pPr>
        <w:spacing w:before="110" w:line="221" w:lineRule="auto"/>
        <w:ind w:left="3456"/>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电话：</w:t>
      </w:r>
      <w:r>
        <w:rPr>
          <w:rFonts w:ascii="宋体" w:hAnsi="宋体" w:eastAsia="宋体" w:cs="宋体"/>
          <w:color w:val="auto"/>
          <w:sz w:val="24"/>
          <w:szCs w:val="24"/>
          <w:highlight w:val="none"/>
          <w:u w:val="single" w:color="auto"/>
        </w:rPr>
        <w:t xml:space="preserve">                                     </w:t>
      </w:r>
    </w:p>
    <w:p w14:paraId="4050CC32">
      <w:pPr>
        <w:spacing w:before="113" w:line="219" w:lineRule="auto"/>
        <w:ind w:left="34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传真：</w:t>
      </w:r>
      <w:r>
        <w:rPr>
          <w:rFonts w:ascii="宋体" w:hAnsi="宋体" w:eastAsia="宋体" w:cs="宋体"/>
          <w:color w:val="auto"/>
          <w:sz w:val="24"/>
          <w:szCs w:val="24"/>
          <w:highlight w:val="none"/>
          <w:u w:val="single" w:color="auto"/>
        </w:rPr>
        <w:t xml:space="preserve">                                     </w:t>
      </w:r>
    </w:p>
    <w:p w14:paraId="2EA32F48">
      <w:pPr>
        <w:spacing w:before="114" w:line="219" w:lineRule="auto"/>
        <w:ind w:left="344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邮政编码：</w:t>
      </w:r>
      <w:r>
        <w:rPr>
          <w:rFonts w:ascii="宋体" w:hAnsi="宋体" w:eastAsia="宋体" w:cs="宋体"/>
          <w:color w:val="auto"/>
          <w:spacing w:val="-4"/>
          <w:sz w:val="24"/>
          <w:szCs w:val="24"/>
          <w:highlight w:val="none"/>
          <w:u w:val="single" w:color="auto"/>
        </w:rPr>
        <w:t xml:space="preserve">                                   </w:t>
      </w:r>
    </w:p>
    <w:p w14:paraId="1213E3ED">
      <w:pPr>
        <w:spacing w:line="345" w:lineRule="auto"/>
        <w:rPr>
          <w:rFonts w:ascii="Arial"/>
          <w:color w:val="auto"/>
          <w:sz w:val="21"/>
          <w:highlight w:val="none"/>
        </w:rPr>
      </w:pPr>
    </w:p>
    <w:p w14:paraId="6121C8F0">
      <w:pPr>
        <w:tabs>
          <w:tab w:val="left" w:pos="6670"/>
        </w:tabs>
        <w:spacing w:before="79" w:line="219" w:lineRule="auto"/>
        <w:ind w:left="5590"/>
        <w:outlineLvl w:val="1"/>
        <w:rPr>
          <w:rFonts w:ascii="宋体" w:hAnsi="宋体" w:eastAsia="宋体" w:cs="宋体"/>
          <w:color w:val="auto"/>
          <w:sz w:val="24"/>
          <w:szCs w:val="24"/>
          <w:highlight w:val="none"/>
        </w:rPr>
      </w:pPr>
      <w:bookmarkStart w:id="356" w:name="bookmark162"/>
      <w:bookmarkEnd w:id="356"/>
      <w:r>
        <w:rPr>
          <w:rFonts w:ascii="宋体" w:hAnsi="宋体" w:eastAsia="宋体" w:cs="宋体"/>
          <w:color w:val="auto"/>
          <w:sz w:val="24"/>
          <w:szCs w:val="24"/>
          <w:highlight w:val="none"/>
          <w:u w:val="single" w:color="auto"/>
        </w:rPr>
        <w:tab/>
      </w:r>
      <w:r>
        <w:rPr>
          <w:rFonts w:ascii="宋体" w:hAnsi="宋体" w:eastAsia="宋体" w:cs="宋体"/>
          <w:color w:val="auto"/>
          <w:spacing w:val="-108"/>
          <w:sz w:val="24"/>
          <w:szCs w:val="24"/>
          <w:highlight w:val="none"/>
        </w:rPr>
        <w:t xml:space="preserve"> </w:t>
      </w:r>
      <w:bookmarkStart w:id="357" w:name="_Toc1007"/>
      <w:bookmarkStart w:id="358" w:name="_Toc19932"/>
      <w:bookmarkStart w:id="359" w:name="_Toc19658"/>
      <w:bookmarkStart w:id="360" w:name="_Toc11909"/>
      <w:bookmarkStart w:id="361" w:name="_Toc16024"/>
      <w:r>
        <w:rPr>
          <w:rFonts w:ascii="宋体" w:hAnsi="宋体" w:eastAsia="宋体" w:cs="宋体"/>
          <w:color w:val="auto"/>
          <w:spacing w:val="-26"/>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26"/>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26"/>
          <w:sz w:val="24"/>
          <w:szCs w:val="24"/>
          <w:highlight w:val="none"/>
        </w:rPr>
        <w:t>日</w:t>
      </w:r>
      <w:bookmarkEnd w:id="357"/>
      <w:bookmarkEnd w:id="358"/>
      <w:bookmarkEnd w:id="359"/>
      <w:bookmarkEnd w:id="360"/>
      <w:bookmarkEnd w:id="361"/>
    </w:p>
    <w:p w14:paraId="68AC9015">
      <w:pPr>
        <w:spacing w:line="248" w:lineRule="auto"/>
        <w:rPr>
          <w:rFonts w:ascii="Arial"/>
          <w:color w:val="auto"/>
          <w:sz w:val="21"/>
          <w:highlight w:val="none"/>
        </w:rPr>
      </w:pPr>
    </w:p>
    <w:p w14:paraId="790710DC">
      <w:pPr>
        <w:spacing w:line="248" w:lineRule="auto"/>
        <w:rPr>
          <w:rFonts w:ascii="Arial"/>
          <w:color w:val="auto"/>
          <w:sz w:val="21"/>
          <w:highlight w:val="none"/>
        </w:rPr>
      </w:pPr>
    </w:p>
    <w:p w14:paraId="0FF25819">
      <w:pPr>
        <w:spacing w:line="248" w:lineRule="auto"/>
        <w:rPr>
          <w:rFonts w:ascii="Arial"/>
          <w:color w:val="auto"/>
          <w:sz w:val="21"/>
          <w:highlight w:val="none"/>
        </w:rPr>
      </w:pPr>
    </w:p>
    <w:p w14:paraId="6C82456C">
      <w:pPr>
        <w:spacing w:line="248" w:lineRule="auto"/>
        <w:rPr>
          <w:rFonts w:ascii="Arial"/>
          <w:color w:val="auto"/>
          <w:sz w:val="21"/>
          <w:highlight w:val="none"/>
        </w:rPr>
      </w:pPr>
    </w:p>
    <w:p w14:paraId="358B4A34">
      <w:pPr>
        <w:spacing w:line="249" w:lineRule="auto"/>
        <w:rPr>
          <w:rFonts w:ascii="Arial"/>
          <w:color w:val="auto"/>
          <w:sz w:val="21"/>
          <w:highlight w:val="none"/>
        </w:rPr>
      </w:pPr>
    </w:p>
    <w:p w14:paraId="462C7466">
      <w:pPr>
        <w:spacing w:line="249" w:lineRule="auto"/>
        <w:rPr>
          <w:rFonts w:ascii="Arial"/>
          <w:color w:val="auto"/>
          <w:sz w:val="21"/>
          <w:highlight w:val="none"/>
        </w:rPr>
      </w:pPr>
    </w:p>
    <w:p w14:paraId="5D02DA9C">
      <w:pPr>
        <w:spacing w:line="249" w:lineRule="auto"/>
        <w:rPr>
          <w:rFonts w:ascii="Arial"/>
          <w:color w:val="auto"/>
          <w:sz w:val="21"/>
          <w:highlight w:val="none"/>
        </w:rPr>
      </w:pPr>
    </w:p>
    <w:p w14:paraId="1A3BA812">
      <w:pPr>
        <w:spacing w:line="249" w:lineRule="auto"/>
        <w:rPr>
          <w:rFonts w:ascii="Arial"/>
          <w:color w:val="auto"/>
          <w:sz w:val="21"/>
          <w:highlight w:val="none"/>
        </w:rPr>
      </w:pPr>
    </w:p>
    <w:p w14:paraId="7EAC035A">
      <w:pPr>
        <w:spacing w:line="249" w:lineRule="auto"/>
        <w:rPr>
          <w:rFonts w:ascii="Arial"/>
          <w:color w:val="auto"/>
          <w:sz w:val="21"/>
          <w:highlight w:val="none"/>
        </w:rPr>
      </w:pPr>
    </w:p>
    <w:p w14:paraId="577C008C">
      <w:pPr>
        <w:spacing w:line="249" w:lineRule="auto"/>
        <w:rPr>
          <w:rFonts w:ascii="Arial"/>
          <w:color w:val="auto"/>
          <w:sz w:val="21"/>
          <w:highlight w:val="none"/>
        </w:rPr>
      </w:pPr>
    </w:p>
    <w:p w14:paraId="543B7DD9">
      <w:pPr>
        <w:spacing w:line="249" w:lineRule="auto"/>
        <w:rPr>
          <w:rFonts w:ascii="Arial"/>
          <w:color w:val="auto"/>
          <w:sz w:val="21"/>
          <w:highlight w:val="none"/>
        </w:rPr>
      </w:pPr>
    </w:p>
    <w:p w14:paraId="4A1D1175">
      <w:pPr>
        <w:spacing w:line="249" w:lineRule="auto"/>
        <w:rPr>
          <w:rFonts w:ascii="Arial"/>
          <w:color w:val="auto"/>
          <w:sz w:val="21"/>
          <w:highlight w:val="none"/>
        </w:rPr>
      </w:pPr>
    </w:p>
    <w:p w14:paraId="0108D6C0">
      <w:pPr>
        <w:spacing w:line="249" w:lineRule="auto"/>
        <w:rPr>
          <w:rFonts w:ascii="Arial"/>
          <w:color w:val="auto"/>
          <w:sz w:val="21"/>
          <w:highlight w:val="none"/>
        </w:rPr>
      </w:pPr>
    </w:p>
    <w:p w14:paraId="5D9E20DF">
      <w:pPr>
        <w:spacing w:line="249" w:lineRule="auto"/>
        <w:rPr>
          <w:rFonts w:ascii="Arial"/>
          <w:color w:val="auto"/>
          <w:sz w:val="21"/>
          <w:highlight w:val="none"/>
        </w:rPr>
      </w:pPr>
    </w:p>
    <w:p w14:paraId="3ADB2406">
      <w:pPr>
        <w:spacing w:line="249" w:lineRule="auto"/>
        <w:rPr>
          <w:rFonts w:ascii="Arial"/>
          <w:color w:val="auto"/>
          <w:sz w:val="21"/>
          <w:highlight w:val="none"/>
        </w:rPr>
      </w:pPr>
    </w:p>
    <w:p w14:paraId="5EEF1F15">
      <w:pPr>
        <w:spacing w:line="249" w:lineRule="auto"/>
        <w:rPr>
          <w:rFonts w:ascii="Arial"/>
          <w:color w:val="auto"/>
          <w:sz w:val="21"/>
          <w:highlight w:val="none"/>
        </w:rPr>
      </w:pPr>
    </w:p>
    <w:p w14:paraId="2245026D">
      <w:pPr>
        <w:spacing w:line="249" w:lineRule="auto"/>
        <w:rPr>
          <w:rFonts w:ascii="Arial"/>
          <w:color w:val="auto"/>
          <w:sz w:val="21"/>
          <w:highlight w:val="none"/>
        </w:rPr>
      </w:pPr>
    </w:p>
    <w:p w14:paraId="48B6E735">
      <w:pPr>
        <w:spacing w:line="249" w:lineRule="auto"/>
        <w:rPr>
          <w:rFonts w:ascii="Arial"/>
          <w:color w:val="auto"/>
          <w:sz w:val="21"/>
          <w:highlight w:val="none"/>
        </w:rPr>
      </w:pPr>
    </w:p>
    <w:p w14:paraId="68DBC313">
      <w:pPr>
        <w:spacing w:line="249" w:lineRule="auto"/>
        <w:rPr>
          <w:rFonts w:ascii="Arial"/>
          <w:color w:val="auto"/>
          <w:sz w:val="21"/>
          <w:highlight w:val="none"/>
        </w:rPr>
      </w:pPr>
    </w:p>
    <w:p w14:paraId="6882AA07">
      <w:pPr>
        <w:spacing w:line="249" w:lineRule="auto"/>
        <w:rPr>
          <w:rFonts w:ascii="Arial"/>
          <w:color w:val="auto"/>
          <w:sz w:val="21"/>
          <w:highlight w:val="none"/>
        </w:rPr>
      </w:pPr>
    </w:p>
    <w:p w14:paraId="47238665">
      <w:pPr>
        <w:spacing w:line="249" w:lineRule="auto"/>
        <w:rPr>
          <w:rFonts w:ascii="Arial"/>
          <w:color w:val="auto"/>
          <w:sz w:val="21"/>
          <w:highlight w:val="none"/>
        </w:rPr>
      </w:pPr>
    </w:p>
    <w:p w14:paraId="52E2098B">
      <w:pPr>
        <w:spacing w:line="249" w:lineRule="auto"/>
        <w:rPr>
          <w:rFonts w:ascii="Arial"/>
          <w:color w:val="auto"/>
          <w:sz w:val="21"/>
          <w:highlight w:val="none"/>
        </w:rPr>
      </w:pPr>
    </w:p>
    <w:p w14:paraId="0050B239">
      <w:pPr>
        <w:spacing w:line="249" w:lineRule="auto"/>
        <w:rPr>
          <w:rFonts w:ascii="Arial"/>
          <w:color w:val="auto"/>
          <w:sz w:val="21"/>
          <w:highlight w:val="none"/>
        </w:rPr>
      </w:pPr>
      <w:r>
        <w:rPr>
          <w:color w:val="auto"/>
          <w:highlight w:val="none"/>
        </w:rPr>
        <w:pict>
          <v:shape id="_x0000_s1099" o:spid="_x0000_s1099" style="position:absolute;left:0pt;margin-left:0pt;margin-top:4.7pt;height:0pt;width:144pt;z-index:251707392;mso-width-relative:page;mso-height-relative:page;" filled="f" stroked="t" coordsize="2880,0" path="m0,0l2880,0e">
            <v:fill on="f" focussize="0,0"/>
            <v:stroke weight="0pt" color="#000000" miterlimit="0" joinstyle="bevel" endcap="square"/>
            <v:imagedata o:title=""/>
            <o:lock v:ext="edit"/>
          </v:shape>
        </w:pict>
      </w:r>
    </w:p>
    <w:p w14:paraId="705066F1">
      <w:pPr>
        <w:spacing w:before="58" w:line="217" w:lineRule="auto"/>
        <w:ind w:left="5"/>
        <w:rPr>
          <w:rFonts w:ascii="宋体" w:hAnsi="宋体" w:eastAsia="宋体" w:cs="宋体"/>
          <w:color w:val="auto"/>
          <w:sz w:val="18"/>
          <w:szCs w:val="18"/>
          <w:highlight w:val="none"/>
        </w:rPr>
      </w:pPr>
      <w:r>
        <w:rPr>
          <w:rFonts w:ascii="宋体" w:hAnsi="宋体" w:eastAsia="宋体" w:cs="宋体"/>
          <w:color w:val="auto"/>
          <w:sz w:val="18"/>
          <w:szCs w:val="18"/>
          <w:highlight w:val="none"/>
        </w:rPr>
        <w:t>① 投标人仅须在投标函上加盖单位章，或由法定代表人或其委</w:t>
      </w:r>
      <w:r>
        <w:rPr>
          <w:rFonts w:ascii="宋体" w:hAnsi="宋体" w:eastAsia="宋体" w:cs="宋体"/>
          <w:color w:val="auto"/>
          <w:spacing w:val="-1"/>
          <w:sz w:val="18"/>
          <w:szCs w:val="18"/>
          <w:highlight w:val="none"/>
        </w:rPr>
        <w:t>托代理人签字。</w:t>
      </w:r>
    </w:p>
    <w:p w14:paraId="0E686BF3">
      <w:pPr>
        <w:spacing w:line="217" w:lineRule="auto"/>
        <w:rPr>
          <w:rFonts w:ascii="宋体" w:hAnsi="宋体" w:eastAsia="宋体" w:cs="宋体"/>
          <w:color w:val="auto"/>
          <w:sz w:val="18"/>
          <w:szCs w:val="18"/>
          <w:highlight w:val="none"/>
        </w:rPr>
        <w:sectPr>
          <w:footerReference r:id="rId111" w:type="default"/>
          <w:pgSz w:w="11906" w:h="16839"/>
          <w:pgMar w:top="1431" w:right="1417" w:bottom="1297" w:left="1417" w:header="0" w:footer="1067" w:gutter="0"/>
          <w:pgNumType w:fmt="decimal"/>
          <w:cols w:space="720" w:num="1"/>
        </w:sectPr>
      </w:pPr>
    </w:p>
    <w:p w14:paraId="03005D4F">
      <w:pPr>
        <w:spacing w:before="164" w:line="219" w:lineRule="auto"/>
        <w:ind w:left="333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二、监理服务费用清单</w:t>
      </w:r>
    </w:p>
    <w:p w14:paraId="51AA9C6A">
      <w:pPr>
        <w:spacing w:before="326" w:line="223" w:lineRule="auto"/>
        <w:ind w:left="3109"/>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（一）报价清单说明</w:t>
      </w:r>
    </w:p>
    <w:p w14:paraId="6E163A74">
      <w:pPr>
        <w:spacing w:before="302" w:line="274" w:lineRule="auto"/>
        <w:ind w:left="3" w:firstLine="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 本报价表中各表项目和数量由投标人根据工程需要填写，除此之外，还应在每</w:t>
      </w:r>
      <w:r>
        <w:rPr>
          <w:rFonts w:ascii="宋体" w:hAnsi="宋体" w:eastAsia="宋体" w:cs="宋体"/>
          <w:color w:val="auto"/>
          <w:spacing w:val="5"/>
          <w:sz w:val="24"/>
          <w:szCs w:val="24"/>
          <w:highlight w:val="none"/>
        </w:rPr>
        <w:t>张报价表后附报价计算说明。如折旧费计算说明中应指出每种监理设施</w:t>
      </w:r>
      <w:r>
        <w:rPr>
          <w:rFonts w:ascii="宋体" w:hAnsi="宋体" w:eastAsia="宋体" w:cs="宋体"/>
          <w:color w:val="auto"/>
          <w:spacing w:val="4"/>
          <w:sz w:val="24"/>
          <w:szCs w:val="24"/>
          <w:highlight w:val="none"/>
        </w:rPr>
        <w:t>折旧寿命、折</w:t>
      </w:r>
      <w:r>
        <w:rPr>
          <w:rFonts w:ascii="宋体" w:hAnsi="宋体" w:eastAsia="宋体" w:cs="宋体"/>
          <w:color w:val="auto"/>
          <w:spacing w:val="5"/>
          <w:sz w:val="24"/>
          <w:szCs w:val="24"/>
          <w:highlight w:val="none"/>
        </w:rPr>
        <w:t>旧期、年折旧费等，使用、维修、管理费等计算说明中应指出每年各项</w:t>
      </w:r>
      <w:r>
        <w:rPr>
          <w:rFonts w:ascii="宋体" w:hAnsi="宋体" w:eastAsia="宋体" w:cs="宋体"/>
          <w:color w:val="auto"/>
          <w:spacing w:val="4"/>
          <w:sz w:val="24"/>
          <w:szCs w:val="24"/>
          <w:highlight w:val="none"/>
        </w:rPr>
        <w:t>费用情况、计</w:t>
      </w:r>
      <w:r>
        <w:rPr>
          <w:rFonts w:ascii="宋体" w:hAnsi="宋体" w:eastAsia="宋体" w:cs="宋体"/>
          <w:color w:val="auto"/>
          <w:spacing w:val="-3"/>
          <w:sz w:val="24"/>
          <w:szCs w:val="24"/>
          <w:highlight w:val="none"/>
        </w:rPr>
        <w:t>算公式等。</w:t>
      </w:r>
    </w:p>
    <w:p w14:paraId="1DED90C6">
      <w:pPr>
        <w:spacing w:before="95" w:line="256" w:lineRule="auto"/>
        <w:ind w:left="2" w:firstLine="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 监理人员配备数量应根据招标文件的要求、投标人编</w:t>
      </w:r>
      <w:r>
        <w:rPr>
          <w:rFonts w:ascii="宋体" w:hAnsi="宋体" w:eastAsia="宋体" w:cs="宋体"/>
          <w:color w:val="auto"/>
          <w:spacing w:val="1"/>
          <w:sz w:val="24"/>
          <w:szCs w:val="24"/>
          <w:highlight w:val="none"/>
        </w:rPr>
        <w:t>写的技术建议书并参考投</w:t>
      </w:r>
      <w:r>
        <w:rPr>
          <w:rFonts w:ascii="宋体" w:hAnsi="宋体" w:eastAsia="宋体" w:cs="宋体"/>
          <w:color w:val="auto"/>
          <w:spacing w:val="-1"/>
          <w:sz w:val="24"/>
          <w:szCs w:val="24"/>
          <w:highlight w:val="none"/>
        </w:rPr>
        <w:t>标人以往监理工作经验填报。</w:t>
      </w:r>
    </w:p>
    <w:p w14:paraId="273D7A10">
      <w:pPr>
        <w:spacing w:before="95" w:line="274" w:lineRule="auto"/>
        <w:ind w:left="2" w:right="2"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 投标人必须配备施工监理所需的监理办公</w:t>
      </w:r>
      <w:r>
        <w:rPr>
          <w:rFonts w:ascii="宋体" w:hAnsi="宋体" w:eastAsia="宋体" w:cs="宋体"/>
          <w:color w:val="auto"/>
          <w:spacing w:val="1"/>
          <w:sz w:val="24"/>
          <w:szCs w:val="24"/>
          <w:highlight w:val="none"/>
        </w:rPr>
        <w:t>设施(含通讯设施)、试验检测设施、</w:t>
      </w:r>
      <w:r>
        <w:rPr>
          <w:rFonts w:ascii="宋体" w:hAnsi="宋体" w:eastAsia="宋体" w:cs="宋体"/>
          <w:color w:val="auto"/>
          <w:spacing w:val="5"/>
          <w:sz w:val="24"/>
          <w:szCs w:val="24"/>
          <w:highlight w:val="none"/>
        </w:rPr>
        <w:t>交通设施、生活设施等。监理办公设施(含通讯设施)、试验检</w:t>
      </w:r>
      <w:r>
        <w:rPr>
          <w:rFonts w:ascii="宋体" w:hAnsi="宋体" w:eastAsia="宋体" w:cs="宋体"/>
          <w:color w:val="auto"/>
          <w:spacing w:val="4"/>
          <w:sz w:val="24"/>
          <w:szCs w:val="24"/>
          <w:highlight w:val="none"/>
        </w:rPr>
        <w:t>测设施、交通设施、生</w:t>
      </w:r>
      <w:r>
        <w:rPr>
          <w:rFonts w:ascii="宋体" w:hAnsi="宋体" w:eastAsia="宋体" w:cs="宋体"/>
          <w:color w:val="auto"/>
          <w:spacing w:val="5"/>
          <w:sz w:val="24"/>
          <w:szCs w:val="24"/>
          <w:highlight w:val="none"/>
        </w:rPr>
        <w:t>活设施等应根据招标文件的要求、投标人编写的技术建议书并参考投标人</w:t>
      </w:r>
      <w:r>
        <w:rPr>
          <w:rFonts w:ascii="宋体" w:hAnsi="宋体" w:eastAsia="宋体" w:cs="宋体"/>
          <w:color w:val="auto"/>
          <w:spacing w:val="4"/>
          <w:sz w:val="24"/>
          <w:szCs w:val="24"/>
          <w:highlight w:val="none"/>
        </w:rPr>
        <w:t>以往监理工</w:t>
      </w:r>
      <w:r>
        <w:rPr>
          <w:rFonts w:ascii="宋体" w:hAnsi="宋体" w:eastAsia="宋体" w:cs="宋体"/>
          <w:color w:val="auto"/>
          <w:spacing w:val="-2"/>
          <w:sz w:val="24"/>
          <w:szCs w:val="24"/>
          <w:highlight w:val="none"/>
        </w:rPr>
        <w:t>作经验配置。</w:t>
      </w:r>
    </w:p>
    <w:p w14:paraId="456AFCAA">
      <w:pPr>
        <w:spacing w:before="92" w:line="256" w:lineRule="auto"/>
        <w:ind w:left="2" w:firstLine="47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 监理工程师的驻地设施及配备的设备，如交通、通讯工具及燃</w:t>
      </w:r>
      <w:r>
        <w:rPr>
          <w:rFonts w:ascii="宋体" w:hAnsi="宋体" w:eastAsia="宋体" w:cs="宋体"/>
          <w:color w:val="auto"/>
          <w:spacing w:val="1"/>
          <w:sz w:val="24"/>
          <w:szCs w:val="24"/>
          <w:highlight w:val="none"/>
        </w:rPr>
        <w:t>料消耗、维护等</w:t>
      </w:r>
      <w:r>
        <w:rPr>
          <w:rFonts w:ascii="宋体" w:hAnsi="宋体" w:eastAsia="宋体" w:cs="宋体"/>
          <w:color w:val="auto"/>
          <w:spacing w:val="-1"/>
          <w:sz w:val="24"/>
          <w:szCs w:val="24"/>
          <w:highlight w:val="none"/>
        </w:rPr>
        <w:t>均由投标人按规定列入投标报价中。</w:t>
      </w:r>
    </w:p>
    <w:p w14:paraId="681B8FD0">
      <w:pPr>
        <w:spacing w:before="95"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5.投标人在填报监理服务费用时应综合考虑下列因素：</w:t>
      </w:r>
    </w:p>
    <w:p w14:paraId="75407561">
      <w:pPr>
        <w:spacing w:before="97" w:line="256" w:lineRule="auto"/>
        <w:ind w:left="2" w:right="2" w:firstLine="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（1）监理人所提供的各级监理人员、试验检测仪器、车辆均应满足委托人在专用</w:t>
      </w:r>
      <w:r>
        <w:rPr>
          <w:rFonts w:ascii="宋体" w:hAnsi="宋体" w:eastAsia="宋体" w:cs="宋体"/>
          <w:color w:val="auto"/>
          <w:spacing w:val="-1"/>
          <w:sz w:val="24"/>
          <w:szCs w:val="24"/>
          <w:highlight w:val="none"/>
        </w:rPr>
        <w:t>合同条款中提出的最低限度要求。</w:t>
      </w:r>
    </w:p>
    <w:p w14:paraId="44B876D1">
      <w:pPr>
        <w:spacing w:before="94" w:line="255" w:lineRule="auto"/>
        <w:ind w:left="1" w:right="2" w:firstLine="489"/>
        <w:rPr>
          <w:rFonts w:ascii="宋体" w:hAnsi="宋体" w:eastAsia="宋体" w:cs="宋体"/>
          <w:color w:val="auto"/>
          <w:sz w:val="24"/>
          <w:szCs w:val="24"/>
          <w:highlight w:val="none"/>
        </w:rPr>
      </w:pPr>
      <w:r>
        <w:rPr>
          <w:rFonts w:ascii="宋体" w:hAnsi="宋体" w:eastAsia="宋体" w:cs="宋体"/>
          <w:color w:val="auto"/>
          <w:sz w:val="24"/>
          <w:szCs w:val="24"/>
          <w:highlight w:val="none"/>
        </w:rPr>
        <w:t>（2）除合同条款第</w:t>
      </w:r>
      <w:r>
        <w:rPr>
          <w:rFonts w:ascii="宋体" w:hAnsi="宋体" w:eastAsia="宋体" w:cs="宋体"/>
          <w:color w:val="auto"/>
          <w:spacing w:val="-47"/>
          <w:sz w:val="24"/>
          <w:szCs w:val="24"/>
          <w:highlight w:val="none"/>
        </w:rPr>
        <w:t xml:space="preserve"> </w:t>
      </w:r>
      <w:r>
        <w:rPr>
          <w:rFonts w:ascii="宋体" w:hAnsi="宋体" w:eastAsia="宋体" w:cs="宋体"/>
          <w:color w:val="auto"/>
          <w:sz w:val="24"/>
          <w:szCs w:val="24"/>
          <w:highlight w:val="none"/>
        </w:rPr>
        <w:t>8</w:t>
      </w:r>
      <w:r>
        <w:rPr>
          <w:rFonts w:ascii="宋体" w:hAnsi="宋体" w:eastAsia="宋体" w:cs="宋体"/>
          <w:color w:val="auto"/>
          <w:spacing w:val="-46"/>
          <w:sz w:val="24"/>
          <w:szCs w:val="24"/>
          <w:highlight w:val="none"/>
        </w:rPr>
        <w:t xml:space="preserve"> </w:t>
      </w:r>
      <w:r>
        <w:rPr>
          <w:rFonts w:ascii="宋体" w:hAnsi="宋体" w:eastAsia="宋体" w:cs="宋体"/>
          <w:color w:val="auto"/>
          <w:sz w:val="24"/>
          <w:szCs w:val="24"/>
          <w:highlight w:val="none"/>
        </w:rPr>
        <w:t>条约定的变更情形和项目专用合同条款第</w:t>
      </w:r>
      <w:r>
        <w:rPr>
          <w:rFonts w:ascii="宋体" w:hAnsi="宋体" w:eastAsia="宋体" w:cs="宋体"/>
          <w:color w:val="auto"/>
          <w:spacing w:val="-48"/>
          <w:sz w:val="24"/>
          <w:szCs w:val="24"/>
          <w:highlight w:val="none"/>
        </w:rPr>
        <w:t xml:space="preserve"> </w:t>
      </w:r>
      <w:r>
        <w:rPr>
          <w:rFonts w:ascii="宋体" w:hAnsi="宋体" w:eastAsia="宋体" w:cs="宋体"/>
          <w:color w:val="auto"/>
          <w:sz w:val="24"/>
          <w:szCs w:val="24"/>
          <w:highlight w:val="none"/>
        </w:rPr>
        <w:t>9.1.1</w:t>
      </w:r>
      <w:r>
        <w:rPr>
          <w:rFonts w:ascii="宋体" w:hAnsi="宋体" w:eastAsia="宋体" w:cs="宋体"/>
          <w:color w:val="auto"/>
          <w:spacing w:val="-44"/>
          <w:sz w:val="24"/>
          <w:szCs w:val="24"/>
          <w:highlight w:val="none"/>
        </w:rPr>
        <w:t xml:space="preserve"> </w:t>
      </w:r>
      <w:r>
        <w:rPr>
          <w:rFonts w:ascii="宋体" w:hAnsi="宋体" w:eastAsia="宋体" w:cs="宋体"/>
          <w:color w:val="auto"/>
          <w:sz w:val="24"/>
          <w:szCs w:val="24"/>
          <w:highlight w:val="none"/>
        </w:rPr>
        <w:t>项约</w:t>
      </w:r>
      <w:r>
        <w:rPr>
          <w:rFonts w:ascii="宋体" w:hAnsi="宋体" w:eastAsia="宋体" w:cs="宋体"/>
          <w:color w:val="auto"/>
          <w:spacing w:val="-1"/>
          <w:sz w:val="24"/>
          <w:szCs w:val="24"/>
          <w:highlight w:val="none"/>
        </w:rPr>
        <w:t>定的其</w:t>
      </w:r>
      <w:r>
        <w:rPr>
          <w:rFonts w:ascii="宋体" w:hAnsi="宋体" w:eastAsia="宋体" w:cs="宋体"/>
          <w:color w:val="auto"/>
          <w:sz w:val="24"/>
          <w:szCs w:val="24"/>
          <w:highlight w:val="none"/>
        </w:rPr>
        <w:t>他情形外，本监理合同的监理服务费用在合同</w:t>
      </w:r>
      <w:r>
        <w:rPr>
          <w:rFonts w:ascii="宋体" w:hAnsi="宋体" w:eastAsia="宋体" w:cs="宋体"/>
          <w:color w:val="auto"/>
          <w:spacing w:val="-1"/>
          <w:sz w:val="24"/>
          <w:szCs w:val="24"/>
          <w:highlight w:val="none"/>
        </w:rPr>
        <w:t>实施期间一律不予调整。</w:t>
      </w:r>
    </w:p>
    <w:p w14:paraId="271F85AC">
      <w:pPr>
        <w:spacing w:before="97" w:line="255" w:lineRule="auto"/>
        <w:ind w:right="2"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6.投标人因完成本项目施工监理服务需缴纳的一切税费均由投标人承担，并包含</w:t>
      </w:r>
      <w:r>
        <w:rPr>
          <w:rFonts w:ascii="宋体" w:hAnsi="宋体" w:eastAsia="宋体" w:cs="宋体"/>
          <w:color w:val="auto"/>
          <w:spacing w:val="-1"/>
          <w:sz w:val="24"/>
          <w:szCs w:val="24"/>
          <w:highlight w:val="none"/>
        </w:rPr>
        <w:t>在所报的单价或总额价内，委托人不单独支付。</w:t>
      </w:r>
    </w:p>
    <w:p w14:paraId="3EEE08F5">
      <w:pPr>
        <w:spacing w:before="95" w:line="268" w:lineRule="auto"/>
        <w:ind w:left="1" w:right="2" w:firstLine="48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7.投标人应认真填写报价清单中所列的监理服务费用各细目的单价和总额价</w:t>
      </w:r>
      <w:r>
        <w:rPr>
          <w:rFonts w:ascii="宋体" w:hAnsi="宋体" w:eastAsia="宋体" w:cs="宋体"/>
          <w:color w:val="auto"/>
          <w:spacing w:val="4"/>
          <w:sz w:val="24"/>
          <w:szCs w:val="24"/>
          <w:highlight w:val="none"/>
        </w:rPr>
        <w:t>。投</w:t>
      </w:r>
      <w:r>
        <w:rPr>
          <w:rFonts w:ascii="宋体" w:hAnsi="宋体" w:eastAsia="宋体" w:cs="宋体"/>
          <w:color w:val="auto"/>
          <w:spacing w:val="5"/>
          <w:sz w:val="24"/>
          <w:szCs w:val="24"/>
          <w:highlight w:val="none"/>
        </w:rPr>
        <w:t>标人没有填入单价或总额价的工程细目委托人将不予支付，并认为该细目的</w:t>
      </w:r>
      <w:r>
        <w:rPr>
          <w:rFonts w:ascii="宋体" w:hAnsi="宋体" w:eastAsia="宋体" w:cs="宋体"/>
          <w:color w:val="auto"/>
          <w:spacing w:val="4"/>
          <w:sz w:val="24"/>
          <w:szCs w:val="24"/>
          <w:highlight w:val="none"/>
        </w:rPr>
        <w:t>价款已包</w:t>
      </w:r>
      <w:r>
        <w:rPr>
          <w:rFonts w:ascii="宋体" w:hAnsi="宋体" w:eastAsia="宋体" w:cs="宋体"/>
          <w:color w:val="auto"/>
          <w:spacing w:val="-1"/>
          <w:sz w:val="24"/>
          <w:szCs w:val="24"/>
          <w:highlight w:val="none"/>
        </w:rPr>
        <w:t>括在报价清单其他细目的单价或总额价中。</w:t>
      </w:r>
    </w:p>
    <w:p w14:paraId="03255FFA">
      <w:pPr>
        <w:spacing w:before="95" w:line="256" w:lineRule="auto"/>
        <w:ind w:left="5" w:right="2" w:firstLine="47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8.在表</w:t>
      </w:r>
      <w:r>
        <w:rPr>
          <w:rFonts w:ascii="宋体" w:hAnsi="宋体" w:eastAsia="宋体" w:cs="宋体"/>
          <w:color w:val="auto"/>
          <w:spacing w:val="-31"/>
          <w:sz w:val="24"/>
          <w:szCs w:val="24"/>
          <w:highlight w:val="none"/>
        </w:rPr>
        <w:t xml:space="preserve"> </w:t>
      </w:r>
      <w:r>
        <w:rPr>
          <w:rFonts w:ascii="宋体" w:hAnsi="宋体" w:eastAsia="宋体" w:cs="宋体"/>
          <w:color w:val="auto"/>
          <w:spacing w:val="3"/>
          <w:sz w:val="24"/>
          <w:szCs w:val="24"/>
          <w:highlight w:val="none"/>
        </w:rPr>
        <w:t>2</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监理人员服务费报价表和表</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4</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监理工程师交通设施费报价表后应附相应</w:t>
      </w:r>
      <w:r>
        <w:rPr>
          <w:rFonts w:ascii="宋体" w:hAnsi="宋体" w:eastAsia="宋体" w:cs="宋体"/>
          <w:color w:val="auto"/>
          <w:spacing w:val="-2"/>
          <w:sz w:val="24"/>
          <w:szCs w:val="24"/>
          <w:highlight w:val="none"/>
        </w:rPr>
        <w:t>项目的单价分析表。</w:t>
      </w:r>
    </w:p>
    <w:p w14:paraId="6A665EA8">
      <w:pPr>
        <w:spacing w:before="95" w:line="268" w:lineRule="auto"/>
        <w:ind w:left="2" w:right="2" w:firstLine="47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9.投标人在表</w:t>
      </w:r>
      <w:r>
        <w:rPr>
          <w:rFonts w:ascii="宋体" w:hAnsi="宋体" w:eastAsia="宋体" w:cs="宋体"/>
          <w:color w:val="auto"/>
          <w:spacing w:val="-43"/>
          <w:sz w:val="24"/>
          <w:szCs w:val="24"/>
          <w:highlight w:val="none"/>
        </w:rPr>
        <w:t xml:space="preserve"> </w:t>
      </w:r>
      <w:r>
        <w:rPr>
          <w:rFonts w:ascii="宋体" w:hAnsi="宋体" w:eastAsia="宋体" w:cs="宋体"/>
          <w:color w:val="auto"/>
          <w:spacing w:val="4"/>
          <w:sz w:val="24"/>
          <w:szCs w:val="24"/>
          <w:highlight w:val="none"/>
        </w:rPr>
        <w:t>2</w:t>
      </w:r>
      <w:r>
        <w:rPr>
          <w:rFonts w:ascii="宋体" w:hAnsi="宋体" w:eastAsia="宋体" w:cs="宋体"/>
          <w:color w:val="auto"/>
          <w:spacing w:val="-24"/>
          <w:sz w:val="24"/>
          <w:szCs w:val="24"/>
          <w:highlight w:val="none"/>
        </w:rPr>
        <w:t xml:space="preserve"> </w:t>
      </w:r>
      <w:r>
        <w:rPr>
          <w:rFonts w:ascii="宋体" w:hAnsi="宋体" w:eastAsia="宋体" w:cs="宋体"/>
          <w:color w:val="auto"/>
          <w:spacing w:val="4"/>
          <w:sz w:val="24"/>
          <w:szCs w:val="24"/>
          <w:highlight w:val="none"/>
        </w:rPr>
        <w:t>中填报的各类监理人员的人月</w:t>
      </w:r>
      <w:r>
        <w:rPr>
          <w:rFonts w:ascii="宋体" w:hAnsi="宋体" w:eastAsia="宋体" w:cs="宋体"/>
          <w:color w:val="auto"/>
          <w:spacing w:val="3"/>
          <w:sz w:val="24"/>
          <w:szCs w:val="24"/>
          <w:highlight w:val="none"/>
        </w:rPr>
        <w:t>单价应包括监理人员的工资、加班</w:t>
      </w:r>
      <w:r>
        <w:rPr>
          <w:rFonts w:ascii="宋体" w:hAnsi="宋体" w:eastAsia="宋体" w:cs="宋体"/>
          <w:color w:val="auto"/>
          <w:spacing w:val="5"/>
          <w:sz w:val="24"/>
          <w:szCs w:val="24"/>
          <w:highlight w:val="none"/>
        </w:rPr>
        <w:t>费、生活伙食费、奖金及各种补贴等一切费用在内。若监理人员因履行正</w:t>
      </w:r>
      <w:r>
        <w:rPr>
          <w:rFonts w:ascii="宋体" w:hAnsi="宋体" w:eastAsia="宋体" w:cs="宋体"/>
          <w:color w:val="auto"/>
          <w:spacing w:val="4"/>
          <w:sz w:val="24"/>
          <w:szCs w:val="24"/>
          <w:highlight w:val="none"/>
        </w:rPr>
        <w:t>常监理服务</w:t>
      </w:r>
      <w:r>
        <w:rPr>
          <w:rFonts w:ascii="宋体" w:hAnsi="宋体" w:eastAsia="宋体" w:cs="宋体"/>
          <w:color w:val="auto"/>
          <w:sz w:val="24"/>
          <w:szCs w:val="24"/>
          <w:highlight w:val="none"/>
        </w:rPr>
        <w:t>而加班，委托人将不考虑另行支付监理人员的加班费用。</w:t>
      </w:r>
      <w:r>
        <w:rPr>
          <w:rFonts w:ascii="宋体" w:hAnsi="宋体" w:eastAsia="宋体" w:cs="宋体"/>
          <w:color w:val="auto"/>
          <w:spacing w:val="-1"/>
          <w:sz w:val="24"/>
          <w:szCs w:val="24"/>
          <w:highlight w:val="none"/>
        </w:rPr>
        <w:t>投标报价中应考虑加班费。</w:t>
      </w:r>
    </w:p>
    <w:p w14:paraId="44311F7A">
      <w:pPr>
        <w:spacing w:before="96" w:line="268" w:lineRule="auto"/>
        <w:ind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10.对于同一设施或物品，投标人不能重复填报监理服务费用，一经发现，委托人</w:t>
      </w:r>
      <w:r>
        <w:rPr>
          <w:rFonts w:ascii="宋体" w:hAnsi="宋体" w:eastAsia="宋体" w:cs="宋体"/>
          <w:color w:val="auto"/>
          <w:spacing w:val="5"/>
          <w:sz w:val="24"/>
          <w:szCs w:val="24"/>
          <w:highlight w:val="none"/>
        </w:rPr>
        <w:t>将有权从投标价中扣除多报的费用，投标人对此应予确认，否则，委托人有权取</w:t>
      </w:r>
      <w:r>
        <w:rPr>
          <w:rFonts w:ascii="宋体" w:hAnsi="宋体" w:eastAsia="宋体" w:cs="宋体"/>
          <w:color w:val="auto"/>
          <w:spacing w:val="4"/>
          <w:sz w:val="24"/>
          <w:szCs w:val="24"/>
          <w:highlight w:val="none"/>
        </w:rPr>
        <w:t>消其</w:t>
      </w:r>
      <w:r>
        <w:rPr>
          <w:rFonts w:ascii="宋体" w:hAnsi="宋体" w:eastAsia="宋体" w:cs="宋体"/>
          <w:color w:val="auto"/>
          <w:spacing w:val="-2"/>
          <w:sz w:val="24"/>
          <w:szCs w:val="24"/>
          <w:highlight w:val="none"/>
        </w:rPr>
        <w:t>中标资格。</w:t>
      </w:r>
    </w:p>
    <w:p w14:paraId="49D3EBD2">
      <w:pPr>
        <w:spacing w:line="268" w:lineRule="auto"/>
        <w:rPr>
          <w:rFonts w:ascii="宋体" w:hAnsi="宋体" w:eastAsia="宋体" w:cs="宋体"/>
          <w:color w:val="auto"/>
          <w:sz w:val="24"/>
          <w:szCs w:val="24"/>
          <w:highlight w:val="none"/>
        </w:rPr>
        <w:sectPr>
          <w:footerReference r:id="rId112" w:type="default"/>
          <w:pgSz w:w="11906" w:h="16839"/>
          <w:pgMar w:top="1431" w:right="1415" w:bottom="1297" w:left="1423" w:header="0" w:footer="1067" w:gutter="0"/>
          <w:pgNumType w:fmt="decimal"/>
          <w:cols w:space="720" w:num="1"/>
        </w:sectPr>
      </w:pPr>
    </w:p>
    <w:p w14:paraId="75DDCE4F">
      <w:pPr>
        <w:spacing w:before="64" w:line="223" w:lineRule="auto"/>
        <w:ind w:left="2425"/>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（二）监理服务费报价表</w:t>
      </w:r>
    </w:p>
    <w:p w14:paraId="67B5CBA8">
      <w:pPr>
        <w:spacing w:before="32"/>
        <w:rPr>
          <w:color w:val="auto"/>
          <w:highlight w:val="none"/>
        </w:rPr>
      </w:pPr>
    </w:p>
    <w:p w14:paraId="3F84D8E9">
      <w:pPr>
        <w:spacing w:before="32"/>
        <w:rPr>
          <w:color w:val="auto"/>
          <w:highlight w:val="none"/>
        </w:rPr>
      </w:pPr>
    </w:p>
    <w:p w14:paraId="6D51DD31">
      <w:pPr>
        <w:spacing w:before="32"/>
        <w:rPr>
          <w:color w:val="auto"/>
          <w:highlight w:val="none"/>
        </w:rPr>
      </w:pPr>
    </w:p>
    <w:tbl>
      <w:tblPr>
        <w:tblStyle w:val="16"/>
        <w:tblW w:w="3771" w:type="dxa"/>
        <w:tblInd w:w="47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90"/>
        <w:gridCol w:w="3281"/>
      </w:tblGrid>
      <w:tr w14:paraId="3136C2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2" w:hRule="atLeast"/>
        </w:trPr>
        <w:tc>
          <w:tcPr>
            <w:tcW w:w="490" w:type="dxa"/>
            <w:vAlign w:val="top"/>
          </w:tcPr>
          <w:p w14:paraId="4C0BCA48">
            <w:pPr>
              <w:pStyle w:val="17"/>
              <w:spacing w:before="1" w:line="220" w:lineRule="auto"/>
              <w:rPr>
                <w:color w:val="auto"/>
                <w:sz w:val="24"/>
                <w:szCs w:val="24"/>
                <w:highlight w:val="none"/>
              </w:rPr>
            </w:pPr>
            <w:r>
              <w:rPr>
                <w:color w:val="auto"/>
                <w:spacing w:val="-5"/>
                <w:sz w:val="24"/>
                <w:szCs w:val="24"/>
                <w:highlight w:val="none"/>
              </w:rPr>
              <w:t>表</w:t>
            </w:r>
            <w:r>
              <w:rPr>
                <w:color w:val="auto"/>
                <w:spacing w:val="-33"/>
                <w:sz w:val="24"/>
                <w:szCs w:val="24"/>
                <w:highlight w:val="none"/>
              </w:rPr>
              <w:t xml:space="preserve"> </w:t>
            </w:r>
            <w:r>
              <w:rPr>
                <w:color w:val="auto"/>
                <w:spacing w:val="-5"/>
                <w:sz w:val="24"/>
                <w:szCs w:val="24"/>
                <w:highlight w:val="none"/>
              </w:rPr>
              <w:t>1</w:t>
            </w:r>
          </w:p>
        </w:tc>
        <w:tc>
          <w:tcPr>
            <w:tcW w:w="3281" w:type="dxa"/>
            <w:vAlign w:val="top"/>
          </w:tcPr>
          <w:p w14:paraId="16A7FFD6">
            <w:pPr>
              <w:pStyle w:val="17"/>
              <w:spacing w:before="1" w:line="217" w:lineRule="auto"/>
              <w:ind w:left="171"/>
              <w:rPr>
                <w:color w:val="auto"/>
                <w:sz w:val="24"/>
                <w:szCs w:val="24"/>
                <w:highlight w:val="none"/>
              </w:rPr>
            </w:pPr>
            <w:r>
              <w:rPr>
                <w:color w:val="auto"/>
                <w:spacing w:val="-1"/>
                <w:sz w:val="24"/>
                <w:szCs w:val="24"/>
                <w:highlight w:val="none"/>
              </w:rPr>
              <w:t>监理服务费用报价汇总表</w:t>
            </w:r>
          </w:p>
        </w:tc>
      </w:tr>
      <w:tr w14:paraId="3250C69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7" w:hRule="atLeast"/>
        </w:trPr>
        <w:tc>
          <w:tcPr>
            <w:tcW w:w="490" w:type="dxa"/>
            <w:vAlign w:val="top"/>
          </w:tcPr>
          <w:p w14:paraId="6AD151D4">
            <w:pPr>
              <w:pStyle w:val="17"/>
              <w:spacing w:before="173" w:line="221" w:lineRule="auto"/>
              <w:rPr>
                <w:color w:val="auto"/>
                <w:sz w:val="24"/>
                <w:szCs w:val="24"/>
                <w:highlight w:val="none"/>
              </w:rPr>
            </w:pPr>
            <w:r>
              <w:rPr>
                <w:color w:val="auto"/>
                <w:spacing w:val="-5"/>
                <w:sz w:val="24"/>
                <w:szCs w:val="24"/>
                <w:highlight w:val="none"/>
              </w:rPr>
              <w:t>表</w:t>
            </w:r>
            <w:r>
              <w:rPr>
                <w:color w:val="auto"/>
                <w:spacing w:val="-48"/>
                <w:sz w:val="24"/>
                <w:szCs w:val="24"/>
                <w:highlight w:val="none"/>
              </w:rPr>
              <w:t xml:space="preserve"> </w:t>
            </w:r>
            <w:r>
              <w:rPr>
                <w:color w:val="auto"/>
                <w:spacing w:val="-5"/>
                <w:sz w:val="24"/>
                <w:szCs w:val="24"/>
                <w:highlight w:val="none"/>
              </w:rPr>
              <w:t>2</w:t>
            </w:r>
          </w:p>
        </w:tc>
        <w:tc>
          <w:tcPr>
            <w:tcW w:w="3281" w:type="dxa"/>
            <w:vAlign w:val="top"/>
          </w:tcPr>
          <w:p w14:paraId="3E5340E7">
            <w:pPr>
              <w:pStyle w:val="17"/>
              <w:spacing w:before="173" w:line="218" w:lineRule="auto"/>
              <w:ind w:left="171"/>
              <w:rPr>
                <w:color w:val="auto"/>
                <w:sz w:val="24"/>
                <w:szCs w:val="24"/>
                <w:highlight w:val="none"/>
              </w:rPr>
            </w:pPr>
            <w:r>
              <w:rPr>
                <w:color w:val="auto"/>
                <w:spacing w:val="-2"/>
                <w:sz w:val="24"/>
                <w:szCs w:val="24"/>
                <w:highlight w:val="none"/>
              </w:rPr>
              <w:t>监理人员服务费报价表</w:t>
            </w:r>
          </w:p>
        </w:tc>
      </w:tr>
      <w:tr w14:paraId="357EBF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7" w:hRule="atLeast"/>
        </w:trPr>
        <w:tc>
          <w:tcPr>
            <w:tcW w:w="490" w:type="dxa"/>
            <w:vAlign w:val="top"/>
          </w:tcPr>
          <w:p w14:paraId="0C2F579C">
            <w:pPr>
              <w:pStyle w:val="17"/>
              <w:spacing w:before="174" w:line="221" w:lineRule="auto"/>
              <w:rPr>
                <w:color w:val="auto"/>
                <w:sz w:val="24"/>
                <w:szCs w:val="24"/>
                <w:highlight w:val="none"/>
              </w:rPr>
            </w:pPr>
            <w:r>
              <w:rPr>
                <w:color w:val="auto"/>
                <w:spacing w:val="-5"/>
                <w:sz w:val="24"/>
                <w:szCs w:val="24"/>
                <w:highlight w:val="none"/>
              </w:rPr>
              <w:t>表</w:t>
            </w:r>
            <w:r>
              <w:rPr>
                <w:color w:val="auto"/>
                <w:spacing w:val="-46"/>
                <w:sz w:val="24"/>
                <w:szCs w:val="24"/>
                <w:highlight w:val="none"/>
              </w:rPr>
              <w:t xml:space="preserve"> </w:t>
            </w:r>
            <w:r>
              <w:rPr>
                <w:color w:val="auto"/>
                <w:spacing w:val="-5"/>
                <w:sz w:val="24"/>
                <w:szCs w:val="24"/>
                <w:highlight w:val="none"/>
              </w:rPr>
              <w:t>3</w:t>
            </w:r>
          </w:p>
        </w:tc>
        <w:tc>
          <w:tcPr>
            <w:tcW w:w="3281" w:type="dxa"/>
            <w:vAlign w:val="top"/>
          </w:tcPr>
          <w:p w14:paraId="31D18A44">
            <w:pPr>
              <w:pStyle w:val="17"/>
              <w:spacing w:before="174" w:line="218" w:lineRule="auto"/>
              <w:jc w:val="right"/>
              <w:rPr>
                <w:color w:val="auto"/>
                <w:sz w:val="24"/>
                <w:szCs w:val="24"/>
                <w:highlight w:val="none"/>
              </w:rPr>
            </w:pPr>
            <w:r>
              <w:rPr>
                <w:color w:val="auto"/>
                <w:spacing w:val="-1"/>
                <w:sz w:val="24"/>
                <w:szCs w:val="24"/>
                <w:highlight w:val="none"/>
              </w:rPr>
              <w:t>监理工程师办公设施费报价表</w:t>
            </w:r>
          </w:p>
        </w:tc>
      </w:tr>
      <w:tr w14:paraId="5708C21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5" w:hRule="atLeast"/>
        </w:trPr>
        <w:tc>
          <w:tcPr>
            <w:tcW w:w="490" w:type="dxa"/>
            <w:vAlign w:val="top"/>
          </w:tcPr>
          <w:p w14:paraId="3CA424DC">
            <w:pPr>
              <w:pStyle w:val="17"/>
              <w:spacing w:before="172" w:line="221" w:lineRule="auto"/>
              <w:rPr>
                <w:color w:val="auto"/>
                <w:sz w:val="24"/>
                <w:szCs w:val="24"/>
                <w:highlight w:val="none"/>
              </w:rPr>
            </w:pPr>
            <w:r>
              <w:rPr>
                <w:color w:val="auto"/>
                <w:spacing w:val="-5"/>
                <w:sz w:val="24"/>
                <w:szCs w:val="24"/>
                <w:highlight w:val="none"/>
              </w:rPr>
              <w:t>表</w:t>
            </w:r>
            <w:r>
              <w:rPr>
                <w:color w:val="auto"/>
                <w:spacing w:val="-51"/>
                <w:sz w:val="24"/>
                <w:szCs w:val="24"/>
                <w:highlight w:val="none"/>
              </w:rPr>
              <w:t xml:space="preserve"> </w:t>
            </w:r>
            <w:r>
              <w:rPr>
                <w:color w:val="auto"/>
                <w:spacing w:val="-5"/>
                <w:sz w:val="24"/>
                <w:szCs w:val="24"/>
                <w:highlight w:val="none"/>
              </w:rPr>
              <w:t>4</w:t>
            </w:r>
          </w:p>
        </w:tc>
        <w:tc>
          <w:tcPr>
            <w:tcW w:w="3281" w:type="dxa"/>
            <w:vAlign w:val="top"/>
          </w:tcPr>
          <w:p w14:paraId="2F905B99">
            <w:pPr>
              <w:pStyle w:val="17"/>
              <w:spacing w:before="173" w:line="218" w:lineRule="auto"/>
              <w:jc w:val="right"/>
              <w:rPr>
                <w:color w:val="auto"/>
                <w:sz w:val="24"/>
                <w:szCs w:val="24"/>
                <w:highlight w:val="none"/>
              </w:rPr>
            </w:pPr>
            <w:r>
              <w:rPr>
                <w:color w:val="auto"/>
                <w:spacing w:val="-1"/>
                <w:sz w:val="24"/>
                <w:szCs w:val="24"/>
                <w:highlight w:val="none"/>
              </w:rPr>
              <w:t>监理工程师交通设施费报价表</w:t>
            </w:r>
          </w:p>
        </w:tc>
      </w:tr>
      <w:tr w14:paraId="27717F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6" w:hRule="atLeast"/>
        </w:trPr>
        <w:tc>
          <w:tcPr>
            <w:tcW w:w="490" w:type="dxa"/>
            <w:vAlign w:val="top"/>
          </w:tcPr>
          <w:p w14:paraId="0FA8D09A">
            <w:pPr>
              <w:pStyle w:val="17"/>
              <w:spacing w:before="173" w:line="221" w:lineRule="auto"/>
              <w:rPr>
                <w:color w:val="auto"/>
                <w:sz w:val="24"/>
                <w:szCs w:val="24"/>
                <w:highlight w:val="none"/>
              </w:rPr>
            </w:pPr>
            <w:r>
              <w:rPr>
                <w:color w:val="auto"/>
                <w:spacing w:val="-5"/>
                <w:sz w:val="24"/>
                <w:szCs w:val="24"/>
                <w:highlight w:val="none"/>
              </w:rPr>
              <w:t>表</w:t>
            </w:r>
            <w:r>
              <w:rPr>
                <w:color w:val="auto"/>
                <w:spacing w:val="-46"/>
                <w:sz w:val="24"/>
                <w:szCs w:val="24"/>
                <w:highlight w:val="none"/>
              </w:rPr>
              <w:t xml:space="preserve"> </w:t>
            </w:r>
            <w:r>
              <w:rPr>
                <w:color w:val="auto"/>
                <w:spacing w:val="-5"/>
                <w:sz w:val="24"/>
                <w:szCs w:val="24"/>
                <w:highlight w:val="none"/>
              </w:rPr>
              <w:t>5</w:t>
            </w:r>
          </w:p>
        </w:tc>
        <w:tc>
          <w:tcPr>
            <w:tcW w:w="3281" w:type="dxa"/>
            <w:vAlign w:val="top"/>
          </w:tcPr>
          <w:p w14:paraId="4C9C667E">
            <w:pPr>
              <w:pStyle w:val="17"/>
              <w:spacing w:before="173" w:line="218" w:lineRule="auto"/>
              <w:ind w:left="171"/>
              <w:rPr>
                <w:color w:val="auto"/>
                <w:sz w:val="24"/>
                <w:szCs w:val="24"/>
                <w:highlight w:val="none"/>
              </w:rPr>
            </w:pPr>
            <w:r>
              <w:rPr>
                <w:color w:val="auto"/>
                <w:spacing w:val="-2"/>
                <w:sz w:val="24"/>
                <w:szCs w:val="24"/>
                <w:highlight w:val="none"/>
              </w:rPr>
              <w:t>监理试验设施费报价表</w:t>
            </w:r>
          </w:p>
        </w:tc>
      </w:tr>
      <w:tr w14:paraId="5E8C228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8" w:hRule="atLeast"/>
        </w:trPr>
        <w:tc>
          <w:tcPr>
            <w:tcW w:w="490" w:type="dxa"/>
            <w:vAlign w:val="top"/>
          </w:tcPr>
          <w:p w14:paraId="741B6460">
            <w:pPr>
              <w:pStyle w:val="17"/>
              <w:spacing w:before="175" w:line="221" w:lineRule="auto"/>
              <w:rPr>
                <w:color w:val="auto"/>
                <w:sz w:val="24"/>
                <w:szCs w:val="24"/>
                <w:highlight w:val="none"/>
              </w:rPr>
            </w:pPr>
            <w:r>
              <w:rPr>
                <w:color w:val="auto"/>
                <w:spacing w:val="-5"/>
                <w:sz w:val="24"/>
                <w:szCs w:val="24"/>
                <w:highlight w:val="none"/>
              </w:rPr>
              <w:t>表</w:t>
            </w:r>
            <w:r>
              <w:rPr>
                <w:color w:val="auto"/>
                <w:spacing w:val="-49"/>
                <w:sz w:val="24"/>
                <w:szCs w:val="24"/>
                <w:highlight w:val="none"/>
              </w:rPr>
              <w:t xml:space="preserve"> </w:t>
            </w:r>
            <w:r>
              <w:rPr>
                <w:color w:val="auto"/>
                <w:spacing w:val="-5"/>
                <w:sz w:val="24"/>
                <w:szCs w:val="24"/>
                <w:highlight w:val="none"/>
              </w:rPr>
              <w:t>6</w:t>
            </w:r>
          </w:p>
        </w:tc>
        <w:tc>
          <w:tcPr>
            <w:tcW w:w="3281" w:type="dxa"/>
            <w:vAlign w:val="top"/>
          </w:tcPr>
          <w:p w14:paraId="24779ECE">
            <w:pPr>
              <w:pStyle w:val="17"/>
              <w:spacing w:before="175" w:line="218" w:lineRule="auto"/>
              <w:jc w:val="right"/>
              <w:rPr>
                <w:color w:val="auto"/>
                <w:sz w:val="24"/>
                <w:szCs w:val="24"/>
                <w:highlight w:val="none"/>
              </w:rPr>
            </w:pPr>
            <w:r>
              <w:rPr>
                <w:color w:val="auto"/>
                <w:spacing w:val="-1"/>
                <w:sz w:val="24"/>
                <w:szCs w:val="24"/>
                <w:highlight w:val="none"/>
              </w:rPr>
              <w:t>监理工程师生活设施费报价表</w:t>
            </w:r>
          </w:p>
        </w:tc>
      </w:tr>
      <w:tr w14:paraId="6E29AE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7" w:hRule="atLeast"/>
        </w:trPr>
        <w:tc>
          <w:tcPr>
            <w:tcW w:w="490" w:type="dxa"/>
            <w:vAlign w:val="top"/>
          </w:tcPr>
          <w:p w14:paraId="2FE4816E">
            <w:pPr>
              <w:pStyle w:val="17"/>
              <w:spacing w:before="175" w:line="221" w:lineRule="auto"/>
              <w:rPr>
                <w:color w:val="auto"/>
                <w:sz w:val="24"/>
                <w:szCs w:val="24"/>
                <w:highlight w:val="none"/>
              </w:rPr>
            </w:pPr>
            <w:r>
              <w:rPr>
                <w:color w:val="auto"/>
                <w:spacing w:val="-5"/>
                <w:sz w:val="24"/>
                <w:szCs w:val="24"/>
                <w:highlight w:val="none"/>
              </w:rPr>
              <w:t>表</w:t>
            </w:r>
            <w:r>
              <w:rPr>
                <w:color w:val="auto"/>
                <w:spacing w:val="-45"/>
                <w:sz w:val="24"/>
                <w:szCs w:val="24"/>
                <w:highlight w:val="none"/>
              </w:rPr>
              <w:t xml:space="preserve"> </w:t>
            </w:r>
            <w:r>
              <w:rPr>
                <w:color w:val="auto"/>
                <w:spacing w:val="-5"/>
                <w:sz w:val="24"/>
                <w:szCs w:val="24"/>
                <w:highlight w:val="none"/>
              </w:rPr>
              <w:t>7</w:t>
            </w:r>
          </w:p>
        </w:tc>
        <w:tc>
          <w:tcPr>
            <w:tcW w:w="3281" w:type="dxa"/>
            <w:vAlign w:val="top"/>
          </w:tcPr>
          <w:p w14:paraId="50695152">
            <w:pPr>
              <w:pStyle w:val="17"/>
              <w:spacing w:before="175" w:line="218" w:lineRule="auto"/>
              <w:ind w:left="171"/>
              <w:rPr>
                <w:color w:val="auto"/>
                <w:sz w:val="24"/>
                <w:szCs w:val="24"/>
                <w:highlight w:val="none"/>
              </w:rPr>
            </w:pPr>
            <w:r>
              <w:rPr>
                <w:color w:val="auto"/>
                <w:spacing w:val="-2"/>
                <w:sz w:val="24"/>
                <w:szCs w:val="24"/>
                <w:highlight w:val="none"/>
              </w:rPr>
              <w:t>其他费用报价表</w:t>
            </w:r>
          </w:p>
        </w:tc>
      </w:tr>
      <w:tr w14:paraId="08D329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4" w:hRule="atLeast"/>
        </w:trPr>
        <w:tc>
          <w:tcPr>
            <w:tcW w:w="490" w:type="dxa"/>
            <w:vAlign w:val="top"/>
          </w:tcPr>
          <w:p w14:paraId="6B113E9D">
            <w:pPr>
              <w:pStyle w:val="17"/>
              <w:spacing w:before="173" w:line="177" w:lineRule="auto"/>
              <w:rPr>
                <w:color w:val="auto"/>
                <w:sz w:val="24"/>
                <w:szCs w:val="24"/>
                <w:highlight w:val="none"/>
              </w:rPr>
            </w:pPr>
            <w:r>
              <w:rPr>
                <w:color w:val="auto"/>
                <w:spacing w:val="-5"/>
                <w:sz w:val="24"/>
                <w:szCs w:val="24"/>
                <w:highlight w:val="none"/>
              </w:rPr>
              <w:t>表</w:t>
            </w:r>
            <w:r>
              <w:rPr>
                <w:color w:val="auto"/>
                <w:spacing w:val="-50"/>
                <w:sz w:val="24"/>
                <w:szCs w:val="24"/>
                <w:highlight w:val="none"/>
              </w:rPr>
              <w:t xml:space="preserve"> </w:t>
            </w:r>
            <w:r>
              <w:rPr>
                <w:color w:val="auto"/>
                <w:spacing w:val="-5"/>
                <w:sz w:val="24"/>
                <w:szCs w:val="24"/>
                <w:highlight w:val="none"/>
              </w:rPr>
              <w:t>8</w:t>
            </w:r>
          </w:p>
        </w:tc>
        <w:tc>
          <w:tcPr>
            <w:tcW w:w="3281" w:type="dxa"/>
            <w:vAlign w:val="top"/>
          </w:tcPr>
          <w:p w14:paraId="5DB12807">
            <w:pPr>
              <w:pStyle w:val="17"/>
              <w:spacing w:before="173" w:line="177" w:lineRule="auto"/>
              <w:ind w:left="171"/>
              <w:rPr>
                <w:color w:val="auto"/>
                <w:sz w:val="24"/>
                <w:szCs w:val="24"/>
                <w:highlight w:val="none"/>
              </w:rPr>
            </w:pPr>
            <w:r>
              <w:rPr>
                <w:color w:val="auto"/>
                <w:spacing w:val="-2"/>
                <w:sz w:val="24"/>
                <w:szCs w:val="24"/>
                <w:highlight w:val="none"/>
              </w:rPr>
              <w:t>监理费用支付估算表</w:t>
            </w:r>
          </w:p>
        </w:tc>
      </w:tr>
    </w:tbl>
    <w:p w14:paraId="03C7F493">
      <w:pPr>
        <w:spacing w:line="269" w:lineRule="auto"/>
        <w:rPr>
          <w:rFonts w:ascii="Arial"/>
          <w:color w:val="auto"/>
          <w:sz w:val="21"/>
          <w:highlight w:val="none"/>
        </w:rPr>
      </w:pPr>
    </w:p>
    <w:p w14:paraId="48C027E0">
      <w:pPr>
        <w:spacing w:before="78" w:line="452" w:lineRule="auto"/>
        <w:ind w:left="498" w:right="444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附件</w:t>
      </w:r>
      <w:r>
        <w:rPr>
          <w:rFonts w:ascii="宋体" w:hAnsi="宋体" w:eastAsia="宋体" w:cs="宋体"/>
          <w:color w:val="auto"/>
          <w:spacing w:val="-30"/>
          <w:sz w:val="24"/>
          <w:szCs w:val="24"/>
          <w:highlight w:val="none"/>
        </w:rPr>
        <w:t xml:space="preserve"> </w:t>
      </w:r>
      <w:r>
        <w:rPr>
          <w:rFonts w:ascii="宋体" w:hAnsi="宋体" w:eastAsia="宋体" w:cs="宋体"/>
          <w:color w:val="auto"/>
          <w:spacing w:val="-4"/>
          <w:sz w:val="24"/>
          <w:szCs w:val="24"/>
          <w:highlight w:val="none"/>
        </w:rPr>
        <w:t>1 监理人员工作计划安排表</w:t>
      </w:r>
      <w:r>
        <w:rPr>
          <w:rFonts w:ascii="宋体" w:hAnsi="宋体" w:eastAsia="宋体" w:cs="宋体"/>
          <w:color w:val="auto"/>
          <w:spacing w:val="-3"/>
          <w:sz w:val="24"/>
          <w:szCs w:val="24"/>
          <w:highlight w:val="none"/>
        </w:rPr>
        <w:t>附件</w:t>
      </w:r>
      <w:r>
        <w:rPr>
          <w:rFonts w:ascii="宋体" w:hAnsi="宋体" w:eastAsia="宋体" w:cs="宋体"/>
          <w:color w:val="auto"/>
          <w:spacing w:val="-48"/>
          <w:sz w:val="24"/>
          <w:szCs w:val="24"/>
          <w:highlight w:val="none"/>
        </w:rPr>
        <w:t xml:space="preserve"> </w:t>
      </w:r>
      <w:r>
        <w:rPr>
          <w:rFonts w:ascii="宋体" w:hAnsi="宋体" w:eastAsia="宋体" w:cs="宋体"/>
          <w:color w:val="auto"/>
          <w:spacing w:val="-3"/>
          <w:sz w:val="24"/>
          <w:szCs w:val="24"/>
          <w:highlight w:val="none"/>
        </w:rPr>
        <w:t>2 监理设施进出场时间表</w:t>
      </w:r>
    </w:p>
    <w:p w14:paraId="25217C76">
      <w:pPr>
        <w:spacing w:line="452" w:lineRule="auto"/>
        <w:rPr>
          <w:rFonts w:ascii="宋体" w:hAnsi="宋体" w:eastAsia="宋体" w:cs="宋体"/>
          <w:color w:val="auto"/>
          <w:sz w:val="24"/>
          <w:szCs w:val="24"/>
          <w:highlight w:val="none"/>
        </w:rPr>
        <w:sectPr>
          <w:footerReference r:id="rId113" w:type="default"/>
          <w:pgSz w:w="11906" w:h="16839"/>
          <w:pgMar w:top="1403" w:right="1785" w:bottom="1297" w:left="1785" w:header="0" w:footer="1067" w:gutter="0"/>
          <w:pgNumType w:fmt="decimal"/>
          <w:cols w:space="720" w:num="1"/>
        </w:sectPr>
      </w:pPr>
    </w:p>
    <w:p w14:paraId="1593CAEB">
      <w:pPr>
        <w:spacing w:line="352" w:lineRule="auto"/>
        <w:rPr>
          <w:rFonts w:ascii="Arial"/>
          <w:color w:val="auto"/>
          <w:sz w:val="21"/>
          <w:highlight w:val="none"/>
        </w:rPr>
      </w:pPr>
    </w:p>
    <w:p w14:paraId="446F5FBF">
      <w:pPr>
        <w:spacing w:before="91" w:line="219" w:lineRule="auto"/>
        <w:ind w:left="5187"/>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表</w:t>
      </w:r>
      <w:r>
        <w:rPr>
          <w:rFonts w:ascii="宋体" w:hAnsi="宋体" w:eastAsia="宋体" w:cs="宋体"/>
          <w:color w:val="auto"/>
          <w:spacing w:val="-28"/>
          <w:sz w:val="28"/>
          <w:szCs w:val="28"/>
          <w:highlight w:val="none"/>
        </w:rPr>
        <w:t xml:space="preserve"> </w:t>
      </w:r>
      <w:r>
        <w:rPr>
          <w:rFonts w:ascii="宋体" w:hAnsi="宋体" w:eastAsia="宋体" w:cs="宋体"/>
          <w:b/>
          <w:bCs/>
          <w:color w:val="auto"/>
          <w:spacing w:val="-5"/>
          <w:sz w:val="28"/>
          <w:szCs w:val="28"/>
          <w:highlight w:val="none"/>
        </w:rPr>
        <w:t>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监理服务费用报价汇总表</w:t>
      </w:r>
    </w:p>
    <w:p w14:paraId="059F85AD">
      <w:pPr>
        <w:spacing w:before="114" w:line="212" w:lineRule="auto"/>
        <w:ind w:left="1244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单位: 人民币元</w:t>
      </w:r>
    </w:p>
    <w:tbl>
      <w:tblPr>
        <w:tblStyle w:val="16"/>
        <w:tblW w:w="14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1"/>
        <w:gridCol w:w="3812"/>
        <w:gridCol w:w="2874"/>
        <w:gridCol w:w="2874"/>
        <w:gridCol w:w="3657"/>
      </w:tblGrid>
      <w:tr w14:paraId="03BDE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01" w:type="dxa"/>
            <w:vAlign w:val="top"/>
          </w:tcPr>
          <w:p w14:paraId="02BA404E">
            <w:pPr>
              <w:pStyle w:val="17"/>
              <w:spacing w:before="180" w:line="229" w:lineRule="auto"/>
              <w:ind w:left="295"/>
              <w:rPr>
                <w:color w:val="auto"/>
                <w:highlight w:val="none"/>
              </w:rPr>
            </w:pPr>
            <w:r>
              <w:rPr>
                <w:color w:val="auto"/>
                <w:spacing w:val="5"/>
                <w:highlight w:val="none"/>
              </w:rPr>
              <w:t>序号</w:t>
            </w:r>
          </w:p>
        </w:tc>
        <w:tc>
          <w:tcPr>
            <w:tcW w:w="3812" w:type="dxa"/>
            <w:vAlign w:val="top"/>
          </w:tcPr>
          <w:p w14:paraId="420BF9BF">
            <w:pPr>
              <w:pStyle w:val="17"/>
              <w:spacing w:before="180" w:line="228" w:lineRule="auto"/>
              <w:ind w:left="1598"/>
              <w:rPr>
                <w:color w:val="auto"/>
                <w:highlight w:val="none"/>
              </w:rPr>
            </w:pPr>
            <w:r>
              <w:rPr>
                <w:color w:val="auto"/>
                <w:spacing w:val="-2"/>
                <w:highlight w:val="none"/>
              </w:rPr>
              <w:t>项</w:t>
            </w:r>
            <w:r>
              <w:rPr>
                <w:color w:val="auto"/>
                <w:spacing w:val="29"/>
                <w:highlight w:val="none"/>
              </w:rPr>
              <w:t xml:space="preserve">  </w:t>
            </w:r>
            <w:r>
              <w:rPr>
                <w:color w:val="auto"/>
                <w:spacing w:val="-2"/>
                <w:highlight w:val="none"/>
              </w:rPr>
              <w:t>目</w:t>
            </w:r>
          </w:p>
        </w:tc>
        <w:tc>
          <w:tcPr>
            <w:tcW w:w="2874" w:type="dxa"/>
            <w:vAlign w:val="top"/>
          </w:tcPr>
          <w:p w14:paraId="698436B7">
            <w:pPr>
              <w:pStyle w:val="17"/>
              <w:spacing w:before="180" w:line="228" w:lineRule="auto"/>
              <w:ind w:left="1125"/>
              <w:rPr>
                <w:color w:val="auto"/>
                <w:highlight w:val="none"/>
              </w:rPr>
            </w:pPr>
            <w:r>
              <w:rPr>
                <w:color w:val="auto"/>
                <w:spacing w:val="7"/>
                <w:highlight w:val="none"/>
              </w:rPr>
              <w:t>施工期</w:t>
            </w:r>
          </w:p>
        </w:tc>
        <w:tc>
          <w:tcPr>
            <w:tcW w:w="2874" w:type="dxa"/>
            <w:vAlign w:val="top"/>
          </w:tcPr>
          <w:p w14:paraId="75757532">
            <w:pPr>
              <w:pStyle w:val="17"/>
              <w:spacing w:before="180" w:line="228" w:lineRule="auto"/>
              <w:ind w:left="918"/>
              <w:rPr>
                <w:color w:val="auto"/>
                <w:highlight w:val="none"/>
              </w:rPr>
            </w:pPr>
            <w:r>
              <w:rPr>
                <w:color w:val="auto"/>
                <w:spacing w:val="8"/>
                <w:highlight w:val="none"/>
              </w:rPr>
              <w:t>缺陷责任期</w:t>
            </w:r>
          </w:p>
        </w:tc>
        <w:tc>
          <w:tcPr>
            <w:tcW w:w="3657" w:type="dxa"/>
            <w:vAlign w:val="top"/>
          </w:tcPr>
          <w:p w14:paraId="30AEB5DA">
            <w:pPr>
              <w:pStyle w:val="17"/>
              <w:spacing w:before="180" w:line="228" w:lineRule="auto"/>
              <w:ind w:left="1419"/>
              <w:rPr>
                <w:color w:val="auto"/>
                <w:highlight w:val="none"/>
              </w:rPr>
            </w:pPr>
            <w:r>
              <w:rPr>
                <w:color w:val="auto"/>
                <w:spacing w:val="5"/>
                <w:highlight w:val="none"/>
              </w:rPr>
              <w:t>小计金额</w:t>
            </w:r>
          </w:p>
        </w:tc>
      </w:tr>
      <w:tr w14:paraId="4D3B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01" w:type="dxa"/>
            <w:vAlign w:val="top"/>
          </w:tcPr>
          <w:p w14:paraId="4230B19E">
            <w:pPr>
              <w:pStyle w:val="17"/>
              <w:spacing w:before="174" w:line="270" w:lineRule="exact"/>
              <w:ind w:left="468"/>
              <w:rPr>
                <w:color w:val="auto"/>
                <w:highlight w:val="none"/>
              </w:rPr>
            </w:pPr>
            <w:r>
              <w:rPr>
                <w:color w:val="auto"/>
                <w:position w:val="1"/>
                <w:highlight w:val="none"/>
              </w:rPr>
              <w:t>1</w:t>
            </w:r>
          </w:p>
        </w:tc>
        <w:tc>
          <w:tcPr>
            <w:tcW w:w="3812" w:type="dxa"/>
            <w:vAlign w:val="top"/>
          </w:tcPr>
          <w:p w14:paraId="55CCC239">
            <w:pPr>
              <w:pStyle w:val="17"/>
              <w:spacing w:before="174" w:line="228" w:lineRule="auto"/>
              <w:ind w:left="1175"/>
              <w:rPr>
                <w:color w:val="auto"/>
                <w:highlight w:val="none"/>
              </w:rPr>
            </w:pPr>
            <w:r>
              <w:rPr>
                <w:color w:val="auto"/>
                <w:spacing w:val="8"/>
                <w:highlight w:val="none"/>
              </w:rPr>
              <w:t>监理人员服务费</w:t>
            </w:r>
          </w:p>
        </w:tc>
        <w:tc>
          <w:tcPr>
            <w:tcW w:w="2874" w:type="dxa"/>
            <w:vAlign w:val="top"/>
          </w:tcPr>
          <w:p w14:paraId="109CE6DB">
            <w:pPr>
              <w:rPr>
                <w:rFonts w:ascii="Arial"/>
                <w:color w:val="auto"/>
                <w:sz w:val="21"/>
                <w:highlight w:val="none"/>
              </w:rPr>
            </w:pPr>
          </w:p>
        </w:tc>
        <w:tc>
          <w:tcPr>
            <w:tcW w:w="2874" w:type="dxa"/>
            <w:vAlign w:val="top"/>
          </w:tcPr>
          <w:p w14:paraId="6731933A">
            <w:pPr>
              <w:rPr>
                <w:rFonts w:ascii="Arial"/>
                <w:color w:val="auto"/>
                <w:sz w:val="21"/>
                <w:highlight w:val="none"/>
              </w:rPr>
            </w:pPr>
          </w:p>
        </w:tc>
        <w:tc>
          <w:tcPr>
            <w:tcW w:w="3657" w:type="dxa"/>
            <w:vAlign w:val="top"/>
          </w:tcPr>
          <w:p w14:paraId="0AF00B7A">
            <w:pPr>
              <w:rPr>
                <w:rFonts w:ascii="Arial"/>
                <w:color w:val="auto"/>
                <w:sz w:val="21"/>
                <w:highlight w:val="none"/>
              </w:rPr>
            </w:pPr>
          </w:p>
        </w:tc>
      </w:tr>
      <w:tr w14:paraId="4C65B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01" w:type="dxa"/>
            <w:vAlign w:val="top"/>
          </w:tcPr>
          <w:p w14:paraId="03EA805E">
            <w:pPr>
              <w:pStyle w:val="17"/>
              <w:spacing w:before="176" w:line="270" w:lineRule="exact"/>
              <w:ind w:left="455"/>
              <w:rPr>
                <w:color w:val="auto"/>
                <w:highlight w:val="none"/>
              </w:rPr>
            </w:pPr>
            <w:r>
              <w:rPr>
                <w:color w:val="auto"/>
                <w:position w:val="1"/>
                <w:highlight w:val="none"/>
              </w:rPr>
              <w:t>2</w:t>
            </w:r>
          </w:p>
        </w:tc>
        <w:tc>
          <w:tcPr>
            <w:tcW w:w="3812" w:type="dxa"/>
            <w:vAlign w:val="top"/>
          </w:tcPr>
          <w:p w14:paraId="527C7303">
            <w:pPr>
              <w:pStyle w:val="17"/>
              <w:spacing w:before="176" w:line="228" w:lineRule="auto"/>
              <w:ind w:left="1175"/>
              <w:rPr>
                <w:color w:val="auto"/>
                <w:highlight w:val="none"/>
              </w:rPr>
            </w:pPr>
            <w:r>
              <w:rPr>
                <w:color w:val="auto"/>
                <w:spacing w:val="8"/>
                <w:highlight w:val="none"/>
              </w:rPr>
              <w:t>监理办公设施费</w:t>
            </w:r>
          </w:p>
        </w:tc>
        <w:tc>
          <w:tcPr>
            <w:tcW w:w="2874" w:type="dxa"/>
            <w:vAlign w:val="top"/>
          </w:tcPr>
          <w:p w14:paraId="3BE34B49">
            <w:pPr>
              <w:rPr>
                <w:rFonts w:ascii="Arial"/>
                <w:color w:val="auto"/>
                <w:sz w:val="21"/>
                <w:highlight w:val="none"/>
              </w:rPr>
            </w:pPr>
          </w:p>
        </w:tc>
        <w:tc>
          <w:tcPr>
            <w:tcW w:w="2874" w:type="dxa"/>
            <w:vAlign w:val="top"/>
          </w:tcPr>
          <w:p w14:paraId="3BB89546">
            <w:pPr>
              <w:rPr>
                <w:rFonts w:ascii="Arial"/>
                <w:color w:val="auto"/>
                <w:sz w:val="21"/>
                <w:highlight w:val="none"/>
              </w:rPr>
            </w:pPr>
          </w:p>
        </w:tc>
        <w:tc>
          <w:tcPr>
            <w:tcW w:w="3657" w:type="dxa"/>
            <w:vAlign w:val="top"/>
          </w:tcPr>
          <w:p w14:paraId="04BF858D">
            <w:pPr>
              <w:rPr>
                <w:rFonts w:ascii="Arial"/>
                <w:color w:val="auto"/>
                <w:sz w:val="21"/>
                <w:highlight w:val="none"/>
              </w:rPr>
            </w:pPr>
          </w:p>
        </w:tc>
      </w:tr>
      <w:tr w14:paraId="24A39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01" w:type="dxa"/>
            <w:vAlign w:val="top"/>
          </w:tcPr>
          <w:p w14:paraId="631E60A6">
            <w:pPr>
              <w:pStyle w:val="17"/>
              <w:spacing w:before="178" w:line="268" w:lineRule="exact"/>
              <w:ind w:left="456"/>
              <w:rPr>
                <w:color w:val="auto"/>
                <w:highlight w:val="none"/>
              </w:rPr>
            </w:pPr>
            <w:r>
              <w:rPr>
                <w:color w:val="auto"/>
                <w:position w:val="1"/>
                <w:highlight w:val="none"/>
              </w:rPr>
              <w:t>3</w:t>
            </w:r>
          </w:p>
        </w:tc>
        <w:tc>
          <w:tcPr>
            <w:tcW w:w="3812" w:type="dxa"/>
            <w:vAlign w:val="top"/>
          </w:tcPr>
          <w:p w14:paraId="566BE908">
            <w:pPr>
              <w:pStyle w:val="17"/>
              <w:spacing w:before="178" w:line="228" w:lineRule="auto"/>
              <w:ind w:left="1175"/>
              <w:rPr>
                <w:color w:val="auto"/>
                <w:highlight w:val="none"/>
              </w:rPr>
            </w:pPr>
            <w:r>
              <w:rPr>
                <w:color w:val="auto"/>
                <w:spacing w:val="8"/>
                <w:highlight w:val="none"/>
              </w:rPr>
              <w:t>监理交通设施费</w:t>
            </w:r>
          </w:p>
        </w:tc>
        <w:tc>
          <w:tcPr>
            <w:tcW w:w="2874" w:type="dxa"/>
            <w:vAlign w:val="top"/>
          </w:tcPr>
          <w:p w14:paraId="0876CFE5">
            <w:pPr>
              <w:rPr>
                <w:rFonts w:ascii="Arial"/>
                <w:color w:val="auto"/>
                <w:sz w:val="21"/>
                <w:highlight w:val="none"/>
              </w:rPr>
            </w:pPr>
          </w:p>
        </w:tc>
        <w:tc>
          <w:tcPr>
            <w:tcW w:w="2874" w:type="dxa"/>
            <w:vAlign w:val="top"/>
          </w:tcPr>
          <w:p w14:paraId="04A008AB">
            <w:pPr>
              <w:rPr>
                <w:rFonts w:ascii="Arial"/>
                <w:color w:val="auto"/>
                <w:sz w:val="21"/>
                <w:highlight w:val="none"/>
              </w:rPr>
            </w:pPr>
          </w:p>
        </w:tc>
        <w:tc>
          <w:tcPr>
            <w:tcW w:w="3657" w:type="dxa"/>
            <w:vAlign w:val="top"/>
          </w:tcPr>
          <w:p w14:paraId="569EBBCE">
            <w:pPr>
              <w:rPr>
                <w:rFonts w:ascii="Arial"/>
                <w:color w:val="auto"/>
                <w:sz w:val="21"/>
                <w:highlight w:val="none"/>
              </w:rPr>
            </w:pPr>
          </w:p>
        </w:tc>
      </w:tr>
      <w:tr w14:paraId="6697A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01" w:type="dxa"/>
            <w:vAlign w:val="top"/>
          </w:tcPr>
          <w:p w14:paraId="61C2883B">
            <w:pPr>
              <w:pStyle w:val="17"/>
              <w:spacing w:before="177" w:line="270" w:lineRule="exact"/>
              <w:ind w:left="451"/>
              <w:rPr>
                <w:color w:val="auto"/>
                <w:highlight w:val="none"/>
              </w:rPr>
            </w:pPr>
            <w:r>
              <w:rPr>
                <w:color w:val="auto"/>
                <w:position w:val="1"/>
                <w:highlight w:val="none"/>
              </w:rPr>
              <w:t>4</w:t>
            </w:r>
          </w:p>
        </w:tc>
        <w:tc>
          <w:tcPr>
            <w:tcW w:w="3812" w:type="dxa"/>
            <w:vAlign w:val="top"/>
          </w:tcPr>
          <w:p w14:paraId="56AA0532">
            <w:pPr>
              <w:pStyle w:val="17"/>
              <w:spacing w:before="177" w:line="228" w:lineRule="auto"/>
              <w:ind w:left="544"/>
              <w:rPr>
                <w:color w:val="auto"/>
                <w:highlight w:val="none"/>
              </w:rPr>
            </w:pPr>
            <w:r>
              <w:rPr>
                <w:color w:val="auto"/>
                <w:spacing w:val="8"/>
                <w:highlight w:val="none"/>
              </w:rPr>
              <w:t>监理试验设施费（常规检测）</w:t>
            </w:r>
          </w:p>
        </w:tc>
        <w:tc>
          <w:tcPr>
            <w:tcW w:w="2874" w:type="dxa"/>
            <w:vAlign w:val="top"/>
          </w:tcPr>
          <w:p w14:paraId="6E98A823">
            <w:pPr>
              <w:rPr>
                <w:rFonts w:ascii="Arial"/>
                <w:color w:val="auto"/>
                <w:sz w:val="21"/>
                <w:highlight w:val="none"/>
              </w:rPr>
            </w:pPr>
          </w:p>
        </w:tc>
        <w:tc>
          <w:tcPr>
            <w:tcW w:w="2874" w:type="dxa"/>
            <w:vAlign w:val="top"/>
          </w:tcPr>
          <w:p w14:paraId="58F85211">
            <w:pPr>
              <w:rPr>
                <w:rFonts w:ascii="Arial"/>
                <w:color w:val="auto"/>
                <w:sz w:val="21"/>
                <w:highlight w:val="none"/>
              </w:rPr>
            </w:pPr>
          </w:p>
        </w:tc>
        <w:tc>
          <w:tcPr>
            <w:tcW w:w="3657" w:type="dxa"/>
            <w:vAlign w:val="top"/>
          </w:tcPr>
          <w:p w14:paraId="7398355D">
            <w:pPr>
              <w:rPr>
                <w:rFonts w:ascii="Arial"/>
                <w:color w:val="auto"/>
                <w:sz w:val="21"/>
                <w:highlight w:val="none"/>
              </w:rPr>
            </w:pPr>
          </w:p>
        </w:tc>
      </w:tr>
      <w:tr w14:paraId="31289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01" w:type="dxa"/>
            <w:vAlign w:val="top"/>
          </w:tcPr>
          <w:p w14:paraId="56111F1E">
            <w:pPr>
              <w:pStyle w:val="17"/>
              <w:spacing w:before="179" w:line="269" w:lineRule="exact"/>
              <w:ind w:left="456"/>
              <w:rPr>
                <w:color w:val="auto"/>
                <w:highlight w:val="none"/>
              </w:rPr>
            </w:pPr>
            <w:r>
              <w:rPr>
                <w:color w:val="auto"/>
                <w:position w:val="1"/>
                <w:highlight w:val="none"/>
              </w:rPr>
              <w:t>5</w:t>
            </w:r>
          </w:p>
        </w:tc>
        <w:tc>
          <w:tcPr>
            <w:tcW w:w="3812" w:type="dxa"/>
            <w:vAlign w:val="top"/>
          </w:tcPr>
          <w:p w14:paraId="363466E9">
            <w:pPr>
              <w:pStyle w:val="17"/>
              <w:spacing w:before="180" w:line="228" w:lineRule="auto"/>
              <w:ind w:left="1175"/>
              <w:rPr>
                <w:color w:val="auto"/>
                <w:highlight w:val="none"/>
              </w:rPr>
            </w:pPr>
            <w:r>
              <w:rPr>
                <w:color w:val="auto"/>
                <w:spacing w:val="8"/>
                <w:highlight w:val="none"/>
              </w:rPr>
              <w:t>监理生活设施费</w:t>
            </w:r>
          </w:p>
        </w:tc>
        <w:tc>
          <w:tcPr>
            <w:tcW w:w="2874" w:type="dxa"/>
            <w:vAlign w:val="top"/>
          </w:tcPr>
          <w:p w14:paraId="7EAC334C">
            <w:pPr>
              <w:rPr>
                <w:rFonts w:ascii="Arial"/>
                <w:color w:val="auto"/>
                <w:sz w:val="21"/>
                <w:highlight w:val="none"/>
              </w:rPr>
            </w:pPr>
          </w:p>
        </w:tc>
        <w:tc>
          <w:tcPr>
            <w:tcW w:w="2874" w:type="dxa"/>
            <w:vAlign w:val="top"/>
          </w:tcPr>
          <w:p w14:paraId="36902242">
            <w:pPr>
              <w:rPr>
                <w:rFonts w:ascii="Arial"/>
                <w:color w:val="auto"/>
                <w:sz w:val="21"/>
                <w:highlight w:val="none"/>
              </w:rPr>
            </w:pPr>
          </w:p>
        </w:tc>
        <w:tc>
          <w:tcPr>
            <w:tcW w:w="3657" w:type="dxa"/>
            <w:vAlign w:val="top"/>
          </w:tcPr>
          <w:p w14:paraId="1F2147D0">
            <w:pPr>
              <w:rPr>
                <w:rFonts w:ascii="Arial"/>
                <w:color w:val="auto"/>
                <w:sz w:val="21"/>
                <w:highlight w:val="none"/>
              </w:rPr>
            </w:pPr>
          </w:p>
        </w:tc>
      </w:tr>
      <w:tr w14:paraId="48812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01" w:type="dxa"/>
            <w:vAlign w:val="top"/>
          </w:tcPr>
          <w:p w14:paraId="333E940D">
            <w:pPr>
              <w:pStyle w:val="17"/>
              <w:spacing w:before="180" w:line="268" w:lineRule="exact"/>
              <w:ind w:left="454"/>
              <w:rPr>
                <w:color w:val="auto"/>
                <w:highlight w:val="none"/>
              </w:rPr>
            </w:pPr>
            <w:r>
              <w:rPr>
                <w:color w:val="auto"/>
                <w:position w:val="1"/>
                <w:highlight w:val="none"/>
              </w:rPr>
              <w:t>6</w:t>
            </w:r>
          </w:p>
        </w:tc>
        <w:tc>
          <w:tcPr>
            <w:tcW w:w="3812" w:type="dxa"/>
            <w:vAlign w:val="top"/>
          </w:tcPr>
          <w:p w14:paraId="5A3496F0">
            <w:pPr>
              <w:pStyle w:val="17"/>
              <w:spacing w:before="180" w:line="228" w:lineRule="auto"/>
              <w:ind w:left="1490"/>
              <w:rPr>
                <w:color w:val="auto"/>
                <w:highlight w:val="none"/>
              </w:rPr>
            </w:pPr>
            <w:r>
              <w:rPr>
                <w:color w:val="auto"/>
                <w:spacing w:val="7"/>
                <w:highlight w:val="none"/>
              </w:rPr>
              <w:t>其他费用</w:t>
            </w:r>
          </w:p>
        </w:tc>
        <w:tc>
          <w:tcPr>
            <w:tcW w:w="2874" w:type="dxa"/>
            <w:vAlign w:val="top"/>
          </w:tcPr>
          <w:p w14:paraId="73422A8E">
            <w:pPr>
              <w:rPr>
                <w:rFonts w:ascii="Arial"/>
                <w:color w:val="auto"/>
                <w:sz w:val="21"/>
                <w:highlight w:val="none"/>
              </w:rPr>
            </w:pPr>
          </w:p>
        </w:tc>
        <w:tc>
          <w:tcPr>
            <w:tcW w:w="2874" w:type="dxa"/>
            <w:vAlign w:val="top"/>
          </w:tcPr>
          <w:p w14:paraId="596D49D3">
            <w:pPr>
              <w:rPr>
                <w:rFonts w:ascii="Arial"/>
                <w:color w:val="auto"/>
                <w:sz w:val="21"/>
                <w:highlight w:val="none"/>
              </w:rPr>
            </w:pPr>
          </w:p>
        </w:tc>
        <w:tc>
          <w:tcPr>
            <w:tcW w:w="3657" w:type="dxa"/>
            <w:vAlign w:val="top"/>
          </w:tcPr>
          <w:p w14:paraId="48670FF9">
            <w:pPr>
              <w:rPr>
                <w:rFonts w:ascii="Arial"/>
                <w:color w:val="auto"/>
                <w:sz w:val="21"/>
                <w:highlight w:val="none"/>
              </w:rPr>
            </w:pPr>
          </w:p>
        </w:tc>
      </w:tr>
      <w:tr w14:paraId="2CA1F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01" w:type="dxa"/>
            <w:vAlign w:val="top"/>
          </w:tcPr>
          <w:p w14:paraId="54A4F37F">
            <w:pPr>
              <w:pStyle w:val="17"/>
              <w:spacing w:before="178" w:line="269" w:lineRule="exact"/>
              <w:ind w:left="457"/>
              <w:rPr>
                <w:color w:val="auto"/>
                <w:highlight w:val="none"/>
              </w:rPr>
            </w:pPr>
            <w:r>
              <w:rPr>
                <w:color w:val="auto"/>
                <w:position w:val="1"/>
                <w:highlight w:val="none"/>
              </w:rPr>
              <w:t>7</w:t>
            </w:r>
          </w:p>
        </w:tc>
        <w:tc>
          <w:tcPr>
            <w:tcW w:w="9560" w:type="dxa"/>
            <w:gridSpan w:val="3"/>
            <w:vAlign w:val="top"/>
          </w:tcPr>
          <w:p w14:paraId="64C2DBCD">
            <w:pPr>
              <w:pStyle w:val="17"/>
              <w:spacing w:before="178" w:line="229" w:lineRule="auto"/>
              <w:ind w:left="3683"/>
              <w:rPr>
                <w:color w:val="auto"/>
                <w:highlight w:val="none"/>
              </w:rPr>
            </w:pPr>
            <w:r>
              <w:rPr>
                <w:color w:val="auto"/>
                <w:spacing w:val="5"/>
                <w:highlight w:val="none"/>
              </w:rPr>
              <w:t>合  计（1+2+3+4+5+6）</w:t>
            </w:r>
          </w:p>
        </w:tc>
        <w:tc>
          <w:tcPr>
            <w:tcW w:w="3657" w:type="dxa"/>
            <w:vAlign w:val="top"/>
          </w:tcPr>
          <w:p w14:paraId="632DBECC">
            <w:pPr>
              <w:rPr>
                <w:rFonts w:ascii="Arial"/>
                <w:color w:val="auto"/>
                <w:sz w:val="21"/>
                <w:highlight w:val="none"/>
              </w:rPr>
            </w:pPr>
          </w:p>
        </w:tc>
      </w:tr>
      <w:tr w14:paraId="165C6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01" w:type="dxa"/>
            <w:vAlign w:val="top"/>
          </w:tcPr>
          <w:p w14:paraId="3A0ABA5E">
            <w:pPr>
              <w:pStyle w:val="17"/>
              <w:spacing w:before="179" w:line="269" w:lineRule="exact"/>
              <w:ind w:left="453"/>
              <w:rPr>
                <w:color w:val="auto"/>
                <w:highlight w:val="none"/>
              </w:rPr>
            </w:pPr>
            <w:r>
              <w:rPr>
                <w:color w:val="auto"/>
                <w:position w:val="1"/>
                <w:highlight w:val="none"/>
              </w:rPr>
              <w:t>8</w:t>
            </w:r>
          </w:p>
        </w:tc>
        <w:tc>
          <w:tcPr>
            <w:tcW w:w="9560" w:type="dxa"/>
            <w:gridSpan w:val="3"/>
            <w:vAlign w:val="top"/>
          </w:tcPr>
          <w:p w14:paraId="510CE554">
            <w:pPr>
              <w:pStyle w:val="17"/>
              <w:spacing w:before="152" w:line="228" w:lineRule="auto"/>
              <w:ind w:left="3795"/>
              <w:rPr>
                <w:color w:val="auto"/>
                <w:highlight w:val="none"/>
              </w:rPr>
            </w:pPr>
            <w:r>
              <w:rPr>
                <w:color w:val="auto"/>
                <w:spacing w:val="5"/>
                <w:highlight w:val="none"/>
              </w:rPr>
              <w:t>暂列金额（7×</w:t>
            </w:r>
            <w:r>
              <w:rPr>
                <w:color w:val="auto"/>
                <w:spacing w:val="5"/>
                <w:highlight w:val="none"/>
                <w:u w:val="single" w:color="auto"/>
              </w:rPr>
              <w:t xml:space="preserve">   </w:t>
            </w:r>
            <w:r>
              <w:rPr>
                <w:color w:val="auto"/>
                <w:spacing w:val="-92"/>
                <w:highlight w:val="none"/>
              </w:rPr>
              <w:t xml:space="preserve"> </w:t>
            </w:r>
            <w:r>
              <w:rPr>
                <w:color w:val="auto"/>
                <w:spacing w:val="5"/>
                <w:highlight w:val="none"/>
              </w:rPr>
              <w:t>%）</w:t>
            </w:r>
          </w:p>
        </w:tc>
        <w:tc>
          <w:tcPr>
            <w:tcW w:w="3657" w:type="dxa"/>
            <w:vAlign w:val="top"/>
          </w:tcPr>
          <w:p w14:paraId="6465CDBC">
            <w:pPr>
              <w:rPr>
                <w:rFonts w:ascii="Arial"/>
                <w:color w:val="auto"/>
                <w:sz w:val="21"/>
                <w:highlight w:val="none"/>
              </w:rPr>
            </w:pPr>
          </w:p>
        </w:tc>
      </w:tr>
      <w:tr w14:paraId="26281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01" w:type="dxa"/>
            <w:vAlign w:val="top"/>
          </w:tcPr>
          <w:p w14:paraId="5D50BC80">
            <w:pPr>
              <w:pStyle w:val="17"/>
              <w:spacing w:before="180" w:line="268" w:lineRule="exact"/>
              <w:ind w:left="453"/>
              <w:rPr>
                <w:color w:val="auto"/>
                <w:highlight w:val="none"/>
              </w:rPr>
            </w:pPr>
            <w:r>
              <w:rPr>
                <w:color w:val="auto"/>
                <w:position w:val="1"/>
                <w:highlight w:val="none"/>
              </w:rPr>
              <w:t>9</w:t>
            </w:r>
          </w:p>
        </w:tc>
        <w:tc>
          <w:tcPr>
            <w:tcW w:w="9560" w:type="dxa"/>
            <w:gridSpan w:val="3"/>
            <w:vAlign w:val="top"/>
          </w:tcPr>
          <w:p w14:paraId="4633D93C">
            <w:pPr>
              <w:pStyle w:val="17"/>
              <w:spacing w:before="154" w:line="228" w:lineRule="auto"/>
              <w:ind w:left="3789"/>
              <w:rPr>
                <w:color w:val="auto"/>
                <w:highlight w:val="none"/>
              </w:rPr>
            </w:pPr>
            <w:r>
              <w:rPr>
                <w:color w:val="auto"/>
                <w:spacing w:val="6"/>
                <w:highlight w:val="none"/>
              </w:rPr>
              <w:t>监理奖金（7×</w:t>
            </w:r>
            <w:r>
              <w:rPr>
                <w:color w:val="auto"/>
                <w:spacing w:val="6"/>
                <w:highlight w:val="none"/>
                <w:u w:val="single" w:color="auto"/>
              </w:rPr>
              <w:t xml:space="preserve">   </w:t>
            </w:r>
            <w:r>
              <w:rPr>
                <w:color w:val="auto"/>
                <w:spacing w:val="-97"/>
                <w:highlight w:val="none"/>
              </w:rPr>
              <w:t xml:space="preserve"> </w:t>
            </w:r>
            <w:r>
              <w:rPr>
                <w:color w:val="auto"/>
                <w:spacing w:val="6"/>
                <w:highlight w:val="none"/>
              </w:rPr>
              <w:t>%）</w:t>
            </w:r>
          </w:p>
        </w:tc>
        <w:tc>
          <w:tcPr>
            <w:tcW w:w="3657" w:type="dxa"/>
            <w:vAlign w:val="top"/>
          </w:tcPr>
          <w:p w14:paraId="705C4DCB">
            <w:pPr>
              <w:rPr>
                <w:rFonts w:ascii="Arial"/>
                <w:color w:val="auto"/>
                <w:sz w:val="21"/>
                <w:highlight w:val="none"/>
              </w:rPr>
            </w:pPr>
          </w:p>
        </w:tc>
      </w:tr>
      <w:tr w14:paraId="6AC95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01" w:type="dxa"/>
            <w:vAlign w:val="top"/>
          </w:tcPr>
          <w:p w14:paraId="21296F6B">
            <w:pPr>
              <w:pStyle w:val="17"/>
              <w:spacing w:before="178" w:line="269" w:lineRule="exact"/>
              <w:ind w:left="415"/>
              <w:rPr>
                <w:color w:val="auto"/>
                <w:highlight w:val="none"/>
              </w:rPr>
            </w:pPr>
            <w:r>
              <w:rPr>
                <w:color w:val="auto"/>
                <w:spacing w:val="-7"/>
                <w:position w:val="1"/>
                <w:highlight w:val="none"/>
              </w:rPr>
              <w:t>10</w:t>
            </w:r>
          </w:p>
        </w:tc>
        <w:tc>
          <w:tcPr>
            <w:tcW w:w="9560" w:type="dxa"/>
            <w:gridSpan w:val="3"/>
            <w:vAlign w:val="top"/>
          </w:tcPr>
          <w:p w14:paraId="03D7F9A9">
            <w:pPr>
              <w:pStyle w:val="17"/>
              <w:spacing w:before="179" w:line="226" w:lineRule="auto"/>
              <w:ind w:left="3738"/>
              <w:rPr>
                <w:color w:val="auto"/>
                <w:highlight w:val="none"/>
              </w:rPr>
            </w:pPr>
            <w:r>
              <w:rPr>
                <w:color w:val="auto"/>
                <w:spacing w:val="2"/>
                <w:highlight w:val="none"/>
              </w:rPr>
              <w:t>投标报价总计</w:t>
            </w:r>
            <w:r>
              <w:rPr>
                <w:color w:val="auto"/>
                <w:spacing w:val="61"/>
                <w:highlight w:val="none"/>
              </w:rPr>
              <w:t xml:space="preserve"> </w:t>
            </w:r>
            <w:r>
              <w:rPr>
                <w:color w:val="auto"/>
                <w:spacing w:val="2"/>
                <w:highlight w:val="none"/>
              </w:rPr>
              <w:t>(7+8+9)</w:t>
            </w:r>
          </w:p>
        </w:tc>
        <w:tc>
          <w:tcPr>
            <w:tcW w:w="3657" w:type="dxa"/>
            <w:vAlign w:val="top"/>
          </w:tcPr>
          <w:p w14:paraId="33B61C6A">
            <w:pPr>
              <w:rPr>
                <w:rFonts w:ascii="Arial"/>
                <w:color w:val="auto"/>
                <w:sz w:val="21"/>
                <w:highlight w:val="none"/>
              </w:rPr>
            </w:pPr>
          </w:p>
        </w:tc>
      </w:tr>
    </w:tbl>
    <w:p w14:paraId="3A7199DD">
      <w:pPr>
        <w:rPr>
          <w:rFonts w:ascii="Arial"/>
          <w:color w:val="auto"/>
          <w:sz w:val="21"/>
          <w:highlight w:val="none"/>
        </w:rPr>
      </w:pPr>
    </w:p>
    <w:p w14:paraId="0D72FC40">
      <w:pPr>
        <w:rPr>
          <w:rFonts w:ascii="Arial" w:hAnsi="Arial" w:eastAsia="Arial" w:cs="Arial"/>
          <w:color w:val="auto"/>
          <w:sz w:val="21"/>
          <w:szCs w:val="21"/>
          <w:highlight w:val="none"/>
        </w:rPr>
        <w:sectPr>
          <w:footerReference r:id="rId114" w:type="default"/>
          <w:pgSz w:w="16839" w:h="11906"/>
          <w:pgMar w:top="1012" w:right="1307" w:bottom="1297" w:left="1307" w:header="0" w:footer="1067" w:gutter="0"/>
          <w:pgNumType w:fmt="decimal"/>
          <w:cols w:space="720" w:num="1"/>
        </w:sectPr>
      </w:pPr>
    </w:p>
    <w:p w14:paraId="43FC2793">
      <w:pPr>
        <w:spacing w:line="353" w:lineRule="auto"/>
        <w:rPr>
          <w:rFonts w:ascii="Arial"/>
          <w:color w:val="auto"/>
          <w:sz w:val="21"/>
          <w:highlight w:val="none"/>
        </w:rPr>
      </w:pPr>
    </w:p>
    <w:p w14:paraId="1821FF53">
      <w:pPr>
        <w:spacing w:before="91" w:line="212" w:lineRule="auto"/>
        <w:ind w:left="5332"/>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表</w:t>
      </w:r>
      <w:r>
        <w:rPr>
          <w:rFonts w:ascii="宋体" w:hAnsi="宋体" w:eastAsia="宋体" w:cs="宋体"/>
          <w:color w:val="auto"/>
          <w:spacing w:val="-47"/>
          <w:sz w:val="28"/>
          <w:szCs w:val="28"/>
          <w:highlight w:val="none"/>
        </w:rPr>
        <w:t xml:space="preserve"> </w:t>
      </w:r>
      <w:r>
        <w:rPr>
          <w:rFonts w:ascii="宋体" w:hAnsi="宋体" w:eastAsia="宋体" w:cs="宋体"/>
          <w:b/>
          <w:bCs/>
          <w:color w:val="auto"/>
          <w:spacing w:val="-4"/>
          <w:sz w:val="28"/>
          <w:szCs w:val="28"/>
          <w:highlight w:val="none"/>
        </w:rPr>
        <w:t>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监理人员服务费报价表</w:t>
      </w:r>
    </w:p>
    <w:tbl>
      <w:tblPr>
        <w:tblStyle w:val="16"/>
        <w:tblW w:w="142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3073"/>
        <w:gridCol w:w="1746"/>
        <w:gridCol w:w="1746"/>
        <w:gridCol w:w="1751"/>
        <w:gridCol w:w="1747"/>
        <w:gridCol w:w="1746"/>
        <w:gridCol w:w="1759"/>
      </w:tblGrid>
      <w:tr w14:paraId="328D2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53" w:type="dxa"/>
            <w:vMerge w:val="restart"/>
            <w:tcBorders>
              <w:bottom w:val="nil"/>
            </w:tcBorders>
            <w:vAlign w:val="top"/>
          </w:tcPr>
          <w:p w14:paraId="2CFB8891">
            <w:pPr>
              <w:spacing w:line="350" w:lineRule="auto"/>
              <w:rPr>
                <w:rFonts w:ascii="Arial"/>
                <w:color w:val="auto"/>
                <w:sz w:val="21"/>
                <w:highlight w:val="none"/>
              </w:rPr>
            </w:pPr>
          </w:p>
          <w:p w14:paraId="4235EFAA">
            <w:pPr>
              <w:pStyle w:val="17"/>
              <w:spacing w:before="65" w:line="229" w:lineRule="auto"/>
              <w:ind w:left="121"/>
              <w:rPr>
                <w:color w:val="auto"/>
                <w:highlight w:val="none"/>
              </w:rPr>
            </w:pPr>
            <w:r>
              <w:rPr>
                <w:color w:val="auto"/>
                <w:spacing w:val="5"/>
                <w:highlight w:val="none"/>
              </w:rPr>
              <w:t>序号</w:t>
            </w:r>
          </w:p>
        </w:tc>
        <w:tc>
          <w:tcPr>
            <w:tcW w:w="3073" w:type="dxa"/>
            <w:vMerge w:val="restart"/>
            <w:tcBorders>
              <w:bottom w:val="nil"/>
            </w:tcBorders>
            <w:vAlign w:val="top"/>
          </w:tcPr>
          <w:p w14:paraId="695AF16D">
            <w:pPr>
              <w:pStyle w:val="17"/>
              <w:spacing w:before="297" w:line="229" w:lineRule="auto"/>
              <w:ind w:left="1330"/>
              <w:rPr>
                <w:color w:val="auto"/>
                <w:highlight w:val="none"/>
              </w:rPr>
            </w:pPr>
            <w:r>
              <w:rPr>
                <w:color w:val="auto"/>
                <w:spacing w:val="3"/>
                <w:highlight w:val="none"/>
              </w:rPr>
              <w:t>人员</w:t>
            </w:r>
          </w:p>
        </w:tc>
        <w:tc>
          <w:tcPr>
            <w:tcW w:w="5243" w:type="dxa"/>
            <w:gridSpan w:val="3"/>
            <w:vAlign w:val="top"/>
          </w:tcPr>
          <w:p w14:paraId="6A512494">
            <w:pPr>
              <w:pStyle w:val="17"/>
              <w:spacing w:before="141" w:line="228" w:lineRule="auto"/>
              <w:ind w:left="2311"/>
              <w:rPr>
                <w:color w:val="auto"/>
                <w:highlight w:val="none"/>
              </w:rPr>
            </w:pPr>
            <w:r>
              <w:rPr>
                <w:color w:val="auto"/>
                <w:spacing w:val="7"/>
                <w:highlight w:val="none"/>
              </w:rPr>
              <w:t>施工期</w:t>
            </w:r>
          </w:p>
        </w:tc>
        <w:tc>
          <w:tcPr>
            <w:tcW w:w="5252" w:type="dxa"/>
            <w:gridSpan w:val="3"/>
            <w:vAlign w:val="top"/>
          </w:tcPr>
          <w:p w14:paraId="42BE83F5">
            <w:pPr>
              <w:pStyle w:val="17"/>
              <w:spacing w:before="140" w:line="228" w:lineRule="auto"/>
              <w:ind w:left="2125"/>
              <w:rPr>
                <w:color w:val="auto"/>
                <w:highlight w:val="none"/>
              </w:rPr>
            </w:pPr>
            <w:r>
              <w:rPr>
                <w:color w:val="auto"/>
                <w:spacing w:val="8"/>
                <w:highlight w:val="none"/>
              </w:rPr>
              <w:t>缺陷责任期</w:t>
            </w:r>
          </w:p>
        </w:tc>
      </w:tr>
      <w:tr w14:paraId="1FD80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53" w:type="dxa"/>
            <w:vMerge w:val="continue"/>
            <w:tcBorders>
              <w:top w:val="nil"/>
            </w:tcBorders>
            <w:vAlign w:val="top"/>
          </w:tcPr>
          <w:p w14:paraId="1CECE55E">
            <w:pPr>
              <w:rPr>
                <w:rFonts w:ascii="Arial"/>
                <w:color w:val="auto"/>
                <w:sz w:val="21"/>
                <w:highlight w:val="none"/>
              </w:rPr>
            </w:pPr>
          </w:p>
        </w:tc>
        <w:tc>
          <w:tcPr>
            <w:tcW w:w="3073" w:type="dxa"/>
            <w:vMerge w:val="continue"/>
            <w:tcBorders>
              <w:top w:val="nil"/>
            </w:tcBorders>
            <w:vAlign w:val="top"/>
          </w:tcPr>
          <w:p w14:paraId="35C906D2">
            <w:pPr>
              <w:rPr>
                <w:rFonts w:ascii="Arial"/>
                <w:color w:val="auto"/>
                <w:sz w:val="21"/>
                <w:highlight w:val="none"/>
              </w:rPr>
            </w:pPr>
          </w:p>
        </w:tc>
        <w:tc>
          <w:tcPr>
            <w:tcW w:w="1746" w:type="dxa"/>
            <w:vAlign w:val="top"/>
          </w:tcPr>
          <w:p w14:paraId="4B66CA11">
            <w:pPr>
              <w:pStyle w:val="17"/>
              <w:spacing w:before="168" w:line="228" w:lineRule="auto"/>
              <w:ind w:left="667"/>
              <w:rPr>
                <w:color w:val="auto"/>
                <w:highlight w:val="none"/>
              </w:rPr>
            </w:pPr>
            <w:r>
              <w:rPr>
                <w:color w:val="auto"/>
                <w:spacing w:val="3"/>
                <w:highlight w:val="none"/>
              </w:rPr>
              <w:t>数量</w:t>
            </w:r>
          </w:p>
        </w:tc>
        <w:tc>
          <w:tcPr>
            <w:tcW w:w="1746" w:type="dxa"/>
            <w:vAlign w:val="top"/>
          </w:tcPr>
          <w:p w14:paraId="12D4AA2F">
            <w:pPr>
              <w:pStyle w:val="17"/>
              <w:spacing w:before="31" w:line="226" w:lineRule="auto"/>
              <w:ind w:left="668"/>
              <w:rPr>
                <w:color w:val="auto"/>
                <w:highlight w:val="none"/>
              </w:rPr>
            </w:pPr>
            <w:r>
              <w:rPr>
                <w:color w:val="auto"/>
                <w:spacing w:val="3"/>
                <w:highlight w:val="none"/>
              </w:rPr>
              <w:t>单价</w:t>
            </w:r>
          </w:p>
          <w:p w14:paraId="7EADCB29">
            <w:pPr>
              <w:pStyle w:val="17"/>
              <w:spacing w:before="28" w:line="216" w:lineRule="auto"/>
              <w:ind w:left="415"/>
              <w:rPr>
                <w:color w:val="auto"/>
                <w:highlight w:val="none"/>
              </w:rPr>
            </w:pPr>
            <w:r>
              <w:rPr>
                <w:color w:val="auto"/>
                <w:spacing w:val="-1"/>
                <w:highlight w:val="none"/>
              </w:rPr>
              <w:t>(元/人</w:t>
            </w:r>
            <w:r>
              <w:rPr>
                <w:rFonts w:ascii="Arial" w:hAnsi="Arial" w:eastAsia="Arial" w:cs="Arial"/>
                <w:color w:val="auto"/>
                <w:spacing w:val="-1"/>
                <w:highlight w:val="none"/>
              </w:rPr>
              <w:t>.</w:t>
            </w:r>
            <w:r>
              <w:rPr>
                <w:color w:val="auto"/>
                <w:spacing w:val="-1"/>
                <w:highlight w:val="none"/>
              </w:rPr>
              <w:t>月)</w:t>
            </w:r>
          </w:p>
        </w:tc>
        <w:tc>
          <w:tcPr>
            <w:tcW w:w="1751" w:type="dxa"/>
            <w:vAlign w:val="top"/>
          </w:tcPr>
          <w:p w14:paraId="156D6D88">
            <w:pPr>
              <w:pStyle w:val="17"/>
              <w:spacing w:before="168" w:line="228" w:lineRule="auto"/>
              <w:ind w:left="463"/>
              <w:rPr>
                <w:color w:val="auto"/>
                <w:highlight w:val="none"/>
              </w:rPr>
            </w:pPr>
            <w:r>
              <w:rPr>
                <w:color w:val="auto"/>
                <w:spacing w:val="5"/>
                <w:highlight w:val="none"/>
              </w:rPr>
              <w:t>金额(元)</w:t>
            </w:r>
          </w:p>
        </w:tc>
        <w:tc>
          <w:tcPr>
            <w:tcW w:w="1747" w:type="dxa"/>
            <w:vAlign w:val="top"/>
          </w:tcPr>
          <w:p w14:paraId="4C57E2FC">
            <w:pPr>
              <w:pStyle w:val="17"/>
              <w:spacing w:before="168" w:line="228" w:lineRule="auto"/>
              <w:ind w:left="670"/>
              <w:rPr>
                <w:color w:val="auto"/>
                <w:highlight w:val="none"/>
              </w:rPr>
            </w:pPr>
            <w:r>
              <w:rPr>
                <w:color w:val="auto"/>
                <w:spacing w:val="3"/>
                <w:highlight w:val="none"/>
              </w:rPr>
              <w:t>数量</w:t>
            </w:r>
          </w:p>
        </w:tc>
        <w:tc>
          <w:tcPr>
            <w:tcW w:w="1746" w:type="dxa"/>
            <w:vAlign w:val="top"/>
          </w:tcPr>
          <w:p w14:paraId="5B7FD2ED">
            <w:pPr>
              <w:pStyle w:val="17"/>
              <w:spacing w:before="31" w:line="226" w:lineRule="auto"/>
              <w:ind w:left="671"/>
              <w:rPr>
                <w:color w:val="auto"/>
                <w:highlight w:val="none"/>
              </w:rPr>
            </w:pPr>
            <w:r>
              <w:rPr>
                <w:color w:val="auto"/>
                <w:spacing w:val="3"/>
                <w:highlight w:val="none"/>
              </w:rPr>
              <w:t>单价</w:t>
            </w:r>
          </w:p>
          <w:p w14:paraId="1A7D45CF">
            <w:pPr>
              <w:pStyle w:val="17"/>
              <w:spacing w:before="28" w:line="216" w:lineRule="auto"/>
              <w:ind w:left="418"/>
              <w:rPr>
                <w:color w:val="auto"/>
                <w:highlight w:val="none"/>
              </w:rPr>
            </w:pPr>
            <w:r>
              <w:rPr>
                <w:color w:val="auto"/>
                <w:spacing w:val="-1"/>
                <w:highlight w:val="none"/>
              </w:rPr>
              <w:t>(元/人</w:t>
            </w:r>
            <w:r>
              <w:rPr>
                <w:rFonts w:ascii="Arial" w:hAnsi="Arial" w:eastAsia="Arial" w:cs="Arial"/>
                <w:color w:val="auto"/>
                <w:spacing w:val="-1"/>
                <w:highlight w:val="none"/>
              </w:rPr>
              <w:t>.</w:t>
            </w:r>
            <w:r>
              <w:rPr>
                <w:color w:val="auto"/>
                <w:spacing w:val="-1"/>
                <w:highlight w:val="none"/>
              </w:rPr>
              <w:t>月)</w:t>
            </w:r>
          </w:p>
        </w:tc>
        <w:tc>
          <w:tcPr>
            <w:tcW w:w="1759" w:type="dxa"/>
            <w:vAlign w:val="top"/>
          </w:tcPr>
          <w:p w14:paraId="504AF334">
            <w:pPr>
              <w:pStyle w:val="17"/>
              <w:spacing w:before="168" w:line="228" w:lineRule="auto"/>
              <w:ind w:left="487"/>
              <w:rPr>
                <w:color w:val="auto"/>
                <w:highlight w:val="none"/>
              </w:rPr>
            </w:pPr>
            <w:r>
              <w:rPr>
                <w:color w:val="auto"/>
                <w:spacing w:val="5"/>
                <w:highlight w:val="none"/>
              </w:rPr>
              <w:t>金额(元)</w:t>
            </w:r>
          </w:p>
        </w:tc>
      </w:tr>
      <w:tr w14:paraId="0216A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7AF1D696">
            <w:pPr>
              <w:pStyle w:val="17"/>
              <w:spacing w:before="135" w:line="270" w:lineRule="exact"/>
              <w:ind w:left="293"/>
              <w:rPr>
                <w:color w:val="auto"/>
                <w:highlight w:val="none"/>
              </w:rPr>
            </w:pPr>
            <w:r>
              <w:rPr>
                <w:color w:val="auto"/>
                <w:position w:val="1"/>
                <w:highlight w:val="none"/>
              </w:rPr>
              <w:t>1</w:t>
            </w:r>
          </w:p>
        </w:tc>
        <w:tc>
          <w:tcPr>
            <w:tcW w:w="3073" w:type="dxa"/>
            <w:vAlign w:val="top"/>
          </w:tcPr>
          <w:p w14:paraId="44C89EB9">
            <w:pPr>
              <w:pStyle w:val="17"/>
              <w:spacing w:before="134" w:line="228" w:lineRule="auto"/>
              <w:ind w:left="914"/>
              <w:rPr>
                <w:color w:val="auto"/>
                <w:highlight w:val="none"/>
              </w:rPr>
            </w:pPr>
            <w:r>
              <w:rPr>
                <w:color w:val="auto"/>
                <w:spacing w:val="7"/>
                <w:highlight w:val="none"/>
              </w:rPr>
              <w:t>总监理工程师</w:t>
            </w:r>
          </w:p>
        </w:tc>
        <w:tc>
          <w:tcPr>
            <w:tcW w:w="1746" w:type="dxa"/>
            <w:vAlign w:val="top"/>
          </w:tcPr>
          <w:p w14:paraId="1B719A67">
            <w:pPr>
              <w:rPr>
                <w:rFonts w:ascii="Arial"/>
                <w:color w:val="auto"/>
                <w:sz w:val="21"/>
                <w:highlight w:val="none"/>
              </w:rPr>
            </w:pPr>
          </w:p>
        </w:tc>
        <w:tc>
          <w:tcPr>
            <w:tcW w:w="1746" w:type="dxa"/>
            <w:vAlign w:val="top"/>
          </w:tcPr>
          <w:p w14:paraId="59399BF4">
            <w:pPr>
              <w:rPr>
                <w:rFonts w:ascii="Arial"/>
                <w:color w:val="auto"/>
                <w:sz w:val="21"/>
                <w:highlight w:val="none"/>
              </w:rPr>
            </w:pPr>
          </w:p>
        </w:tc>
        <w:tc>
          <w:tcPr>
            <w:tcW w:w="1751" w:type="dxa"/>
            <w:vAlign w:val="top"/>
          </w:tcPr>
          <w:p w14:paraId="4710A9A6">
            <w:pPr>
              <w:rPr>
                <w:rFonts w:ascii="Arial"/>
                <w:color w:val="auto"/>
                <w:sz w:val="21"/>
                <w:highlight w:val="none"/>
              </w:rPr>
            </w:pPr>
          </w:p>
        </w:tc>
        <w:tc>
          <w:tcPr>
            <w:tcW w:w="1747" w:type="dxa"/>
            <w:vAlign w:val="top"/>
          </w:tcPr>
          <w:p w14:paraId="52E7B46C">
            <w:pPr>
              <w:rPr>
                <w:rFonts w:ascii="Arial"/>
                <w:color w:val="auto"/>
                <w:sz w:val="21"/>
                <w:highlight w:val="none"/>
              </w:rPr>
            </w:pPr>
          </w:p>
        </w:tc>
        <w:tc>
          <w:tcPr>
            <w:tcW w:w="1746" w:type="dxa"/>
            <w:vAlign w:val="top"/>
          </w:tcPr>
          <w:p w14:paraId="11F3476F">
            <w:pPr>
              <w:rPr>
                <w:rFonts w:ascii="Arial"/>
                <w:color w:val="auto"/>
                <w:sz w:val="21"/>
                <w:highlight w:val="none"/>
              </w:rPr>
            </w:pPr>
          </w:p>
        </w:tc>
        <w:tc>
          <w:tcPr>
            <w:tcW w:w="1759" w:type="dxa"/>
            <w:vAlign w:val="top"/>
          </w:tcPr>
          <w:p w14:paraId="00065F77">
            <w:pPr>
              <w:rPr>
                <w:rFonts w:ascii="Arial"/>
                <w:color w:val="auto"/>
                <w:sz w:val="21"/>
                <w:highlight w:val="none"/>
              </w:rPr>
            </w:pPr>
          </w:p>
        </w:tc>
      </w:tr>
      <w:tr w14:paraId="52E34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53" w:type="dxa"/>
            <w:vAlign w:val="top"/>
          </w:tcPr>
          <w:p w14:paraId="1E2669B3">
            <w:pPr>
              <w:pStyle w:val="17"/>
              <w:spacing w:before="135" w:line="270" w:lineRule="exact"/>
              <w:ind w:left="280"/>
              <w:rPr>
                <w:color w:val="auto"/>
                <w:highlight w:val="none"/>
              </w:rPr>
            </w:pPr>
            <w:r>
              <w:rPr>
                <w:color w:val="auto"/>
                <w:position w:val="1"/>
                <w:highlight w:val="none"/>
              </w:rPr>
              <w:t>2</w:t>
            </w:r>
          </w:p>
        </w:tc>
        <w:tc>
          <w:tcPr>
            <w:tcW w:w="3073" w:type="dxa"/>
            <w:vAlign w:val="top"/>
          </w:tcPr>
          <w:p w14:paraId="41F58D76">
            <w:pPr>
              <w:pStyle w:val="17"/>
              <w:spacing w:before="101" w:line="228" w:lineRule="auto"/>
              <w:ind w:left="699"/>
              <w:rPr>
                <w:color w:val="auto"/>
                <w:highlight w:val="none"/>
              </w:rPr>
            </w:pPr>
            <w:r>
              <w:rPr>
                <w:color w:val="auto"/>
                <w:spacing w:val="7"/>
                <w:highlight w:val="none"/>
              </w:rPr>
              <w:t>**专业监理工程师</w:t>
            </w:r>
          </w:p>
        </w:tc>
        <w:tc>
          <w:tcPr>
            <w:tcW w:w="1746" w:type="dxa"/>
            <w:vAlign w:val="top"/>
          </w:tcPr>
          <w:p w14:paraId="4A6D0D9B">
            <w:pPr>
              <w:rPr>
                <w:rFonts w:ascii="Arial"/>
                <w:color w:val="auto"/>
                <w:sz w:val="21"/>
                <w:highlight w:val="none"/>
              </w:rPr>
            </w:pPr>
          </w:p>
        </w:tc>
        <w:tc>
          <w:tcPr>
            <w:tcW w:w="1746" w:type="dxa"/>
            <w:vAlign w:val="top"/>
          </w:tcPr>
          <w:p w14:paraId="29617D2D">
            <w:pPr>
              <w:rPr>
                <w:rFonts w:ascii="Arial"/>
                <w:color w:val="auto"/>
                <w:sz w:val="21"/>
                <w:highlight w:val="none"/>
              </w:rPr>
            </w:pPr>
          </w:p>
        </w:tc>
        <w:tc>
          <w:tcPr>
            <w:tcW w:w="1751" w:type="dxa"/>
            <w:vAlign w:val="top"/>
          </w:tcPr>
          <w:p w14:paraId="3D851F69">
            <w:pPr>
              <w:rPr>
                <w:rFonts w:ascii="Arial"/>
                <w:color w:val="auto"/>
                <w:sz w:val="21"/>
                <w:highlight w:val="none"/>
              </w:rPr>
            </w:pPr>
          </w:p>
        </w:tc>
        <w:tc>
          <w:tcPr>
            <w:tcW w:w="1747" w:type="dxa"/>
            <w:vAlign w:val="top"/>
          </w:tcPr>
          <w:p w14:paraId="2C53C4E7">
            <w:pPr>
              <w:rPr>
                <w:rFonts w:ascii="Arial"/>
                <w:color w:val="auto"/>
                <w:sz w:val="21"/>
                <w:highlight w:val="none"/>
              </w:rPr>
            </w:pPr>
          </w:p>
        </w:tc>
        <w:tc>
          <w:tcPr>
            <w:tcW w:w="1746" w:type="dxa"/>
            <w:vAlign w:val="top"/>
          </w:tcPr>
          <w:p w14:paraId="7AAD1F43">
            <w:pPr>
              <w:rPr>
                <w:rFonts w:ascii="Arial"/>
                <w:color w:val="auto"/>
                <w:sz w:val="21"/>
                <w:highlight w:val="none"/>
              </w:rPr>
            </w:pPr>
          </w:p>
        </w:tc>
        <w:tc>
          <w:tcPr>
            <w:tcW w:w="1759" w:type="dxa"/>
            <w:vAlign w:val="top"/>
          </w:tcPr>
          <w:p w14:paraId="2FA3B31E">
            <w:pPr>
              <w:rPr>
                <w:rFonts w:ascii="Arial"/>
                <w:color w:val="auto"/>
                <w:sz w:val="21"/>
                <w:highlight w:val="none"/>
              </w:rPr>
            </w:pPr>
          </w:p>
        </w:tc>
      </w:tr>
      <w:tr w14:paraId="403F4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4D496EAC">
            <w:pPr>
              <w:pStyle w:val="17"/>
              <w:spacing w:before="136" w:line="268" w:lineRule="exact"/>
              <w:ind w:left="282"/>
              <w:rPr>
                <w:color w:val="auto"/>
                <w:highlight w:val="none"/>
              </w:rPr>
            </w:pPr>
            <w:r>
              <w:rPr>
                <w:color w:val="auto"/>
                <w:position w:val="1"/>
                <w:highlight w:val="none"/>
              </w:rPr>
              <w:t>3</w:t>
            </w:r>
          </w:p>
        </w:tc>
        <w:tc>
          <w:tcPr>
            <w:tcW w:w="3073" w:type="dxa"/>
            <w:vAlign w:val="top"/>
          </w:tcPr>
          <w:p w14:paraId="5E416EF2">
            <w:pPr>
              <w:pStyle w:val="17"/>
              <w:spacing w:before="135" w:line="228" w:lineRule="auto"/>
              <w:ind w:left="699"/>
              <w:rPr>
                <w:color w:val="auto"/>
                <w:highlight w:val="none"/>
              </w:rPr>
            </w:pPr>
            <w:r>
              <w:rPr>
                <w:color w:val="auto"/>
                <w:spacing w:val="7"/>
                <w:highlight w:val="none"/>
              </w:rPr>
              <w:t>**专业监理工程师</w:t>
            </w:r>
          </w:p>
        </w:tc>
        <w:tc>
          <w:tcPr>
            <w:tcW w:w="1746" w:type="dxa"/>
            <w:vAlign w:val="top"/>
          </w:tcPr>
          <w:p w14:paraId="7AF13A09">
            <w:pPr>
              <w:rPr>
                <w:rFonts w:ascii="Arial"/>
                <w:color w:val="auto"/>
                <w:sz w:val="21"/>
                <w:highlight w:val="none"/>
              </w:rPr>
            </w:pPr>
          </w:p>
        </w:tc>
        <w:tc>
          <w:tcPr>
            <w:tcW w:w="1746" w:type="dxa"/>
            <w:vAlign w:val="top"/>
          </w:tcPr>
          <w:p w14:paraId="67851581">
            <w:pPr>
              <w:rPr>
                <w:rFonts w:ascii="Arial"/>
                <w:color w:val="auto"/>
                <w:sz w:val="21"/>
                <w:highlight w:val="none"/>
              </w:rPr>
            </w:pPr>
          </w:p>
        </w:tc>
        <w:tc>
          <w:tcPr>
            <w:tcW w:w="1751" w:type="dxa"/>
            <w:vAlign w:val="top"/>
          </w:tcPr>
          <w:p w14:paraId="7A668BFB">
            <w:pPr>
              <w:rPr>
                <w:rFonts w:ascii="Arial"/>
                <w:color w:val="auto"/>
                <w:sz w:val="21"/>
                <w:highlight w:val="none"/>
              </w:rPr>
            </w:pPr>
          </w:p>
        </w:tc>
        <w:tc>
          <w:tcPr>
            <w:tcW w:w="1747" w:type="dxa"/>
            <w:vAlign w:val="top"/>
          </w:tcPr>
          <w:p w14:paraId="680C6C14">
            <w:pPr>
              <w:rPr>
                <w:rFonts w:ascii="Arial"/>
                <w:color w:val="auto"/>
                <w:sz w:val="21"/>
                <w:highlight w:val="none"/>
              </w:rPr>
            </w:pPr>
          </w:p>
        </w:tc>
        <w:tc>
          <w:tcPr>
            <w:tcW w:w="1746" w:type="dxa"/>
            <w:vAlign w:val="top"/>
          </w:tcPr>
          <w:p w14:paraId="600AE12E">
            <w:pPr>
              <w:rPr>
                <w:rFonts w:ascii="Arial"/>
                <w:color w:val="auto"/>
                <w:sz w:val="21"/>
                <w:highlight w:val="none"/>
              </w:rPr>
            </w:pPr>
          </w:p>
        </w:tc>
        <w:tc>
          <w:tcPr>
            <w:tcW w:w="1759" w:type="dxa"/>
            <w:vAlign w:val="top"/>
          </w:tcPr>
          <w:p w14:paraId="62BACC98">
            <w:pPr>
              <w:rPr>
                <w:rFonts w:ascii="Arial"/>
                <w:color w:val="auto"/>
                <w:sz w:val="21"/>
                <w:highlight w:val="none"/>
              </w:rPr>
            </w:pPr>
          </w:p>
        </w:tc>
      </w:tr>
      <w:tr w14:paraId="6D89F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53" w:type="dxa"/>
            <w:vAlign w:val="top"/>
          </w:tcPr>
          <w:p w14:paraId="4EE6F239">
            <w:pPr>
              <w:pStyle w:val="17"/>
              <w:spacing w:before="136" w:line="270" w:lineRule="exact"/>
              <w:ind w:left="277"/>
              <w:rPr>
                <w:color w:val="auto"/>
                <w:highlight w:val="none"/>
              </w:rPr>
            </w:pPr>
            <w:r>
              <w:rPr>
                <w:color w:val="auto"/>
                <w:position w:val="1"/>
                <w:highlight w:val="none"/>
              </w:rPr>
              <w:t>4</w:t>
            </w:r>
          </w:p>
        </w:tc>
        <w:tc>
          <w:tcPr>
            <w:tcW w:w="3073" w:type="dxa"/>
            <w:vAlign w:val="top"/>
          </w:tcPr>
          <w:p w14:paraId="29EBEE9C">
            <w:pPr>
              <w:pStyle w:val="17"/>
              <w:spacing w:before="135" w:line="228" w:lineRule="auto"/>
              <w:ind w:left="699"/>
              <w:rPr>
                <w:color w:val="auto"/>
                <w:highlight w:val="none"/>
              </w:rPr>
            </w:pPr>
            <w:r>
              <w:rPr>
                <w:color w:val="auto"/>
                <w:spacing w:val="7"/>
                <w:highlight w:val="none"/>
              </w:rPr>
              <w:t>**专业监理工程师</w:t>
            </w:r>
          </w:p>
        </w:tc>
        <w:tc>
          <w:tcPr>
            <w:tcW w:w="1746" w:type="dxa"/>
            <w:vAlign w:val="top"/>
          </w:tcPr>
          <w:p w14:paraId="1462C9C8">
            <w:pPr>
              <w:rPr>
                <w:rFonts w:ascii="Arial"/>
                <w:color w:val="auto"/>
                <w:sz w:val="21"/>
                <w:highlight w:val="none"/>
              </w:rPr>
            </w:pPr>
          </w:p>
        </w:tc>
        <w:tc>
          <w:tcPr>
            <w:tcW w:w="1746" w:type="dxa"/>
            <w:vAlign w:val="top"/>
          </w:tcPr>
          <w:p w14:paraId="0DF6D549">
            <w:pPr>
              <w:rPr>
                <w:rFonts w:ascii="Arial"/>
                <w:color w:val="auto"/>
                <w:sz w:val="21"/>
                <w:highlight w:val="none"/>
              </w:rPr>
            </w:pPr>
          </w:p>
        </w:tc>
        <w:tc>
          <w:tcPr>
            <w:tcW w:w="1751" w:type="dxa"/>
            <w:vAlign w:val="top"/>
          </w:tcPr>
          <w:p w14:paraId="32E8D07D">
            <w:pPr>
              <w:rPr>
                <w:rFonts w:ascii="Arial"/>
                <w:color w:val="auto"/>
                <w:sz w:val="21"/>
                <w:highlight w:val="none"/>
              </w:rPr>
            </w:pPr>
          </w:p>
        </w:tc>
        <w:tc>
          <w:tcPr>
            <w:tcW w:w="1747" w:type="dxa"/>
            <w:vAlign w:val="top"/>
          </w:tcPr>
          <w:p w14:paraId="0F55EF23">
            <w:pPr>
              <w:rPr>
                <w:rFonts w:ascii="Arial"/>
                <w:color w:val="auto"/>
                <w:sz w:val="21"/>
                <w:highlight w:val="none"/>
              </w:rPr>
            </w:pPr>
          </w:p>
        </w:tc>
        <w:tc>
          <w:tcPr>
            <w:tcW w:w="1746" w:type="dxa"/>
            <w:vAlign w:val="top"/>
          </w:tcPr>
          <w:p w14:paraId="35AC3F51">
            <w:pPr>
              <w:rPr>
                <w:rFonts w:ascii="Arial"/>
                <w:color w:val="auto"/>
                <w:sz w:val="21"/>
                <w:highlight w:val="none"/>
              </w:rPr>
            </w:pPr>
          </w:p>
        </w:tc>
        <w:tc>
          <w:tcPr>
            <w:tcW w:w="1759" w:type="dxa"/>
            <w:vAlign w:val="top"/>
          </w:tcPr>
          <w:p w14:paraId="49380803">
            <w:pPr>
              <w:rPr>
                <w:rFonts w:ascii="Arial"/>
                <w:color w:val="auto"/>
                <w:sz w:val="21"/>
                <w:highlight w:val="none"/>
              </w:rPr>
            </w:pPr>
          </w:p>
        </w:tc>
      </w:tr>
      <w:tr w14:paraId="381E9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1D5C72C3">
            <w:pPr>
              <w:pStyle w:val="17"/>
              <w:spacing w:before="137" w:line="268" w:lineRule="exact"/>
              <w:ind w:left="282"/>
              <w:rPr>
                <w:color w:val="auto"/>
                <w:highlight w:val="none"/>
              </w:rPr>
            </w:pPr>
            <w:r>
              <w:rPr>
                <w:color w:val="auto"/>
                <w:position w:val="1"/>
                <w:highlight w:val="none"/>
              </w:rPr>
              <w:t>5</w:t>
            </w:r>
          </w:p>
        </w:tc>
        <w:tc>
          <w:tcPr>
            <w:tcW w:w="3073" w:type="dxa"/>
            <w:vAlign w:val="top"/>
          </w:tcPr>
          <w:p w14:paraId="7F87BDA0">
            <w:pPr>
              <w:pStyle w:val="17"/>
              <w:spacing w:before="136" w:line="228" w:lineRule="auto"/>
              <w:ind w:left="699"/>
              <w:rPr>
                <w:color w:val="auto"/>
                <w:highlight w:val="none"/>
              </w:rPr>
            </w:pPr>
            <w:r>
              <w:rPr>
                <w:color w:val="auto"/>
                <w:spacing w:val="7"/>
                <w:highlight w:val="none"/>
              </w:rPr>
              <w:t>**专业监理工程师</w:t>
            </w:r>
          </w:p>
        </w:tc>
        <w:tc>
          <w:tcPr>
            <w:tcW w:w="1746" w:type="dxa"/>
            <w:vAlign w:val="top"/>
          </w:tcPr>
          <w:p w14:paraId="50351F4E">
            <w:pPr>
              <w:rPr>
                <w:rFonts w:ascii="Arial"/>
                <w:color w:val="auto"/>
                <w:sz w:val="21"/>
                <w:highlight w:val="none"/>
              </w:rPr>
            </w:pPr>
          </w:p>
        </w:tc>
        <w:tc>
          <w:tcPr>
            <w:tcW w:w="1746" w:type="dxa"/>
            <w:vAlign w:val="top"/>
          </w:tcPr>
          <w:p w14:paraId="2D324649">
            <w:pPr>
              <w:rPr>
                <w:rFonts w:ascii="Arial"/>
                <w:color w:val="auto"/>
                <w:sz w:val="21"/>
                <w:highlight w:val="none"/>
              </w:rPr>
            </w:pPr>
          </w:p>
        </w:tc>
        <w:tc>
          <w:tcPr>
            <w:tcW w:w="1751" w:type="dxa"/>
            <w:vAlign w:val="top"/>
          </w:tcPr>
          <w:p w14:paraId="07B980CA">
            <w:pPr>
              <w:rPr>
                <w:rFonts w:ascii="Arial"/>
                <w:color w:val="auto"/>
                <w:sz w:val="21"/>
                <w:highlight w:val="none"/>
              </w:rPr>
            </w:pPr>
          </w:p>
        </w:tc>
        <w:tc>
          <w:tcPr>
            <w:tcW w:w="1747" w:type="dxa"/>
            <w:vAlign w:val="top"/>
          </w:tcPr>
          <w:p w14:paraId="3FE2E1AE">
            <w:pPr>
              <w:rPr>
                <w:rFonts w:ascii="Arial"/>
                <w:color w:val="auto"/>
                <w:sz w:val="21"/>
                <w:highlight w:val="none"/>
              </w:rPr>
            </w:pPr>
          </w:p>
        </w:tc>
        <w:tc>
          <w:tcPr>
            <w:tcW w:w="1746" w:type="dxa"/>
            <w:vAlign w:val="top"/>
          </w:tcPr>
          <w:p w14:paraId="26B4326B">
            <w:pPr>
              <w:rPr>
                <w:rFonts w:ascii="Arial"/>
                <w:color w:val="auto"/>
                <w:sz w:val="21"/>
                <w:highlight w:val="none"/>
              </w:rPr>
            </w:pPr>
          </w:p>
        </w:tc>
        <w:tc>
          <w:tcPr>
            <w:tcW w:w="1759" w:type="dxa"/>
            <w:vAlign w:val="top"/>
          </w:tcPr>
          <w:p w14:paraId="00622D39">
            <w:pPr>
              <w:rPr>
                <w:rFonts w:ascii="Arial"/>
                <w:color w:val="auto"/>
                <w:sz w:val="21"/>
                <w:highlight w:val="none"/>
              </w:rPr>
            </w:pPr>
          </w:p>
        </w:tc>
      </w:tr>
      <w:tr w14:paraId="6102A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438F86CC">
            <w:pPr>
              <w:pStyle w:val="17"/>
              <w:spacing w:before="137" w:line="268" w:lineRule="exact"/>
              <w:ind w:left="279"/>
              <w:rPr>
                <w:color w:val="auto"/>
                <w:highlight w:val="none"/>
              </w:rPr>
            </w:pPr>
            <w:r>
              <w:rPr>
                <w:color w:val="auto"/>
                <w:position w:val="1"/>
                <w:highlight w:val="none"/>
              </w:rPr>
              <w:t>6</w:t>
            </w:r>
          </w:p>
        </w:tc>
        <w:tc>
          <w:tcPr>
            <w:tcW w:w="3073" w:type="dxa"/>
            <w:vAlign w:val="top"/>
          </w:tcPr>
          <w:p w14:paraId="2ABC8E40">
            <w:pPr>
              <w:pStyle w:val="17"/>
              <w:spacing w:before="136" w:line="228" w:lineRule="auto"/>
              <w:ind w:left="699"/>
              <w:rPr>
                <w:color w:val="auto"/>
                <w:highlight w:val="none"/>
              </w:rPr>
            </w:pPr>
            <w:r>
              <w:rPr>
                <w:color w:val="auto"/>
                <w:spacing w:val="7"/>
                <w:highlight w:val="none"/>
              </w:rPr>
              <w:t>**专业监理工程师</w:t>
            </w:r>
          </w:p>
        </w:tc>
        <w:tc>
          <w:tcPr>
            <w:tcW w:w="1746" w:type="dxa"/>
            <w:vAlign w:val="top"/>
          </w:tcPr>
          <w:p w14:paraId="5F9AE715">
            <w:pPr>
              <w:rPr>
                <w:rFonts w:ascii="Arial"/>
                <w:color w:val="auto"/>
                <w:sz w:val="21"/>
                <w:highlight w:val="none"/>
              </w:rPr>
            </w:pPr>
          </w:p>
        </w:tc>
        <w:tc>
          <w:tcPr>
            <w:tcW w:w="1746" w:type="dxa"/>
            <w:vAlign w:val="top"/>
          </w:tcPr>
          <w:p w14:paraId="25629AC3">
            <w:pPr>
              <w:rPr>
                <w:rFonts w:ascii="Arial"/>
                <w:color w:val="auto"/>
                <w:sz w:val="21"/>
                <w:highlight w:val="none"/>
              </w:rPr>
            </w:pPr>
          </w:p>
        </w:tc>
        <w:tc>
          <w:tcPr>
            <w:tcW w:w="1751" w:type="dxa"/>
            <w:vAlign w:val="top"/>
          </w:tcPr>
          <w:p w14:paraId="13E0DBC0">
            <w:pPr>
              <w:rPr>
                <w:rFonts w:ascii="Arial"/>
                <w:color w:val="auto"/>
                <w:sz w:val="21"/>
                <w:highlight w:val="none"/>
              </w:rPr>
            </w:pPr>
          </w:p>
        </w:tc>
        <w:tc>
          <w:tcPr>
            <w:tcW w:w="1747" w:type="dxa"/>
            <w:vAlign w:val="top"/>
          </w:tcPr>
          <w:p w14:paraId="6F2747AB">
            <w:pPr>
              <w:rPr>
                <w:rFonts w:ascii="Arial"/>
                <w:color w:val="auto"/>
                <w:sz w:val="21"/>
                <w:highlight w:val="none"/>
              </w:rPr>
            </w:pPr>
          </w:p>
        </w:tc>
        <w:tc>
          <w:tcPr>
            <w:tcW w:w="1746" w:type="dxa"/>
            <w:vAlign w:val="top"/>
          </w:tcPr>
          <w:p w14:paraId="1A7032E0">
            <w:pPr>
              <w:rPr>
                <w:rFonts w:ascii="Arial"/>
                <w:color w:val="auto"/>
                <w:sz w:val="21"/>
                <w:highlight w:val="none"/>
              </w:rPr>
            </w:pPr>
          </w:p>
        </w:tc>
        <w:tc>
          <w:tcPr>
            <w:tcW w:w="1759" w:type="dxa"/>
            <w:vAlign w:val="top"/>
          </w:tcPr>
          <w:p w14:paraId="2A540014">
            <w:pPr>
              <w:rPr>
                <w:rFonts w:ascii="Arial"/>
                <w:color w:val="auto"/>
                <w:sz w:val="21"/>
                <w:highlight w:val="none"/>
              </w:rPr>
            </w:pPr>
          </w:p>
        </w:tc>
      </w:tr>
      <w:tr w14:paraId="66195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4C04860B">
            <w:pPr>
              <w:pStyle w:val="17"/>
              <w:spacing w:before="137" w:line="268" w:lineRule="exact"/>
              <w:ind w:left="283"/>
              <w:rPr>
                <w:color w:val="auto"/>
                <w:highlight w:val="none"/>
              </w:rPr>
            </w:pPr>
            <w:r>
              <w:rPr>
                <w:color w:val="auto"/>
                <w:position w:val="1"/>
                <w:highlight w:val="none"/>
              </w:rPr>
              <w:t>7</w:t>
            </w:r>
          </w:p>
        </w:tc>
        <w:tc>
          <w:tcPr>
            <w:tcW w:w="3073" w:type="dxa"/>
            <w:vAlign w:val="top"/>
          </w:tcPr>
          <w:p w14:paraId="4C5B954D">
            <w:pPr>
              <w:pStyle w:val="17"/>
              <w:spacing w:before="136" w:line="228" w:lineRule="auto"/>
              <w:ind w:left="699"/>
              <w:rPr>
                <w:color w:val="auto"/>
                <w:highlight w:val="none"/>
              </w:rPr>
            </w:pPr>
            <w:r>
              <w:rPr>
                <w:color w:val="auto"/>
                <w:spacing w:val="7"/>
                <w:highlight w:val="none"/>
              </w:rPr>
              <w:t>**专业监理工程师</w:t>
            </w:r>
          </w:p>
        </w:tc>
        <w:tc>
          <w:tcPr>
            <w:tcW w:w="1746" w:type="dxa"/>
            <w:vAlign w:val="top"/>
          </w:tcPr>
          <w:p w14:paraId="51454961">
            <w:pPr>
              <w:rPr>
                <w:rFonts w:ascii="Arial"/>
                <w:color w:val="auto"/>
                <w:sz w:val="21"/>
                <w:highlight w:val="none"/>
              </w:rPr>
            </w:pPr>
          </w:p>
        </w:tc>
        <w:tc>
          <w:tcPr>
            <w:tcW w:w="1746" w:type="dxa"/>
            <w:vAlign w:val="top"/>
          </w:tcPr>
          <w:p w14:paraId="0ACB8CC3">
            <w:pPr>
              <w:rPr>
                <w:rFonts w:ascii="Arial"/>
                <w:color w:val="auto"/>
                <w:sz w:val="21"/>
                <w:highlight w:val="none"/>
              </w:rPr>
            </w:pPr>
          </w:p>
        </w:tc>
        <w:tc>
          <w:tcPr>
            <w:tcW w:w="1751" w:type="dxa"/>
            <w:vAlign w:val="top"/>
          </w:tcPr>
          <w:p w14:paraId="72CD1FD9">
            <w:pPr>
              <w:rPr>
                <w:rFonts w:ascii="Arial"/>
                <w:color w:val="auto"/>
                <w:sz w:val="21"/>
                <w:highlight w:val="none"/>
              </w:rPr>
            </w:pPr>
          </w:p>
        </w:tc>
        <w:tc>
          <w:tcPr>
            <w:tcW w:w="1747" w:type="dxa"/>
            <w:vAlign w:val="top"/>
          </w:tcPr>
          <w:p w14:paraId="692B1F78">
            <w:pPr>
              <w:rPr>
                <w:rFonts w:ascii="Arial"/>
                <w:color w:val="auto"/>
                <w:sz w:val="21"/>
                <w:highlight w:val="none"/>
              </w:rPr>
            </w:pPr>
          </w:p>
        </w:tc>
        <w:tc>
          <w:tcPr>
            <w:tcW w:w="1746" w:type="dxa"/>
            <w:vAlign w:val="top"/>
          </w:tcPr>
          <w:p w14:paraId="0D6E2E36">
            <w:pPr>
              <w:rPr>
                <w:rFonts w:ascii="Arial"/>
                <w:color w:val="auto"/>
                <w:sz w:val="21"/>
                <w:highlight w:val="none"/>
              </w:rPr>
            </w:pPr>
          </w:p>
        </w:tc>
        <w:tc>
          <w:tcPr>
            <w:tcW w:w="1759" w:type="dxa"/>
            <w:vAlign w:val="top"/>
          </w:tcPr>
          <w:p w14:paraId="3225764A">
            <w:pPr>
              <w:rPr>
                <w:rFonts w:ascii="Arial"/>
                <w:color w:val="auto"/>
                <w:sz w:val="21"/>
                <w:highlight w:val="none"/>
              </w:rPr>
            </w:pPr>
          </w:p>
        </w:tc>
      </w:tr>
      <w:tr w14:paraId="7E5E0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53" w:type="dxa"/>
            <w:vAlign w:val="top"/>
          </w:tcPr>
          <w:p w14:paraId="5EF65816">
            <w:pPr>
              <w:pStyle w:val="17"/>
              <w:spacing w:before="137" w:line="268" w:lineRule="exact"/>
              <w:ind w:left="278"/>
              <w:rPr>
                <w:color w:val="auto"/>
                <w:highlight w:val="none"/>
              </w:rPr>
            </w:pPr>
            <w:r>
              <w:rPr>
                <w:color w:val="auto"/>
                <w:position w:val="1"/>
                <w:highlight w:val="none"/>
              </w:rPr>
              <w:t>8</w:t>
            </w:r>
          </w:p>
        </w:tc>
        <w:tc>
          <w:tcPr>
            <w:tcW w:w="3073" w:type="dxa"/>
            <w:vAlign w:val="top"/>
          </w:tcPr>
          <w:p w14:paraId="701500CB">
            <w:pPr>
              <w:pStyle w:val="17"/>
              <w:spacing w:before="136" w:line="228" w:lineRule="auto"/>
              <w:ind w:left="699"/>
              <w:rPr>
                <w:color w:val="auto"/>
                <w:highlight w:val="none"/>
              </w:rPr>
            </w:pPr>
            <w:r>
              <w:rPr>
                <w:color w:val="auto"/>
                <w:spacing w:val="7"/>
                <w:highlight w:val="none"/>
              </w:rPr>
              <w:t>**专业监理工程师</w:t>
            </w:r>
          </w:p>
        </w:tc>
        <w:tc>
          <w:tcPr>
            <w:tcW w:w="1746" w:type="dxa"/>
            <w:vAlign w:val="top"/>
          </w:tcPr>
          <w:p w14:paraId="199C49F8">
            <w:pPr>
              <w:rPr>
                <w:rFonts w:ascii="Arial"/>
                <w:color w:val="auto"/>
                <w:sz w:val="21"/>
                <w:highlight w:val="none"/>
              </w:rPr>
            </w:pPr>
          </w:p>
        </w:tc>
        <w:tc>
          <w:tcPr>
            <w:tcW w:w="1746" w:type="dxa"/>
            <w:vAlign w:val="top"/>
          </w:tcPr>
          <w:p w14:paraId="082731B5">
            <w:pPr>
              <w:rPr>
                <w:rFonts w:ascii="Arial"/>
                <w:color w:val="auto"/>
                <w:sz w:val="21"/>
                <w:highlight w:val="none"/>
              </w:rPr>
            </w:pPr>
          </w:p>
        </w:tc>
        <w:tc>
          <w:tcPr>
            <w:tcW w:w="1751" w:type="dxa"/>
            <w:vAlign w:val="top"/>
          </w:tcPr>
          <w:p w14:paraId="3CDDB073">
            <w:pPr>
              <w:rPr>
                <w:rFonts w:ascii="Arial"/>
                <w:color w:val="auto"/>
                <w:sz w:val="21"/>
                <w:highlight w:val="none"/>
              </w:rPr>
            </w:pPr>
          </w:p>
        </w:tc>
        <w:tc>
          <w:tcPr>
            <w:tcW w:w="1747" w:type="dxa"/>
            <w:vAlign w:val="top"/>
          </w:tcPr>
          <w:p w14:paraId="1B70EAA1">
            <w:pPr>
              <w:rPr>
                <w:rFonts w:ascii="Arial"/>
                <w:color w:val="auto"/>
                <w:sz w:val="21"/>
                <w:highlight w:val="none"/>
              </w:rPr>
            </w:pPr>
          </w:p>
        </w:tc>
        <w:tc>
          <w:tcPr>
            <w:tcW w:w="1746" w:type="dxa"/>
            <w:vAlign w:val="top"/>
          </w:tcPr>
          <w:p w14:paraId="7B71C247">
            <w:pPr>
              <w:rPr>
                <w:rFonts w:ascii="Arial"/>
                <w:color w:val="auto"/>
                <w:sz w:val="21"/>
                <w:highlight w:val="none"/>
              </w:rPr>
            </w:pPr>
          </w:p>
        </w:tc>
        <w:tc>
          <w:tcPr>
            <w:tcW w:w="1759" w:type="dxa"/>
            <w:vAlign w:val="top"/>
          </w:tcPr>
          <w:p w14:paraId="3D5C619E">
            <w:pPr>
              <w:rPr>
                <w:rFonts w:ascii="Arial"/>
                <w:color w:val="auto"/>
                <w:sz w:val="21"/>
                <w:highlight w:val="none"/>
              </w:rPr>
            </w:pPr>
          </w:p>
        </w:tc>
      </w:tr>
      <w:tr w14:paraId="22638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073DCF6C">
            <w:pPr>
              <w:pStyle w:val="17"/>
              <w:spacing w:before="138" w:line="268" w:lineRule="exact"/>
              <w:ind w:left="278"/>
              <w:rPr>
                <w:color w:val="auto"/>
                <w:highlight w:val="none"/>
              </w:rPr>
            </w:pPr>
            <w:r>
              <w:rPr>
                <w:color w:val="auto"/>
                <w:position w:val="1"/>
                <w:highlight w:val="none"/>
              </w:rPr>
              <w:t>9</w:t>
            </w:r>
          </w:p>
        </w:tc>
        <w:tc>
          <w:tcPr>
            <w:tcW w:w="3073" w:type="dxa"/>
            <w:vAlign w:val="top"/>
          </w:tcPr>
          <w:p w14:paraId="7F276DDF">
            <w:pPr>
              <w:pStyle w:val="17"/>
              <w:spacing w:before="137" w:line="228" w:lineRule="auto"/>
              <w:ind w:left="699"/>
              <w:rPr>
                <w:color w:val="auto"/>
                <w:highlight w:val="none"/>
              </w:rPr>
            </w:pPr>
            <w:r>
              <w:rPr>
                <w:color w:val="auto"/>
                <w:spacing w:val="7"/>
                <w:highlight w:val="none"/>
              </w:rPr>
              <w:t>**专业监理工程师</w:t>
            </w:r>
          </w:p>
        </w:tc>
        <w:tc>
          <w:tcPr>
            <w:tcW w:w="1746" w:type="dxa"/>
            <w:vAlign w:val="top"/>
          </w:tcPr>
          <w:p w14:paraId="0CBEE50B">
            <w:pPr>
              <w:rPr>
                <w:rFonts w:ascii="Arial"/>
                <w:color w:val="auto"/>
                <w:sz w:val="21"/>
                <w:highlight w:val="none"/>
              </w:rPr>
            </w:pPr>
          </w:p>
        </w:tc>
        <w:tc>
          <w:tcPr>
            <w:tcW w:w="1746" w:type="dxa"/>
            <w:vAlign w:val="top"/>
          </w:tcPr>
          <w:p w14:paraId="393E8B92">
            <w:pPr>
              <w:rPr>
                <w:rFonts w:ascii="Arial"/>
                <w:color w:val="auto"/>
                <w:sz w:val="21"/>
                <w:highlight w:val="none"/>
              </w:rPr>
            </w:pPr>
          </w:p>
        </w:tc>
        <w:tc>
          <w:tcPr>
            <w:tcW w:w="1751" w:type="dxa"/>
            <w:vAlign w:val="top"/>
          </w:tcPr>
          <w:p w14:paraId="0F363F6B">
            <w:pPr>
              <w:rPr>
                <w:rFonts w:ascii="Arial"/>
                <w:color w:val="auto"/>
                <w:sz w:val="21"/>
                <w:highlight w:val="none"/>
              </w:rPr>
            </w:pPr>
          </w:p>
        </w:tc>
        <w:tc>
          <w:tcPr>
            <w:tcW w:w="1747" w:type="dxa"/>
            <w:vAlign w:val="top"/>
          </w:tcPr>
          <w:p w14:paraId="11F1D14F">
            <w:pPr>
              <w:rPr>
                <w:rFonts w:ascii="Arial"/>
                <w:color w:val="auto"/>
                <w:sz w:val="21"/>
                <w:highlight w:val="none"/>
              </w:rPr>
            </w:pPr>
          </w:p>
        </w:tc>
        <w:tc>
          <w:tcPr>
            <w:tcW w:w="1746" w:type="dxa"/>
            <w:vAlign w:val="top"/>
          </w:tcPr>
          <w:p w14:paraId="3DD3C560">
            <w:pPr>
              <w:rPr>
                <w:rFonts w:ascii="Arial"/>
                <w:color w:val="auto"/>
                <w:sz w:val="21"/>
                <w:highlight w:val="none"/>
              </w:rPr>
            </w:pPr>
          </w:p>
        </w:tc>
        <w:tc>
          <w:tcPr>
            <w:tcW w:w="1759" w:type="dxa"/>
            <w:vAlign w:val="top"/>
          </w:tcPr>
          <w:p w14:paraId="6FA5344B">
            <w:pPr>
              <w:rPr>
                <w:rFonts w:ascii="Arial"/>
                <w:color w:val="auto"/>
                <w:sz w:val="21"/>
                <w:highlight w:val="none"/>
              </w:rPr>
            </w:pPr>
          </w:p>
        </w:tc>
      </w:tr>
      <w:tr w14:paraId="5F77C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1EA0CA1F">
            <w:pPr>
              <w:pStyle w:val="17"/>
              <w:spacing w:before="138" w:line="268" w:lineRule="exact"/>
              <w:ind w:left="243"/>
              <w:rPr>
                <w:color w:val="auto"/>
                <w:highlight w:val="none"/>
              </w:rPr>
            </w:pPr>
            <w:r>
              <w:rPr>
                <w:color w:val="auto"/>
                <w:spacing w:val="-7"/>
                <w:position w:val="1"/>
                <w:highlight w:val="none"/>
              </w:rPr>
              <w:t>10</w:t>
            </w:r>
          </w:p>
        </w:tc>
        <w:tc>
          <w:tcPr>
            <w:tcW w:w="3073" w:type="dxa"/>
            <w:vAlign w:val="top"/>
          </w:tcPr>
          <w:p w14:paraId="32D64AF9">
            <w:pPr>
              <w:pStyle w:val="17"/>
              <w:spacing w:before="138" w:line="324" w:lineRule="exact"/>
              <w:ind w:left="1342"/>
              <w:rPr>
                <w:color w:val="auto"/>
                <w:highlight w:val="none"/>
              </w:rPr>
            </w:pPr>
            <w:r>
              <w:rPr>
                <w:color w:val="auto"/>
                <w:spacing w:val="-2"/>
                <w:position w:val="2"/>
                <w:highlight w:val="none"/>
              </w:rPr>
              <w:t>……</w:t>
            </w:r>
          </w:p>
        </w:tc>
        <w:tc>
          <w:tcPr>
            <w:tcW w:w="1746" w:type="dxa"/>
            <w:vAlign w:val="top"/>
          </w:tcPr>
          <w:p w14:paraId="630EAE9D">
            <w:pPr>
              <w:rPr>
                <w:rFonts w:ascii="Arial"/>
                <w:color w:val="auto"/>
                <w:sz w:val="21"/>
                <w:highlight w:val="none"/>
              </w:rPr>
            </w:pPr>
          </w:p>
        </w:tc>
        <w:tc>
          <w:tcPr>
            <w:tcW w:w="1746" w:type="dxa"/>
            <w:vAlign w:val="top"/>
          </w:tcPr>
          <w:p w14:paraId="4174991A">
            <w:pPr>
              <w:rPr>
                <w:rFonts w:ascii="Arial"/>
                <w:color w:val="auto"/>
                <w:sz w:val="21"/>
                <w:highlight w:val="none"/>
              </w:rPr>
            </w:pPr>
          </w:p>
        </w:tc>
        <w:tc>
          <w:tcPr>
            <w:tcW w:w="1751" w:type="dxa"/>
            <w:vAlign w:val="top"/>
          </w:tcPr>
          <w:p w14:paraId="5155AA1E">
            <w:pPr>
              <w:rPr>
                <w:rFonts w:ascii="Arial"/>
                <w:color w:val="auto"/>
                <w:sz w:val="21"/>
                <w:highlight w:val="none"/>
              </w:rPr>
            </w:pPr>
          </w:p>
        </w:tc>
        <w:tc>
          <w:tcPr>
            <w:tcW w:w="1747" w:type="dxa"/>
            <w:vAlign w:val="top"/>
          </w:tcPr>
          <w:p w14:paraId="5E232F67">
            <w:pPr>
              <w:rPr>
                <w:rFonts w:ascii="Arial"/>
                <w:color w:val="auto"/>
                <w:sz w:val="21"/>
                <w:highlight w:val="none"/>
              </w:rPr>
            </w:pPr>
          </w:p>
        </w:tc>
        <w:tc>
          <w:tcPr>
            <w:tcW w:w="1746" w:type="dxa"/>
            <w:vAlign w:val="top"/>
          </w:tcPr>
          <w:p w14:paraId="4FFDDC93">
            <w:pPr>
              <w:rPr>
                <w:rFonts w:ascii="Arial"/>
                <w:color w:val="auto"/>
                <w:sz w:val="21"/>
                <w:highlight w:val="none"/>
              </w:rPr>
            </w:pPr>
          </w:p>
        </w:tc>
        <w:tc>
          <w:tcPr>
            <w:tcW w:w="1759" w:type="dxa"/>
            <w:vAlign w:val="top"/>
          </w:tcPr>
          <w:p w14:paraId="31DA2138">
            <w:pPr>
              <w:rPr>
                <w:rFonts w:ascii="Arial"/>
                <w:color w:val="auto"/>
                <w:sz w:val="21"/>
                <w:highlight w:val="none"/>
              </w:rPr>
            </w:pPr>
          </w:p>
        </w:tc>
      </w:tr>
      <w:tr w14:paraId="290EF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291734A4">
            <w:pPr>
              <w:pStyle w:val="17"/>
              <w:spacing w:before="138" w:line="270" w:lineRule="exact"/>
              <w:ind w:left="243"/>
              <w:rPr>
                <w:color w:val="auto"/>
                <w:highlight w:val="none"/>
              </w:rPr>
            </w:pPr>
            <w:r>
              <w:rPr>
                <w:color w:val="auto"/>
                <w:spacing w:val="-7"/>
                <w:position w:val="1"/>
                <w:highlight w:val="none"/>
              </w:rPr>
              <w:t>11</w:t>
            </w:r>
          </w:p>
        </w:tc>
        <w:tc>
          <w:tcPr>
            <w:tcW w:w="3073" w:type="dxa"/>
            <w:vAlign w:val="top"/>
          </w:tcPr>
          <w:p w14:paraId="74518E69">
            <w:pPr>
              <w:pStyle w:val="17"/>
              <w:spacing w:before="138" w:line="324" w:lineRule="exact"/>
              <w:ind w:left="1342"/>
              <w:rPr>
                <w:color w:val="auto"/>
                <w:highlight w:val="none"/>
              </w:rPr>
            </w:pPr>
            <w:r>
              <w:rPr>
                <w:color w:val="auto"/>
                <w:spacing w:val="-2"/>
                <w:position w:val="2"/>
                <w:highlight w:val="none"/>
              </w:rPr>
              <w:t>……</w:t>
            </w:r>
          </w:p>
        </w:tc>
        <w:tc>
          <w:tcPr>
            <w:tcW w:w="1746" w:type="dxa"/>
            <w:vAlign w:val="top"/>
          </w:tcPr>
          <w:p w14:paraId="2587494F">
            <w:pPr>
              <w:rPr>
                <w:rFonts w:ascii="Arial"/>
                <w:color w:val="auto"/>
                <w:sz w:val="21"/>
                <w:highlight w:val="none"/>
              </w:rPr>
            </w:pPr>
          </w:p>
        </w:tc>
        <w:tc>
          <w:tcPr>
            <w:tcW w:w="1746" w:type="dxa"/>
            <w:vAlign w:val="top"/>
          </w:tcPr>
          <w:p w14:paraId="01391D82">
            <w:pPr>
              <w:rPr>
                <w:rFonts w:ascii="Arial"/>
                <w:color w:val="auto"/>
                <w:sz w:val="21"/>
                <w:highlight w:val="none"/>
              </w:rPr>
            </w:pPr>
          </w:p>
        </w:tc>
        <w:tc>
          <w:tcPr>
            <w:tcW w:w="1751" w:type="dxa"/>
            <w:vAlign w:val="top"/>
          </w:tcPr>
          <w:p w14:paraId="410FAEB2">
            <w:pPr>
              <w:rPr>
                <w:rFonts w:ascii="Arial"/>
                <w:color w:val="auto"/>
                <w:sz w:val="21"/>
                <w:highlight w:val="none"/>
              </w:rPr>
            </w:pPr>
          </w:p>
        </w:tc>
        <w:tc>
          <w:tcPr>
            <w:tcW w:w="1747" w:type="dxa"/>
            <w:vAlign w:val="top"/>
          </w:tcPr>
          <w:p w14:paraId="5C238340">
            <w:pPr>
              <w:rPr>
                <w:rFonts w:ascii="Arial"/>
                <w:color w:val="auto"/>
                <w:sz w:val="21"/>
                <w:highlight w:val="none"/>
              </w:rPr>
            </w:pPr>
          </w:p>
        </w:tc>
        <w:tc>
          <w:tcPr>
            <w:tcW w:w="1746" w:type="dxa"/>
            <w:vAlign w:val="top"/>
          </w:tcPr>
          <w:p w14:paraId="79ABEF77">
            <w:pPr>
              <w:rPr>
                <w:rFonts w:ascii="Arial"/>
                <w:color w:val="auto"/>
                <w:sz w:val="21"/>
                <w:highlight w:val="none"/>
              </w:rPr>
            </w:pPr>
          </w:p>
        </w:tc>
        <w:tc>
          <w:tcPr>
            <w:tcW w:w="1759" w:type="dxa"/>
            <w:vAlign w:val="top"/>
          </w:tcPr>
          <w:p w14:paraId="60F19235">
            <w:pPr>
              <w:rPr>
                <w:rFonts w:ascii="Arial"/>
                <w:color w:val="auto"/>
                <w:sz w:val="21"/>
                <w:highlight w:val="none"/>
              </w:rPr>
            </w:pPr>
          </w:p>
        </w:tc>
      </w:tr>
      <w:tr w14:paraId="1B174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212599D8">
            <w:pPr>
              <w:pStyle w:val="17"/>
              <w:spacing w:before="138" w:line="270" w:lineRule="exact"/>
              <w:ind w:left="243"/>
              <w:rPr>
                <w:color w:val="auto"/>
                <w:highlight w:val="none"/>
              </w:rPr>
            </w:pPr>
            <w:r>
              <w:rPr>
                <w:color w:val="auto"/>
                <w:spacing w:val="-7"/>
                <w:position w:val="1"/>
                <w:highlight w:val="none"/>
              </w:rPr>
              <w:t>12</w:t>
            </w:r>
          </w:p>
        </w:tc>
        <w:tc>
          <w:tcPr>
            <w:tcW w:w="3073" w:type="dxa"/>
            <w:vAlign w:val="top"/>
          </w:tcPr>
          <w:p w14:paraId="2BD6CAF9">
            <w:pPr>
              <w:pStyle w:val="17"/>
              <w:spacing w:before="138" w:line="324" w:lineRule="exact"/>
              <w:ind w:left="1342"/>
              <w:rPr>
                <w:color w:val="auto"/>
                <w:highlight w:val="none"/>
              </w:rPr>
            </w:pPr>
            <w:r>
              <w:rPr>
                <w:color w:val="auto"/>
                <w:spacing w:val="-2"/>
                <w:position w:val="2"/>
                <w:highlight w:val="none"/>
              </w:rPr>
              <w:t>……</w:t>
            </w:r>
          </w:p>
        </w:tc>
        <w:tc>
          <w:tcPr>
            <w:tcW w:w="1746" w:type="dxa"/>
            <w:vAlign w:val="top"/>
          </w:tcPr>
          <w:p w14:paraId="7C1C7E0D">
            <w:pPr>
              <w:rPr>
                <w:rFonts w:ascii="Arial"/>
                <w:color w:val="auto"/>
                <w:sz w:val="21"/>
                <w:highlight w:val="none"/>
              </w:rPr>
            </w:pPr>
          </w:p>
        </w:tc>
        <w:tc>
          <w:tcPr>
            <w:tcW w:w="1746" w:type="dxa"/>
            <w:vAlign w:val="top"/>
          </w:tcPr>
          <w:p w14:paraId="6CE3E584">
            <w:pPr>
              <w:rPr>
                <w:rFonts w:ascii="Arial"/>
                <w:color w:val="auto"/>
                <w:sz w:val="21"/>
                <w:highlight w:val="none"/>
              </w:rPr>
            </w:pPr>
          </w:p>
        </w:tc>
        <w:tc>
          <w:tcPr>
            <w:tcW w:w="1751" w:type="dxa"/>
            <w:vAlign w:val="top"/>
          </w:tcPr>
          <w:p w14:paraId="1B7D863B">
            <w:pPr>
              <w:rPr>
                <w:rFonts w:ascii="Arial"/>
                <w:color w:val="auto"/>
                <w:sz w:val="21"/>
                <w:highlight w:val="none"/>
              </w:rPr>
            </w:pPr>
          </w:p>
        </w:tc>
        <w:tc>
          <w:tcPr>
            <w:tcW w:w="1747" w:type="dxa"/>
            <w:vAlign w:val="top"/>
          </w:tcPr>
          <w:p w14:paraId="05B18F9F">
            <w:pPr>
              <w:rPr>
                <w:rFonts w:ascii="Arial"/>
                <w:color w:val="auto"/>
                <w:sz w:val="21"/>
                <w:highlight w:val="none"/>
              </w:rPr>
            </w:pPr>
          </w:p>
        </w:tc>
        <w:tc>
          <w:tcPr>
            <w:tcW w:w="1746" w:type="dxa"/>
            <w:vAlign w:val="top"/>
          </w:tcPr>
          <w:p w14:paraId="7845FB33">
            <w:pPr>
              <w:rPr>
                <w:rFonts w:ascii="Arial"/>
                <w:color w:val="auto"/>
                <w:sz w:val="21"/>
                <w:highlight w:val="none"/>
              </w:rPr>
            </w:pPr>
          </w:p>
        </w:tc>
        <w:tc>
          <w:tcPr>
            <w:tcW w:w="1759" w:type="dxa"/>
            <w:vAlign w:val="top"/>
          </w:tcPr>
          <w:p w14:paraId="6D22C312">
            <w:pPr>
              <w:rPr>
                <w:rFonts w:ascii="Arial"/>
                <w:color w:val="auto"/>
                <w:sz w:val="21"/>
                <w:highlight w:val="none"/>
              </w:rPr>
            </w:pPr>
          </w:p>
        </w:tc>
      </w:tr>
      <w:tr w14:paraId="457C3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53" w:type="dxa"/>
            <w:tcBorders>
              <w:right w:val="nil"/>
            </w:tcBorders>
            <w:vAlign w:val="top"/>
          </w:tcPr>
          <w:p w14:paraId="76164C97">
            <w:pPr>
              <w:rPr>
                <w:rFonts w:ascii="Arial"/>
                <w:color w:val="auto"/>
                <w:sz w:val="21"/>
                <w:highlight w:val="none"/>
              </w:rPr>
            </w:pPr>
          </w:p>
        </w:tc>
        <w:tc>
          <w:tcPr>
            <w:tcW w:w="3073" w:type="dxa"/>
            <w:tcBorders>
              <w:left w:val="nil"/>
            </w:tcBorders>
            <w:vAlign w:val="top"/>
          </w:tcPr>
          <w:p w14:paraId="4CA60ED9">
            <w:pPr>
              <w:pStyle w:val="17"/>
              <w:spacing w:before="138" w:line="228" w:lineRule="auto"/>
              <w:ind w:left="694"/>
              <w:rPr>
                <w:color w:val="auto"/>
                <w:highlight w:val="none"/>
              </w:rPr>
            </w:pPr>
            <w:r>
              <w:rPr>
                <w:color w:val="auto"/>
                <w:spacing w:val="5"/>
                <w:highlight w:val="none"/>
              </w:rPr>
              <w:t>合计（元）</w:t>
            </w:r>
          </w:p>
        </w:tc>
        <w:tc>
          <w:tcPr>
            <w:tcW w:w="1746" w:type="dxa"/>
            <w:vAlign w:val="top"/>
          </w:tcPr>
          <w:p w14:paraId="5761C0FB">
            <w:pPr>
              <w:rPr>
                <w:rFonts w:ascii="Arial"/>
                <w:color w:val="auto"/>
                <w:sz w:val="21"/>
                <w:highlight w:val="none"/>
              </w:rPr>
            </w:pPr>
          </w:p>
        </w:tc>
        <w:tc>
          <w:tcPr>
            <w:tcW w:w="1746" w:type="dxa"/>
            <w:vAlign w:val="top"/>
          </w:tcPr>
          <w:p w14:paraId="189CF228">
            <w:pPr>
              <w:rPr>
                <w:rFonts w:ascii="Arial"/>
                <w:color w:val="auto"/>
                <w:sz w:val="21"/>
                <w:highlight w:val="none"/>
              </w:rPr>
            </w:pPr>
          </w:p>
        </w:tc>
        <w:tc>
          <w:tcPr>
            <w:tcW w:w="1751" w:type="dxa"/>
            <w:vAlign w:val="top"/>
          </w:tcPr>
          <w:p w14:paraId="5DC87D11">
            <w:pPr>
              <w:rPr>
                <w:rFonts w:ascii="Arial"/>
                <w:color w:val="auto"/>
                <w:sz w:val="21"/>
                <w:highlight w:val="none"/>
              </w:rPr>
            </w:pPr>
          </w:p>
        </w:tc>
        <w:tc>
          <w:tcPr>
            <w:tcW w:w="1747" w:type="dxa"/>
            <w:vAlign w:val="top"/>
          </w:tcPr>
          <w:p w14:paraId="72E9325D">
            <w:pPr>
              <w:rPr>
                <w:rFonts w:ascii="Arial"/>
                <w:color w:val="auto"/>
                <w:sz w:val="21"/>
                <w:highlight w:val="none"/>
              </w:rPr>
            </w:pPr>
          </w:p>
        </w:tc>
        <w:tc>
          <w:tcPr>
            <w:tcW w:w="1746" w:type="dxa"/>
            <w:vAlign w:val="top"/>
          </w:tcPr>
          <w:p w14:paraId="48AF8F1B">
            <w:pPr>
              <w:rPr>
                <w:rFonts w:ascii="Arial"/>
                <w:color w:val="auto"/>
                <w:sz w:val="21"/>
                <w:highlight w:val="none"/>
              </w:rPr>
            </w:pPr>
          </w:p>
        </w:tc>
        <w:tc>
          <w:tcPr>
            <w:tcW w:w="1759" w:type="dxa"/>
            <w:vAlign w:val="top"/>
          </w:tcPr>
          <w:p w14:paraId="39C23F7C">
            <w:pPr>
              <w:rPr>
                <w:rFonts w:ascii="Arial"/>
                <w:color w:val="auto"/>
                <w:sz w:val="21"/>
                <w:highlight w:val="none"/>
              </w:rPr>
            </w:pPr>
          </w:p>
        </w:tc>
      </w:tr>
    </w:tbl>
    <w:p w14:paraId="5443CFD4">
      <w:pPr>
        <w:rPr>
          <w:rFonts w:ascii="Arial"/>
          <w:color w:val="auto"/>
          <w:sz w:val="21"/>
          <w:highlight w:val="none"/>
        </w:rPr>
      </w:pPr>
    </w:p>
    <w:p w14:paraId="6394AB7B">
      <w:pPr>
        <w:rPr>
          <w:rFonts w:ascii="Arial" w:hAnsi="Arial" w:eastAsia="Arial" w:cs="Arial"/>
          <w:color w:val="auto"/>
          <w:sz w:val="21"/>
          <w:szCs w:val="21"/>
          <w:highlight w:val="none"/>
        </w:rPr>
        <w:sectPr>
          <w:footerReference r:id="rId115" w:type="default"/>
          <w:pgSz w:w="16839" w:h="11906"/>
          <w:pgMar w:top="1012" w:right="1307" w:bottom="1297" w:left="1304" w:header="0" w:footer="1067" w:gutter="0"/>
          <w:pgNumType w:fmt="decimal"/>
          <w:cols w:space="720" w:num="1"/>
        </w:sectPr>
      </w:pPr>
    </w:p>
    <w:p w14:paraId="7EF30A9A">
      <w:pPr>
        <w:spacing w:line="353" w:lineRule="auto"/>
        <w:rPr>
          <w:rFonts w:ascii="Arial"/>
          <w:color w:val="auto"/>
          <w:sz w:val="21"/>
          <w:highlight w:val="none"/>
        </w:rPr>
      </w:pPr>
    </w:p>
    <w:p w14:paraId="49879761">
      <w:pPr>
        <w:spacing w:before="91" w:line="212" w:lineRule="auto"/>
        <w:ind w:left="4913"/>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表</w:t>
      </w:r>
      <w:r>
        <w:rPr>
          <w:rFonts w:ascii="宋体" w:hAnsi="宋体" w:eastAsia="宋体" w:cs="宋体"/>
          <w:color w:val="auto"/>
          <w:spacing w:val="-42"/>
          <w:sz w:val="28"/>
          <w:szCs w:val="28"/>
          <w:highlight w:val="none"/>
        </w:rPr>
        <w:t xml:space="preserve"> </w:t>
      </w:r>
      <w:r>
        <w:rPr>
          <w:rFonts w:ascii="宋体" w:hAnsi="宋体" w:eastAsia="宋体" w:cs="宋体"/>
          <w:b/>
          <w:bCs/>
          <w:color w:val="auto"/>
          <w:spacing w:val="-4"/>
          <w:sz w:val="28"/>
          <w:szCs w:val="28"/>
          <w:highlight w:val="none"/>
        </w:rPr>
        <w:t>3</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监理工程师办公设施费报价表</w:t>
      </w:r>
    </w:p>
    <w:tbl>
      <w:tblPr>
        <w:tblStyle w:val="16"/>
        <w:tblW w:w="1422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063"/>
        <w:gridCol w:w="753"/>
        <w:gridCol w:w="1148"/>
        <w:gridCol w:w="966"/>
        <w:gridCol w:w="1012"/>
        <w:gridCol w:w="1784"/>
        <w:gridCol w:w="1241"/>
        <w:gridCol w:w="949"/>
        <w:gridCol w:w="1108"/>
        <w:gridCol w:w="1040"/>
        <w:gridCol w:w="1040"/>
        <w:gridCol w:w="1482"/>
      </w:tblGrid>
      <w:tr w14:paraId="1BAB3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35" w:type="dxa"/>
            <w:vMerge w:val="restart"/>
            <w:tcBorders>
              <w:top w:val="single" w:color="000000" w:sz="6" w:space="0"/>
              <w:left w:val="single" w:color="000000" w:sz="6" w:space="0"/>
              <w:bottom w:val="nil"/>
            </w:tcBorders>
            <w:textDirection w:val="tbRlV"/>
            <w:vAlign w:val="top"/>
          </w:tcPr>
          <w:p w14:paraId="2B0E842B">
            <w:pPr>
              <w:pStyle w:val="17"/>
              <w:spacing w:before="214" w:line="218" w:lineRule="auto"/>
              <w:ind w:left="467"/>
              <w:rPr>
                <w:color w:val="auto"/>
                <w:highlight w:val="none"/>
              </w:rPr>
            </w:pPr>
            <w:r>
              <w:rPr>
                <w:color w:val="auto"/>
                <w:spacing w:val="8"/>
                <w:highlight w:val="none"/>
              </w:rPr>
              <w:t>序</w:t>
            </w:r>
            <w:r>
              <w:rPr>
                <w:color w:val="auto"/>
                <w:spacing w:val="92"/>
                <w:highlight w:val="none"/>
              </w:rPr>
              <w:t xml:space="preserve"> </w:t>
            </w:r>
            <w:r>
              <w:rPr>
                <w:color w:val="auto"/>
                <w:spacing w:val="8"/>
                <w:highlight w:val="none"/>
              </w:rPr>
              <w:t>号</w:t>
            </w:r>
          </w:p>
        </w:tc>
        <w:tc>
          <w:tcPr>
            <w:tcW w:w="6726" w:type="dxa"/>
            <w:gridSpan w:val="6"/>
            <w:tcBorders>
              <w:top w:val="single" w:color="000000" w:sz="6" w:space="0"/>
            </w:tcBorders>
            <w:vAlign w:val="top"/>
          </w:tcPr>
          <w:p w14:paraId="7A2EA99E">
            <w:pPr>
              <w:pStyle w:val="17"/>
              <w:spacing w:before="184" w:line="228" w:lineRule="auto"/>
              <w:ind w:left="3049"/>
              <w:rPr>
                <w:color w:val="auto"/>
                <w:highlight w:val="none"/>
              </w:rPr>
            </w:pPr>
            <w:r>
              <w:rPr>
                <w:color w:val="auto"/>
                <w:spacing w:val="7"/>
                <w:highlight w:val="none"/>
              </w:rPr>
              <w:t>施工期</w:t>
            </w:r>
          </w:p>
        </w:tc>
        <w:tc>
          <w:tcPr>
            <w:tcW w:w="6860" w:type="dxa"/>
            <w:gridSpan w:val="6"/>
            <w:tcBorders>
              <w:top w:val="single" w:color="000000" w:sz="6" w:space="0"/>
              <w:right w:val="single" w:color="000000" w:sz="6" w:space="0"/>
            </w:tcBorders>
            <w:vAlign w:val="top"/>
          </w:tcPr>
          <w:p w14:paraId="35B93A15">
            <w:pPr>
              <w:pStyle w:val="17"/>
              <w:spacing w:before="183" w:line="228" w:lineRule="auto"/>
              <w:ind w:left="2909"/>
              <w:rPr>
                <w:color w:val="auto"/>
                <w:highlight w:val="none"/>
              </w:rPr>
            </w:pPr>
            <w:r>
              <w:rPr>
                <w:color w:val="auto"/>
                <w:spacing w:val="8"/>
                <w:highlight w:val="none"/>
              </w:rPr>
              <w:t>缺陷责任期</w:t>
            </w:r>
          </w:p>
        </w:tc>
      </w:tr>
      <w:tr w14:paraId="11996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635" w:type="dxa"/>
            <w:vMerge w:val="continue"/>
            <w:tcBorders>
              <w:top w:val="nil"/>
              <w:left w:val="single" w:color="000000" w:sz="6" w:space="0"/>
            </w:tcBorders>
            <w:textDirection w:val="tbRlV"/>
            <w:vAlign w:val="top"/>
          </w:tcPr>
          <w:p w14:paraId="1809D586">
            <w:pPr>
              <w:rPr>
                <w:rFonts w:ascii="Arial"/>
                <w:color w:val="auto"/>
                <w:sz w:val="21"/>
                <w:highlight w:val="none"/>
              </w:rPr>
            </w:pPr>
          </w:p>
        </w:tc>
        <w:tc>
          <w:tcPr>
            <w:tcW w:w="1063" w:type="dxa"/>
            <w:vAlign w:val="top"/>
          </w:tcPr>
          <w:p w14:paraId="595E324C">
            <w:pPr>
              <w:pStyle w:val="17"/>
              <w:spacing w:before="180" w:line="295" w:lineRule="auto"/>
              <w:ind w:left="431" w:right="118" w:hanging="319"/>
              <w:rPr>
                <w:color w:val="auto"/>
                <w:highlight w:val="none"/>
              </w:rPr>
            </w:pPr>
            <w:r>
              <w:rPr>
                <w:color w:val="auto"/>
                <w:spacing w:val="6"/>
                <w:highlight w:val="none"/>
              </w:rPr>
              <w:t>名称及型</w:t>
            </w:r>
            <w:r>
              <w:rPr>
                <w:color w:val="auto"/>
                <w:highlight w:val="none"/>
              </w:rPr>
              <w:t>号</w:t>
            </w:r>
          </w:p>
        </w:tc>
        <w:tc>
          <w:tcPr>
            <w:tcW w:w="753" w:type="dxa"/>
            <w:vAlign w:val="top"/>
          </w:tcPr>
          <w:p w14:paraId="68DE5053">
            <w:pPr>
              <w:spacing w:line="312" w:lineRule="auto"/>
              <w:rPr>
                <w:rFonts w:ascii="Arial"/>
                <w:color w:val="auto"/>
                <w:sz w:val="21"/>
                <w:highlight w:val="none"/>
              </w:rPr>
            </w:pPr>
          </w:p>
          <w:p w14:paraId="04FED38C">
            <w:pPr>
              <w:pStyle w:val="17"/>
              <w:spacing w:before="65" w:line="228" w:lineRule="auto"/>
              <w:ind w:left="169"/>
              <w:rPr>
                <w:color w:val="auto"/>
                <w:highlight w:val="none"/>
              </w:rPr>
            </w:pPr>
            <w:r>
              <w:rPr>
                <w:color w:val="auto"/>
                <w:spacing w:val="3"/>
                <w:highlight w:val="none"/>
              </w:rPr>
              <w:t>数量</w:t>
            </w:r>
          </w:p>
        </w:tc>
        <w:tc>
          <w:tcPr>
            <w:tcW w:w="1148" w:type="dxa"/>
            <w:vAlign w:val="top"/>
          </w:tcPr>
          <w:p w14:paraId="591A0CB1">
            <w:pPr>
              <w:pStyle w:val="17"/>
              <w:spacing w:before="180" w:line="252" w:lineRule="auto"/>
              <w:ind w:left="401" w:right="159" w:hanging="249"/>
              <w:rPr>
                <w:color w:val="auto"/>
                <w:highlight w:val="none"/>
              </w:rPr>
            </w:pPr>
            <w:r>
              <w:rPr>
                <w:color w:val="auto"/>
                <w:spacing w:val="7"/>
                <w:highlight w:val="none"/>
              </w:rPr>
              <w:t>购置合价</w:t>
            </w:r>
            <w:r>
              <w:rPr>
                <w:color w:val="auto"/>
                <w:spacing w:val="-9"/>
                <w:highlight w:val="none"/>
              </w:rPr>
              <w:t>(元)</w:t>
            </w:r>
          </w:p>
        </w:tc>
        <w:tc>
          <w:tcPr>
            <w:tcW w:w="966" w:type="dxa"/>
            <w:vAlign w:val="top"/>
          </w:tcPr>
          <w:p w14:paraId="3492F8AD">
            <w:pPr>
              <w:pStyle w:val="17"/>
              <w:spacing w:before="180" w:line="252" w:lineRule="auto"/>
              <w:ind w:left="311" w:right="170" w:hanging="140"/>
              <w:rPr>
                <w:color w:val="auto"/>
                <w:highlight w:val="none"/>
              </w:rPr>
            </w:pPr>
            <w:r>
              <w:rPr>
                <w:color w:val="auto"/>
                <w:spacing w:val="6"/>
                <w:highlight w:val="none"/>
              </w:rPr>
              <w:t>折旧费</w:t>
            </w:r>
            <w:r>
              <w:rPr>
                <w:color w:val="auto"/>
                <w:spacing w:val="-9"/>
                <w:highlight w:val="none"/>
              </w:rPr>
              <w:t>(元)</w:t>
            </w:r>
          </w:p>
        </w:tc>
        <w:tc>
          <w:tcPr>
            <w:tcW w:w="1012" w:type="dxa"/>
            <w:vAlign w:val="top"/>
          </w:tcPr>
          <w:p w14:paraId="68026A13">
            <w:pPr>
              <w:pStyle w:val="17"/>
              <w:spacing w:before="180" w:line="252" w:lineRule="auto"/>
              <w:ind w:left="334" w:right="193" w:hanging="141"/>
              <w:rPr>
                <w:color w:val="auto"/>
                <w:highlight w:val="none"/>
              </w:rPr>
            </w:pPr>
            <w:r>
              <w:rPr>
                <w:color w:val="auto"/>
                <w:spacing w:val="6"/>
                <w:highlight w:val="none"/>
              </w:rPr>
              <w:t>使用费</w:t>
            </w:r>
            <w:r>
              <w:rPr>
                <w:color w:val="auto"/>
                <w:spacing w:val="-9"/>
                <w:highlight w:val="none"/>
              </w:rPr>
              <w:t>(元)</w:t>
            </w:r>
          </w:p>
        </w:tc>
        <w:tc>
          <w:tcPr>
            <w:tcW w:w="1784" w:type="dxa"/>
            <w:vAlign w:val="top"/>
          </w:tcPr>
          <w:p w14:paraId="04E33C36">
            <w:pPr>
              <w:pStyle w:val="17"/>
              <w:spacing w:before="43" w:line="229" w:lineRule="auto"/>
              <w:ind w:left="587"/>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29F4C23E">
            <w:pPr>
              <w:pStyle w:val="17"/>
              <w:spacing w:before="22" w:line="228" w:lineRule="auto"/>
              <w:ind w:left="267"/>
              <w:rPr>
                <w:color w:val="auto"/>
                <w:highlight w:val="none"/>
              </w:rPr>
            </w:pPr>
            <w:r>
              <w:rPr>
                <w:color w:val="auto"/>
                <w:spacing w:val="7"/>
                <w:highlight w:val="none"/>
              </w:rPr>
              <w:t>折旧及使用费</w:t>
            </w:r>
          </w:p>
          <w:p w14:paraId="4500B9AF">
            <w:pPr>
              <w:pStyle w:val="17"/>
              <w:spacing w:before="26" w:line="214" w:lineRule="auto"/>
              <w:ind w:left="722"/>
              <w:rPr>
                <w:color w:val="auto"/>
                <w:highlight w:val="none"/>
              </w:rPr>
            </w:pPr>
            <w:r>
              <w:rPr>
                <w:color w:val="auto"/>
                <w:spacing w:val="-8"/>
                <w:highlight w:val="none"/>
              </w:rPr>
              <w:t>(元)</w:t>
            </w:r>
          </w:p>
        </w:tc>
        <w:tc>
          <w:tcPr>
            <w:tcW w:w="1241" w:type="dxa"/>
            <w:vAlign w:val="top"/>
          </w:tcPr>
          <w:p w14:paraId="45C2B6F4">
            <w:pPr>
              <w:pStyle w:val="17"/>
              <w:spacing w:before="180" w:line="295" w:lineRule="auto"/>
              <w:ind w:left="525" w:right="199" w:hanging="316"/>
              <w:rPr>
                <w:color w:val="auto"/>
                <w:highlight w:val="none"/>
              </w:rPr>
            </w:pPr>
            <w:r>
              <w:rPr>
                <w:color w:val="auto"/>
                <w:spacing w:val="6"/>
                <w:highlight w:val="none"/>
              </w:rPr>
              <w:t>名称及型</w:t>
            </w:r>
            <w:r>
              <w:rPr>
                <w:color w:val="auto"/>
                <w:highlight w:val="none"/>
              </w:rPr>
              <w:t>号</w:t>
            </w:r>
          </w:p>
        </w:tc>
        <w:tc>
          <w:tcPr>
            <w:tcW w:w="949" w:type="dxa"/>
            <w:vAlign w:val="top"/>
          </w:tcPr>
          <w:p w14:paraId="6BA2760F">
            <w:pPr>
              <w:spacing w:line="312" w:lineRule="auto"/>
              <w:rPr>
                <w:rFonts w:ascii="Arial"/>
                <w:color w:val="auto"/>
                <w:sz w:val="21"/>
                <w:highlight w:val="none"/>
              </w:rPr>
            </w:pPr>
          </w:p>
          <w:p w14:paraId="085F9E02">
            <w:pPr>
              <w:pStyle w:val="17"/>
              <w:spacing w:before="65" w:line="228" w:lineRule="auto"/>
              <w:ind w:left="273"/>
              <w:rPr>
                <w:color w:val="auto"/>
                <w:highlight w:val="none"/>
              </w:rPr>
            </w:pPr>
            <w:r>
              <w:rPr>
                <w:color w:val="auto"/>
                <w:spacing w:val="3"/>
                <w:highlight w:val="none"/>
              </w:rPr>
              <w:t>数量</w:t>
            </w:r>
          </w:p>
        </w:tc>
        <w:tc>
          <w:tcPr>
            <w:tcW w:w="1108" w:type="dxa"/>
            <w:vAlign w:val="top"/>
          </w:tcPr>
          <w:p w14:paraId="5FDFD4BA">
            <w:pPr>
              <w:pStyle w:val="17"/>
              <w:spacing w:before="180" w:line="252" w:lineRule="auto"/>
              <w:ind w:left="388" w:right="129" w:hanging="247"/>
              <w:rPr>
                <w:color w:val="auto"/>
                <w:highlight w:val="none"/>
              </w:rPr>
            </w:pPr>
            <w:r>
              <w:rPr>
                <w:color w:val="auto"/>
                <w:spacing w:val="7"/>
                <w:highlight w:val="none"/>
              </w:rPr>
              <w:t>购置合价</w:t>
            </w:r>
            <w:r>
              <w:rPr>
                <w:color w:val="auto"/>
                <w:spacing w:val="-9"/>
                <w:highlight w:val="none"/>
              </w:rPr>
              <w:t>(元)</w:t>
            </w:r>
          </w:p>
        </w:tc>
        <w:tc>
          <w:tcPr>
            <w:tcW w:w="1040" w:type="dxa"/>
            <w:vAlign w:val="top"/>
          </w:tcPr>
          <w:p w14:paraId="109C2591">
            <w:pPr>
              <w:pStyle w:val="17"/>
              <w:spacing w:before="180" w:line="252" w:lineRule="auto"/>
              <w:ind w:left="355" w:right="200" w:hanging="140"/>
              <w:rPr>
                <w:color w:val="auto"/>
                <w:highlight w:val="none"/>
              </w:rPr>
            </w:pPr>
            <w:r>
              <w:rPr>
                <w:color w:val="auto"/>
                <w:spacing w:val="6"/>
                <w:highlight w:val="none"/>
              </w:rPr>
              <w:t>折旧费</w:t>
            </w:r>
            <w:r>
              <w:rPr>
                <w:color w:val="auto"/>
                <w:spacing w:val="-9"/>
                <w:highlight w:val="none"/>
              </w:rPr>
              <w:t>(元)</w:t>
            </w:r>
          </w:p>
        </w:tc>
        <w:tc>
          <w:tcPr>
            <w:tcW w:w="1040" w:type="dxa"/>
            <w:vAlign w:val="top"/>
          </w:tcPr>
          <w:p w14:paraId="04090A8C">
            <w:pPr>
              <w:pStyle w:val="17"/>
              <w:spacing w:before="180" w:line="252" w:lineRule="auto"/>
              <w:ind w:left="357" w:right="198" w:hanging="141"/>
              <w:rPr>
                <w:color w:val="auto"/>
                <w:highlight w:val="none"/>
              </w:rPr>
            </w:pPr>
            <w:r>
              <w:rPr>
                <w:color w:val="auto"/>
                <w:spacing w:val="6"/>
                <w:highlight w:val="none"/>
              </w:rPr>
              <w:t>使用费</w:t>
            </w:r>
            <w:r>
              <w:rPr>
                <w:color w:val="auto"/>
                <w:spacing w:val="-9"/>
                <w:highlight w:val="none"/>
              </w:rPr>
              <w:t>(元)</w:t>
            </w:r>
          </w:p>
        </w:tc>
        <w:tc>
          <w:tcPr>
            <w:tcW w:w="1482" w:type="dxa"/>
            <w:tcBorders>
              <w:right w:val="single" w:color="000000" w:sz="6" w:space="0"/>
            </w:tcBorders>
            <w:vAlign w:val="top"/>
          </w:tcPr>
          <w:p w14:paraId="1C32DD2D">
            <w:pPr>
              <w:pStyle w:val="17"/>
              <w:spacing w:before="43" w:line="229" w:lineRule="auto"/>
              <w:ind w:left="438"/>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47723797">
            <w:pPr>
              <w:pStyle w:val="17"/>
              <w:spacing w:before="23" w:line="233" w:lineRule="auto"/>
              <w:ind w:left="444" w:right="206" w:hanging="218"/>
              <w:rPr>
                <w:color w:val="auto"/>
                <w:highlight w:val="none"/>
              </w:rPr>
            </w:pPr>
            <w:r>
              <w:rPr>
                <w:color w:val="auto"/>
                <w:spacing w:val="7"/>
                <w:highlight w:val="none"/>
              </w:rPr>
              <w:t>折旧及使用</w:t>
            </w:r>
            <w:r>
              <w:rPr>
                <w:color w:val="auto"/>
                <w:spacing w:val="2"/>
                <w:highlight w:val="none"/>
              </w:rPr>
              <w:t>费(元)</w:t>
            </w:r>
          </w:p>
        </w:tc>
      </w:tr>
      <w:tr w14:paraId="5F112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0B37D969">
            <w:pPr>
              <w:pStyle w:val="17"/>
              <w:spacing w:before="194" w:line="241" w:lineRule="auto"/>
              <w:ind w:left="277"/>
              <w:rPr>
                <w:color w:val="auto"/>
                <w:highlight w:val="none"/>
              </w:rPr>
            </w:pPr>
            <w:r>
              <w:rPr>
                <w:color w:val="auto"/>
                <w:highlight w:val="none"/>
              </w:rPr>
              <w:t>1</w:t>
            </w:r>
          </w:p>
        </w:tc>
        <w:tc>
          <w:tcPr>
            <w:tcW w:w="1063" w:type="dxa"/>
            <w:vAlign w:val="top"/>
          </w:tcPr>
          <w:p w14:paraId="6E9AC9DC">
            <w:pPr>
              <w:rPr>
                <w:rFonts w:ascii="Arial"/>
                <w:color w:val="auto"/>
                <w:sz w:val="21"/>
                <w:highlight w:val="none"/>
              </w:rPr>
            </w:pPr>
          </w:p>
        </w:tc>
        <w:tc>
          <w:tcPr>
            <w:tcW w:w="753" w:type="dxa"/>
            <w:vAlign w:val="top"/>
          </w:tcPr>
          <w:p w14:paraId="5880CC92">
            <w:pPr>
              <w:rPr>
                <w:rFonts w:ascii="Arial"/>
                <w:color w:val="auto"/>
                <w:sz w:val="21"/>
                <w:highlight w:val="none"/>
              </w:rPr>
            </w:pPr>
          </w:p>
        </w:tc>
        <w:tc>
          <w:tcPr>
            <w:tcW w:w="1148" w:type="dxa"/>
            <w:vAlign w:val="top"/>
          </w:tcPr>
          <w:p w14:paraId="5957D7EB">
            <w:pPr>
              <w:rPr>
                <w:rFonts w:ascii="Arial"/>
                <w:color w:val="auto"/>
                <w:sz w:val="21"/>
                <w:highlight w:val="none"/>
              </w:rPr>
            </w:pPr>
          </w:p>
        </w:tc>
        <w:tc>
          <w:tcPr>
            <w:tcW w:w="966" w:type="dxa"/>
            <w:vAlign w:val="top"/>
          </w:tcPr>
          <w:p w14:paraId="077E9C72">
            <w:pPr>
              <w:rPr>
                <w:rFonts w:ascii="Arial"/>
                <w:color w:val="auto"/>
                <w:sz w:val="21"/>
                <w:highlight w:val="none"/>
              </w:rPr>
            </w:pPr>
          </w:p>
        </w:tc>
        <w:tc>
          <w:tcPr>
            <w:tcW w:w="1012" w:type="dxa"/>
            <w:vAlign w:val="top"/>
          </w:tcPr>
          <w:p w14:paraId="5F20CBEE">
            <w:pPr>
              <w:rPr>
                <w:rFonts w:ascii="Arial"/>
                <w:color w:val="auto"/>
                <w:sz w:val="21"/>
                <w:highlight w:val="none"/>
              </w:rPr>
            </w:pPr>
          </w:p>
        </w:tc>
        <w:tc>
          <w:tcPr>
            <w:tcW w:w="1784" w:type="dxa"/>
            <w:vAlign w:val="top"/>
          </w:tcPr>
          <w:p w14:paraId="1507AB9A">
            <w:pPr>
              <w:rPr>
                <w:rFonts w:ascii="Arial"/>
                <w:color w:val="auto"/>
                <w:sz w:val="21"/>
                <w:highlight w:val="none"/>
              </w:rPr>
            </w:pPr>
          </w:p>
        </w:tc>
        <w:tc>
          <w:tcPr>
            <w:tcW w:w="1241" w:type="dxa"/>
            <w:vAlign w:val="top"/>
          </w:tcPr>
          <w:p w14:paraId="68E3C781">
            <w:pPr>
              <w:rPr>
                <w:rFonts w:ascii="Arial"/>
                <w:color w:val="auto"/>
                <w:sz w:val="21"/>
                <w:highlight w:val="none"/>
              </w:rPr>
            </w:pPr>
          </w:p>
        </w:tc>
        <w:tc>
          <w:tcPr>
            <w:tcW w:w="949" w:type="dxa"/>
            <w:vAlign w:val="top"/>
          </w:tcPr>
          <w:p w14:paraId="6CCD67F4">
            <w:pPr>
              <w:rPr>
                <w:rFonts w:ascii="Arial"/>
                <w:color w:val="auto"/>
                <w:sz w:val="21"/>
                <w:highlight w:val="none"/>
              </w:rPr>
            </w:pPr>
          </w:p>
        </w:tc>
        <w:tc>
          <w:tcPr>
            <w:tcW w:w="1108" w:type="dxa"/>
            <w:vAlign w:val="top"/>
          </w:tcPr>
          <w:p w14:paraId="20580A40">
            <w:pPr>
              <w:rPr>
                <w:rFonts w:ascii="Arial"/>
                <w:color w:val="auto"/>
                <w:sz w:val="21"/>
                <w:highlight w:val="none"/>
              </w:rPr>
            </w:pPr>
          </w:p>
        </w:tc>
        <w:tc>
          <w:tcPr>
            <w:tcW w:w="1040" w:type="dxa"/>
            <w:vAlign w:val="top"/>
          </w:tcPr>
          <w:p w14:paraId="0B11D4FB">
            <w:pPr>
              <w:rPr>
                <w:rFonts w:ascii="Arial"/>
                <w:color w:val="auto"/>
                <w:sz w:val="21"/>
                <w:highlight w:val="none"/>
              </w:rPr>
            </w:pPr>
          </w:p>
        </w:tc>
        <w:tc>
          <w:tcPr>
            <w:tcW w:w="1040" w:type="dxa"/>
            <w:vAlign w:val="top"/>
          </w:tcPr>
          <w:p w14:paraId="1043BB5B">
            <w:pPr>
              <w:rPr>
                <w:rFonts w:ascii="Arial"/>
                <w:color w:val="auto"/>
                <w:sz w:val="21"/>
                <w:highlight w:val="none"/>
              </w:rPr>
            </w:pPr>
          </w:p>
        </w:tc>
        <w:tc>
          <w:tcPr>
            <w:tcW w:w="1482" w:type="dxa"/>
            <w:tcBorders>
              <w:right w:val="single" w:color="000000" w:sz="6" w:space="0"/>
            </w:tcBorders>
            <w:vAlign w:val="top"/>
          </w:tcPr>
          <w:p w14:paraId="260275AC">
            <w:pPr>
              <w:rPr>
                <w:rFonts w:ascii="Arial"/>
                <w:color w:val="auto"/>
                <w:sz w:val="21"/>
                <w:highlight w:val="none"/>
              </w:rPr>
            </w:pPr>
          </w:p>
        </w:tc>
      </w:tr>
      <w:tr w14:paraId="0B6C2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04A3F6B4">
            <w:pPr>
              <w:pStyle w:val="17"/>
              <w:spacing w:before="194" w:line="241" w:lineRule="auto"/>
              <w:ind w:left="264"/>
              <w:rPr>
                <w:color w:val="auto"/>
                <w:highlight w:val="none"/>
              </w:rPr>
            </w:pPr>
            <w:r>
              <w:rPr>
                <w:color w:val="auto"/>
                <w:highlight w:val="none"/>
              </w:rPr>
              <w:t>2</w:t>
            </w:r>
          </w:p>
        </w:tc>
        <w:tc>
          <w:tcPr>
            <w:tcW w:w="1063" w:type="dxa"/>
            <w:vAlign w:val="top"/>
          </w:tcPr>
          <w:p w14:paraId="27C19D8F">
            <w:pPr>
              <w:rPr>
                <w:rFonts w:ascii="Arial"/>
                <w:color w:val="auto"/>
                <w:sz w:val="21"/>
                <w:highlight w:val="none"/>
              </w:rPr>
            </w:pPr>
          </w:p>
        </w:tc>
        <w:tc>
          <w:tcPr>
            <w:tcW w:w="753" w:type="dxa"/>
            <w:vAlign w:val="top"/>
          </w:tcPr>
          <w:p w14:paraId="7E17A6FB">
            <w:pPr>
              <w:rPr>
                <w:rFonts w:ascii="Arial"/>
                <w:color w:val="auto"/>
                <w:sz w:val="21"/>
                <w:highlight w:val="none"/>
              </w:rPr>
            </w:pPr>
          </w:p>
        </w:tc>
        <w:tc>
          <w:tcPr>
            <w:tcW w:w="1148" w:type="dxa"/>
            <w:vAlign w:val="top"/>
          </w:tcPr>
          <w:p w14:paraId="37FE603B">
            <w:pPr>
              <w:rPr>
                <w:rFonts w:ascii="Arial"/>
                <w:color w:val="auto"/>
                <w:sz w:val="21"/>
                <w:highlight w:val="none"/>
              </w:rPr>
            </w:pPr>
          </w:p>
        </w:tc>
        <w:tc>
          <w:tcPr>
            <w:tcW w:w="966" w:type="dxa"/>
            <w:vAlign w:val="top"/>
          </w:tcPr>
          <w:p w14:paraId="5907F790">
            <w:pPr>
              <w:rPr>
                <w:rFonts w:ascii="Arial"/>
                <w:color w:val="auto"/>
                <w:sz w:val="21"/>
                <w:highlight w:val="none"/>
              </w:rPr>
            </w:pPr>
          </w:p>
        </w:tc>
        <w:tc>
          <w:tcPr>
            <w:tcW w:w="1012" w:type="dxa"/>
            <w:vAlign w:val="top"/>
          </w:tcPr>
          <w:p w14:paraId="71708D6C">
            <w:pPr>
              <w:rPr>
                <w:rFonts w:ascii="Arial"/>
                <w:color w:val="auto"/>
                <w:sz w:val="21"/>
                <w:highlight w:val="none"/>
              </w:rPr>
            </w:pPr>
          </w:p>
        </w:tc>
        <w:tc>
          <w:tcPr>
            <w:tcW w:w="1784" w:type="dxa"/>
            <w:vAlign w:val="top"/>
          </w:tcPr>
          <w:p w14:paraId="3C1FC3FC">
            <w:pPr>
              <w:rPr>
                <w:rFonts w:ascii="Arial"/>
                <w:color w:val="auto"/>
                <w:sz w:val="21"/>
                <w:highlight w:val="none"/>
              </w:rPr>
            </w:pPr>
          </w:p>
        </w:tc>
        <w:tc>
          <w:tcPr>
            <w:tcW w:w="1241" w:type="dxa"/>
            <w:vAlign w:val="top"/>
          </w:tcPr>
          <w:p w14:paraId="2937F236">
            <w:pPr>
              <w:rPr>
                <w:rFonts w:ascii="Arial"/>
                <w:color w:val="auto"/>
                <w:sz w:val="21"/>
                <w:highlight w:val="none"/>
              </w:rPr>
            </w:pPr>
          </w:p>
        </w:tc>
        <w:tc>
          <w:tcPr>
            <w:tcW w:w="949" w:type="dxa"/>
            <w:vAlign w:val="top"/>
          </w:tcPr>
          <w:p w14:paraId="0751B253">
            <w:pPr>
              <w:rPr>
                <w:rFonts w:ascii="Arial"/>
                <w:color w:val="auto"/>
                <w:sz w:val="21"/>
                <w:highlight w:val="none"/>
              </w:rPr>
            </w:pPr>
          </w:p>
        </w:tc>
        <w:tc>
          <w:tcPr>
            <w:tcW w:w="1108" w:type="dxa"/>
            <w:vAlign w:val="top"/>
          </w:tcPr>
          <w:p w14:paraId="7BA18E13">
            <w:pPr>
              <w:rPr>
                <w:rFonts w:ascii="Arial"/>
                <w:color w:val="auto"/>
                <w:sz w:val="21"/>
                <w:highlight w:val="none"/>
              </w:rPr>
            </w:pPr>
          </w:p>
        </w:tc>
        <w:tc>
          <w:tcPr>
            <w:tcW w:w="1040" w:type="dxa"/>
            <w:vAlign w:val="top"/>
          </w:tcPr>
          <w:p w14:paraId="2DC777D4">
            <w:pPr>
              <w:rPr>
                <w:rFonts w:ascii="Arial"/>
                <w:color w:val="auto"/>
                <w:sz w:val="21"/>
                <w:highlight w:val="none"/>
              </w:rPr>
            </w:pPr>
          </w:p>
        </w:tc>
        <w:tc>
          <w:tcPr>
            <w:tcW w:w="1040" w:type="dxa"/>
            <w:vAlign w:val="top"/>
          </w:tcPr>
          <w:p w14:paraId="51EB22AD">
            <w:pPr>
              <w:rPr>
                <w:rFonts w:ascii="Arial"/>
                <w:color w:val="auto"/>
                <w:sz w:val="21"/>
                <w:highlight w:val="none"/>
              </w:rPr>
            </w:pPr>
          </w:p>
        </w:tc>
        <w:tc>
          <w:tcPr>
            <w:tcW w:w="1482" w:type="dxa"/>
            <w:tcBorders>
              <w:right w:val="single" w:color="000000" w:sz="6" w:space="0"/>
            </w:tcBorders>
            <w:vAlign w:val="top"/>
          </w:tcPr>
          <w:p w14:paraId="15629C8D">
            <w:pPr>
              <w:rPr>
                <w:rFonts w:ascii="Arial"/>
                <w:color w:val="auto"/>
                <w:sz w:val="21"/>
                <w:highlight w:val="none"/>
              </w:rPr>
            </w:pPr>
          </w:p>
        </w:tc>
      </w:tr>
      <w:tr w14:paraId="29525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7F618F7E">
            <w:pPr>
              <w:pStyle w:val="17"/>
              <w:spacing w:before="195"/>
              <w:ind w:left="266"/>
              <w:rPr>
                <w:color w:val="auto"/>
                <w:highlight w:val="none"/>
              </w:rPr>
            </w:pPr>
            <w:r>
              <w:rPr>
                <w:color w:val="auto"/>
                <w:highlight w:val="none"/>
              </w:rPr>
              <w:t>3</w:t>
            </w:r>
          </w:p>
        </w:tc>
        <w:tc>
          <w:tcPr>
            <w:tcW w:w="1063" w:type="dxa"/>
            <w:vAlign w:val="top"/>
          </w:tcPr>
          <w:p w14:paraId="77EFB859">
            <w:pPr>
              <w:rPr>
                <w:rFonts w:ascii="Arial"/>
                <w:color w:val="auto"/>
                <w:sz w:val="21"/>
                <w:highlight w:val="none"/>
              </w:rPr>
            </w:pPr>
          </w:p>
        </w:tc>
        <w:tc>
          <w:tcPr>
            <w:tcW w:w="753" w:type="dxa"/>
            <w:vAlign w:val="top"/>
          </w:tcPr>
          <w:p w14:paraId="45CAF894">
            <w:pPr>
              <w:rPr>
                <w:rFonts w:ascii="Arial"/>
                <w:color w:val="auto"/>
                <w:sz w:val="21"/>
                <w:highlight w:val="none"/>
              </w:rPr>
            </w:pPr>
          </w:p>
        </w:tc>
        <w:tc>
          <w:tcPr>
            <w:tcW w:w="1148" w:type="dxa"/>
            <w:vAlign w:val="top"/>
          </w:tcPr>
          <w:p w14:paraId="0A051D08">
            <w:pPr>
              <w:rPr>
                <w:rFonts w:ascii="Arial"/>
                <w:color w:val="auto"/>
                <w:sz w:val="21"/>
                <w:highlight w:val="none"/>
              </w:rPr>
            </w:pPr>
          </w:p>
        </w:tc>
        <w:tc>
          <w:tcPr>
            <w:tcW w:w="966" w:type="dxa"/>
            <w:vAlign w:val="top"/>
          </w:tcPr>
          <w:p w14:paraId="48B4937F">
            <w:pPr>
              <w:rPr>
                <w:rFonts w:ascii="Arial"/>
                <w:color w:val="auto"/>
                <w:sz w:val="21"/>
                <w:highlight w:val="none"/>
              </w:rPr>
            </w:pPr>
          </w:p>
        </w:tc>
        <w:tc>
          <w:tcPr>
            <w:tcW w:w="1012" w:type="dxa"/>
            <w:vAlign w:val="top"/>
          </w:tcPr>
          <w:p w14:paraId="0D7AE52F">
            <w:pPr>
              <w:rPr>
                <w:rFonts w:ascii="Arial"/>
                <w:color w:val="auto"/>
                <w:sz w:val="21"/>
                <w:highlight w:val="none"/>
              </w:rPr>
            </w:pPr>
          </w:p>
        </w:tc>
        <w:tc>
          <w:tcPr>
            <w:tcW w:w="1784" w:type="dxa"/>
            <w:vAlign w:val="top"/>
          </w:tcPr>
          <w:p w14:paraId="28404937">
            <w:pPr>
              <w:rPr>
                <w:rFonts w:ascii="Arial"/>
                <w:color w:val="auto"/>
                <w:sz w:val="21"/>
                <w:highlight w:val="none"/>
              </w:rPr>
            </w:pPr>
          </w:p>
        </w:tc>
        <w:tc>
          <w:tcPr>
            <w:tcW w:w="1241" w:type="dxa"/>
            <w:vAlign w:val="top"/>
          </w:tcPr>
          <w:p w14:paraId="0690AC56">
            <w:pPr>
              <w:rPr>
                <w:rFonts w:ascii="Arial"/>
                <w:color w:val="auto"/>
                <w:sz w:val="21"/>
                <w:highlight w:val="none"/>
              </w:rPr>
            </w:pPr>
          </w:p>
        </w:tc>
        <w:tc>
          <w:tcPr>
            <w:tcW w:w="949" w:type="dxa"/>
            <w:vAlign w:val="top"/>
          </w:tcPr>
          <w:p w14:paraId="3052205D">
            <w:pPr>
              <w:rPr>
                <w:rFonts w:ascii="Arial"/>
                <w:color w:val="auto"/>
                <w:sz w:val="21"/>
                <w:highlight w:val="none"/>
              </w:rPr>
            </w:pPr>
          </w:p>
        </w:tc>
        <w:tc>
          <w:tcPr>
            <w:tcW w:w="1108" w:type="dxa"/>
            <w:vAlign w:val="top"/>
          </w:tcPr>
          <w:p w14:paraId="1EF1AF75">
            <w:pPr>
              <w:rPr>
                <w:rFonts w:ascii="Arial"/>
                <w:color w:val="auto"/>
                <w:sz w:val="21"/>
                <w:highlight w:val="none"/>
              </w:rPr>
            </w:pPr>
          </w:p>
        </w:tc>
        <w:tc>
          <w:tcPr>
            <w:tcW w:w="1040" w:type="dxa"/>
            <w:vAlign w:val="top"/>
          </w:tcPr>
          <w:p w14:paraId="43071E94">
            <w:pPr>
              <w:rPr>
                <w:rFonts w:ascii="Arial"/>
                <w:color w:val="auto"/>
                <w:sz w:val="21"/>
                <w:highlight w:val="none"/>
              </w:rPr>
            </w:pPr>
          </w:p>
        </w:tc>
        <w:tc>
          <w:tcPr>
            <w:tcW w:w="1040" w:type="dxa"/>
            <w:vAlign w:val="top"/>
          </w:tcPr>
          <w:p w14:paraId="4B5E095A">
            <w:pPr>
              <w:rPr>
                <w:rFonts w:ascii="Arial"/>
                <w:color w:val="auto"/>
                <w:sz w:val="21"/>
                <w:highlight w:val="none"/>
              </w:rPr>
            </w:pPr>
          </w:p>
        </w:tc>
        <w:tc>
          <w:tcPr>
            <w:tcW w:w="1482" w:type="dxa"/>
            <w:tcBorders>
              <w:right w:val="single" w:color="000000" w:sz="6" w:space="0"/>
            </w:tcBorders>
            <w:vAlign w:val="top"/>
          </w:tcPr>
          <w:p w14:paraId="15C0385E">
            <w:pPr>
              <w:rPr>
                <w:rFonts w:ascii="Arial"/>
                <w:color w:val="auto"/>
                <w:sz w:val="21"/>
                <w:highlight w:val="none"/>
              </w:rPr>
            </w:pPr>
          </w:p>
        </w:tc>
      </w:tr>
      <w:tr w14:paraId="36962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77360DE6">
            <w:pPr>
              <w:pStyle w:val="17"/>
              <w:spacing w:before="198" w:line="238" w:lineRule="auto"/>
              <w:ind w:left="261"/>
              <w:rPr>
                <w:color w:val="auto"/>
                <w:highlight w:val="none"/>
              </w:rPr>
            </w:pPr>
            <w:r>
              <w:rPr>
                <w:color w:val="auto"/>
                <w:highlight w:val="none"/>
              </w:rPr>
              <w:t>4</w:t>
            </w:r>
          </w:p>
        </w:tc>
        <w:tc>
          <w:tcPr>
            <w:tcW w:w="1063" w:type="dxa"/>
            <w:vAlign w:val="top"/>
          </w:tcPr>
          <w:p w14:paraId="72F379B3">
            <w:pPr>
              <w:rPr>
                <w:rFonts w:ascii="Arial"/>
                <w:color w:val="auto"/>
                <w:sz w:val="21"/>
                <w:highlight w:val="none"/>
              </w:rPr>
            </w:pPr>
          </w:p>
        </w:tc>
        <w:tc>
          <w:tcPr>
            <w:tcW w:w="753" w:type="dxa"/>
            <w:vAlign w:val="top"/>
          </w:tcPr>
          <w:p w14:paraId="00110C17">
            <w:pPr>
              <w:rPr>
                <w:rFonts w:ascii="Arial"/>
                <w:color w:val="auto"/>
                <w:sz w:val="21"/>
                <w:highlight w:val="none"/>
              </w:rPr>
            </w:pPr>
          </w:p>
        </w:tc>
        <w:tc>
          <w:tcPr>
            <w:tcW w:w="1148" w:type="dxa"/>
            <w:vAlign w:val="top"/>
          </w:tcPr>
          <w:p w14:paraId="6DFE9C98">
            <w:pPr>
              <w:rPr>
                <w:rFonts w:ascii="Arial"/>
                <w:color w:val="auto"/>
                <w:sz w:val="21"/>
                <w:highlight w:val="none"/>
              </w:rPr>
            </w:pPr>
          </w:p>
        </w:tc>
        <w:tc>
          <w:tcPr>
            <w:tcW w:w="966" w:type="dxa"/>
            <w:vAlign w:val="top"/>
          </w:tcPr>
          <w:p w14:paraId="2AC7656A">
            <w:pPr>
              <w:rPr>
                <w:rFonts w:ascii="Arial"/>
                <w:color w:val="auto"/>
                <w:sz w:val="21"/>
                <w:highlight w:val="none"/>
              </w:rPr>
            </w:pPr>
          </w:p>
        </w:tc>
        <w:tc>
          <w:tcPr>
            <w:tcW w:w="1012" w:type="dxa"/>
            <w:vAlign w:val="top"/>
          </w:tcPr>
          <w:p w14:paraId="7F2FA02C">
            <w:pPr>
              <w:rPr>
                <w:rFonts w:ascii="Arial"/>
                <w:color w:val="auto"/>
                <w:sz w:val="21"/>
                <w:highlight w:val="none"/>
              </w:rPr>
            </w:pPr>
          </w:p>
        </w:tc>
        <w:tc>
          <w:tcPr>
            <w:tcW w:w="1784" w:type="dxa"/>
            <w:vAlign w:val="top"/>
          </w:tcPr>
          <w:p w14:paraId="5849F82E">
            <w:pPr>
              <w:rPr>
                <w:rFonts w:ascii="Arial"/>
                <w:color w:val="auto"/>
                <w:sz w:val="21"/>
                <w:highlight w:val="none"/>
              </w:rPr>
            </w:pPr>
          </w:p>
        </w:tc>
        <w:tc>
          <w:tcPr>
            <w:tcW w:w="1241" w:type="dxa"/>
            <w:vAlign w:val="top"/>
          </w:tcPr>
          <w:p w14:paraId="42470D2B">
            <w:pPr>
              <w:rPr>
                <w:rFonts w:ascii="Arial"/>
                <w:color w:val="auto"/>
                <w:sz w:val="21"/>
                <w:highlight w:val="none"/>
              </w:rPr>
            </w:pPr>
          </w:p>
        </w:tc>
        <w:tc>
          <w:tcPr>
            <w:tcW w:w="949" w:type="dxa"/>
            <w:vAlign w:val="top"/>
          </w:tcPr>
          <w:p w14:paraId="53E260AD">
            <w:pPr>
              <w:rPr>
                <w:rFonts w:ascii="Arial"/>
                <w:color w:val="auto"/>
                <w:sz w:val="21"/>
                <w:highlight w:val="none"/>
              </w:rPr>
            </w:pPr>
          </w:p>
        </w:tc>
        <w:tc>
          <w:tcPr>
            <w:tcW w:w="1108" w:type="dxa"/>
            <w:vAlign w:val="top"/>
          </w:tcPr>
          <w:p w14:paraId="6DCDCDAE">
            <w:pPr>
              <w:rPr>
                <w:rFonts w:ascii="Arial"/>
                <w:color w:val="auto"/>
                <w:sz w:val="21"/>
                <w:highlight w:val="none"/>
              </w:rPr>
            </w:pPr>
          </w:p>
        </w:tc>
        <w:tc>
          <w:tcPr>
            <w:tcW w:w="1040" w:type="dxa"/>
            <w:vAlign w:val="top"/>
          </w:tcPr>
          <w:p w14:paraId="708B5D38">
            <w:pPr>
              <w:rPr>
                <w:rFonts w:ascii="Arial"/>
                <w:color w:val="auto"/>
                <w:sz w:val="21"/>
                <w:highlight w:val="none"/>
              </w:rPr>
            </w:pPr>
          </w:p>
        </w:tc>
        <w:tc>
          <w:tcPr>
            <w:tcW w:w="1040" w:type="dxa"/>
            <w:vAlign w:val="top"/>
          </w:tcPr>
          <w:p w14:paraId="2F96250A">
            <w:pPr>
              <w:rPr>
                <w:rFonts w:ascii="Arial"/>
                <w:color w:val="auto"/>
                <w:sz w:val="21"/>
                <w:highlight w:val="none"/>
              </w:rPr>
            </w:pPr>
          </w:p>
        </w:tc>
        <w:tc>
          <w:tcPr>
            <w:tcW w:w="1482" w:type="dxa"/>
            <w:tcBorders>
              <w:right w:val="single" w:color="000000" w:sz="6" w:space="0"/>
            </w:tcBorders>
            <w:vAlign w:val="top"/>
          </w:tcPr>
          <w:p w14:paraId="6BEE096B">
            <w:pPr>
              <w:rPr>
                <w:rFonts w:ascii="Arial"/>
                <w:color w:val="auto"/>
                <w:sz w:val="21"/>
                <w:highlight w:val="none"/>
              </w:rPr>
            </w:pPr>
          </w:p>
        </w:tc>
      </w:tr>
      <w:tr w14:paraId="3AFCB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174012CE">
            <w:pPr>
              <w:pStyle w:val="17"/>
              <w:spacing w:before="197" w:line="239" w:lineRule="auto"/>
              <w:ind w:left="266"/>
              <w:rPr>
                <w:color w:val="auto"/>
                <w:highlight w:val="none"/>
              </w:rPr>
            </w:pPr>
            <w:r>
              <w:rPr>
                <w:color w:val="auto"/>
                <w:highlight w:val="none"/>
              </w:rPr>
              <w:t>5</w:t>
            </w:r>
          </w:p>
        </w:tc>
        <w:tc>
          <w:tcPr>
            <w:tcW w:w="1063" w:type="dxa"/>
            <w:vAlign w:val="top"/>
          </w:tcPr>
          <w:p w14:paraId="49F16E4F">
            <w:pPr>
              <w:rPr>
                <w:rFonts w:ascii="Arial"/>
                <w:color w:val="auto"/>
                <w:sz w:val="21"/>
                <w:highlight w:val="none"/>
              </w:rPr>
            </w:pPr>
          </w:p>
        </w:tc>
        <w:tc>
          <w:tcPr>
            <w:tcW w:w="753" w:type="dxa"/>
            <w:vAlign w:val="top"/>
          </w:tcPr>
          <w:p w14:paraId="2A09B49D">
            <w:pPr>
              <w:rPr>
                <w:rFonts w:ascii="Arial"/>
                <w:color w:val="auto"/>
                <w:sz w:val="21"/>
                <w:highlight w:val="none"/>
              </w:rPr>
            </w:pPr>
          </w:p>
        </w:tc>
        <w:tc>
          <w:tcPr>
            <w:tcW w:w="1148" w:type="dxa"/>
            <w:vAlign w:val="top"/>
          </w:tcPr>
          <w:p w14:paraId="7BFE1FB5">
            <w:pPr>
              <w:rPr>
                <w:rFonts w:ascii="Arial"/>
                <w:color w:val="auto"/>
                <w:sz w:val="21"/>
                <w:highlight w:val="none"/>
              </w:rPr>
            </w:pPr>
          </w:p>
        </w:tc>
        <w:tc>
          <w:tcPr>
            <w:tcW w:w="966" w:type="dxa"/>
            <w:vAlign w:val="top"/>
          </w:tcPr>
          <w:p w14:paraId="6DC89A45">
            <w:pPr>
              <w:rPr>
                <w:rFonts w:ascii="Arial"/>
                <w:color w:val="auto"/>
                <w:sz w:val="21"/>
                <w:highlight w:val="none"/>
              </w:rPr>
            </w:pPr>
          </w:p>
        </w:tc>
        <w:tc>
          <w:tcPr>
            <w:tcW w:w="1012" w:type="dxa"/>
            <w:vAlign w:val="top"/>
          </w:tcPr>
          <w:p w14:paraId="1A4A0B3A">
            <w:pPr>
              <w:rPr>
                <w:rFonts w:ascii="Arial"/>
                <w:color w:val="auto"/>
                <w:sz w:val="21"/>
                <w:highlight w:val="none"/>
              </w:rPr>
            </w:pPr>
          </w:p>
        </w:tc>
        <w:tc>
          <w:tcPr>
            <w:tcW w:w="1784" w:type="dxa"/>
            <w:vAlign w:val="top"/>
          </w:tcPr>
          <w:p w14:paraId="64451913">
            <w:pPr>
              <w:rPr>
                <w:rFonts w:ascii="Arial"/>
                <w:color w:val="auto"/>
                <w:sz w:val="21"/>
                <w:highlight w:val="none"/>
              </w:rPr>
            </w:pPr>
          </w:p>
        </w:tc>
        <w:tc>
          <w:tcPr>
            <w:tcW w:w="1241" w:type="dxa"/>
            <w:vAlign w:val="top"/>
          </w:tcPr>
          <w:p w14:paraId="58E004D4">
            <w:pPr>
              <w:rPr>
                <w:rFonts w:ascii="Arial"/>
                <w:color w:val="auto"/>
                <w:sz w:val="21"/>
                <w:highlight w:val="none"/>
              </w:rPr>
            </w:pPr>
          </w:p>
        </w:tc>
        <w:tc>
          <w:tcPr>
            <w:tcW w:w="949" w:type="dxa"/>
            <w:vAlign w:val="top"/>
          </w:tcPr>
          <w:p w14:paraId="7549E162">
            <w:pPr>
              <w:rPr>
                <w:rFonts w:ascii="Arial"/>
                <w:color w:val="auto"/>
                <w:sz w:val="21"/>
                <w:highlight w:val="none"/>
              </w:rPr>
            </w:pPr>
          </w:p>
        </w:tc>
        <w:tc>
          <w:tcPr>
            <w:tcW w:w="1108" w:type="dxa"/>
            <w:vAlign w:val="top"/>
          </w:tcPr>
          <w:p w14:paraId="2006AAE8">
            <w:pPr>
              <w:rPr>
                <w:rFonts w:ascii="Arial"/>
                <w:color w:val="auto"/>
                <w:sz w:val="21"/>
                <w:highlight w:val="none"/>
              </w:rPr>
            </w:pPr>
          </w:p>
        </w:tc>
        <w:tc>
          <w:tcPr>
            <w:tcW w:w="1040" w:type="dxa"/>
            <w:vAlign w:val="top"/>
          </w:tcPr>
          <w:p w14:paraId="542D79C9">
            <w:pPr>
              <w:rPr>
                <w:rFonts w:ascii="Arial"/>
                <w:color w:val="auto"/>
                <w:sz w:val="21"/>
                <w:highlight w:val="none"/>
              </w:rPr>
            </w:pPr>
          </w:p>
        </w:tc>
        <w:tc>
          <w:tcPr>
            <w:tcW w:w="1040" w:type="dxa"/>
            <w:vAlign w:val="top"/>
          </w:tcPr>
          <w:p w14:paraId="4ADAA8D3">
            <w:pPr>
              <w:rPr>
                <w:rFonts w:ascii="Arial"/>
                <w:color w:val="auto"/>
                <w:sz w:val="21"/>
                <w:highlight w:val="none"/>
              </w:rPr>
            </w:pPr>
          </w:p>
        </w:tc>
        <w:tc>
          <w:tcPr>
            <w:tcW w:w="1482" w:type="dxa"/>
            <w:tcBorders>
              <w:right w:val="single" w:color="000000" w:sz="6" w:space="0"/>
            </w:tcBorders>
            <w:vAlign w:val="top"/>
          </w:tcPr>
          <w:p w14:paraId="774DAA07">
            <w:pPr>
              <w:rPr>
                <w:rFonts w:ascii="Arial"/>
                <w:color w:val="auto"/>
                <w:sz w:val="21"/>
                <w:highlight w:val="none"/>
              </w:rPr>
            </w:pPr>
          </w:p>
        </w:tc>
      </w:tr>
      <w:tr w14:paraId="0F57E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35" w:type="dxa"/>
            <w:tcBorders>
              <w:left w:val="single" w:color="000000" w:sz="6" w:space="0"/>
            </w:tcBorders>
            <w:vAlign w:val="top"/>
          </w:tcPr>
          <w:p w14:paraId="44348603">
            <w:pPr>
              <w:pStyle w:val="17"/>
              <w:spacing w:before="199" w:line="238" w:lineRule="auto"/>
              <w:ind w:left="264"/>
              <w:rPr>
                <w:color w:val="auto"/>
                <w:highlight w:val="none"/>
              </w:rPr>
            </w:pPr>
            <w:r>
              <w:rPr>
                <w:color w:val="auto"/>
                <w:highlight w:val="none"/>
              </w:rPr>
              <w:t>6</w:t>
            </w:r>
          </w:p>
        </w:tc>
        <w:tc>
          <w:tcPr>
            <w:tcW w:w="1063" w:type="dxa"/>
            <w:vAlign w:val="top"/>
          </w:tcPr>
          <w:p w14:paraId="181BCCB1">
            <w:pPr>
              <w:rPr>
                <w:rFonts w:ascii="Arial"/>
                <w:color w:val="auto"/>
                <w:sz w:val="21"/>
                <w:highlight w:val="none"/>
              </w:rPr>
            </w:pPr>
          </w:p>
        </w:tc>
        <w:tc>
          <w:tcPr>
            <w:tcW w:w="753" w:type="dxa"/>
            <w:vAlign w:val="top"/>
          </w:tcPr>
          <w:p w14:paraId="7FC9871B">
            <w:pPr>
              <w:rPr>
                <w:rFonts w:ascii="Arial"/>
                <w:color w:val="auto"/>
                <w:sz w:val="21"/>
                <w:highlight w:val="none"/>
              </w:rPr>
            </w:pPr>
          </w:p>
        </w:tc>
        <w:tc>
          <w:tcPr>
            <w:tcW w:w="1148" w:type="dxa"/>
            <w:vAlign w:val="top"/>
          </w:tcPr>
          <w:p w14:paraId="5945C903">
            <w:pPr>
              <w:rPr>
                <w:rFonts w:ascii="Arial"/>
                <w:color w:val="auto"/>
                <w:sz w:val="21"/>
                <w:highlight w:val="none"/>
              </w:rPr>
            </w:pPr>
          </w:p>
        </w:tc>
        <w:tc>
          <w:tcPr>
            <w:tcW w:w="966" w:type="dxa"/>
            <w:vAlign w:val="top"/>
          </w:tcPr>
          <w:p w14:paraId="3FE29063">
            <w:pPr>
              <w:rPr>
                <w:rFonts w:ascii="Arial"/>
                <w:color w:val="auto"/>
                <w:sz w:val="21"/>
                <w:highlight w:val="none"/>
              </w:rPr>
            </w:pPr>
          </w:p>
        </w:tc>
        <w:tc>
          <w:tcPr>
            <w:tcW w:w="1012" w:type="dxa"/>
            <w:vAlign w:val="top"/>
          </w:tcPr>
          <w:p w14:paraId="178F5389">
            <w:pPr>
              <w:rPr>
                <w:rFonts w:ascii="Arial"/>
                <w:color w:val="auto"/>
                <w:sz w:val="21"/>
                <w:highlight w:val="none"/>
              </w:rPr>
            </w:pPr>
          </w:p>
        </w:tc>
        <w:tc>
          <w:tcPr>
            <w:tcW w:w="1784" w:type="dxa"/>
            <w:vAlign w:val="top"/>
          </w:tcPr>
          <w:p w14:paraId="457C3AC3">
            <w:pPr>
              <w:rPr>
                <w:rFonts w:ascii="Arial"/>
                <w:color w:val="auto"/>
                <w:sz w:val="21"/>
                <w:highlight w:val="none"/>
              </w:rPr>
            </w:pPr>
          </w:p>
        </w:tc>
        <w:tc>
          <w:tcPr>
            <w:tcW w:w="1241" w:type="dxa"/>
            <w:vAlign w:val="top"/>
          </w:tcPr>
          <w:p w14:paraId="3B116AA1">
            <w:pPr>
              <w:rPr>
                <w:rFonts w:ascii="Arial"/>
                <w:color w:val="auto"/>
                <w:sz w:val="21"/>
                <w:highlight w:val="none"/>
              </w:rPr>
            </w:pPr>
          </w:p>
        </w:tc>
        <w:tc>
          <w:tcPr>
            <w:tcW w:w="949" w:type="dxa"/>
            <w:vAlign w:val="top"/>
          </w:tcPr>
          <w:p w14:paraId="669CDCCD">
            <w:pPr>
              <w:rPr>
                <w:rFonts w:ascii="Arial"/>
                <w:color w:val="auto"/>
                <w:sz w:val="21"/>
                <w:highlight w:val="none"/>
              </w:rPr>
            </w:pPr>
          </w:p>
        </w:tc>
        <w:tc>
          <w:tcPr>
            <w:tcW w:w="1108" w:type="dxa"/>
            <w:vAlign w:val="top"/>
          </w:tcPr>
          <w:p w14:paraId="423785E6">
            <w:pPr>
              <w:rPr>
                <w:rFonts w:ascii="Arial"/>
                <w:color w:val="auto"/>
                <w:sz w:val="21"/>
                <w:highlight w:val="none"/>
              </w:rPr>
            </w:pPr>
          </w:p>
        </w:tc>
        <w:tc>
          <w:tcPr>
            <w:tcW w:w="1040" w:type="dxa"/>
            <w:vAlign w:val="top"/>
          </w:tcPr>
          <w:p w14:paraId="5B144E79">
            <w:pPr>
              <w:rPr>
                <w:rFonts w:ascii="Arial"/>
                <w:color w:val="auto"/>
                <w:sz w:val="21"/>
                <w:highlight w:val="none"/>
              </w:rPr>
            </w:pPr>
          </w:p>
        </w:tc>
        <w:tc>
          <w:tcPr>
            <w:tcW w:w="1040" w:type="dxa"/>
            <w:vAlign w:val="top"/>
          </w:tcPr>
          <w:p w14:paraId="63A1F062">
            <w:pPr>
              <w:rPr>
                <w:rFonts w:ascii="Arial"/>
                <w:color w:val="auto"/>
                <w:sz w:val="21"/>
                <w:highlight w:val="none"/>
              </w:rPr>
            </w:pPr>
          </w:p>
        </w:tc>
        <w:tc>
          <w:tcPr>
            <w:tcW w:w="1482" w:type="dxa"/>
            <w:tcBorders>
              <w:right w:val="single" w:color="000000" w:sz="6" w:space="0"/>
            </w:tcBorders>
            <w:vAlign w:val="top"/>
          </w:tcPr>
          <w:p w14:paraId="3093E554">
            <w:pPr>
              <w:rPr>
                <w:rFonts w:ascii="Arial"/>
                <w:color w:val="auto"/>
                <w:sz w:val="21"/>
                <w:highlight w:val="none"/>
              </w:rPr>
            </w:pPr>
          </w:p>
        </w:tc>
      </w:tr>
      <w:tr w14:paraId="5A809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53EA9CB8">
            <w:pPr>
              <w:pStyle w:val="17"/>
              <w:spacing w:before="200" w:line="236" w:lineRule="auto"/>
              <w:ind w:left="267"/>
              <w:rPr>
                <w:color w:val="auto"/>
                <w:highlight w:val="none"/>
              </w:rPr>
            </w:pPr>
            <w:r>
              <w:rPr>
                <w:color w:val="auto"/>
                <w:highlight w:val="none"/>
              </w:rPr>
              <w:t>7</w:t>
            </w:r>
          </w:p>
        </w:tc>
        <w:tc>
          <w:tcPr>
            <w:tcW w:w="1063" w:type="dxa"/>
            <w:vAlign w:val="top"/>
          </w:tcPr>
          <w:p w14:paraId="6FFED0FB">
            <w:pPr>
              <w:rPr>
                <w:rFonts w:ascii="Arial"/>
                <w:color w:val="auto"/>
                <w:sz w:val="21"/>
                <w:highlight w:val="none"/>
              </w:rPr>
            </w:pPr>
          </w:p>
        </w:tc>
        <w:tc>
          <w:tcPr>
            <w:tcW w:w="753" w:type="dxa"/>
            <w:vAlign w:val="top"/>
          </w:tcPr>
          <w:p w14:paraId="34CA0128">
            <w:pPr>
              <w:rPr>
                <w:rFonts w:ascii="Arial"/>
                <w:color w:val="auto"/>
                <w:sz w:val="21"/>
                <w:highlight w:val="none"/>
              </w:rPr>
            </w:pPr>
          </w:p>
        </w:tc>
        <w:tc>
          <w:tcPr>
            <w:tcW w:w="1148" w:type="dxa"/>
            <w:vAlign w:val="top"/>
          </w:tcPr>
          <w:p w14:paraId="3CBC0BBC">
            <w:pPr>
              <w:rPr>
                <w:rFonts w:ascii="Arial"/>
                <w:color w:val="auto"/>
                <w:sz w:val="21"/>
                <w:highlight w:val="none"/>
              </w:rPr>
            </w:pPr>
          </w:p>
        </w:tc>
        <w:tc>
          <w:tcPr>
            <w:tcW w:w="966" w:type="dxa"/>
            <w:vAlign w:val="top"/>
          </w:tcPr>
          <w:p w14:paraId="0D2F06ED">
            <w:pPr>
              <w:rPr>
                <w:rFonts w:ascii="Arial"/>
                <w:color w:val="auto"/>
                <w:sz w:val="21"/>
                <w:highlight w:val="none"/>
              </w:rPr>
            </w:pPr>
          </w:p>
        </w:tc>
        <w:tc>
          <w:tcPr>
            <w:tcW w:w="1012" w:type="dxa"/>
            <w:vAlign w:val="top"/>
          </w:tcPr>
          <w:p w14:paraId="69CEF17B">
            <w:pPr>
              <w:rPr>
                <w:rFonts w:ascii="Arial"/>
                <w:color w:val="auto"/>
                <w:sz w:val="21"/>
                <w:highlight w:val="none"/>
              </w:rPr>
            </w:pPr>
          </w:p>
        </w:tc>
        <w:tc>
          <w:tcPr>
            <w:tcW w:w="1784" w:type="dxa"/>
            <w:vAlign w:val="top"/>
          </w:tcPr>
          <w:p w14:paraId="515D6F8B">
            <w:pPr>
              <w:rPr>
                <w:rFonts w:ascii="Arial"/>
                <w:color w:val="auto"/>
                <w:sz w:val="21"/>
                <w:highlight w:val="none"/>
              </w:rPr>
            </w:pPr>
          </w:p>
        </w:tc>
        <w:tc>
          <w:tcPr>
            <w:tcW w:w="1241" w:type="dxa"/>
            <w:vAlign w:val="top"/>
          </w:tcPr>
          <w:p w14:paraId="1DE07914">
            <w:pPr>
              <w:rPr>
                <w:rFonts w:ascii="Arial"/>
                <w:color w:val="auto"/>
                <w:sz w:val="21"/>
                <w:highlight w:val="none"/>
              </w:rPr>
            </w:pPr>
          </w:p>
        </w:tc>
        <w:tc>
          <w:tcPr>
            <w:tcW w:w="949" w:type="dxa"/>
            <w:vAlign w:val="top"/>
          </w:tcPr>
          <w:p w14:paraId="59BEE45A">
            <w:pPr>
              <w:rPr>
                <w:rFonts w:ascii="Arial"/>
                <w:color w:val="auto"/>
                <w:sz w:val="21"/>
                <w:highlight w:val="none"/>
              </w:rPr>
            </w:pPr>
          </w:p>
        </w:tc>
        <w:tc>
          <w:tcPr>
            <w:tcW w:w="1108" w:type="dxa"/>
            <w:vAlign w:val="top"/>
          </w:tcPr>
          <w:p w14:paraId="3C8A2BF1">
            <w:pPr>
              <w:rPr>
                <w:rFonts w:ascii="Arial"/>
                <w:color w:val="auto"/>
                <w:sz w:val="21"/>
                <w:highlight w:val="none"/>
              </w:rPr>
            </w:pPr>
          </w:p>
        </w:tc>
        <w:tc>
          <w:tcPr>
            <w:tcW w:w="1040" w:type="dxa"/>
            <w:vAlign w:val="top"/>
          </w:tcPr>
          <w:p w14:paraId="061C304A">
            <w:pPr>
              <w:rPr>
                <w:rFonts w:ascii="Arial"/>
                <w:color w:val="auto"/>
                <w:sz w:val="21"/>
                <w:highlight w:val="none"/>
              </w:rPr>
            </w:pPr>
          </w:p>
        </w:tc>
        <w:tc>
          <w:tcPr>
            <w:tcW w:w="1040" w:type="dxa"/>
            <w:vAlign w:val="top"/>
          </w:tcPr>
          <w:p w14:paraId="3592A0CD">
            <w:pPr>
              <w:rPr>
                <w:rFonts w:ascii="Arial"/>
                <w:color w:val="auto"/>
                <w:sz w:val="21"/>
                <w:highlight w:val="none"/>
              </w:rPr>
            </w:pPr>
          </w:p>
        </w:tc>
        <w:tc>
          <w:tcPr>
            <w:tcW w:w="1482" w:type="dxa"/>
            <w:tcBorders>
              <w:right w:val="single" w:color="000000" w:sz="6" w:space="0"/>
            </w:tcBorders>
            <w:vAlign w:val="top"/>
          </w:tcPr>
          <w:p w14:paraId="09262715">
            <w:pPr>
              <w:rPr>
                <w:rFonts w:ascii="Arial"/>
                <w:color w:val="auto"/>
                <w:sz w:val="21"/>
                <w:highlight w:val="none"/>
              </w:rPr>
            </w:pPr>
          </w:p>
        </w:tc>
      </w:tr>
      <w:tr w14:paraId="36EEC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49465743">
            <w:pPr>
              <w:pStyle w:val="17"/>
              <w:spacing w:before="201" w:line="235" w:lineRule="auto"/>
              <w:ind w:left="263"/>
              <w:rPr>
                <w:color w:val="auto"/>
                <w:highlight w:val="none"/>
              </w:rPr>
            </w:pPr>
            <w:r>
              <w:rPr>
                <w:color w:val="auto"/>
                <w:highlight w:val="none"/>
              </w:rPr>
              <w:t>8</w:t>
            </w:r>
          </w:p>
        </w:tc>
        <w:tc>
          <w:tcPr>
            <w:tcW w:w="1063" w:type="dxa"/>
            <w:vAlign w:val="top"/>
          </w:tcPr>
          <w:p w14:paraId="0A8B6AA0">
            <w:pPr>
              <w:rPr>
                <w:rFonts w:ascii="Arial"/>
                <w:color w:val="auto"/>
                <w:sz w:val="21"/>
                <w:highlight w:val="none"/>
              </w:rPr>
            </w:pPr>
          </w:p>
        </w:tc>
        <w:tc>
          <w:tcPr>
            <w:tcW w:w="753" w:type="dxa"/>
            <w:vAlign w:val="top"/>
          </w:tcPr>
          <w:p w14:paraId="05B20095">
            <w:pPr>
              <w:rPr>
                <w:rFonts w:ascii="Arial"/>
                <w:color w:val="auto"/>
                <w:sz w:val="21"/>
                <w:highlight w:val="none"/>
              </w:rPr>
            </w:pPr>
          </w:p>
        </w:tc>
        <w:tc>
          <w:tcPr>
            <w:tcW w:w="1148" w:type="dxa"/>
            <w:vAlign w:val="top"/>
          </w:tcPr>
          <w:p w14:paraId="43F72FDF">
            <w:pPr>
              <w:rPr>
                <w:rFonts w:ascii="Arial"/>
                <w:color w:val="auto"/>
                <w:sz w:val="21"/>
                <w:highlight w:val="none"/>
              </w:rPr>
            </w:pPr>
          </w:p>
        </w:tc>
        <w:tc>
          <w:tcPr>
            <w:tcW w:w="966" w:type="dxa"/>
            <w:vAlign w:val="top"/>
          </w:tcPr>
          <w:p w14:paraId="0B61D1BC">
            <w:pPr>
              <w:rPr>
                <w:rFonts w:ascii="Arial"/>
                <w:color w:val="auto"/>
                <w:sz w:val="21"/>
                <w:highlight w:val="none"/>
              </w:rPr>
            </w:pPr>
          </w:p>
        </w:tc>
        <w:tc>
          <w:tcPr>
            <w:tcW w:w="1012" w:type="dxa"/>
            <w:vAlign w:val="top"/>
          </w:tcPr>
          <w:p w14:paraId="2533F37D">
            <w:pPr>
              <w:rPr>
                <w:rFonts w:ascii="Arial"/>
                <w:color w:val="auto"/>
                <w:sz w:val="21"/>
                <w:highlight w:val="none"/>
              </w:rPr>
            </w:pPr>
          </w:p>
        </w:tc>
        <w:tc>
          <w:tcPr>
            <w:tcW w:w="1784" w:type="dxa"/>
            <w:vAlign w:val="top"/>
          </w:tcPr>
          <w:p w14:paraId="7402C461">
            <w:pPr>
              <w:rPr>
                <w:rFonts w:ascii="Arial"/>
                <w:color w:val="auto"/>
                <w:sz w:val="21"/>
                <w:highlight w:val="none"/>
              </w:rPr>
            </w:pPr>
          </w:p>
        </w:tc>
        <w:tc>
          <w:tcPr>
            <w:tcW w:w="1241" w:type="dxa"/>
            <w:vAlign w:val="top"/>
          </w:tcPr>
          <w:p w14:paraId="210FF930">
            <w:pPr>
              <w:rPr>
                <w:rFonts w:ascii="Arial"/>
                <w:color w:val="auto"/>
                <w:sz w:val="21"/>
                <w:highlight w:val="none"/>
              </w:rPr>
            </w:pPr>
          </w:p>
        </w:tc>
        <w:tc>
          <w:tcPr>
            <w:tcW w:w="949" w:type="dxa"/>
            <w:vAlign w:val="top"/>
          </w:tcPr>
          <w:p w14:paraId="36C2227D">
            <w:pPr>
              <w:rPr>
                <w:rFonts w:ascii="Arial"/>
                <w:color w:val="auto"/>
                <w:sz w:val="21"/>
                <w:highlight w:val="none"/>
              </w:rPr>
            </w:pPr>
          </w:p>
        </w:tc>
        <w:tc>
          <w:tcPr>
            <w:tcW w:w="1108" w:type="dxa"/>
            <w:vAlign w:val="top"/>
          </w:tcPr>
          <w:p w14:paraId="6B990CDD">
            <w:pPr>
              <w:rPr>
                <w:rFonts w:ascii="Arial"/>
                <w:color w:val="auto"/>
                <w:sz w:val="21"/>
                <w:highlight w:val="none"/>
              </w:rPr>
            </w:pPr>
          </w:p>
        </w:tc>
        <w:tc>
          <w:tcPr>
            <w:tcW w:w="1040" w:type="dxa"/>
            <w:vAlign w:val="top"/>
          </w:tcPr>
          <w:p w14:paraId="2A6F9B06">
            <w:pPr>
              <w:rPr>
                <w:rFonts w:ascii="Arial"/>
                <w:color w:val="auto"/>
                <w:sz w:val="21"/>
                <w:highlight w:val="none"/>
              </w:rPr>
            </w:pPr>
          </w:p>
        </w:tc>
        <w:tc>
          <w:tcPr>
            <w:tcW w:w="1040" w:type="dxa"/>
            <w:vAlign w:val="top"/>
          </w:tcPr>
          <w:p w14:paraId="4DFD8277">
            <w:pPr>
              <w:rPr>
                <w:rFonts w:ascii="Arial"/>
                <w:color w:val="auto"/>
                <w:sz w:val="21"/>
                <w:highlight w:val="none"/>
              </w:rPr>
            </w:pPr>
          </w:p>
        </w:tc>
        <w:tc>
          <w:tcPr>
            <w:tcW w:w="1482" w:type="dxa"/>
            <w:tcBorders>
              <w:right w:val="single" w:color="000000" w:sz="6" w:space="0"/>
            </w:tcBorders>
            <w:vAlign w:val="top"/>
          </w:tcPr>
          <w:p w14:paraId="462CE4AB">
            <w:pPr>
              <w:rPr>
                <w:rFonts w:ascii="Arial"/>
                <w:color w:val="auto"/>
                <w:sz w:val="21"/>
                <w:highlight w:val="none"/>
              </w:rPr>
            </w:pPr>
          </w:p>
        </w:tc>
      </w:tr>
      <w:tr w14:paraId="2D41B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756CAFA0">
            <w:pPr>
              <w:pStyle w:val="17"/>
              <w:spacing w:before="201" w:line="235" w:lineRule="auto"/>
              <w:ind w:left="263"/>
              <w:rPr>
                <w:color w:val="auto"/>
                <w:highlight w:val="none"/>
              </w:rPr>
            </w:pPr>
            <w:r>
              <w:rPr>
                <w:color w:val="auto"/>
                <w:highlight w:val="none"/>
              </w:rPr>
              <w:t>9</w:t>
            </w:r>
          </w:p>
        </w:tc>
        <w:tc>
          <w:tcPr>
            <w:tcW w:w="1063" w:type="dxa"/>
            <w:vAlign w:val="top"/>
          </w:tcPr>
          <w:p w14:paraId="62527E2F">
            <w:pPr>
              <w:rPr>
                <w:rFonts w:ascii="Arial"/>
                <w:color w:val="auto"/>
                <w:sz w:val="21"/>
                <w:highlight w:val="none"/>
              </w:rPr>
            </w:pPr>
          </w:p>
        </w:tc>
        <w:tc>
          <w:tcPr>
            <w:tcW w:w="753" w:type="dxa"/>
            <w:vAlign w:val="top"/>
          </w:tcPr>
          <w:p w14:paraId="57F0170C">
            <w:pPr>
              <w:rPr>
                <w:rFonts w:ascii="Arial"/>
                <w:color w:val="auto"/>
                <w:sz w:val="21"/>
                <w:highlight w:val="none"/>
              </w:rPr>
            </w:pPr>
          </w:p>
        </w:tc>
        <w:tc>
          <w:tcPr>
            <w:tcW w:w="1148" w:type="dxa"/>
            <w:vAlign w:val="top"/>
          </w:tcPr>
          <w:p w14:paraId="18410A89">
            <w:pPr>
              <w:rPr>
                <w:rFonts w:ascii="Arial"/>
                <w:color w:val="auto"/>
                <w:sz w:val="21"/>
                <w:highlight w:val="none"/>
              </w:rPr>
            </w:pPr>
          </w:p>
        </w:tc>
        <w:tc>
          <w:tcPr>
            <w:tcW w:w="966" w:type="dxa"/>
            <w:vAlign w:val="top"/>
          </w:tcPr>
          <w:p w14:paraId="1F1D59BF">
            <w:pPr>
              <w:rPr>
                <w:rFonts w:ascii="Arial"/>
                <w:color w:val="auto"/>
                <w:sz w:val="21"/>
                <w:highlight w:val="none"/>
              </w:rPr>
            </w:pPr>
          </w:p>
        </w:tc>
        <w:tc>
          <w:tcPr>
            <w:tcW w:w="1012" w:type="dxa"/>
            <w:vAlign w:val="top"/>
          </w:tcPr>
          <w:p w14:paraId="2C888A26">
            <w:pPr>
              <w:rPr>
                <w:rFonts w:ascii="Arial"/>
                <w:color w:val="auto"/>
                <w:sz w:val="21"/>
                <w:highlight w:val="none"/>
              </w:rPr>
            </w:pPr>
          </w:p>
        </w:tc>
        <w:tc>
          <w:tcPr>
            <w:tcW w:w="1784" w:type="dxa"/>
            <w:vAlign w:val="top"/>
          </w:tcPr>
          <w:p w14:paraId="77921C78">
            <w:pPr>
              <w:rPr>
                <w:rFonts w:ascii="Arial"/>
                <w:color w:val="auto"/>
                <w:sz w:val="21"/>
                <w:highlight w:val="none"/>
              </w:rPr>
            </w:pPr>
          </w:p>
        </w:tc>
        <w:tc>
          <w:tcPr>
            <w:tcW w:w="1241" w:type="dxa"/>
            <w:vAlign w:val="top"/>
          </w:tcPr>
          <w:p w14:paraId="5F928249">
            <w:pPr>
              <w:rPr>
                <w:rFonts w:ascii="Arial"/>
                <w:color w:val="auto"/>
                <w:sz w:val="21"/>
                <w:highlight w:val="none"/>
              </w:rPr>
            </w:pPr>
          </w:p>
        </w:tc>
        <w:tc>
          <w:tcPr>
            <w:tcW w:w="949" w:type="dxa"/>
            <w:vAlign w:val="top"/>
          </w:tcPr>
          <w:p w14:paraId="60008F0E">
            <w:pPr>
              <w:rPr>
                <w:rFonts w:ascii="Arial"/>
                <w:color w:val="auto"/>
                <w:sz w:val="21"/>
                <w:highlight w:val="none"/>
              </w:rPr>
            </w:pPr>
          </w:p>
        </w:tc>
        <w:tc>
          <w:tcPr>
            <w:tcW w:w="1108" w:type="dxa"/>
            <w:vAlign w:val="top"/>
          </w:tcPr>
          <w:p w14:paraId="6779AD5C">
            <w:pPr>
              <w:rPr>
                <w:rFonts w:ascii="Arial"/>
                <w:color w:val="auto"/>
                <w:sz w:val="21"/>
                <w:highlight w:val="none"/>
              </w:rPr>
            </w:pPr>
          </w:p>
        </w:tc>
        <w:tc>
          <w:tcPr>
            <w:tcW w:w="1040" w:type="dxa"/>
            <w:vAlign w:val="top"/>
          </w:tcPr>
          <w:p w14:paraId="66D3455C">
            <w:pPr>
              <w:rPr>
                <w:rFonts w:ascii="Arial"/>
                <w:color w:val="auto"/>
                <w:sz w:val="21"/>
                <w:highlight w:val="none"/>
              </w:rPr>
            </w:pPr>
          </w:p>
        </w:tc>
        <w:tc>
          <w:tcPr>
            <w:tcW w:w="1040" w:type="dxa"/>
            <w:vAlign w:val="top"/>
          </w:tcPr>
          <w:p w14:paraId="7F2AE490">
            <w:pPr>
              <w:rPr>
                <w:rFonts w:ascii="Arial"/>
                <w:color w:val="auto"/>
                <w:sz w:val="21"/>
                <w:highlight w:val="none"/>
              </w:rPr>
            </w:pPr>
          </w:p>
        </w:tc>
        <w:tc>
          <w:tcPr>
            <w:tcW w:w="1482" w:type="dxa"/>
            <w:tcBorders>
              <w:right w:val="single" w:color="000000" w:sz="6" w:space="0"/>
            </w:tcBorders>
            <w:vAlign w:val="top"/>
          </w:tcPr>
          <w:p w14:paraId="59A4A0F0">
            <w:pPr>
              <w:rPr>
                <w:rFonts w:ascii="Arial"/>
                <w:color w:val="auto"/>
                <w:sz w:val="21"/>
                <w:highlight w:val="none"/>
              </w:rPr>
            </w:pPr>
          </w:p>
        </w:tc>
      </w:tr>
      <w:tr w14:paraId="4568B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00CDD885">
            <w:pPr>
              <w:pStyle w:val="17"/>
              <w:spacing w:before="203" w:line="233" w:lineRule="auto"/>
              <w:ind w:left="222"/>
              <w:rPr>
                <w:color w:val="auto"/>
                <w:highlight w:val="none"/>
              </w:rPr>
            </w:pPr>
            <w:r>
              <w:rPr>
                <w:color w:val="auto"/>
                <w:highlight w:val="none"/>
              </w:rPr>
              <w:t>…</w:t>
            </w:r>
          </w:p>
        </w:tc>
        <w:tc>
          <w:tcPr>
            <w:tcW w:w="1063" w:type="dxa"/>
            <w:vAlign w:val="top"/>
          </w:tcPr>
          <w:p w14:paraId="5213E3E5">
            <w:pPr>
              <w:rPr>
                <w:rFonts w:ascii="Arial"/>
                <w:color w:val="auto"/>
                <w:sz w:val="21"/>
                <w:highlight w:val="none"/>
              </w:rPr>
            </w:pPr>
          </w:p>
        </w:tc>
        <w:tc>
          <w:tcPr>
            <w:tcW w:w="753" w:type="dxa"/>
            <w:vAlign w:val="top"/>
          </w:tcPr>
          <w:p w14:paraId="7DD7FA52">
            <w:pPr>
              <w:rPr>
                <w:rFonts w:ascii="Arial"/>
                <w:color w:val="auto"/>
                <w:sz w:val="21"/>
                <w:highlight w:val="none"/>
              </w:rPr>
            </w:pPr>
          </w:p>
        </w:tc>
        <w:tc>
          <w:tcPr>
            <w:tcW w:w="1148" w:type="dxa"/>
            <w:vAlign w:val="top"/>
          </w:tcPr>
          <w:p w14:paraId="1BECD2DC">
            <w:pPr>
              <w:rPr>
                <w:rFonts w:ascii="Arial"/>
                <w:color w:val="auto"/>
                <w:sz w:val="21"/>
                <w:highlight w:val="none"/>
              </w:rPr>
            </w:pPr>
          </w:p>
        </w:tc>
        <w:tc>
          <w:tcPr>
            <w:tcW w:w="966" w:type="dxa"/>
            <w:vAlign w:val="top"/>
          </w:tcPr>
          <w:p w14:paraId="4C4AE8D5">
            <w:pPr>
              <w:rPr>
                <w:rFonts w:ascii="Arial"/>
                <w:color w:val="auto"/>
                <w:sz w:val="21"/>
                <w:highlight w:val="none"/>
              </w:rPr>
            </w:pPr>
          </w:p>
        </w:tc>
        <w:tc>
          <w:tcPr>
            <w:tcW w:w="1012" w:type="dxa"/>
            <w:vAlign w:val="top"/>
          </w:tcPr>
          <w:p w14:paraId="752E59E1">
            <w:pPr>
              <w:rPr>
                <w:rFonts w:ascii="Arial"/>
                <w:color w:val="auto"/>
                <w:sz w:val="21"/>
                <w:highlight w:val="none"/>
              </w:rPr>
            </w:pPr>
          </w:p>
        </w:tc>
        <w:tc>
          <w:tcPr>
            <w:tcW w:w="1784" w:type="dxa"/>
            <w:vAlign w:val="top"/>
          </w:tcPr>
          <w:p w14:paraId="6E4EAA6F">
            <w:pPr>
              <w:rPr>
                <w:rFonts w:ascii="Arial"/>
                <w:color w:val="auto"/>
                <w:sz w:val="21"/>
                <w:highlight w:val="none"/>
              </w:rPr>
            </w:pPr>
          </w:p>
        </w:tc>
        <w:tc>
          <w:tcPr>
            <w:tcW w:w="1241" w:type="dxa"/>
            <w:vAlign w:val="top"/>
          </w:tcPr>
          <w:p w14:paraId="20803004">
            <w:pPr>
              <w:rPr>
                <w:rFonts w:ascii="Arial"/>
                <w:color w:val="auto"/>
                <w:sz w:val="21"/>
                <w:highlight w:val="none"/>
              </w:rPr>
            </w:pPr>
          </w:p>
        </w:tc>
        <w:tc>
          <w:tcPr>
            <w:tcW w:w="949" w:type="dxa"/>
            <w:vAlign w:val="top"/>
          </w:tcPr>
          <w:p w14:paraId="5BBB9AD1">
            <w:pPr>
              <w:rPr>
                <w:rFonts w:ascii="Arial"/>
                <w:color w:val="auto"/>
                <w:sz w:val="21"/>
                <w:highlight w:val="none"/>
              </w:rPr>
            </w:pPr>
          </w:p>
        </w:tc>
        <w:tc>
          <w:tcPr>
            <w:tcW w:w="1108" w:type="dxa"/>
            <w:vAlign w:val="top"/>
          </w:tcPr>
          <w:p w14:paraId="35BA9230">
            <w:pPr>
              <w:rPr>
                <w:rFonts w:ascii="Arial"/>
                <w:color w:val="auto"/>
                <w:sz w:val="21"/>
                <w:highlight w:val="none"/>
              </w:rPr>
            </w:pPr>
          </w:p>
        </w:tc>
        <w:tc>
          <w:tcPr>
            <w:tcW w:w="1040" w:type="dxa"/>
            <w:vAlign w:val="top"/>
          </w:tcPr>
          <w:p w14:paraId="2821FAFF">
            <w:pPr>
              <w:rPr>
                <w:rFonts w:ascii="Arial"/>
                <w:color w:val="auto"/>
                <w:sz w:val="21"/>
                <w:highlight w:val="none"/>
              </w:rPr>
            </w:pPr>
          </w:p>
        </w:tc>
        <w:tc>
          <w:tcPr>
            <w:tcW w:w="1040" w:type="dxa"/>
            <w:vAlign w:val="top"/>
          </w:tcPr>
          <w:p w14:paraId="308378AF">
            <w:pPr>
              <w:rPr>
                <w:rFonts w:ascii="Arial"/>
                <w:color w:val="auto"/>
                <w:sz w:val="21"/>
                <w:highlight w:val="none"/>
              </w:rPr>
            </w:pPr>
          </w:p>
        </w:tc>
        <w:tc>
          <w:tcPr>
            <w:tcW w:w="1482" w:type="dxa"/>
            <w:tcBorders>
              <w:right w:val="single" w:color="000000" w:sz="6" w:space="0"/>
            </w:tcBorders>
            <w:vAlign w:val="top"/>
          </w:tcPr>
          <w:p w14:paraId="773A0F9E">
            <w:pPr>
              <w:rPr>
                <w:rFonts w:ascii="Arial"/>
                <w:color w:val="auto"/>
                <w:sz w:val="21"/>
                <w:highlight w:val="none"/>
              </w:rPr>
            </w:pPr>
          </w:p>
        </w:tc>
      </w:tr>
      <w:tr w14:paraId="1A773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35" w:type="dxa"/>
            <w:tcBorders>
              <w:left w:val="single" w:color="000000" w:sz="6" w:space="0"/>
              <w:bottom w:val="single" w:color="000000" w:sz="6" w:space="0"/>
              <w:right w:val="nil"/>
            </w:tcBorders>
            <w:vAlign w:val="top"/>
          </w:tcPr>
          <w:p w14:paraId="5620DAB2">
            <w:pPr>
              <w:rPr>
                <w:rFonts w:ascii="Arial"/>
                <w:color w:val="auto"/>
                <w:sz w:val="21"/>
                <w:highlight w:val="none"/>
              </w:rPr>
            </w:pPr>
          </w:p>
        </w:tc>
        <w:tc>
          <w:tcPr>
            <w:tcW w:w="2964" w:type="dxa"/>
            <w:gridSpan w:val="3"/>
            <w:tcBorders>
              <w:left w:val="nil"/>
              <w:bottom w:val="single" w:color="000000" w:sz="6" w:space="0"/>
            </w:tcBorders>
            <w:vAlign w:val="top"/>
          </w:tcPr>
          <w:p w14:paraId="3B54C4BA">
            <w:pPr>
              <w:pStyle w:val="17"/>
              <w:spacing w:before="205" w:line="228" w:lineRule="auto"/>
              <w:ind w:left="646"/>
              <w:rPr>
                <w:color w:val="auto"/>
                <w:highlight w:val="none"/>
              </w:rPr>
            </w:pPr>
            <w:r>
              <w:rPr>
                <w:color w:val="auto"/>
                <w:spacing w:val="4"/>
                <w:highlight w:val="none"/>
              </w:rPr>
              <w:t>合</w:t>
            </w:r>
            <w:r>
              <w:rPr>
                <w:color w:val="auto"/>
                <w:spacing w:val="10"/>
                <w:highlight w:val="none"/>
              </w:rPr>
              <w:t xml:space="preserve">  </w:t>
            </w:r>
            <w:r>
              <w:rPr>
                <w:color w:val="auto"/>
                <w:spacing w:val="4"/>
                <w:highlight w:val="none"/>
              </w:rPr>
              <w:t>计(元)</w:t>
            </w:r>
          </w:p>
        </w:tc>
        <w:tc>
          <w:tcPr>
            <w:tcW w:w="966" w:type="dxa"/>
            <w:tcBorders>
              <w:bottom w:val="single" w:color="000000" w:sz="6" w:space="0"/>
            </w:tcBorders>
            <w:vAlign w:val="top"/>
          </w:tcPr>
          <w:p w14:paraId="0FBE46DC">
            <w:pPr>
              <w:rPr>
                <w:rFonts w:ascii="Arial"/>
                <w:color w:val="auto"/>
                <w:sz w:val="21"/>
                <w:highlight w:val="none"/>
              </w:rPr>
            </w:pPr>
          </w:p>
        </w:tc>
        <w:tc>
          <w:tcPr>
            <w:tcW w:w="1012" w:type="dxa"/>
            <w:tcBorders>
              <w:bottom w:val="single" w:color="000000" w:sz="6" w:space="0"/>
            </w:tcBorders>
            <w:vAlign w:val="top"/>
          </w:tcPr>
          <w:p w14:paraId="0EF4F7FB">
            <w:pPr>
              <w:rPr>
                <w:rFonts w:ascii="Arial"/>
                <w:color w:val="auto"/>
                <w:sz w:val="21"/>
                <w:highlight w:val="none"/>
              </w:rPr>
            </w:pPr>
          </w:p>
        </w:tc>
        <w:tc>
          <w:tcPr>
            <w:tcW w:w="1784" w:type="dxa"/>
            <w:tcBorders>
              <w:bottom w:val="single" w:color="000000" w:sz="6" w:space="0"/>
            </w:tcBorders>
            <w:vAlign w:val="top"/>
          </w:tcPr>
          <w:p w14:paraId="4BE57343">
            <w:pPr>
              <w:rPr>
                <w:rFonts w:ascii="Arial"/>
                <w:color w:val="auto"/>
                <w:sz w:val="21"/>
                <w:highlight w:val="none"/>
              </w:rPr>
            </w:pPr>
          </w:p>
        </w:tc>
        <w:tc>
          <w:tcPr>
            <w:tcW w:w="3298" w:type="dxa"/>
            <w:gridSpan w:val="3"/>
            <w:tcBorders>
              <w:bottom w:val="single" w:color="000000" w:sz="6" w:space="0"/>
            </w:tcBorders>
            <w:vAlign w:val="top"/>
          </w:tcPr>
          <w:p w14:paraId="6AA740C3">
            <w:pPr>
              <w:pStyle w:val="17"/>
              <w:spacing w:before="205" w:line="228" w:lineRule="auto"/>
              <w:ind w:left="1237"/>
              <w:rPr>
                <w:color w:val="auto"/>
                <w:highlight w:val="none"/>
              </w:rPr>
            </w:pPr>
            <w:r>
              <w:rPr>
                <w:color w:val="auto"/>
                <w:spacing w:val="5"/>
                <w:highlight w:val="none"/>
              </w:rPr>
              <w:t>合计(元)</w:t>
            </w:r>
          </w:p>
        </w:tc>
        <w:tc>
          <w:tcPr>
            <w:tcW w:w="1040" w:type="dxa"/>
            <w:tcBorders>
              <w:bottom w:val="single" w:color="000000" w:sz="6" w:space="0"/>
            </w:tcBorders>
            <w:vAlign w:val="top"/>
          </w:tcPr>
          <w:p w14:paraId="7CBFC9B3">
            <w:pPr>
              <w:rPr>
                <w:rFonts w:ascii="Arial"/>
                <w:color w:val="auto"/>
                <w:sz w:val="21"/>
                <w:highlight w:val="none"/>
              </w:rPr>
            </w:pPr>
          </w:p>
        </w:tc>
        <w:tc>
          <w:tcPr>
            <w:tcW w:w="1040" w:type="dxa"/>
            <w:tcBorders>
              <w:bottom w:val="single" w:color="000000" w:sz="6" w:space="0"/>
            </w:tcBorders>
            <w:vAlign w:val="top"/>
          </w:tcPr>
          <w:p w14:paraId="41EB848B">
            <w:pPr>
              <w:rPr>
                <w:rFonts w:ascii="Arial"/>
                <w:color w:val="auto"/>
                <w:sz w:val="21"/>
                <w:highlight w:val="none"/>
              </w:rPr>
            </w:pPr>
          </w:p>
        </w:tc>
        <w:tc>
          <w:tcPr>
            <w:tcW w:w="1482" w:type="dxa"/>
            <w:tcBorders>
              <w:bottom w:val="single" w:color="000000" w:sz="6" w:space="0"/>
              <w:right w:val="single" w:color="000000" w:sz="6" w:space="0"/>
            </w:tcBorders>
            <w:vAlign w:val="top"/>
          </w:tcPr>
          <w:p w14:paraId="5D0A2665">
            <w:pPr>
              <w:rPr>
                <w:rFonts w:ascii="Arial"/>
                <w:color w:val="auto"/>
                <w:sz w:val="21"/>
                <w:highlight w:val="none"/>
              </w:rPr>
            </w:pPr>
          </w:p>
        </w:tc>
      </w:tr>
    </w:tbl>
    <w:p w14:paraId="32C8C5EC">
      <w:pPr>
        <w:rPr>
          <w:rFonts w:ascii="Arial"/>
          <w:color w:val="auto"/>
          <w:sz w:val="21"/>
          <w:highlight w:val="none"/>
        </w:rPr>
      </w:pPr>
    </w:p>
    <w:p w14:paraId="05335314">
      <w:pPr>
        <w:rPr>
          <w:rFonts w:ascii="Arial" w:hAnsi="Arial" w:eastAsia="Arial" w:cs="Arial"/>
          <w:color w:val="auto"/>
          <w:sz w:val="21"/>
          <w:szCs w:val="21"/>
          <w:highlight w:val="none"/>
        </w:rPr>
        <w:sectPr>
          <w:footerReference r:id="rId116" w:type="default"/>
          <w:pgSz w:w="16839" w:h="11906"/>
          <w:pgMar w:top="1012" w:right="1301" w:bottom="1297" w:left="1300" w:header="0" w:footer="1067" w:gutter="0"/>
          <w:pgNumType w:fmt="decimal"/>
          <w:cols w:space="720" w:num="1"/>
        </w:sectPr>
      </w:pPr>
    </w:p>
    <w:p w14:paraId="4FB93F99">
      <w:pPr>
        <w:spacing w:line="247" w:lineRule="auto"/>
        <w:rPr>
          <w:rFonts w:ascii="Arial"/>
          <w:color w:val="auto"/>
          <w:sz w:val="21"/>
          <w:highlight w:val="none"/>
        </w:rPr>
      </w:pPr>
    </w:p>
    <w:p w14:paraId="429FB96C">
      <w:pPr>
        <w:spacing w:line="247" w:lineRule="auto"/>
        <w:rPr>
          <w:rFonts w:ascii="Arial"/>
          <w:color w:val="auto"/>
          <w:sz w:val="21"/>
          <w:highlight w:val="none"/>
        </w:rPr>
      </w:pPr>
    </w:p>
    <w:p w14:paraId="096954D5">
      <w:pPr>
        <w:spacing w:line="248" w:lineRule="auto"/>
        <w:rPr>
          <w:rFonts w:ascii="Arial"/>
          <w:color w:val="auto"/>
          <w:sz w:val="21"/>
          <w:highlight w:val="none"/>
        </w:rPr>
      </w:pPr>
    </w:p>
    <w:p w14:paraId="7AFC3B59">
      <w:pPr>
        <w:spacing w:line="248" w:lineRule="auto"/>
        <w:rPr>
          <w:rFonts w:ascii="Arial"/>
          <w:color w:val="auto"/>
          <w:sz w:val="21"/>
          <w:highlight w:val="none"/>
        </w:rPr>
      </w:pPr>
    </w:p>
    <w:p w14:paraId="21BCF7F3">
      <w:pPr>
        <w:spacing w:before="91" w:line="211" w:lineRule="auto"/>
        <w:ind w:left="4913"/>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表</w:t>
      </w:r>
      <w:r>
        <w:rPr>
          <w:rFonts w:ascii="宋体" w:hAnsi="宋体" w:eastAsia="宋体" w:cs="宋体"/>
          <w:color w:val="auto"/>
          <w:spacing w:val="-59"/>
          <w:sz w:val="28"/>
          <w:szCs w:val="28"/>
          <w:highlight w:val="none"/>
        </w:rPr>
        <w:t xml:space="preserve"> </w:t>
      </w:r>
      <w:r>
        <w:rPr>
          <w:rFonts w:ascii="宋体" w:hAnsi="宋体" w:eastAsia="宋体" w:cs="宋体"/>
          <w:b/>
          <w:bCs/>
          <w:color w:val="auto"/>
          <w:spacing w:val="-3"/>
          <w:sz w:val="28"/>
          <w:szCs w:val="28"/>
          <w:highlight w:val="none"/>
        </w:rPr>
        <w:t>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监理工程师交通设施费报价表</w:t>
      </w:r>
    </w:p>
    <w:tbl>
      <w:tblPr>
        <w:tblStyle w:val="16"/>
        <w:tblW w:w="1422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883"/>
        <w:gridCol w:w="886"/>
        <w:gridCol w:w="884"/>
        <w:gridCol w:w="895"/>
        <w:gridCol w:w="884"/>
        <w:gridCol w:w="887"/>
        <w:gridCol w:w="1600"/>
        <w:gridCol w:w="915"/>
        <w:gridCol w:w="878"/>
        <w:gridCol w:w="821"/>
        <w:gridCol w:w="887"/>
        <w:gridCol w:w="1057"/>
        <w:gridCol w:w="958"/>
        <w:gridCol w:w="1215"/>
      </w:tblGrid>
      <w:tr w14:paraId="54DDA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571" w:type="dxa"/>
            <w:vMerge w:val="restart"/>
            <w:tcBorders>
              <w:top w:val="single" w:color="000000" w:sz="6" w:space="0"/>
              <w:left w:val="single" w:color="000000" w:sz="6" w:space="0"/>
              <w:bottom w:val="nil"/>
            </w:tcBorders>
            <w:vAlign w:val="top"/>
          </w:tcPr>
          <w:p w14:paraId="668F7171">
            <w:pPr>
              <w:spacing w:line="266" w:lineRule="auto"/>
              <w:rPr>
                <w:rFonts w:ascii="Arial"/>
                <w:color w:val="auto"/>
                <w:sz w:val="21"/>
                <w:highlight w:val="none"/>
              </w:rPr>
            </w:pPr>
          </w:p>
          <w:p w14:paraId="1C005ABC">
            <w:pPr>
              <w:spacing w:line="266" w:lineRule="auto"/>
              <w:rPr>
                <w:rFonts w:ascii="Arial"/>
                <w:color w:val="auto"/>
                <w:sz w:val="21"/>
                <w:highlight w:val="none"/>
              </w:rPr>
            </w:pPr>
          </w:p>
          <w:p w14:paraId="1E1D2F37">
            <w:pPr>
              <w:spacing w:line="267" w:lineRule="auto"/>
              <w:rPr>
                <w:rFonts w:ascii="Arial"/>
                <w:color w:val="auto"/>
                <w:sz w:val="21"/>
                <w:highlight w:val="none"/>
              </w:rPr>
            </w:pPr>
          </w:p>
          <w:p w14:paraId="7010F4B0">
            <w:pPr>
              <w:pStyle w:val="17"/>
              <w:spacing w:before="65" w:line="229" w:lineRule="auto"/>
              <w:ind w:left="71"/>
              <w:rPr>
                <w:color w:val="auto"/>
                <w:highlight w:val="none"/>
              </w:rPr>
            </w:pPr>
            <w:r>
              <w:rPr>
                <w:color w:val="auto"/>
                <w:spacing w:val="5"/>
                <w:highlight w:val="none"/>
              </w:rPr>
              <w:t>序号</w:t>
            </w:r>
          </w:p>
        </w:tc>
        <w:tc>
          <w:tcPr>
            <w:tcW w:w="6919" w:type="dxa"/>
            <w:gridSpan w:val="7"/>
            <w:tcBorders>
              <w:top w:val="single" w:color="000000" w:sz="6" w:space="0"/>
            </w:tcBorders>
            <w:vAlign w:val="top"/>
          </w:tcPr>
          <w:p w14:paraId="76DB5297">
            <w:pPr>
              <w:pStyle w:val="17"/>
              <w:spacing w:before="194" w:line="228" w:lineRule="auto"/>
              <w:ind w:left="3146"/>
              <w:rPr>
                <w:color w:val="auto"/>
                <w:highlight w:val="none"/>
              </w:rPr>
            </w:pPr>
            <w:r>
              <w:rPr>
                <w:color w:val="auto"/>
                <w:spacing w:val="7"/>
                <w:highlight w:val="none"/>
              </w:rPr>
              <w:t>施工期</w:t>
            </w:r>
          </w:p>
        </w:tc>
        <w:tc>
          <w:tcPr>
            <w:tcW w:w="6731" w:type="dxa"/>
            <w:gridSpan w:val="7"/>
            <w:tcBorders>
              <w:top w:val="single" w:color="000000" w:sz="6" w:space="0"/>
              <w:right w:val="single" w:color="000000" w:sz="6" w:space="0"/>
            </w:tcBorders>
            <w:vAlign w:val="top"/>
          </w:tcPr>
          <w:p w14:paraId="38FB7708">
            <w:pPr>
              <w:pStyle w:val="17"/>
              <w:spacing w:before="194" w:line="228" w:lineRule="auto"/>
              <w:ind w:left="2845"/>
              <w:rPr>
                <w:color w:val="auto"/>
                <w:highlight w:val="none"/>
              </w:rPr>
            </w:pPr>
            <w:r>
              <w:rPr>
                <w:color w:val="auto"/>
                <w:spacing w:val="8"/>
                <w:highlight w:val="none"/>
              </w:rPr>
              <w:t>缺陷责任期</w:t>
            </w:r>
          </w:p>
        </w:tc>
      </w:tr>
      <w:tr w14:paraId="23E2E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571" w:type="dxa"/>
            <w:vMerge w:val="continue"/>
            <w:tcBorders>
              <w:top w:val="nil"/>
              <w:left w:val="single" w:color="000000" w:sz="6" w:space="0"/>
            </w:tcBorders>
            <w:vAlign w:val="top"/>
          </w:tcPr>
          <w:p w14:paraId="53BA7A8E">
            <w:pPr>
              <w:rPr>
                <w:rFonts w:ascii="Arial"/>
                <w:color w:val="auto"/>
                <w:sz w:val="21"/>
                <w:highlight w:val="none"/>
              </w:rPr>
            </w:pPr>
          </w:p>
        </w:tc>
        <w:tc>
          <w:tcPr>
            <w:tcW w:w="883" w:type="dxa"/>
            <w:vAlign w:val="top"/>
          </w:tcPr>
          <w:p w14:paraId="57161878">
            <w:pPr>
              <w:spacing w:line="305" w:lineRule="auto"/>
              <w:rPr>
                <w:rFonts w:ascii="Arial"/>
                <w:color w:val="auto"/>
                <w:sz w:val="21"/>
                <w:highlight w:val="none"/>
              </w:rPr>
            </w:pPr>
          </w:p>
          <w:p w14:paraId="7FC7463B">
            <w:pPr>
              <w:pStyle w:val="17"/>
              <w:spacing w:before="65" w:line="370" w:lineRule="auto"/>
              <w:ind w:left="237" w:right="131" w:hanging="109"/>
              <w:rPr>
                <w:color w:val="auto"/>
                <w:highlight w:val="none"/>
              </w:rPr>
            </w:pPr>
            <w:r>
              <w:rPr>
                <w:color w:val="auto"/>
                <w:spacing w:val="6"/>
                <w:highlight w:val="none"/>
              </w:rPr>
              <w:t>名称及</w:t>
            </w:r>
            <w:r>
              <w:rPr>
                <w:color w:val="auto"/>
                <w:spacing w:val="1"/>
                <w:highlight w:val="none"/>
              </w:rPr>
              <w:t>型号</w:t>
            </w:r>
          </w:p>
        </w:tc>
        <w:tc>
          <w:tcPr>
            <w:tcW w:w="886" w:type="dxa"/>
            <w:vAlign w:val="top"/>
          </w:tcPr>
          <w:p w14:paraId="42EF8327">
            <w:pPr>
              <w:spacing w:line="305" w:lineRule="auto"/>
              <w:rPr>
                <w:rFonts w:ascii="Arial"/>
                <w:color w:val="auto"/>
                <w:sz w:val="21"/>
                <w:highlight w:val="none"/>
              </w:rPr>
            </w:pPr>
          </w:p>
          <w:p w14:paraId="3CB4E9B7">
            <w:pPr>
              <w:pStyle w:val="17"/>
              <w:spacing w:before="65" w:line="369" w:lineRule="auto"/>
              <w:ind w:left="268" w:right="236" w:hanging="35"/>
              <w:rPr>
                <w:color w:val="auto"/>
                <w:highlight w:val="none"/>
              </w:rPr>
            </w:pPr>
            <w:r>
              <w:rPr>
                <w:color w:val="auto"/>
                <w:spacing w:val="3"/>
                <w:highlight w:val="none"/>
              </w:rPr>
              <w:t>数量</w:t>
            </w:r>
            <w:r>
              <w:rPr>
                <w:color w:val="auto"/>
                <w:spacing w:val="-8"/>
                <w:highlight w:val="none"/>
              </w:rPr>
              <w:t>(辆)</w:t>
            </w:r>
          </w:p>
        </w:tc>
        <w:tc>
          <w:tcPr>
            <w:tcW w:w="884" w:type="dxa"/>
            <w:vAlign w:val="top"/>
          </w:tcPr>
          <w:p w14:paraId="5DEC1DA7">
            <w:pPr>
              <w:spacing w:line="304" w:lineRule="auto"/>
              <w:rPr>
                <w:rFonts w:ascii="Arial"/>
                <w:color w:val="auto"/>
                <w:sz w:val="21"/>
                <w:highlight w:val="none"/>
              </w:rPr>
            </w:pPr>
          </w:p>
          <w:p w14:paraId="4EE1D27A">
            <w:pPr>
              <w:pStyle w:val="17"/>
              <w:spacing w:before="65" w:line="370" w:lineRule="auto"/>
              <w:ind w:left="270" w:right="232" w:hanging="35"/>
              <w:rPr>
                <w:color w:val="auto"/>
                <w:highlight w:val="none"/>
              </w:rPr>
            </w:pPr>
            <w:r>
              <w:rPr>
                <w:color w:val="auto"/>
                <w:spacing w:val="3"/>
                <w:highlight w:val="none"/>
              </w:rPr>
              <w:t>单价</w:t>
            </w:r>
            <w:r>
              <w:rPr>
                <w:color w:val="auto"/>
                <w:spacing w:val="-8"/>
                <w:highlight w:val="none"/>
              </w:rPr>
              <w:t>(元)</w:t>
            </w:r>
          </w:p>
        </w:tc>
        <w:tc>
          <w:tcPr>
            <w:tcW w:w="895" w:type="dxa"/>
            <w:vAlign w:val="top"/>
          </w:tcPr>
          <w:p w14:paraId="6D8E33FB">
            <w:pPr>
              <w:spacing w:line="251" w:lineRule="auto"/>
              <w:rPr>
                <w:rFonts w:ascii="Arial"/>
                <w:color w:val="auto"/>
                <w:sz w:val="21"/>
                <w:highlight w:val="none"/>
              </w:rPr>
            </w:pPr>
          </w:p>
          <w:p w14:paraId="4C823817">
            <w:pPr>
              <w:spacing w:line="252" w:lineRule="auto"/>
              <w:rPr>
                <w:rFonts w:ascii="Arial"/>
                <w:color w:val="auto"/>
                <w:sz w:val="21"/>
                <w:highlight w:val="none"/>
              </w:rPr>
            </w:pPr>
          </w:p>
          <w:p w14:paraId="1B5BCCB5">
            <w:pPr>
              <w:pStyle w:val="17"/>
              <w:spacing w:before="65" w:line="226" w:lineRule="auto"/>
              <w:ind w:left="44"/>
              <w:rPr>
                <w:color w:val="auto"/>
                <w:highlight w:val="none"/>
              </w:rPr>
            </w:pPr>
            <w:r>
              <w:rPr>
                <w:color w:val="auto"/>
                <w:spacing w:val="5"/>
                <w:highlight w:val="none"/>
              </w:rPr>
              <w:t>合价(元)</w:t>
            </w:r>
          </w:p>
        </w:tc>
        <w:tc>
          <w:tcPr>
            <w:tcW w:w="884" w:type="dxa"/>
            <w:vAlign w:val="top"/>
          </w:tcPr>
          <w:p w14:paraId="7E7C9292">
            <w:pPr>
              <w:spacing w:line="304" w:lineRule="auto"/>
              <w:rPr>
                <w:rFonts w:ascii="Arial"/>
                <w:color w:val="auto"/>
                <w:sz w:val="21"/>
                <w:highlight w:val="none"/>
              </w:rPr>
            </w:pPr>
          </w:p>
          <w:p w14:paraId="5B0899E5">
            <w:pPr>
              <w:pStyle w:val="17"/>
              <w:spacing w:before="65" w:line="370" w:lineRule="auto"/>
              <w:ind w:left="271" w:right="128" w:hanging="140"/>
              <w:rPr>
                <w:color w:val="auto"/>
                <w:highlight w:val="none"/>
              </w:rPr>
            </w:pPr>
            <w:r>
              <w:rPr>
                <w:color w:val="auto"/>
                <w:spacing w:val="6"/>
                <w:highlight w:val="none"/>
              </w:rPr>
              <w:t>折旧费</w:t>
            </w:r>
            <w:r>
              <w:rPr>
                <w:color w:val="auto"/>
                <w:spacing w:val="-9"/>
                <w:highlight w:val="none"/>
              </w:rPr>
              <w:t>(元)</w:t>
            </w:r>
          </w:p>
        </w:tc>
        <w:tc>
          <w:tcPr>
            <w:tcW w:w="887" w:type="dxa"/>
            <w:vAlign w:val="top"/>
          </w:tcPr>
          <w:p w14:paraId="02624DB5">
            <w:pPr>
              <w:spacing w:line="304" w:lineRule="auto"/>
              <w:rPr>
                <w:rFonts w:ascii="Arial"/>
                <w:color w:val="auto"/>
                <w:sz w:val="21"/>
                <w:highlight w:val="none"/>
              </w:rPr>
            </w:pPr>
          </w:p>
          <w:p w14:paraId="6B3C62E9">
            <w:pPr>
              <w:pStyle w:val="17"/>
              <w:spacing w:before="65" w:line="370" w:lineRule="auto"/>
              <w:ind w:left="273" w:right="129" w:hanging="141"/>
              <w:rPr>
                <w:color w:val="auto"/>
                <w:highlight w:val="none"/>
              </w:rPr>
            </w:pPr>
            <w:r>
              <w:rPr>
                <w:color w:val="auto"/>
                <w:spacing w:val="6"/>
                <w:highlight w:val="none"/>
              </w:rPr>
              <w:t>使用费</w:t>
            </w:r>
            <w:r>
              <w:rPr>
                <w:color w:val="auto"/>
                <w:spacing w:val="-9"/>
                <w:highlight w:val="none"/>
              </w:rPr>
              <w:t>(元)</w:t>
            </w:r>
          </w:p>
        </w:tc>
        <w:tc>
          <w:tcPr>
            <w:tcW w:w="1600" w:type="dxa"/>
            <w:vAlign w:val="top"/>
          </w:tcPr>
          <w:p w14:paraId="76368947">
            <w:pPr>
              <w:pStyle w:val="17"/>
              <w:spacing w:before="170" w:line="229" w:lineRule="auto"/>
              <w:ind w:left="591"/>
              <w:rPr>
                <w:color w:val="auto"/>
                <w:highlight w:val="none"/>
              </w:rPr>
            </w:pPr>
            <w:r>
              <w:rPr>
                <w:color w:val="auto"/>
                <w:spacing w:val="2"/>
                <w:highlight w:val="none"/>
              </w:rPr>
              <w:t>小计</w:t>
            </w:r>
          </w:p>
          <w:p w14:paraId="0A215D89">
            <w:pPr>
              <w:pStyle w:val="17"/>
              <w:spacing w:before="152" w:line="228" w:lineRule="auto"/>
              <w:ind w:left="167"/>
              <w:rPr>
                <w:color w:val="auto"/>
                <w:highlight w:val="none"/>
              </w:rPr>
            </w:pPr>
            <w:r>
              <w:rPr>
                <w:color w:val="auto"/>
                <w:spacing w:val="7"/>
                <w:highlight w:val="none"/>
              </w:rPr>
              <w:t>折旧及使用费</w:t>
            </w:r>
          </w:p>
          <w:p w14:paraId="3FF5A796">
            <w:pPr>
              <w:pStyle w:val="17"/>
              <w:spacing w:before="154" w:line="211" w:lineRule="auto"/>
              <w:ind w:left="622"/>
              <w:rPr>
                <w:color w:val="auto"/>
                <w:highlight w:val="none"/>
              </w:rPr>
            </w:pPr>
            <w:r>
              <w:rPr>
                <w:color w:val="auto"/>
                <w:spacing w:val="-9"/>
                <w:highlight w:val="none"/>
              </w:rPr>
              <w:t>(元)</w:t>
            </w:r>
          </w:p>
        </w:tc>
        <w:tc>
          <w:tcPr>
            <w:tcW w:w="915" w:type="dxa"/>
            <w:vAlign w:val="top"/>
          </w:tcPr>
          <w:p w14:paraId="732EBD3C">
            <w:pPr>
              <w:spacing w:line="305" w:lineRule="auto"/>
              <w:rPr>
                <w:rFonts w:ascii="Arial"/>
                <w:color w:val="auto"/>
                <w:sz w:val="21"/>
                <w:highlight w:val="none"/>
              </w:rPr>
            </w:pPr>
          </w:p>
          <w:p w14:paraId="63B22A36">
            <w:pPr>
              <w:pStyle w:val="17"/>
              <w:spacing w:before="65" w:line="370" w:lineRule="auto"/>
              <w:ind w:left="261" w:right="139" w:hanging="109"/>
              <w:rPr>
                <w:color w:val="auto"/>
                <w:highlight w:val="none"/>
              </w:rPr>
            </w:pPr>
            <w:r>
              <w:rPr>
                <w:color w:val="auto"/>
                <w:spacing w:val="6"/>
                <w:highlight w:val="none"/>
              </w:rPr>
              <w:t>名称及</w:t>
            </w:r>
            <w:r>
              <w:rPr>
                <w:color w:val="auto"/>
                <w:spacing w:val="1"/>
                <w:highlight w:val="none"/>
              </w:rPr>
              <w:t>型号</w:t>
            </w:r>
          </w:p>
        </w:tc>
        <w:tc>
          <w:tcPr>
            <w:tcW w:w="878" w:type="dxa"/>
            <w:vAlign w:val="top"/>
          </w:tcPr>
          <w:p w14:paraId="76AE03A2">
            <w:pPr>
              <w:spacing w:line="305" w:lineRule="auto"/>
              <w:rPr>
                <w:rFonts w:ascii="Arial"/>
                <w:color w:val="auto"/>
                <w:sz w:val="21"/>
                <w:highlight w:val="none"/>
              </w:rPr>
            </w:pPr>
          </w:p>
          <w:p w14:paraId="039CD5AF">
            <w:pPr>
              <w:pStyle w:val="17"/>
              <w:spacing w:before="65" w:line="369" w:lineRule="auto"/>
              <w:ind w:left="272" w:right="223" w:hanging="35"/>
              <w:rPr>
                <w:color w:val="auto"/>
                <w:highlight w:val="none"/>
              </w:rPr>
            </w:pPr>
            <w:r>
              <w:rPr>
                <w:color w:val="auto"/>
                <w:spacing w:val="3"/>
                <w:highlight w:val="none"/>
              </w:rPr>
              <w:t>数量</w:t>
            </w:r>
            <w:r>
              <w:rPr>
                <w:color w:val="auto"/>
                <w:spacing w:val="-8"/>
                <w:highlight w:val="none"/>
              </w:rPr>
              <w:t>(辆)</w:t>
            </w:r>
          </w:p>
        </w:tc>
        <w:tc>
          <w:tcPr>
            <w:tcW w:w="821" w:type="dxa"/>
            <w:vAlign w:val="top"/>
          </w:tcPr>
          <w:p w14:paraId="58C84C8A">
            <w:pPr>
              <w:spacing w:line="304" w:lineRule="auto"/>
              <w:rPr>
                <w:rFonts w:ascii="Arial"/>
                <w:color w:val="auto"/>
                <w:sz w:val="21"/>
                <w:highlight w:val="none"/>
              </w:rPr>
            </w:pPr>
          </w:p>
          <w:p w14:paraId="3E39212F">
            <w:pPr>
              <w:pStyle w:val="17"/>
              <w:spacing w:before="65" w:line="370" w:lineRule="auto"/>
              <w:ind w:left="249" w:right="192" w:hanging="35"/>
              <w:rPr>
                <w:color w:val="auto"/>
                <w:highlight w:val="none"/>
              </w:rPr>
            </w:pPr>
            <w:r>
              <w:rPr>
                <w:color w:val="auto"/>
                <w:spacing w:val="3"/>
                <w:highlight w:val="none"/>
              </w:rPr>
              <w:t>单价</w:t>
            </w:r>
            <w:r>
              <w:rPr>
                <w:color w:val="auto"/>
                <w:spacing w:val="-9"/>
                <w:highlight w:val="none"/>
              </w:rPr>
              <w:t>(元)</w:t>
            </w:r>
          </w:p>
        </w:tc>
        <w:tc>
          <w:tcPr>
            <w:tcW w:w="887" w:type="dxa"/>
            <w:vAlign w:val="top"/>
          </w:tcPr>
          <w:p w14:paraId="74FB86B5">
            <w:pPr>
              <w:spacing w:line="304" w:lineRule="auto"/>
              <w:rPr>
                <w:rFonts w:ascii="Arial"/>
                <w:color w:val="auto"/>
                <w:sz w:val="21"/>
                <w:highlight w:val="none"/>
              </w:rPr>
            </w:pPr>
          </w:p>
          <w:p w14:paraId="399513EF">
            <w:pPr>
              <w:pStyle w:val="17"/>
              <w:spacing w:before="65" w:line="370" w:lineRule="auto"/>
              <w:ind w:left="293" w:right="213" w:hanging="35"/>
              <w:rPr>
                <w:color w:val="auto"/>
                <w:highlight w:val="none"/>
              </w:rPr>
            </w:pPr>
            <w:r>
              <w:rPr>
                <w:color w:val="auto"/>
                <w:spacing w:val="4"/>
                <w:highlight w:val="none"/>
              </w:rPr>
              <w:t>合价</w:t>
            </w:r>
            <w:r>
              <w:rPr>
                <w:color w:val="auto"/>
                <w:spacing w:val="-9"/>
                <w:highlight w:val="none"/>
              </w:rPr>
              <w:t>(元)</w:t>
            </w:r>
          </w:p>
        </w:tc>
        <w:tc>
          <w:tcPr>
            <w:tcW w:w="1057" w:type="dxa"/>
            <w:vAlign w:val="top"/>
          </w:tcPr>
          <w:p w14:paraId="0DC44118">
            <w:pPr>
              <w:spacing w:line="304" w:lineRule="auto"/>
              <w:rPr>
                <w:rFonts w:ascii="Arial"/>
                <w:color w:val="auto"/>
                <w:sz w:val="21"/>
                <w:highlight w:val="none"/>
              </w:rPr>
            </w:pPr>
          </w:p>
          <w:p w14:paraId="516AF077">
            <w:pPr>
              <w:pStyle w:val="17"/>
              <w:spacing w:before="65" w:line="370" w:lineRule="auto"/>
              <w:ind w:left="366" w:right="206" w:hanging="140"/>
              <w:rPr>
                <w:color w:val="auto"/>
                <w:highlight w:val="none"/>
              </w:rPr>
            </w:pPr>
            <w:r>
              <w:rPr>
                <w:color w:val="auto"/>
                <w:spacing w:val="6"/>
                <w:highlight w:val="none"/>
              </w:rPr>
              <w:t>折旧费</w:t>
            </w:r>
            <w:r>
              <w:rPr>
                <w:color w:val="auto"/>
                <w:spacing w:val="-9"/>
                <w:highlight w:val="none"/>
              </w:rPr>
              <w:t>(元)</w:t>
            </w:r>
          </w:p>
        </w:tc>
        <w:tc>
          <w:tcPr>
            <w:tcW w:w="958" w:type="dxa"/>
            <w:vAlign w:val="top"/>
          </w:tcPr>
          <w:p w14:paraId="4385B9CB">
            <w:pPr>
              <w:spacing w:line="304" w:lineRule="auto"/>
              <w:rPr>
                <w:rFonts w:ascii="Arial"/>
                <w:color w:val="auto"/>
                <w:sz w:val="21"/>
                <w:highlight w:val="none"/>
              </w:rPr>
            </w:pPr>
          </w:p>
          <w:p w14:paraId="4596E7FC">
            <w:pPr>
              <w:pStyle w:val="17"/>
              <w:spacing w:before="65" w:line="370" w:lineRule="auto"/>
              <w:ind w:left="317" w:right="156" w:hanging="141"/>
              <w:rPr>
                <w:color w:val="auto"/>
                <w:highlight w:val="none"/>
              </w:rPr>
            </w:pPr>
            <w:r>
              <w:rPr>
                <w:color w:val="auto"/>
                <w:spacing w:val="6"/>
                <w:highlight w:val="none"/>
              </w:rPr>
              <w:t>使用费</w:t>
            </w:r>
            <w:r>
              <w:rPr>
                <w:color w:val="auto"/>
                <w:spacing w:val="-9"/>
                <w:highlight w:val="none"/>
              </w:rPr>
              <w:t>(元)</w:t>
            </w:r>
          </w:p>
        </w:tc>
        <w:tc>
          <w:tcPr>
            <w:tcW w:w="1215" w:type="dxa"/>
            <w:tcBorders>
              <w:right w:val="single" w:color="000000" w:sz="6" w:space="0"/>
            </w:tcBorders>
            <w:vAlign w:val="top"/>
          </w:tcPr>
          <w:p w14:paraId="096869DB">
            <w:pPr>
              <w:pStyle w:val="17"/>
              <w:spacing w:before="170" w:line="229" w:lineRule="auto"/>
              <w:ind w:left="402"/>
              <w:rPr>
                <w:color w:val="auto"/>
                <w:highlight w:val="none"/>
              </w:rPr>
            </w:pPr>
            <w:r>
              <w:rPr>
                <w:color w:val="auto"/>
                <w:spacing w:val="2"/>
                <w:highlight w:val="none"/>
              </w:rPr>
              <w:t>小计</w:t>
            </w:r>
          </w:p>
          <w:p w14:paraId="72895FE6">
            <w:pPr>
              <w:pStyle w:val="17"/>
              <w:spacing w:before="153" w:line="290" w:lineRule="auto"/>
              <w:ind w:left="301" w:right="82" w:hanging="218"/>
              <w:rPr>
                <w:color w:val="auto"/>
                <w:highlight w:val="none"/>
              </w:rPr>
            </w:pPr>
            <w:r>
              <w:rPr>
                <w:color w:val="auto"/>
                <w:spacing w:val="7"/>
                <w:highlight w:val="none"/>
              </w:rPr>
              <w:t>折旧及使用</w:t>
            </w:r>
            <w:r>
              <w:rPr>
                <w:color w:val="auto"/>
                <w:spacing w:val="2"/>
                <w:highlight w:val="none"/>
              </w:rPr>
              <w:t>费(元)</w:t>
            </w:r>
          </w:p>
        </w:tc>
      </w:tr>
      <w:tr w14:paraId="5B109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71" w:type="dxa"/>
            <w:tcBorders>
              <w:left w:val="single" w:color="000000" w:sz="6" w:space="0"/>
            </w:tcBorders>
            <w:vAlign w:val="top"/>
          </w:tcPr>
          <w:p w14:paraId="0208502E">
            <w:pPr>
              <w:pStyle w:val="17"/>
              <w:spacing w:before="284" w:line="270" w:lineRule="exact"/>
              <w:ind w:left="244"/>
              <w:rPr>
                <w:color w:val="auto"/>
                <w:highlight w:val="none"/>
              </w:rPr>
            </w:pPr>
            <w:r>
              <w:rPr>
                <w:color w:val="auto"/>
                <w:position w:val="1"/>
                <w:highlight w:val="none"/>
              </w:rPr>
              <w:t>1</w:t>
            </w:r>
          </w:p>
        </w:tc>
        <w:tc>
          <w:tcPr>
            <w:tcW w:w="883" w:type="dxa"/>
            <w:vAlign w:val="top"/>
          </w:tcPr>
          <w:p w14:paraId="62FD9F3E">
            <w:pPr>
              <w:rPr>
                <w:rFonts w:ascii="Arial"/>
                <w:color w:val="auto"/>
                <w:sz w:val="21"/>
                <w:highlight w:val="none"/>
              </w:rPr>
            </w:pPr>
          </w:p>
        </w:tc>
        <w:tc>
          <w:tcPr>
            <w:tcW w:w="886" w:type="dxa"/>
            <w:vAlign w:val="top"/>
          </w:tcPr>
          <w:p w14:paraId="76A36412">
            <w:pPr>
              <w:rPr>
                <w:rFonts w:ascii="Arial"/>
                <w:color w:val="auto"/>
                <w:sz w:val="21"/>
                <w:highlight w:val="none"/>
              </w:rPr>
            </w:pPr>
          </w:p>
        </w:tc>
        <w:tc>
          <w:tcPr>
            <w:tcW w:w="884" w:type="dxa"/>
            <w:vAlign w:val="top"/>
          </w:tcPr>
          <w:p w14:paraId="5BD9D8BE">
            <w:pPr>
              <w:rPr>
                <w:rFonts w:ascii="Arial"/>
                <w:color w:val="auto"/>
                <w:sz w:val="21"/>
                <w:highlight w:val="none"/>
              </w:rPr>
            </w:pPr>
          </w:p>
        </w:tc>
        <w:tc>
          <w:tcPr>
            <w:tcW w:w="895" w:type="dxa"/>
            <w:vAlign w:val="top"/>
          </w:tcPr>
          <w:p w14:paraId="1BE2372E">
            <w:pPr>
              <w:rPr>
                <w:rFonts w:ascii="Arial"/>
                <w:color w:val="auto"/>
                <w:sz w:val="21"/>
                <w:highlight w:val="none"/>
              </w:rPr>
            </w:pPr>
          </w:p>
        </w:tc>
        <w:tc>
          <w:tcPr>
            <w:tcW w:w="884" w:type="dxa"/>
            <w:vAlign w:val="top"/>
          </w:tcPr>
          <w:p w14:paraId="3EC760D3">
            <w:pPr>
              <w:rPr>
                <w:rFonts w:ascii="Arial"/>
                <w:color w:val="auto"/>
                <w:sz w:val="21"/>
                <w:highlight w:val="none"/>
              </w:rPr>
            </w:pPr>
          </w:p>
        </w:tc>
        <w:tc>
          <w:tcPr>
            <w:tcW w:w="887" w:type="dxa"/>
            <w:vAlign w:val="top"/>
          </w:tcPr>
          <w:p w14:paraId="0DF13C6B">
            <w:pPr>
              <w:rPr>
                <w:rFonts w:ascii="Arial"/>
                <w:color w:val="auto"/>
                <w:sz w:val="21"/>
                <w:highlight w:val="none"/>
              </w:rPr>
            </w:pPr>
          </w:p>
        </w:tc>
        <w:tc>
          <w:tcPr>
            <w:tcW w:w="1600" w:type="dxa"/>
            <w:vAlign w:val="top"/>
          </w:tcPr>
          <w:p w14:paraId="39F2784B">
            <w:pPr>
              <w:rPr>
                <w:rFonts w:ascii="Arial"/>
                <w:color w:val="auto"/>
                <w:sz w:val="21"/>
                <w:highlight w:val="none"/>
              </w:rPr>
            </w:pPr>
          </w:p>
        </w:tc>
        <w:tc>
          <w:tcPr>
            <w:tcW w:w="915" w:type="dxa"/>
            <w:vAlign w:val="top"/>
          </w:tcPr>
          <w:p w14:paraId="7ECB700C">
            <w:pPr>
              <w:rPr>
                <w:rFonts w:ascii="Arial"/>
                <w:color w:val="auto"/>
                <w:sz w:val="21"/>
                <w:highlight w:val="none"/>
              </w:rPr>
            </w:pPr>
          </w:p>
        </w:tc>
        <w:tc>
          <w:tcPr>
            <w:tcW w:w="878" w:type="dxa"/>
            <w:vAlign w:val="top"/>
          </w:tcPr>
          <w:p w14:paraId="5BC1E0FA">
            <w:pPr>
              <w:rPr>
                <w:rFonts w:ascii="Arial"/>
                <w:color w:val="auto"/>
                <w:sz w:val="21"/>
                <w:highlight w:val="none"/>
              </w:rPr>
            </w:pPr>
          </w:p>
        </w:tc>
        <w:tc>
          <w:tcPr>
            <w:tcW w:w="821" w:type="dxa"/>
            <w:vAlign w:val="top"/>
          </w:tcPr>
          <w:p w14:paraId="446EF7D6">
            <w:pPr>
              <w:rPr>
                <w:rFonts w:ascii="Arial"/>
                <w:color w:val="auto"/>
                <w:sz w:val="21"/>
                <w:highlight w:val="none"/>
              </w:rPr>
            </w:pPr>
          </w:p>
        </w:tc>
        <w:tc>
          <w:tcPr>
            <w:tcW w:w="887" w:type="dxa"/>
            <w:vAlign w:val="top"/>
          </w:tcPr>
          <w:p w14:paraId="71268378">
            <w:pPr>
              <w:rPr>
                <w:rFonts w:ascii="Arial"/>
                <w:color w:val="auto"/>
                <w:sz w:val="21"/>
                <w:highlight w:val="none"/>
              </w:rPr>
            </w:pPr>
          </w:p>
        </w:tc>
        <w:tc>
          <w:tcPr>
            <w:tcW w:w="1057" w:type="dxa"/>
            <w:vAlign w:val="top"/>
          </w:tcPr>
          <w:p w14:paraId="43C9BF5D">
            <w:pPr>
              <w:rPr>
                <w:rFonts w:ascii="Arial"/>
                <w:color w:val="auto"/>
                <w:sz w:val="21"/>
                <w:highlight w:val="none"/>
              </w:rPr>
            </w:pPr>
          </w:p>
        </w:tc>
        <w:tc>
          <w:tcPr>
            <w:tcW w:w="958" w:type="dxa"/>
            <w:vAlign w:val="top"/>
          </w:tcPr>
          <w:p w14:paraId="11DFF822">
            <w:pPr>
              <w:rPr>
                <w:rFonts w:ascii="Arial"/>
                <w:color w:val="auto"/>
                <w:sz w:val="21"/>
                <w:highlight w:val="none"/>
              </w:rPr>
            </w:pPr>
          </w:p>
        </w:tc>
        <w:tc>
          <w:tcPr>
            <w:tcW w:w="1215" w:type="dxa"/>
            <w:tcBorders>
              <w:right w:val="single" w:color="000000" w:sz="6" w:space="0"/>
            </w:tcBorders>
            <w:vAlign w:val="top"/>
          </w:tcPr>
          <w:p w14:paraId="783AD13D">
            <w:pPr>
              <w:rPr>
                <w:rFonts w:ascii="Arial"/>
                <w:color w:val="auto"/>
                <w:sz w:val="21"/>
                <w:highlight w:val="none"/>
              </w:rPr>
            </w:pPr>
          </w:p>
        </w:tc>
      </w:tr>
      <w:tr w14:paraId="37F73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71" w:type="dxa"/>
            <w:tcBorders>
              <w:left w:val="single" w:color="000000" w:sz="6" w:space="0"/>
            </w:tcBorders>
            <w:vAlign w:val="top"/>
          </w:tcPr>
          <w:p w14:paraId="0F444D80">
            <w:pPr>
              <w:pStyle w:val="17"/>
              <w:spacing w:before="286" w:line="270" w:lineRule="exact"/>
              <w:ind w:left="231"/>
              <w:rPr>
                <w:color w:val="auto"/>
                <w:highlight w:val="none"/>
              </w:rPr>
            </w:pPr>
            <w:r>
              <w:rPr>
                <w:color w:val="auto"/>
                <w:position w:val="1"/>
                <w:highlight w:val="none"/>
              </w:rPr>
              <w:t>2</w:t>
            </w:r>
          </w:p>
        </w:tc>
        <w:tc>
          <w:tcPr>
            <w:tcW w:w="883" w:type="dxa"/>
            <w:vAlign w:val="top"/>
          </w:tcPr>
          <w:p w14:paraId="55DED5F6">
            <w:pPr>
              <w:rPr>
                <w:rFonts w:ascii="Arial"/>
                <w:color w:val="auto"/>
                <w:sz w:val="21"/>
                <w:highlight w:val="none"/>
              </w:rPr>
            </w:pPr>
          </w:p>
        </w:tc>
        <w:tc>
          <w:tcPr>
            <w:tcW w:w="886" w:type="dxa"/>
            <w:vAlign w:val="top"/>
          </w:tcPr>
          <w:p w14:paraId="498D6466">
            <w:pPr>
              <w:rPr>
                <w:rFonts w:ascii="Arial"/>
                <w:color w:val="auto"/>
                <w:sz w:val="21"/>
                <w:highlight w:val="none"/>
              </w:rPr>
            </w:pPr>
          </w:p>
        </w:tc>
        <w:tc>
          <w:tcPr>
            <w:tcW w:w="884" w:type="dxa"/>
            <w:vAlign w:val="top"/>
          </w:tcPr>
          <w:p w14:paraId="2EEB7753">
            <w:pPr>
              <w:rPr>
                <w:rFonts w:ascii="Arial"/>
                <w:color w:val="auto"/>
                <w:sz w:val="21"/>
                <w:highlight w:val="none"/>
              </w:rPr>
            </w:pPr>
          </w:p>
        </w:tc>
        <w:tc>
          <w:tcPr>
            <w:tcW w:w="895" w:type="dxa"/>
            <w:vAlign w:val="top"/>
          </w:tcPr>
          <w:p w14:paraId="52ED4E52">
            <w:pPr>
              <w:rPr>
                <w:rFonts w:ascii="Arial"/>
                <w:color w:val="auto"/>
                <w:sz w:val="21"/>
                <w:highlight w:val="none"/>
              </w:rPr>
            </w:pPr>
          </w:p>
        </w:tc>
        <w:tc>
          <w:tcPr>
            <w:tcW w:w="884" w:type="dxa"/>
            <w:vAlign w:val="top"/>
          </w:tcPr>
          <w:p w14:paraId="61B5A318">
            <w:pPr>
              <w:rPr>
                <w:rFonts w:ascii="Arial"/>
                <w:color w:val="auto"/>
                <w:sz w:val="21"/>
                <w:highlight w:val="none"/>
              </w:rPr>
            </w:pPr>
          </w:p>
        </w:tc>
        <w:tc>
          <w:tcPr>
            <w:tcW w:w="887" w:type="dxa"/>
            <w:vAlign w:val="top"/>
          </w:tcPr>
          <w:p w14:paraId="7F16E4D7">
            <w:pPr>
              <w:rPr>
                <w:rFonts w:ascii="Arial"/>
                <w:color w:val="auto"/>
                <w:sz w:val="21"/>
                <w:highlight w:val="none"/>
              </w:rPr>
            </w:pPr>
          </w:p>
        </w:tc>
        <w:tc>
          <w:tcPr>
            <w:tcW w:w="1600" w:type="dxa"/>
            <w:vAlign w:val="top"/>
          </w:tcPr>
          <w:p w14:paraId="78105F5B">
            <w:pPr>
              <w:rPr>
                <w:rFonts w:ascii="Arial"/>
                <w:color w:val="auto"/>
                <w:sz w:val="21"/>
                <w:highlight w:val="none"/>
              </w:rPr>
            </w:pPr>
          </w:p>
        </w:tc>
        <w:tc>
          <w:tcPr>
            <w:tcW w:w="915" w:type="dxa"/>
            <w:vAlign w:val="top"/>
          </w:tcPr>
          <w:p w14:paraId="038369C2">
            <w:pPr>
              <w:rPr>
                <w:rFonts w:ascii="Arial"/>
                <w:color w:val="auto"/>
                <w:sz w:val="21"/>
                <w:highlight w:val="none"/>
              </w:rPr>
            </w:pPr>
          </w:p>
        </w:tc>
        <w:tc>
          <w:tcPr>
            <w:tcW w:w="878" w:type="dxa"/>
            <w:vAlign w:val="top"/>
          </w:tcPr>
          <w:p w14:paraId="7A02EC17">
            <w:pPr>
              <w:rPr>
                <w:rFonts w:ascii="Arial"/>
                <w:color w:val="auto"/>
                <w:sz w:val="21"/>
                <w:highlight w:val="none"/>
              </w:rPr>
            </w:pPr>
          </w:p>
        </w:tc>
        <w:tc>
          <w:tcPr>
            <w:tcW w:w="821" w:type="dxa"/>
            <w:vAlign w:val="top"/>
          </w:tcPr>
          <w:p w14:paraId="3C5B46F3">
            <w:pPr>
              <w:rPr>
                <w:rFonts w:ascii="Arial"/>
                <w:color w:val="auto"/>
                <w:sz w:val="21"/>
                <w:highlight w:val="none"/>
              </w:rPr>
            </w:pPr>
          </w:p>
        </w:tc>
        <w:tc>
          <w:tcPr>
            <w:tcW w:w="887" w:type="dxa"/>
            <w:vAlign w:val="top"/>
          </w:tcPr>
          <w:p w14:paraId="51CFD93B">
            <w:pPr>
              <w:rPr>
                <w:rFonts w:ascii="Arial"/>
                <w:color w:val="auto"/>
                <w:sz w:val="21"/>
                <w:highlight w:val="none"/>
              </w:rPr>
            </w:pPr>
          </w:p>
        </w:tc>
        <w:tc>
          <w:tcPr>
            <w:tcW w:w="1057" w:type="dxa"/>
            <w:vAlign w:val="top"/>
          </w:tcPr>
          <w:p w14:paraId="141577F2">
            <w:pPr>
              <w:rPr>
                <w:rFonts w:ascii="Arial"/>
                <w:color w:val="auto"/>
                <w:sz w:val="21"/>
                <w:highlight w:val="none"/>
              </w:rPr>
            </w:pPr>
          </w:p>
        </w:tc>
        <w:tc>
          <w:tcPr>
            <w:tcW w:w="958" w:type="dxa"/>
            <w:vAlign w:val="top"/>
          </w:tcPr>
          <w:p w14:paraId="242721FD">
            <w:pPr>
              <w:rPr>
                <w:rFonts w:ascii="Arial"/>
                <w:color w:val="auto"/>
                <w:sz w:val="21"/>
                <w:highlight w:val="none"/>
              </w:rPr>
            </w:pPr>
          </w:p>
        </w:tc>
        <w:tc>
          <w:tcPr>
            <w:tcW w:w="1215" w:type="dxa"/>
            <w:tcBorders>
              <w:right w:val="single" w:color="000000" w:sz="6" w:space="0"/>
            </w:tcBorders>
            <w:vAlign w:val="top"/>
          </w:tcPr>
          <w:p w14:paraId="0F2DAD37">
            <w:pPr>
              <w:rPr>
                <w:rFonts w:ascii="Arial"/>
                <w:color w:val="auto"/>
                <w:sz w:val="21"/>
                <w:highlight w:val="none"/>
              </w:rPr>
            </w:pPr>
          </w:p>
        </w:tc>
      </w:tr>
      <w:tr w14:paraId="7ACB1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71" w:type="dxa"/>
            <w:tcBorders>
              <w:left w:val="single" w:color="000000" w:sz="6" w:space="0"/>
            </w:tcBorders>
            <w:vAlign w:val="top"/>
          </w:tcPr>
          <w:p w14:paraId="4761B4AB">
            <w:pPr>
              <w:pStyle w:val="17"/>
              <w:spacing w:before="289" w:line="268" w:lineRule="exact"/>
              <w:ind w:left="232"/>
              <w:rPr>
                <w:color w:val="auto"/>
                <w:highlight w:val="none"/>
              </w:rPr>
            </w:pPr>
            <w:r>
              <w:rPr>
                <w:color w:val="auto"/>
                <w:position w:val="1"/>
                <w:highlight w:val="none"/>
              </w:rPr>
              <w:t>3</w:t>
            </w:r>
          </w:p>
        </w:tc>
        <w:tc>
          <w:tcPr>
            <w:tcW w:w="883" w:type="dxa"/>
            <w:vAlign w:val="top"/>
          </w:tcPr>
          <w:p w14:paraId="0C617C48">
            <w:pPr>
              <w:rPr>
                <w:rFonts w:ascii="Arial"/>
                <w:color w:val="auto"/>
                <w:sz w:val="21"/>
                <w:highlight w:val="none"/>
              </w:rPr>
            </w:pPr>
          </w:p>
        </w:tc>
        <w:tc>
          <w:tcPr>
            <w:tcW w:w="886" w:type="dxa"/>
            <w:vAlign w:val="top"/>
          </w:tcPr>
          <w:p w14:paraId="2754D821">
            <w:pPr>
              <w:rPr>
                <w:rFonts w:ascii="Arial"/>
                <w:color w:val="auto"/>
                <w:sz w:val="21"/>
                <w:highlight w:val="none"/>
              </w:rPr>
            </w:pPr>
          </w:p>
        </w:tc>
        <w:tc>
          <w:tcPr>
            <w:tcW w:w="884" w:type="dxa"/>
            <w:vAlign w:val="top"/>
          </w:tcPr>
          <w:p w14:paraId="5A4B928D">
            <w:pPr>
              <w:rPr>
                <w:rFonts w:ascii="Arial"/>
                <w:color w:val="auto"/>
                <w:sz w:val="21"/>
                <w:highlight w:val="none"/>
              </w:rPr>
            </w:pPr>
          </w:p>
        </w:tc>
        <w:tc>
          <w:tcPr>
            <w:tcW w:w="895" w:type="dxa"/>
            <w:vAlign w:val="top"/>
          </w:tcPr>
          <w:p w14:paraId="7FB82F02">
            <w:pPr>
              <w:rPr>
                <w:rFonts w:ascii="Arial"/>
                <w:color w:val="auto"/>
                <w:sz w:val="21"/>
                <w:highlight w:val="none"/>
              </w:rPr>
            </w:pPr>
          </w:p>
        </w:tc>
        <w:tc>
          <w:tcPr>
            <w:tcW w:w="884" w:type="dxa"/>
            <w:vAlign w:val="top"/>
          </w:tcPr>
          <w:p w14:paraId="11589A7E">
            <w:pPr>
              <w:rPr>
                <w:rFonts w:ascii="Arial"/>
                <w:color w:val="auto"/>
                <w:sz w:val="21"/>
                <w:highlight w:val="none"/>
              </w:rPr>
            </w:pPr>
          </w:p>
        </w:tc>
        <w:tc>
          <w:tcPr>
            <w:tcW w:w="887" w:type="dxa"/>
            <w:vAlign w:val="top"/>
          </w:tcPr>
          <w:p w14:paraId="6DD10ADF">
            <w:pPr>
              <w:rPr>
                <w:rFonts w:ascii="Arial"/>
                <w:color w:val="auto"/>
                <w:sz w:val="21"/>
                <w:highlight w:val="none"/>
              </w:rPr>
            </w:pPr>
          </w:p>
        </w:tc>
        <w:tc>
          <w:tcPr>
            <w:tcW w:w="1600" w:type="dxa"/>
            <w:vAlign w:val="top"/>
          </w:tcPr>
          <w:p w14:paraId="1117290B">
            <w:pPr>
              <w:rPr>
                <w:rFonts w:ascii="Arial"/>
                <w:color w:val="auto"/>
                <w:sz w:val="21"/>
                <w:highlight w:val="none"/>
              </w:rPr>
            </w:pPr>
          </w:p>
        </w:tc>
        <w:tc>
          <w:tcPr>
            <w:tcW w:w="915" w:type="dxa"/>
            <w:vAlign w:val="top"/>
          </w:tcPr>
          <w:p w14:paraId="16F24179">
            <w:pPr>
              <w:rPr>
                <w:rFonts w:ascii="Arial"/>
                <w:color w:val="auto"/>
                <w:sz w:val="21"/>
                <w:highlight w:val="none"/>
              </w:rPr>
            </w:pPr>
          </w:p>
        </w:tc>
        <w:tc>
          <w:tcPr>
            <w:tcW w:w="878" w:type="dxa"/>
            <w:vAlign w:val="top"/>
          </w:tcPr>
          <w:p w14:paraId="1809E6EC">
            <w:pPr>
              <w:rPr>
                <w:rFonts w:ascii="Arial"/>
                <w:color w:val="auto"/>
                <w:sz w:val="21"/>
                <w:highlight w:val="none"/>
              </w:rPr>
            </w:pPr>
          </w:p>
        </w:tc>
        <w:tc>
          <w:tcPr>
            <w:tcW w:w="821" w:type="dxa"/>
            <w:vAlign w:val="top"/>
          </w:tcPr>
          <w:p w14:paraId="5717EAB7">
            <w:pPr>
              <w:rPr>
                <w:rFonts w:ascii="Arial"/>
                <w:color w:val="auto"/>
                <w:sz w:val="21"/>
                <w:highlight w:val="none"/>
              </w:rPr>
            </w:pPr>
          </w:p>
        </w:tc>
        <w:tc>
          <w:tcPr>
            <w:tcW w:w="887" w:type="dxa"/>
            <w:vAlign w:val="top"/>
          </w:tcPr>
          <w:p w14:paraId="61F7E60F">
            <w:pPr>
              <w:rPr>
                <w:rFonts w:ascii="Arial"/>
                <w:color w:val="auto"/>
                <w:sz w:val="21"/>
                <w:highlight w:val="none"/>
              </w:rPr>
            </w:pPr>
          </w:p>
        </w:tc>
        <w:tc>
          <w:tcPr>
            <w:tcW w:w="1057" w:type="dxa"/>
            <w:vAlign w:val="top"/>
          </w:tcPr>
          <w:p w14:paraId="138F2544">
            <w:pPr>
              <w:rPr>
                <w:rFonts w:ascii="Arial"/>
                <w:color w:val="auto"/>
                <w:sz w:val="21"/>
                <w:highlight w:val="none"/>
              </w:rPr>
            </w:pPr>
          </w:p>
        </w:tc>
        <w:tc>
          <w:tcPr>
            <w:tcW w:w="958" w:type="dxa"/>
            <w:vAlign w:val="top"/>
          </w:tcPr>
          <w:p w14:paraId="318EA718">
            <w:pPr>
              <w:rPr>
                <w:rFonts w:ascii="Arial"/>
                <w:color w:val="auto"/>
                <w:sz w:val="21"/>
                <w:highlight w:val="none"/>
              </w:rPr>
            </w:pPr>
          </w:p>
        </w:tc>
        <w:tc>
          <w:tcPr>
            <w:tcW w:w="1215" w:type="dxa"/>
            <w:tcBorders>
              <w:right w:val="single" w:color="000000" w:sz="6" w:space="0"/>
            </w:tcBorders>
            <w:vAlign w:val="top"/>
          </w:tcPr>
          <w:p w14:paraId="74CCD2E1">
            <w:pPr>
              <w:rPr>
                <w:rFonts w:ascii="Arial"/>
                <w:color w:val="auto"/>
                <w:sz w:val="21"/>
                <w:highlight w:val="none"/>
              </w:rPr>
            </w:pPr>
          </w:p>
        </w:tc>
      </w:tr>
      <w:tr w14:paraId="69E4B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71" w:type="dxa"/>
            <w:tcBorders>
              <w:left w:val="single" w:color="000000" w:sz="6" w:space="0"/>
            </w:tcBorders>
            <w:vAlign w:val="top"/>
          </w:tcPr>
          <w:p w14:paraId="118BC040">
            <w:pPr>
              <w:pStyle w:val="17"/>
              <w:spacing w:before="291" w:line="324" w:lineRule="exact"/>
              <w:ind w:left="189"/>
              <w:rPr>
                <w:color w:val="auto"/>
                <w:highlight w:val="none"/>
              </w:rPr>
            </w:pPr>
            <w:r>
              <w:rPr>
                <w:color w:val="auto"/>
                <w:position w:val="2"/>
                <w:highlight w:val="none"/>
              </w:rPr>
              <w:t>…</w:t>
            </w:r>
          </w:p>
        </w:tc>
        <w:tc>
          <w:tcPr>
            <w:tcW w:w="883" w:type="dxa"/>
            <w:vAlign w:val="top"/>
          </w:tcPr>
          <w:p w14:paraId="11705F1D">
            <w:pPr>
              <w:rPr>
                <w:rFonts w:ascii="Arial"/>
                <w:color w:val="auto"/>
                <w:sz w:val="21"/>
                <w:highlight w:val="none"/>
              </w:rPr>
            </w:pPr>
          </w:p>
        </w:tc>
        <w:tc>
          <w:tcPr>
            <w:tcW w:w="886" w:type="dxa"/>
            <w:vAlign w:val="top"/>
          </w:tcPr>
          <w:p w14:paraId="7E3B7AF8">
            <w:pPr>
              <w:rPr>
                <w:rFonts w:ascii="Arial"/>
                <w:color w:val="auto"/>
                <w:sz w:val="21"/>
                <w:highlight w:val="none"/>
              </w:rPr>
            </w:pPr>
          </w:p>
        </w:tc>
        <w:tc>
          <w:tcPr>
            <w:tcW w:w="884" w:type="dxa"/>
            <w:vAlign w:val="top"/>
          </w:tcPr>
          <w:p w14:paraId="32331D19">
            <w:pPr>
              <w:rPr>
                <w:rFonts w:ascii="Arial"/>
                <w:color w:val="auto"/>
                <w:sz w:val="21"/>
                <w:highlight w:val="none"/>
              </w:rPr>
            </w:pPr>
          </w:p>
        </w:tc>
        <w:tc>
          <w:tcPr>
            <w:tcW w:w="895" w:type="dxa"/>
            <w:vAlign w:val="top"/>
          </w:tcPr>
          <w:p w14:paraId="11046234">
            <w:pPr>
              <w:rPr>
                <w:rFonts w:ascii="Arial"/>
                <w:color w:val="auto"/>
                <w:sz w:val="21"/>
                <w:highlight w:val="none"/>
              </w:rPr>
            </w:pPr>
          </w:p>
        </w:tc>
        <w:tc>
          <w:tcPr>
            <w:tcW w:w="884" w:type="dxa"/>
            <w:vAlign w:val="top"/>
          </w:tcPr>
          <w:p w14:paraId="6D59A350">
            <w:pPr>
              <w:rPr>
                <w:rFonts w:ascii="Arial"/>
                <w:color w:val="auto"/>
                <w:sz w:val="21"/>
                <w:highlight w:val="none"/>
              </w:rPr>
            </w:pPr>
          </w:p>
        </w:tc>
        <w:tc>
          <w:tcPr>
            <w:tcW w:w="887" w:type="dxa"/>
            <w:vAlign w:val="top"/>
          </w:tcPr>
          <w:p w14:paraId="5B2ADEB6">
            <w:pPr>
              <w:rPr>
                <w:rFonts w:ascii="Arial"/>
                <w:color w:val="auto"/>
                <w:sz w:val="21"/>
                <w:highlight w:val="none"/>
              </w:rPr>
            </w:pPr>
          </w:p>
        </w:tc>
        <w:tc>
          <w:tcPr>
            <w:tcW w:w="1600" w:type="dxa"/>
            <w:vAlign w:val="top"/>
          </w:tcPr>
          <w:p w14:paraId="6FE635A6">
            <w:pPr>
              <w:rPr>
                <w:rFonts w:ascii="Arial"/>
                <w:color w:val="auto"/>
                <w:sz w:val="21"/>
                <w:highlight w:val="none"/>
              </w:rPr>
            </w:pPr>
          </w:p>
        </w:tc>
        <w:tc>
          <w:tcPr>
            <w:tcW w:w="915" w:type="dxa"/>
            <w:vAlign w:val="top"/>
          </w:tcPr>
          <w:p w14:paraId="550B7FBA">
            <w:pPr>
              <w:rPr>
                <w:rFonts w:ascii="Arial"/>
                <w:color w:val="auto"/>
                <w:sz w:val="21"/>
                <w:highlight w:val="none"/>
              </w:rPr>
            </w:pPr>
          </w:p>
        </w:tc>
        <w:tc>
          <w:tcPr>
            <w:tcW w:w="878" w:type="dxa"/>
            <w:vAlign w:val="top"/>
          </w:tcPr>
          <w:p w14:paraId="64005A08">
            <w:pPr>
              <w:rPr>
                <w:rFonts w:ascii="Arial"/>
                <w:color w:val="auto"/>
                <w:sz w:val="21"/>
                <w:highlight w:val="none"/>
              </w:rPr>
            </w:pPr>
          </w:p>
        </w:tc>
        <w:tc>
          <w:tcPr>
            <w:tcW w:w="821" w:type="dxa"/>
            <w:vAlign w:val="top"/>
          </w:tcPr>
          <w:p w14:paraId="05710BDE">
            <w:pPr>
              <w:rPr>
                <w:rFonts w:ascii="Arial"/>
                <w:color w:val="auto"/>
                <w:sz w:val="21"/>
                <w:highlight w:val="none"/>
              </w:rPr>
            </w:pPr>
          </w:p>
        </w:tc>
        <w:tc>
          <w:tcPr>
            <w:tcW w:w="887" w:type="dxa"/>
            <w:vAlign w:val="top"/>
          </w:tcPr>
          <w:p w14:paraId="7660D6BA">
            <w:pPr>
              <w:rPr>
                <w:rFonts w:ascii="Arial"/>
                <w:color w:val="auto"/>
                <w:sz w:val="21"/>
                <w:highlight w:val="none"/>
              </w:rPr>
            </w:pPr>
          </w:p>
        </w:tc>
        <w:tc>
          <w:tcPr>
            <w:tcW w:w="1057" w:type="dxa"/>
            <w:vAlign w:val="top"/>
          </w:tcPr>
          <w:p w14:paraId="7FB7A2FB">
            <w:pPr>
              <w:rPr>
                <w:rFonts w:ascii="Arial"/>
                <w:color w:val="auto"/>
                <w:sz w:val="21"/>
                <w:highlight w:val="none"/>
              </w:rPr>
            </w:pPr>
          </w:p>
        </w:tc>
        <w:tc>
          <w:tcPr>
            <w:tcW w:w="958" w:type="dxa"/>
            <w:vAlign w:val="top"/>
          </w:tcPr>
          <w:p w14:paraId="68D84E53">
            <w:pPr>
              <w:rPr>
                <w:rFonts w:ascii="Arial"/>
                <w:color w:val="auto"/>
                <w:sz w:val="21"/>
                <w:highlight w:val="none"/>
              </w:rPr>
            </w:pPr>
          </w:p>
        </w:tc>
        <w:tc>
          <w:tcPr>
            <w:tcW w:w="1215" w:type="dxa"/>
            <w:tcBorders>
              <w:right w:val="single" w:color="000000" w:sz="6" w:space="0"/>
            </w:tcBorders>
            <w:vAlign w:val="top"/>
          </w:tcPr>
          <w:p w14:paraId="53551A9B">
            <w:pPr>
              <w:rPr>
                <w:rFonts w:ascii="Arial"/>
                <w:color w:val="auto"/>
                <w:sz w:val="21"/>
                <w:highlight w:val="none"/>
              </w:rPr>
            </w:pPr>
          </w:p>
        </w:tc>
      </w:tr>
      <w:tr w14:paraId="0FFF6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571" w:type="dxa"/>
            <w:tcBorders>
              <w:left w:val="single" w:color="000000" w:sz="6" w:space="0"/>
              <w:bottom w:val="single" w:color="000000" w:sz="6" w:space="0"/>
              <w:right w:val="nil"/>
            </w:tcBorders>
            <w:vAlign w:val="top"/>
          </w:tcPr>
          <w:p w14:paraId="7D89C971">
            <w:pPr>
              <w:rPr>
                <w:rFonts w:ascii="Arial"/>
                <w:color w:val="auto"/>
                <w:sz w:val="21"/>
                <w:highlight w:val="none"/>
              </w:rPr>
            </w:pPr>
          </w:p>
        </w:tc>
        <w:tc>
          <w:tcPr>
            <w:tcW w:w="3548" w:type="dxa"/>
            <w:gridSpan w:val="4"/>
            <w:tcBorders>
              <w:left w:val="nil"/>
              <w:bottom w:val="single" w:color="000000" w:sz="6" w:space="0"/>
            </w:tcBorders>
            <w:vAlign w:val="top"/>
          </w:tcPr>
          <w:p w14:paraId="06EFA884">
            <w:pPr>
              <w:pStyle w:val="17"/>
              <w:spacing w:before="294" w:line="228" w:lineRule="auto"/>
              <w:ind w:left="918"/>
              <w:rPr>
                <w:color w:val="auto"/>
                <w:highlight w:val="none"/>
              </w:rPr>
            </w:pPr>
            <w:r>
              <w:rPr>
                <w:color w:val="auto"/>
                <w:spacing w:val="-5"/>
                <w:highlight w:val="none"/>
              </w:rPr>
              <w:t>合</w:t>
            </w:r>
            <w:r>
              <w:rPr>
                <w:color w:val="auto"/>
                <w:spacing w:val="10"/>
                <w:highlight w:val="none"/>
              </w:rPr>
              <w:t xml:space="preserve">  </w:t>
            </w:r>
            <w:r>
              <w:rPr>
                <w:color w:val="auto"/>
                <w:spacing w:val="-5"/>
                <w:highlight w:val="none"/>
              </w:rPr>
              <w:t>计</w:t>
            </w:r>
            <w:r>
              <w:rPr>
                <w:color w:val="auto"/>
                <w:spacing w:val="50"/>
                <w:highlight w:val="none"/>
              </w:rPr>
              <w:t xml:space="preserve"> </w:t>
            </w:r>
            <w:r>
              <w:rPr>
                <w:color w:val="auto"/>
                <w:spacing w:val="-5"/>
                <w:highlight w:val="none"/>
              </w:rPr>
              <w:t>(元)</w:t>
            </w:r>
          </w:p>
        </w:tc>
        <w:tc>
          <w:tcPr>
            <w:tcW w:w="884" w:type="dxa"/>
            <w:tcBorders>
              <w:bottom w:val="single" w:color="000000" w:sz="6" w:space="0"/>
            </w:tcBorders>
            <w:vAlign w:val="top"/>
          </w:tcPr>
          <w:p w14:paraId="06540FFA">
            <w:pPr>
              <w:rPr>
                <w:rFonts w:ascii="Arial"/>
                <w:color w:val="auto"/>
                <w:sz w:val="21"/>
                <w:highlight w:val="none"/>
              </w:rPr>
            </w:pPr>
          </w:p>
        </w:tc>
        <w:tc>
          <w:tcPr>
            <w:tcW w:w="887" w:type="dxa"/>
            <w:tcBorders>
              <w:bottom w:val="single" w:color="000000" w:sz="6" w:space="0"/>
            </w:tcBorders>
            <w:vAlign w:val="top"/>
          </w:tcPr>
          <w:p w14:paraId="4CD88FE3">
            <w:pPr>
              <w:rPr>
                <w:rFonts w:ascii="Arial"/>
                <w:color w:val="auto"/>
                <w:sz w:val="21"/>
                <w:highlight w:val="none"/>
              </w:rPr>
            </w:pPr>
          </w:p>
        </w:tc>
        <w:tc>
          <w:tcPr>
            <w:tcW w:w="1600" w:type="dxa"/>
            <w:tcBorders>
              <w:bottom w:val="single" w:color="000000" w:sz="6" w:space="0"/>
            </w:tcBorders>
            <w:vAlign w:val="top"/>
          </w:tcPr>
          <w:p w14:paraId="787A9D86">
            <w:pPr>
              <w:rPr>
                <w:rFonts w:ascii="Arial"/>
                <w:color w:val="auto"/>
                <w:sz w:val="21"/>
                <w:highlight w:val="none"/>
              </w:rPr>
            </w:pPr>
          </w:p>
        </w:tc>
        <w:tc>
          <w:tcPr>
            <w:tcW w:w="3501" w:type="dxa"/>
            <w:gridSpan w:val="4"/>
            <w:tcBorders>
              <w:bottom w:val="single" w:color="000000" w:sz="6" w:space="0"/>
            </w:tcBorders>
            <w:vAlign w:val="top"/>
          </w:tcPr>
          <w:p w14:paraId="05F94644">
            <w:pPr>
              <w:pStyle w:val="17"/>
              <w:spacing w:before="229" w:line="228" w:lineRule="auto"/>
              <w:ind w:left="1182"/>
              <w:rPr>
                <w:color w:val="auto"/>
                <w:highlight w:val="none"/>
              </w:rPr>
            </w:pPr>
            <w:r>
              <w:rPr>
                <w:color w:val="auto"/>
                <w:spacing w:val="-6"/>
                <w:highlight w:val="none"/>
              </w:rPr>
              <w:t>合</w:t>
            </w:r>
            <w:r>
              <w:rPr>
                <w:color w:val="auto"/>
                <w:spacing w:val="11"/>
                <w:highlight w:val="none"/>
              </w:rPr>
              <w:t xml:space="preserve">  </w:t>
            </w:r>
            <w:r>
              <w:rPr>
                <w:color w:val="auto"/>
                <w:spacing w:val="-6"/>
                <w:highlight w:val="none"/>
              </w:rPr>
              <w:t>计</w:t>
            </w:r>
            <w:r>
              <w:rPr>
                <w:color w:val="auto"/>
                <w:spacing w:val="51"/>
                <w:highlight w:val="none"/>
              </w:rPr>
              <w:t xml:space="preserve"> </w:t>
            </w:r>
            <w:r>
              <w:rPr>
                <w:color w:val="auto"/>
                <w:spacing w:val="-6"/>
                <w:highlight w:val="none"/>
              </w:rPr>
              <w:t>(元)</w:t>
            </w:r>
          </w:p>
        </w:tc>
        <w:tc>
          <w:tcPr>
            <w:tcW w:w="1057" w:type="dxa"/>
            <w:tcBorders>
              <w:bottom w:val="single" w:color="000000" w:sz="6" w:space="0"/>
            </w:tcBorders>
            <w:vAlign w:val="top"/>
          </w:tcPr>
          <w:p w14:paraId="04C4349E">
            <w:pPr>
              <w:rPr>
                <w:rFonts w:ascii="Arial"/>
                <w:color w:val="auto"/>
                <w:sz w:val="21"/>
                <w:highlight w:val="none"/>
              </w:rPr>
            </w:pPr>
          </w:p>
        </w:tc>
        <w:tc>
          <w:tcPr>
            <w:tcW w:w="958" w:type="dxa"/>
            <w:tcBorders>
              <w:bottom w:val="single" w:color="000000" w:sz="6" w:space="0"/>
            </w:tcBorders>
            <w:vAlign w:val="top"/>
          </w:tcPr>
          <w:p w14:paraId="002E11DA">
            <w:pPr>
              <w:rPr>
                <w:rFonts w:ascii="Arial"/>
                <w:color w:val="auto"/>
                <w:sz w:val="21"/>
                <w:highlight w:val="none"/>
              </w:rPr>
            </w:pPr>
          </w:p>
        </w:tc>
        <w:tc>
          <w:tcPr>
            <w:tcW w:w="1215" w:type="dxa"/>
            <w:tcBorders>
              <w:bottom w:val="single" w:color="000000" w:sz="6" w:space="0"/>
              <w:right w:val="single" w:color="000000" w:sz="6" w:space="0"/>
            </w:tcBorders>
            <w:vAlign w:val="top"/>
          </w:tcPr>
          <w:p w14:paraId="254087FB">
            <w:pPr>
              <w:rPr>
                <w:rFonts w:ascii="Arial"/>
                <w:color w:val="auto"/>
                <w:sz w:val="21"/>
                <w:highlight w:val="none"/>
              </w:rPr>
            </w:pPr>
          </w:p>
        </w:tc>
      </w:tr>
    </w:tbl>
    <w:p w14:paraId="145A1559">
      <w:pPr>
        <w:rPr>
          <w:rFonts w:ascii="Arial"/>
          <w:color w:val="auto"/>
          <w:sz w:val="21"/>
          <w:highlight w:val="none"/>
        </w:rPr>
      </w:pPr>
    </w:p>
    <w:p w14:paraId="06123214">
      <w:pPr>
        <w:rPr>
          <w:rFonts w:ascii="Arial" w:hAnsi="Arial" w:eastAsia="Arial" w:cs="Arial"/>
          <w:color w:val="auto"/>
          <w:sz w:val="21"/>
          <w:szCs w:val="21"/>
          <w:highlight w:val="none"/>
        </w:rPr>
        <w:sectPr>
          <w:footerReference r:id="rId117" w:type="default"/>
          <w:pgSz w:w="16839" w:h="11906"/>
          <w:pgMar w:top="1012" w:right="1301" w:bottom="1297" w:left="1300" w:header="0" w:footer="1067" w:gutter="0"/>
          <w:pgNumType w:fmt="decimal"/>
          <w:cols w:space="720" w:num="1"/>
        </w:sectPr>
      </w:pPr>
    </w:p>
    <w:p w14:paraId="7A84BE2D">
      <w:pPr>
        <w:spacing w:line="353" w:lineRule="auto"/>
        <w:rPr>
          <w:rFonts w:ascii="Arial"/>
          <w:color w:val="auto"/>
          <w:sz w:val="21"/>
          <w:highlight w:val="none"/>
        </w:rPr>
      </w:pPr>
    </w:p>
    <w:p w14:paraId="69325977">
      <w:pPr>
        <w:spacing w:before="91" w:line="212" w:lineRule="auto"/>
        <w:ind w:left="4493"/>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表</w:t>
      </w:r>
      <w:r>
        <w:rPr>
          <w:rFonts w:ascii="宋体" w:hAnsi="宋体" w:eastAsia="宋体" w:cs="宋体"/>
          <w:color w:val="auto"/>
          <w:spacing w:val="-55"/>
          <w:sz w:val="28"/>
          <w:szCs w:val="28"/>
          <w:highlight w:val="none"/>
        </w:rPr>
        <w:t xml:space="preserve"> </w:t>
      </w:r>
      <w:r>
        <w:rPr>
          <w:rFonts w:ascii="宋体" w:hAnsi="宋体" w:eastAsia="宋体" w:cs="宋体"/>
          <w:b/>
          <w:bCs/>
          <w:color w:val="auto"/>
          <w:spacing w:val="-3"/>
          <w:sz w:val="28"/>
          <w:szCs w:val="28"/>
          <w:highlight w:val="none"/>
        </w:rPr>
        <w:t>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监理试验设施费报价表（常规检测）</w:t>
      </w:r>
    </w:p>
    <w:tbl>
      <w:tblPr>
        <w:tblStyle w:val="16"/>
        <w:tblW w:w="1422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1029"/>
        <w:gridCol w:w="792"/>
        <w:gridCol w:w="696"/>
        <w:gridCol w:w="1068"/>
        <w:gridCol w:w="20"/>
        <w:gridCol w:w="923"/>
        <w:gridCol w:w="935"/>
        <w:gridCol w:w="1230"/>
        <w:gridCol w:w="1222"/>
        <w:gridCol w:w="827"/>
        <w:gridCol w:w="682"/>
        <w:gridCol w:w="1034"/>
        <w:gridCol w:w="1026"/>
        <w:gridCol w:w="1026"/>
        <w:gridCol w:w="1237"/>
      </w:tblGrid>
      <w:tr w14:paraId="05512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74" w:type="dxa"/>
            <w:vMerge w:val="restart"/>
            <w:tcBorders>
              <w:top w:val="single" w:color="000000" w:sz="6" w:space="0"/>
              <w:left w:val="single" w:color="000000" w:sz="6" w:space="0"/>
              <w:bottom w:val="nil"/>
            </w:tcBorders>
            <w:textDirection w:val="tbRlV"/>
            <w:vAlign w:val="top"/>
          </w:tcPr>
          <w:p w14:paraId="58DF2011">
            <w:pPr>
              <w:pStyle w:val="17"/>
              <w:spacing w:before="134" w:line="218" w:lineRule="auto"/>
              <w:ind w:left="668"/>
              <w:rPr>
                <w:color w:val="auto"/>
                <w:highlight w:val="none"/>
              </w:rPr>
            </w:pPr>
            <w:r>
              <w:rPr>
                <w:color w:val="auto"/>
                <w:spacing w:val="8"/>
                <w:highlight w:val="none"/>
              </w:rPr>
              <w:t>序</w:t>
            </w:r>
            <w:r>
              <w:rPr>
                <w:color w:val="auto"/>
                <w:spacing w:val="90"/>
                <w:highlight w:val="none"/>
              </w:rPr>
              <w:t xml:space="preserve"> </w:t>
            </w:r>
            <w:r>
              <w:rPr>
                <w:color w:val="auto"/>
                <w:spacing w:val="8"/>
                <w:highlight w:val="none"/>
              </w:rPr>
              <w:t>号</w:t>
            </w:r>
          </w:p>
        </w:tc>
        <w:tc>
          <w:tcPr>
            <w:tcW w:w="6693" w:type="dxa"/>
            <w:gridSpan w:val="8"/>
            <w:tcBorders>
              <w:top w:val="single" w:color="000000" w:sz="6" w:space="0"/>
            </w:tcBorders>
            <w:vAlign w:val="top"/>
          </w:tcPr>
          <w:p w14:paraId="6C9750E4">
            <w:pPr>
              <w:pStyle w:val="17"/>
              <w:spacing w:before="194" w:line="228" w:lineRule="auto"/>
              <w:ind w:left="3032"/>
              <w:rPr>
                <w:color w:val="auto"/>
                <w:highlight w:val="none"/>
              </w:rPr>
            </w:pPr>
            <w:r>
              <w:rPr>
                <w:color w:val="auto"/>
                <w:spacing w:val="7"/>
                <w:highlight w:val="none"/>
              </w:rPr>
              <w:t>施工期</w:t>
            </w:r>
          </w:p>
        </w:tc>
        <w:tc>
          <w:tcPr>
            <w:tcW w:w="7054" w:type="dxa"/>
            <w:gridSpan w:val="7"/>
            <w:tcBorders>
              <w:top w:val="single" w:color="000000" w:sz="6" w:space="0"/>
              <w:right w:val="single" w:color="000000" w:sz="6" w:space="0"/>
            </w:tcBorders>
            <w:vAlign w:val="top"/>
          </w:tcPr>
          <w:p w14:paraId="045D518F">
            <w:pPr>
              <w:pStyle w:val="17"/>
              <w:spacing w:before="193" w:line="228" w:lineRule="auto"/>
              <w:ind w:left="3007"/>
              <w:rPr>
                <w:color w:val="auto"/>
                <w:highlight w:val="none"/>
              </w:rPr>
            </w:pPr>
            <w:r>
              <w:rPr>
                <w:color w:val="auto"/>
                <w:spacing w:val="8"/>
                <w:highlight w:val="none"/>
              </w:rPr>
              <w:t>缺陷责任期</w:t>
            </w:r>
          </w:p>
        </w:tc>
      </w:tr>
      <w:tr w14:paraId="1A496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474" w:type="dxa"/>
            <w:vMerge w:val="continue"/>
            <w:tcBorders>
              <w:top w:val="nil"/>
              <w:left w:val="single" w:color="000000" w:sz="6" w:space="0"/>
            </w:tcBorders>
            <w:textDirection w:val="tbRlV"/>
            <w:vAlign w:val="top"/>
          </w:tcPr>
          <w:p w14:paraId="74451761">
            <w:pPr>
              <w:rPr>
                <w:rFonts w:ascii="Arial"/>
                <w:color w:val="auto"/>
                <w:sz w:val="21"/>
                <w:highlight w:val="none"/>
              </w:rPr>
            </w:pPr>
          </w:p>
        </w:tc>
        <w:tc>
          <w:tcPr>
            <w:tcW w:w="1029" w:type="dxa"/>
            <w:vAlign w:val="top"/>
          </w:tcPr>
          <w:p w14:paraId="558315A3">
            <w:pPr>
              <w:spacing w:line="251" w:lineRule="auto"/>
              <w:rPr>
                <w:rFonts w:ascii="Arial"/>
                <w:color w:val="auto"/>
                <w:sz w:val="21"/>
                <w:highlight w:val="none"/>
              </w:rPr>
            </w:pPr>
          </w:p>
          <w:p w14:paraId="1BDE3353">
            <w:pPr>
              <w:spacing w:line="251" w:lineRule="auto"/>
              <w:rPr>
                <w:rFonts w:ascii="Arial"/>
                <w:color w:val="auto"/>
                <w:sz w:val="21"/>
                <w:highlight w:val="none"/>
              </w:rPr>
            </w:pPr>
          </w:p>
          <w:p w14:paraId="616E1E08">
            <w:pPr>
              <w:pStyle w:val="17"/>
              <w:spacing w:before="65" w:line="229" w:lineRule="auto"/>
              <w:ind w:left="96"/>
              <w:rPr>
                <w:color w:val="auto"/>
                <w:highlight w:val="none"/>
              </w:rPr>
            </w:pPr>
            <w:r>
              <w:rPr>
                <w:color w:val="auto"/>
                <w:spacing w:val="6"/>
                <w:highlight w:val="none"/>
              </w:rPr>
              <w:t>设备名称</w:t>
            </w:r>
          </w:p>
        </w:tc>
        <w:tc>
          <w:tcPr>
            <w:tcW w:w="792" w:type="dxa"/>
            <w:vAlign w:val="top"/>
          </w:tcPr>
          <w:p w14:paraId="18F9C51C">
            <w:pPr>
              <w:spacing w:line="251" w:lineRule="auto"/>
              <w:rPr>
                <w:rFonts w:ascii="Arial"/>
                <w:color w:val="auto"/>
                <w:sz w:val="21"/>
                <w:highlight w:val="none"/>
              </w:rPr>
            </w:pPr>
          </w:p>
          <w:p w14:paraId="74B258EC">
            <w:pPr>
              <w:spacing w:line="251" w:lineRule="auto"/>
              <w:rPr>
                <w:rFonts w:ascii="Arial"/>
                <w:color w:val="auto"/>
                <w:sz w:val="21"/>
                <w:highlight w:val="none"/>
              </w:rPr>
            </w:pPr>
          </w:p>
          <w:p w14:paraId="0B699F88">
            <w:pPr>
              <w:pStyle w:val="17"/>
              <w:spacing w:before="65" w:line="229" w:lineRule="auto"/>
              <w:ind w:left="191"/>
              <w:rPr>
                <w:color w:val="auto"/>
                <w:highlight w:val="none"/>
              </w:rPr>
            </w:pPr>
            <w:r>
              <w:rPr>
                <w:color w:val="auto"/>
                <w:spacing w:val="1"/>
                <w:highlight w:val="none"/>
              </w:rPr>
              <w:t>型号</w:t>
            </w:r>
          </w:p>
        </w:tc>
        <w:tc>
          <w:tcPr>
            <w:tcW w:w="696" w:type="dxa"/>
            <w:vAlign w:val="top"/>
          </w:tcPr>
          <w:p w14:paraId="71988B50">
            <w:pPr>
              <w:spacing w:line="251" w:lineRule="auto"/>
              <w:rPr>
                <w:rFonts w:ascii="Arial"/>
                <w:color w:val="auto"/>
                <w:sz w:val="21"/>
                <w:highlight w:val="none"/>
              </w:rPr>
            </w:pPr>
          </w:p>
          <w:p w14:paraId="1AB0C392">
            <w:pPr>
              <w:spacing w:line="251" w:lineRule="auto"/>
              <w:rPr>
                <w:rFonts w:ascii="Arial"/>
                <w:color w:val="auto"/>
                <w:sz w:val="21"/>
                <w:highlight w:val="none"/>
              </w:rPr>
            </w:pPr>
          </w:p>
          <w:p w14:paraId="29DE5D16">
            <w:pPr>
              <w:pStyle w:val="17"/>
              <w:spacing w:before="65" w:line="228" w:lineRule="auto"/>
              <w:ind w:left="141"/>
              <w:rPr>
                <w:color w:val="auto"/>
                <w:highlight w:val="none"/>
              </w:rPr>
            </w:pPr>
            <w:r>
              <w:rPr>
                <w:color w:val="auto"/>
                <w:spacing w:val="3"/>
                <w:highlight w:val="none"/>
              </w:rPr>
              <w:t>数量</w:t>
            </w:r>
          </w:p>
        </w:tc>
        <w:tc>
          <w:tcPr>
            <w:tcW w:w="1068" w:type="dxa"/>
            <w:vAlign w:val="top"/>
          </w:tcPr>
          <w:p w14:paraId="6E57B8D7">
            <w:pPr>
              <w:spacing w:line="304" w:lineRule="auto"/>
              <w:rPr>
                <w:rFonts w:ascii="Arial"/>
                <w:color w:val="auto"/>
                <w:sz w:val="21"/>
                <w:highlight w:val="none"/>
              </w:rPr>
            </w:pPr>
          </w:p>
          <w:p w14:paraId="2A5761AC">
            <w:pPr>
              <w:pStyle w:val="17"/>
              <w:spacing w:before="65" w:line="372" w:lineRule="auto"/>
              <w:ind w:left="375" w:right="103" w:hanging="247"/>
              <w:rPr>
                <w:color w:val="auto"/>
                <w:highlight w:val="none"/>
              </w:rPr>
            </w:pPr>
            <w:r>
              <w:rPr>
                <w:color w:val="auto"/>
                <w:spacing w:val="7"/>
                <w:highlight w:val="none"/>
              </w:rPr>
              <w:t>购置合价</w:t>
            </w:r>
            <w:r>
              <w:rPr>
                <w:color w:val="auto"/>
                <w:spacing w:val="-8"/>
                <w:highlight w:val="none"/>
              </w:rPr>
              <w:t>(元)</w:t>
            </w:r>
          </w:p>
        </w:tc>
        <w:tc>
          <w:tcPr>
            <w:tcW w:w="943" w:type="dxa"/>
            <w:gridSpan w:val="2"/>
            <w:vAlign w:val="top"/>
          </w:tcPr>
          <w:p w14:paraId="4CC66EA2">
            <w:pPr>
              <w:spacing w:line="304" w:lineRule="auto"/>
              <w:rPr>
                <w:rFonts w:ascii="Arial"/>
                <w:color w:val="auto"/>
                <w:sz w:val="21"/>
                <w:highlight w:val="none"/>
              </w:rPr>
            </w:pPr>
          </w:p>
          <w:p w14:paraId="619BDF19">
            <w:pPr>
              <w:pStyle w:val="17"/>
              <w:spacing w:before="65" w:line="372" w:lineRule="auto"/>
              <w:ind w:left="300" w:right="158" w:hanging="140"/>
              <w:rPr>
                <w:color w:val="auto"/>
                <w:highlight w:val="none"/>
              </w:rPr>
            </w:pPr>
            <w:r>
              <w:rPr>
                <w:color w:val="auto"/>
                <w:spacing w:val="6"/>
                <w:highlight w:val="none"/>
              </w:rPr>
              <w:t>折旧费</w:t>
            </w:r>
            <w:r>
              <w:rPr>
                <w:color w:val="auto"/>
                <w:spacing w:val="-9"/>
                <w:highlight w:val="none"/>
              </w:rPr>
              <w:t>(元)</w:t>
            </w:r>
          </w:p>
        </w:tc>
        <w:tc>
          <w:tcPr>
            <w:tcW w:w="935" w:type="dxa"/>
            <w:vAlign w:val="top"/>
          </w:tcPr>
          <w:p w14:paraId="39928A14">
            <w:pPr>
              <w:spacing w:line="304" w:lineRule="auto"/>
              <w:rPr>
                <w:rFonts w:ascii="Arial"/>
                <w:color w:val="auto"/>
                <w:sz w:val="21"/>
                <w:highlight w:val="none"/>
              </w:rPr>
            </w:pPr>
          </w:p>
          <w:p w14:paraId="32353ECE">
            <w:pPr>
              <w:pStyle w:val="17"/>
              <w:spacing w:before="65" w:line="372" w:lineRule="auto"/>
              <w:ind w:left="298" w:right="152" w:hanging="141"/>
              <w:rPr>
                <w:color w:val="auto"/>
                <w:highlight w:val="none"/>
              </w:rPr>
            </w:pPr>
            <w:r>
              <w:rPr>
                <w:color w:val="auto"/>
                <w:spacing w:val="6"/>
                <w:highlight w:val="none"/>
              </w:rPr>
              <w:t>使用费</w:t>
            </w:r>
            <w:r>
              <w:rPr>
                <w:color w:val="auto"/>
                <w:spacing w:val="-9"/>
                <w:highlight w:val="none"/>
              </w:rPr>
              <w:t>(元)</w:t>
            </w:r>
          </w:p>
        </w:tc>
        <w:tc>
          <w:tcPr>
            <w:tcW w:w="1230" w:type="dxa"/>
            <w:vAlign w:val="top"/>
          </w:tcPr>
          <w:p w14:paraId="71D70F31">
            <w:pPr>
              <w:pStyle w:val="17"/>
              <w:spacing w:before="172" w:line="229" w:lineRule="auto"/>
              <w:ind w:left="407"/>
              <w:rPr>
                <w:color w:val="auto"/>
                <w:highlight w:val="none"/>
              </w:rPr>
            </w:pPr>
            <w:r>
              <w:rPr>
                <w:color w:val="auto"/>
                <w:spacing w:val="2"/>
                <w:highlight w:val="none"/>
              </w:rPr>
              <w:t>小计</w:t>
            </w:r>
          </w:p>
          <w:p w14:paraId="72077E1F">
            <w:pPr>
              <w:pStyle w:val="17"/>
              <w:spacing w:before="150" w:line="291" w:lineRule="auto"/>
              <w:ind w:left="308" w:right="98" w:hanging="221"/>
              <w:rPr>
                <w:color w:val="auto"/>
                <w:highlight w:val="none"/>
              </w:rPr>
            </w:pPr>
            <w:r>
              <w:rPr>
                <w:color w:val="auto"/>
                <w:spacing w:val="7"/>
                <w:highlight w:val="none"/>
              </w:rPr>
              <w:t>折旧及使用</w:t>
            </w:r>
            <w:r>
              <w:rPr>
                <w:color w:val="auto"/>
                <w:spacing w:val="2"/>
                <w:highlight w:val="none"/>
              </w:rPr>
              <w:t>费(元)</w:t>
            </w:r>
          </w:p>
        </w:tc>
        <w:tc>
          <w:tcPr>
            <w:tcW w:w="1222" w:type="dxa"/>
            <w:vAlign w:val="top"/>
          </w:tcPr>
          <w:p w14:paraId="7A4254D3">
            <w:pPr>
              <w:spacing w:line="251" w:lineRule="auto"/>
              <w:rPr>
                <w:rFonts w:ascii="Arial"/>
                <w:color w:val="auto"/>
                <w:sz w:val="21"/>
                <w:highlight w:val="none"/>
              </w:rPr>
            </w:pPr>
          </w:p>
          <w:p w14:paraId="5891EF96">
            <w:pPr>
              <w:spacing w:line="251" w:lineRule="auto"/>
              <w:rPr>
                <w:rFonts w:ascii="Arial"/>
                <w:color w:val="auto"/>
                <w:sz w:val="21"/>
                <w:highlight w:val="none"/>
              </w:rPr>
            </w:pPr>
          </w:p>
          <w:p w14:paraId="408C445E">
            <w:pPr>
              <w:pStyle w:val="17"/>
              <w:spacing w:before="65" w:line="229" w:lineRule="auto"/>
              <w:ind w:left="200"/>
              <w:rPr>
                <w:color w:val="auto"/>
                <w:highlight w:val="none"/>
              </w:rPr>
            </w:pPr>
            <w:r>
              <w:rPr>
                <w:color w:val="auto"/>
                <w:spacing w:val="6"/>
                <w:highlight w:val="none"/>
              </w:rPr>
              <w:t>设备名称</w:t>
            </w:r>
          </w:p>
        </w:tc>
        <w:tc>
          <w:tcPr>
            <w:tcW w:w="827" w:type="dxa"/>
            <w:vAlign w:val="top"/>
          </w:tcPr>
          <w:p w14:paraId="78E53234">
            <w:pPr>
              <w:spacing w:line="251" w:lineRule="auto"/>
              <w:rPr>
                <w:rFonts w:ascii="Arial"/>
                <w:color w:val="auto"/>
                <w:sz w:val="21"/>
                <w:highlight w:val="none"/>
              </w:rPr>
            </w:pPr>
          </w:p>
          <w:p w14:paraId="265B6CE4">
            <w:pPr>
              <w:spacing w:line="251" w:lineRule="auto"/>
              <w:rPr>
                <w:rFonts w:ascii="Arial"/>
                <w:color w:val="auto"/>
                <w:sz w:val="21"/>
                <w:highlight w:val="none"/>
              </w:rPr>
            </w:pPr>
          </w:p>
          <w:p w14:paraId="5C402810">
            <w:pPr>
              <w:pStyle w:val="17"/>
              <w:spacing w:before="65" w:line="229" w:lineRule="auto"/>
              <w:ind w:left="217"/>
              <w:rPr>
                <w:color w:val="auto"/>
                <w:highlight w:val="none"/>
              </w:rPr>
            </w:pPr>
            <w:r>
              <w:rPr>
                <w:color w:val="auto"/>
                <w:spacing w:val="1"/>
                <w:highlight w:val="none"/>
              </w:rPr>
              <w:t>型号</w:t>
            </w:r>
          </w:p>
        </w:tc>
        <w:tc>
          <w:tcPr>
            <w:tcW w:w="682" w:type="dxa"/>
            <w:vAlign w:val="top"/>
          </w:tcPr>
          <w:p w14:paraId="1BB58969">
            <w:pPr>
              <w:spacing w:line="251" w:lineRule="auto"/>
              <w:rPr>
                <w:rFonts w:ascii="Arial"/>
                <w:color w:val="auto"/>
                <w:sz w:val="21"/>
                <w:highlight w:val="none"/>
              </w:rPr>
            </w:pPr>
          </w:p>
          <w:p w14:paraId="4A31C71D">
            <w:pPr>
              <w:spacing w:line="251" w:lineRule="auto"/>
              <w:rPr>
                <w:rFonts w:ascii="Arial"/>
                <w:color w:val="auto"/>
                <w:sz w:val="21"/>
                <w:highlight w:val="none"/>
              </w:rPr>
            </w:pPr>
          </w:p>
          <w:p w14:paraId="7CB3A2D5">
            <w:pPr>
              <w:pStyle w:val="17"/>
              <w:spacing w:before="65" w:line="228" w:lineRule="auto"/>
              <w:ind w:left="141"/>
              <w:rPr>
                <w:color w:val="auto"/>
                <w:highlight w:val="none"/>
              </w:rPr>
            </w:pPr>
            <w:r>
              <w:rPr>
                <w:color w:val="auto"/>
                <w:spacing w:val="3"/>
                <w:highlight w:val="none"/>
              </w:rPr>
              <w:t>数量</w:t>
            </w:r>
          </w:p>
        </w:tc>
        <w:tc>
          <w:tcPr>
            <w:tcW w:w="1034" w:type="dxa"/>
            <w:vAlign w:val="top"/>
          </w:tcPr>
          <w:p w14:paraId="714778E0">
            <w:pPr>
              <w:spacing w:line="304" w:lineRule="auto"/>
              <w:rPr>
                <w:rFonts w:ascii="Arial"/>
                <w:color w:val="auto"/>
                <w:sz w:val="21"/>
                <w:highlight w:val="none"/>
              </w:rPr>
            </w:pPr>
          </w:p>
          <w:p w14:paraId="558F09CB">
            <w:pPr>
              <w:pStyle w:val="17"/>
              <w:spacing w:before="65" w:line="372" w:lineRule="auto"/>
              <w:ind w:left="365" w:right="78" w:hanging="247"/>
              <w:rPr>
                <w:color w:val="auto"/>
                <w:highlight w:val="none"/>
              </w:rPr>
            </w:pPr>
            <w:r>
              <w:rPr>
                <w:color w:val="auto"/>
                <w:spacing w:val="7"/>
                <w:highlight w:val="none"/>
              </w:rPr>
              <w:t>购置合价</w:t>
            </w:r>
            <w:r>
              <w:rPr>
                <w:color w:val="auto"/>
                <w:spacing w:val="-9"/>
                <w:highlight w:val="none"/>
              </w:rPr>
              <w:t>(元)</w:t>
            </w:r>
          </w:p>
        </w:tc>
        <w:tc>
          <w:tcPr>
            <w:tcW w:w="1026" w:type="dxa"/>
            <w:vAlign w:val="top"/>
          </w:tcPr>
          <w:p w14:paraId="7D9A0F5A">
            <w:pPr>
              <w:spacing w:line="304" w:lineRule="auto"/>
              <w:rPr>
                <w:rFonts w:ascii="Arial"/>
                <w:color w:val="auto"/>
                <w:sz w:val="21"/>
                <w:highlight w:val="none"/>
              </w:rPr>
            </w:pPr>
          </w:p>
          <w:p w14:paraId="2CF8B844">
            <w:pPr>
              <w:pStyle w:val="17"/>
              <w:spacing w:before="65" w:line="372" w:lineRule="auto"/>
              <w:ind w:left="349" w:right="192" w:hanging="140"/>
              <w:rPr>
                <w:color w:val="auto"/>
                <w:highlight w:val="none"/>
              </w:rPr>
            </w:pPr>
            <w:r>
              <w:rPr>
                <w:color w:val="auto"/>
                <w:spacing w:val="6"/>
                <w:highlight w:val="none"/>
              </w:rPr>
              <w:t>折旧费</w:t>
            </w:r>
            <w:r>
              <w:rPr>
                <w:color w:val="auto"/>
                <w:spacing w:val="-9"/>
                <w:highlight w:val="none"/>
              </w:rPr>
              <w:t>(元)</w:t>
            </w:r>
          </w:p>
        </w:tc>
        <w:tc>
          <w:tcPr>
            <w:tcW w:w="1026" w:type="dxa"/>
            <w:vAlign w:val="top"/>
          </w:tcPr>
          <w:p w14:paraId="54088C87">
            <w:pPr>
              <w:spacing w:line="304" w:lineRule="auto"/>
              <w:rPr>
                <w:rFonts w:ascii="Arial"/>
                <w:color w:val="auto"/>
                <w:sz w:val="21"/>
                <w:highlight w:val="none"/>
              </w:rPr>
            </w:pPr>
          </w:p>
          <w:p w14:paraId="7CFFC0D0">
            <w:pPr>
              <w:pStyle w:val="17"/>
              <w:spacing w:before="65" w:line="372" w:lineRule="auto"/>
              <w:ind w:left="350" w:right="191" w:hanging="141"/>
              <w:rPr>
                <w:color w:val="auto"/>
                <w:highlight w:val="none"/>
              </w:rPr>
            </w:pPr>
            <w:r>
              <w:rPr>
                <w:color w:val="auto"/>
                <w:spacing w:val="6"/>
                <w:highlight w:val="none"/>
              </w:rPr>
              <w:t>使用费</w:t>
            </w:r>
            <w:r>
              <w:rPr>
                <w:color w:val="auto"/>
                <w:spacing w:val="-9"/>
                <w:highlight w:val="none"/>
              </w:rPr>
              <w:t>(元)</w:t>
            </w:r>
          </w:p>
        </w:tc>
        <w:tc>
          <w:tcPr>
            <w:tcW w:w="1237" w:type="dxa"/>
            <w:tcBorders>
              <w:right w:val="single" w:color="000000" w:sz="6" w:space="0"/>
            </w:tcBorders>
            <w:vAlign w:val="top"/>
          </w:tcPr>
          <w:p w14:paraId="0AA223C0">
            <w:pPr>
              <w:pStyle w:val="17"/>
              <w:spacing w:before="172" w:line="229" w:lineRule="auto"/>
              <w:ind w:left="412"/>
              <w:rPr>
                <w:color w:val="auto"/>
                <w:highlight w:val="none"/>
              </w:rPr>
            </w:pPr>
            <w:r>
              <w:rPr>
                <w:color w:val="auto"/>
                <w:spacing w:val="2"/>
                <w:highlight w:val="none"/>
              </w:rPr>
              <w:t>小计</w:t>
            </w:r>
          </w:p>
          <w:p w14:paraId="4DD5FA67">
            <w:pPr>
              <w:pStyle w:val="17"/>
              <w:spacing w:before="150" w:line="291" w:lineRule="auto"/>
              <w:ind w:left="314" w:right="94" w:hanging="221"/>
              <w:rPr>
                <w:color w:val="auto"/>
                <w:highlight w:val="none"/>
              </w:rPr>
            </w:pPr>
            <w:r>
              <w:rPr>
                <w:color w:val="auto"/>
                <w:spacing w:val="7"/>
                <w:highlight w:val="none"/>
              </w:rPr>
              <w:t>折旧及使用</w:t>
            </w:r>
            <w:r>
              <w:rPr>
                <w:color w:val="auto"/>
                <w:spacing w:val="2"/>
                <w:highlight w:val="none"/>
              </w:rPr>
              <w:t>费(元)</w:t>
            </w:r>
          </w:p>
        </w:tc>
      </w:tr>
      <w:tr w14:paraId="46288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74" w:type="dxa"/>
            <w:tcBorders>
              <w:left w:val="single" w:color="000000" w:sz="6" w:space="0"/>
            </w:tcBorders>
            <w:vAlign w:val="top"/>
          </w:tcPr>
          <w:p w14:paraId="14397CB9">
            <w:pPr>
              <w:pStyle w:val="17"/>
              <w:spacing w:before="203" w:line="269" w:lineRule="exact"/>
              <w:ind w:left="196"/>
              <w:rPr>
                <w:color w:val="auto"/>
                <w:highlight w:val="none"/>
              </w:rPr>
            </w:pPr>
            <w:r>
              <w:rPr>
                <w:color w:val="auto"/>
                <w:position w:val="1"/>
                <w:highlight w:val="none"/>
              </w:rPr>
              <w:t>1</w:t>
            </w:r>
          </w:p>
        </w:tc>
        <w:tc>
          <w:tcPr>
            <w:tcW w:w="1029" w:type="dxa"/>
            <w:vAlign w:val="top"/>
          </w:tcPr>
          <w:p w14:paraId="0E08A415">
            <w:pPr>
              <w:rPr>
                <w:rFonts w:ascii="Arial"/>
                <w:color w:val="auto"/>
                <w:sz w:val="21"/>
                <w:highlight w:val="none"/>
              </w:rPr>
            </w:pPr>
          </w:p>
        </w:tc>
        <w:tc>
          <w:tcPr>
            <w:tcW w:w="792" w:type="dxa"/>
            <w:vAlign w:val="top"/>
          </w:tcPr>
          <w:p w14:paraId="00755433">
            <w:pPr>
              <w:rPr>
                <w:rFonts w:ascii="Arial"/>
                <w:color w:val="auto"/>
                <w:sz w:val="21"/>
                <w:highlight w:val="none"/>
              </w:rPr>
            </w:pPr>
          </w:p>
        </w:tc>
        <w:tc>
          <w:tcPr>
            <w:tcW w:w="696" w:type="dxa"/>
            <w:vAlign w:val="top"/>
          </w:tcPr>
          <w:p w14:paraId="4E787665">
            <w:pPr>
              <w:rPr>
                <w:rFonts w:ascii="Arial"/>
                <w:color w:val="auto"/>
                <w:sz w:val="21"/>
                <w:highlight w:val="none"/>
              </w:rPr>
            </w:pPr>
          </w:p>
        </w:tc>
        <w:tc>
          <w:tcPr>
            <w:tcW w:w="1068" w:type="dxa"/>
            <w:vAlign w:val="top"/>
          </w:tcPr>
          <w:p w14:paraId="01CEB517">
            <w:pPr>
              <w:rPr>
                <w:rFonts w:ascii="Arial"/>
                <w:color w:val="auto"/>
                <w:sz w:val="21"/>
                <w:highlight w:val="none"/>
              </w:rPr>
            </w:pPr>
          </w:p>
        </w:tc>
        <w:tc>
          <w:tcPr>
            <w:tcW w:w="943" w:type="dxa"/>
            <w:gridSpan w:val="2"/>
            <w:vAlign w:val="top"/>
          </w:tcPr>
          <w:p w14:paraId="18F46E91">
            <w:pPr>
              <w:rPr>
                <w:rFonts w:ascii="Arial"/>
                <w:color w:val="auto"/>
                <w:sz w:val="21"/>
                <w:highlight w:val="none"/>
              </w:rPr>
            </w:pPr>
          </w:p>
        </w:tc>
        <w:tc>
          <w:tcPr>
            <w:tcW w:w="935" w:type="dxa"/>
            <w:vAlign w:val="top"/>
          </w:tcPr>
          <w:p w14:paraId="22BECCB4">
            <w:pPr>
              <w:rPr>
                <w:rFonts w:ascii="Arial"/>
                <w:color w:val="auto"/>
                <w:sz w:val="21"/>
                <w:highlight w:val="none"/>
              </w:rPr>
            </w:pPr>
          </w:p>
        </w:tc>
        <w:tc>
          <w:tcPr>
            <w:tcW w:w="1230" w:type="dxa"/>
            <w:vAlign w:val="top"/>
          </w:tcPr>
          <w:p w14:paraId="3F9B6DF7">
            <w:pPr>
              <w:rPr>
                <w:rFonts w:ascii="Arial"/>
                <w:color w:val="auto"/>
                <w:sz w:val="21"/>
                <w:highlight w:val="none"/>
              </w:rPr>
            </w:pPr>
          </w:p>
        </w:tc>
        <w:tc>
          <w:tcPr>
            <w:tcW w:w="1222" w:type="dxa"/>
            <w:vAlign w:val="top"/>
          </w:tcPr>
          <w:p w14:paraId="324655E6">
            <w:pPr>
              <w:rPr>
                <w:rFonts w:ascii="Arial"/>
                <w:color w:val="auto"/>
                <w:sz w:val="21"/>
                <w:highlight w:val="none"/>
              </w:rPr>
            </w:pPr>
          </w:p>
        </w:tc>
        <w:tc>
          <w:tcPr>
            <w:tcW w:w="827" w:type="dxa"/>
            <w:vAlign w:val="top"/>
          </w:tcPr>
          <w:p w14:paraId="44EF9EBD">
            <w:pPr>
              <w:rPr>
                <w:rFonts w:ascii="Arial"/>
                <w:color w:val="auto"/>
                <w:sz w:val="21"/>
                <w:highlight w:val="none"/>
              </w:rPr>
            </w:pPr>
          </w:p>
        </w:tc>
        <w:tc>
          <w:tcPr>
            <w:tcW w:w="682" w:type="dxa"/>
            <w:vAlign w:val="top"/>
          </w:tcPr>
          <w:p w14:paraId="45115DCC">
            <w:pPr>
              <w:rPr>
                <w:rFonts w:ascii="Arial"/>
                <w:color w:val="auto"/>
                <w:sz w:val="21"/>
                <w:highlight w:val="none"/>
              </w:rPr>
            </w:pPr>
          </w:p>
        </w:tc>
        <w:tc>
          <w:tcPr>
            <w:tcW w:w="1034" w:type="dxa"/>
            <w:vAlign w:val="top"/>
          </w:tcPr>
          <w:p w14:paraId="0CB4BF29">
            <w:pPr>
              <w:rPr>
                <w:rFonts w:ascii="Arial"/>
                <w:color w:val="auto"/>
                <w:sz w:val="21"/>
                <w:highlight w:val="none"/>
              </w:rPr>
            </w:pPr>
          </w:p>
        </w:tc>
        <w:tc>
          <w:tcPr>
            <w:tcW w:w="1026" w:type="dxa"/>
            <w:vAlign w:val="top"/>
          </w:tcPr>
          <w:p w14:paraId="7BD7EF07">
            <w:pPr>
              <w:rPr>
                <w:rFonts w:ascii="Arial"/>
                <w:color w:val="auto"/>
                <w:sz w:val="21"/>
                <w:highlight w:val="none"/>
              </w:rPr>
            </w:pPr>
          </w:p>
        </w:tc>
        <w:tc>
          <w:tcPr>
            <w:tcW w:w="1026" w:type="dxa"/>
            <w:vAlign w:val="top"/>
          </w:tcPr>
          <w:p w14:paraId="65989FB5">
            <w:pPr>
              <w:rPr>
                <w:rFonts w:ascii="Arial"/>
                <w:color w:val="auto"/>
                <w:sz w:val="21"/>
                <w:highlight w:val="none"/>
              </w:rPr>
            </w:pPr>
          </w:p>
        </w:tc>
        <w:tc>
          <w:tcPr>
            <w:tcW w:w="1237" w:type="dxa"/>
            <w:tcBorders>
              <w:right w:val="single" w:color="000000" w:sz="6" w:space="0"/>
            </w:tcBorders>
            <w:vAlign w:val="top"/>
          </w:tcPr>
          <w:p w14:paraId="2F60A14D">
            <w:pPr>
              <w:rPr>
                <w:rFonts w:ascii="Arial"/>
                <w:color w:val="auto"/>
                <w:sz w:val="21"/>
                <w:highlight w:val="none"/>
              </w:rPr>
            </w:pPr>
          </w:p>
        </w:tc>
      </w:tr>
      <w:tr w14:paraId="501D1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74" w:type="dxa"/>
            <w:tcBorders>
              <w:left w:val="single" w:color="000000" w:sz="6" w:space="0"/>
            </w:tcBorders>
            <w:vAlign w:val="top"/>
          </w:tcPr>
          <w:p w14:paraId="791C9F34">
            <w:pPr>
              <w:pStyle w:val="17"/>
              <w:spacing w:before="207" w:line="265" w:lineRule="exact"/>
              <w:ind w:left="183"/>
              <w:rPr>
                <w:color w:val="auto"/>
                <w:highlight w:val="none"/>
              </w:rPr>
            </w:pPr>
            <w:r>
              <w:rPr>
                <w:color w:val="auto"/>
                <w:position w:val="1"/>
                <w:highlight w:val="none"/>
              </w:rPr>
              <w:t>2</w:t>
            </w:r>
          </w:p>
        </w:tc>
        <w:tc>
          <w:tcPr>
            <w:tcW w:w="1029" w:type="dxa"/>
            <w:vAlign w:val="top"/>
          </w:tcPr>
          <w:p w14:paraId="5BF14A0C">
            <w:pPr>
              <w:rPr>
                <w:rFonts w:ascii="Arial"/>
                <w:color w:val="auto"/>
                <w:sz w:val="21"/>
                <w:highlight w:val="none"/>
              </w:rPr>
            </w:pPr>
          </w:p>
        </w:tc>
        <w:tc>
          <w:tcPr>
            <w:tcW w:w="792" w:type="dxa"/>
            <w:vAlign w:val="top"/>
          </w:tcPr>
          <w:p w14:paraId="29AA667B">
            <w:pPr>
              <w:rPr>
                <w:rFonts w:ascii="Arial"/>
                <w:color w:val="auto"/>
                <w:sz w:val="21"/>
                <w:highlight w:val="none"/>
              </w:rPr>
            </w:pPr>
          </w:p>
        </w:tc>
        <w:tc>
          <w:tcPr>
            <w:tcW w:w="696" w:type="dxa"/>
            <w:vAlign w:val="top"/>
          </w:tcPr>
          <w:p w14:paraId="0D4B4B49">
            <w:pPr>
              <w:rPr>
                <w:rFonts w:ascii="Arial"/>
                <w:color w:val="auto"/>
                <w:sz w:val="21"/>
                <w:highlight w:val="none"/>
              </w:rPr>
            </w:pPr>
          </w:p>
        </w:tc>
        <w:tc>
          <w:tcPr>
            <w:tcW w:w="1068" w:type="dxa"/>
            <w:vAlign w:val="top"/>
          </w:tcPr>
          <w:p w14:paraId="482DBF03">
            <w:pPr>
              <w:rPr>
                <w:rFonts w:ascii="Arial"/>
                <w:color w:val="auto"/>
                <w:sz w:val="21"/>
                <w:highlight w:val="none"/>
              </w:rPr>
            </w:pPr>
          </w:p>
        </w:tc>
        <w:tc>
          <w:tcPr>
            <w:tcW w:w="943" w:type="dxa"/>
            <w:gridSpan w:val="2"/>
            <w:vAlign w:val="top"/>
          </w:tcPr>
          <w:p w14:paraId="4845D850">
            <w:pPr>
              <w:rPr>
                <w:rFonts w:ascii="Arial"/>
                <w:color w:val="auto"/>
                <w:sz w:val="21"/>
                <w:highlight w:val="none"/>
              </w:rPr>
            </w:pPr>
          </w:p>
        </w:tc>
        <w:tc>
          <w:tcPr>
            <w:tcW w:w="935" w:type="dxa"/>
            <w:vAlign w:val="top"/>
          </w:tcPr>
          <w:p w14:paraId="51CE1495">
            <w:pPr>
              <w:rPr>
                <w:rFonts w:ascii="Arial"/>
                <w:color w:val="auto"/>
                <w:sz w:val="21"/>
                <w:highlight w:val="none"/>
              </w:rPr>
            </w:pPr>
          </w:p>
        </w:tc>
        <w:tc>
          <w:tcPr>
            <w:tcW w:w="1230" w:type="dxa"/>
            <w:vAlign w:val="top"/>
          </w:tcPr>
          <w:p w14:paraId="0D77D592">
            <w:pPr>
              <w:rPr>
                <w:rFonts w:ascii="Arial"/>
                <w:color w:val="auto"/>
                <w:sz w:val="21"/>
                <w:highlight w:val="none"/>
              </w:rPr>
            </w:pPr>
          </w:p>
        </w:tc>
        <w:tc>
          <w:tcPr>
            <w:tcW w:w="1222" w:type="dxa"/>
            <w:vAlign w:val="top"/>
          </w:tcPr>
          <w:p w14:paraId="647A3454">
            <w:pPr>
              <w:rPr>
                <w:rFonts w:ascii="Arial"/>
                <w:color w:val="auto"/>
                <w:sz w:val="21"/>
                <w:highlight w:val="none"/>
              </w:rPr>
            </w:pPr>
          </w:p>
        </w:tc>
        <w:tc>
          <w:tcPr>
            <w:tcW w:w="827" w:type="dxa"/>
            <w:vAlign w:val="top"/>
          </w:tcPr>
          <w:p w14:paraId="0C49A1FF">
            <w:pPr>
              <w:rPr>
                <w:rFonts w:ascii="Arial"/>
                <w:color w:val="auto"/>
                <w:sz w:val="21"/>
                <w:highlight w:val="none"/>
              </w:rPr>
            </w:pPr>
          </w:p>
        </w:tc>
        <w:tc>
          <w:tcPr>
            <w:tcW w:w="682" w:type="dxa"/>
            <w:vAlign w:val="top"/>
          </w:tcPr>
          <w:p w14:paraId="733EF6E2">
            <w:pPr>
              <w:rPr>
                <w:rFonts w:ascii="Arial"/>
                <w:color w:val="auto"/>
                <w:sz w:val="21"/>
                <w:highlight w:val="none"/>
              </w:rPr>
            </w:pPr>
          </w:p>
        </w:tc>
        <w:tc>
          <w:tcPr>
            <w:tcW w:w="1034" w:type="dxa"/>
            <w:vAlign w:val="top"/>
          </w:tcPr>
          <w:p w14:paraId="3D1103E1">
            <w:pPr>
              <w:rPr>
                <w:rFonts w:ascii="Arial"/>
                <w:color w:val="auto"/>
                <w:sz w:val="21"/>
                <w:highlight w:val="none"/>
              </w:rPr>
            </w:pPr>
          </w:p>
        </w:tc>
        <w:tc>
          <w:tcPr>
            <w:tcW w:w="1026" w:type="dxa"/>
            <w:vAlign w:val="top"/>
          </w:tcPr>
          <w:p w14:paraId="6A3E6E07">
            <w:pPr>
              <w:rPr>
                <w:rFonts w:ascii="Arial"/>
                <w:color w:val="auto"/>
                <w:sz w:val="21"/>
                <w:highlight w:val="none"/>
              </w:rPr>
            </w:pPr>
          </w:p>
        </w:tc>
        <w:tc>
          <w:tcPr>
            <w:tcW w:w="1026" w:type="dxa"/>
            <w:vAlign w:val="top"/>
          </w:tcPr>
          <w:p w14:paraId="62F1BAC1">
            <w:pPr>
              <w:rPr>
                <w:rFonts w:ascii="Arial"/>
                <w:color w:val="auto"/>
                <w:sz w:val="21"/>
                <w:highlight w:val="none"/>
              </w:rPr>
            </w:pPr>
          </w:p>
        </w:tc>
        <w:tc>
          <w:tcPr>
            <w:tcW w:w="1237" w:type="dxa"/>
            <w:tcBorders>
              <w:right w:val="single" w:color="000000" w:sz="6" w:space="0"/>
            </w:tcBorders>
            <w:vAlign w:val="top"/>
          </w:tcPr>
          <w:p w14:paraId="7C622D71">
            <w:pPr>
              <w:rPr>
                <w:rFonts w:ascii="Arial"/>
                <w:color w:val="auto"/>
                <w:sz w:val="21"/>
                <w:highlight w:val="none"/>
              </w:rPr>
            </w:pPr>
          </w:p>
        </w:tc>
      </w:tr>
      <w:tr w14:paraId="39ED0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74" w:type="dxa"/>
            <w:tcBorders>
              <w:left w:val="single" w:color="000000" w:sz="6" w:space="0"/>
            </w:tcBorders>
            <w:vAlign w:val="top"/>
          </w:tcPr>
          <w:p w14:paraId="21B719EE">
            <w:pPr>
              <w:pStyle w:val="17"/>
              <w:spacing w:before="209" w:line="265" w:lineRule="exact"/>
              <w:ind w:left="184"/>
              <w:rPr>
                <w:color w:val="auto"/>
                <w:highlight w:val="none"/>
              </w:rPr>
            </w:pPr>
            <w:r>
              <w:rPr>
                <w:color w:val="auto"/>
                <w:position w:val="1"/>
                <w:highlight w:val="none"/>
              </w:rPr>
              <w:t>3</w:t>
            </w:r>
          </w:p>
        </w:tc>
        <w:tc>
          <w:tcPr>
            <w:tcW w:w="1029" w:type="dxa"/>
            <w:vAlign w:val="top"/>
          </w:tcPr>
          <w:p w14:paraId="24C434F7">
            <w:pPr>
              <w:rPr>
                <w:rFonts w:ascii="Arial"/>
                <w:color w:val="auto"/>
                <w:sz w:val="21"/>
                <w:highlight w:val="none"/>
              </w:rPr>
            </w:pPr>
          </w:p>
        </w:tc>
        <w:tc>
          <w:tcPr>
            <w:tcW w:w="792" w:type="dxa"/>
            <w:vAlign w:val="top"/>
          </w:tcPr>
          <w:p w14:paraId="225A8CF1">
            <w:pPr>
              <w:rPr>
                <w:rFonts w:ascii="Arial"/>
                <w:color w:val="auto"/>
                <w:sz w:val="21"/>
                <w:highlight w:val="none"/>
              </w:rPr>
            </w:pPr>
          </w:p>
        </w:tc>
        <w:tc>
          <w:tcPr>
            <w:tcW w:w="696" w:type="dxa"/>
            <w:vAlign w:val="top"/>
          </w:tcPr>
          <w:p w14:paraId="13B6714E">
            <w:pPr>
              <w:rPr>
                <w:rFonts w:ascii="Arial"/>
                <w:color w:val="auto"/>
                <w:sz w:val="21"/>
                <w:highlight w:val="none"/>
              </w:rPr>
            </w:pPr>
          </w:p>
        </w:tc>
        <w:tc>
          <w:tcPr>
            <w:tcW w:w="1068" w:type="dxa"/>
            <w:vAlign w:val="top"/>
          </w:tcPr>
          <w:p w14:paraId="5C478C56">
            <w:pPr>
              <w:rPr>
                <w:rFonts w:ascii="Arial"/>
                <w:color w:val="auto"/>
                <w:sz w:val="21"/>
                <w:highlight w:val="none"/>
              </w:rPr>
            </w:pPr>
          </w:p>
        </w:tc>
        <w:tc>
          <w:tcPr>
            <w:tcW w:w="943" w:type="dxa"/>
            <w:gridSpan w:val="2"/>
            <w:vAlign w:val="top"/>
          </w:tcPr>
          <w:p w14:paraId="7BB409AE">
            <w:pPr>
              <w:rPr>
                <w:rFonts w:ascii="Arial"/>
                <w:color w:val="auto"/>
                <w:sz w:val="21"/>
                <w:highlight w:val="none"/>
              </w:rPr>
            </w:pPr>
          </w:p>
        </w:tc>
        <w:tc>
          <w:tcPr>
            <w:tcW w:w="935" w:type="dxa"/>
            <w:vAlign w:val="top"/>
          </w:tcPr>
          <w:p w14:paraId="7B3BAA5B">
            <w:pPr>
              <w:rPr>
                <w:rFonts w:ascii="Arial"/>
                <w:color w:val="auto"/>
                <w:sz w:val="21"/>
                <w:highlight w:val="none"/>
              </w:rPr>
            </w:pPr>
          </w:p>
        </w:tc>
        <w:tc>
          <w:tcPr>
            <w:tcW w:w="1230" w:type="dxa"/>
            <w:vAlign w:val="top"/>
          </w:tcPr>
          <w:p w14:paraId="42270748">
            <w:pPr>
              <w:rPr>
                <w:rFonts w:ascii="Arial"/>
                <w:color w:val="auto"/>
                <w:sz w:val="21"/>
                <w:highlight w:val="none"/>
              </w:rPr>
            </w:pPr>
          </w:p>
        </w:tc>
        <w:tc>
          <w:tcPr>
            <w:tcW w:w="1222" w:type="dxa"/>
            <w:vAlign w:val="top"/>
          </w:tcPr>
          <w:p w14:paraId="1B99BFC2">
            <w:pPr>
              <w:rPr>
                <w:rFonts w:ascii="Arial"/>
                <w:color w:val="auto"/>
                <w:sz w:val="21"/>
                <w:highlight w:val="none"/>
              </w:rPr>
            </w:pPr>
          </w:p>
        </w:tc>
        <w:tc>
          <w:tcPr>
            <w:tcW w:w="827" w:type="dxa"/>
            <w:vAlign w:val="top"/>
          </w:tcPr>
          <w:p w14:paraId="7520FD3D">
            <w:pPr>
              <w:rPr>
                <w:rFonts w:ascii="Arial"/>
                <w:color w:val="auto"/>
                <w:sz w:val="21"/>
                <w:highlight w:val="none"/>
              </w:rPr>
            </w:pPr>
          </w:p>
        </w:tc>
        <w:tc>
          <w:tcPr>
            <w:tcW w:w="682" w:type="dxa"/>
            <w:vAlign w:val="top"/>
          </w:tcPr>
          <w:p w14:paraId="57A1E639">
            <w:pPr>
              <w:rPr>
                <w:rFonts w:ascii="Arial"/>
                <w:color w:val="auto"/>
                <w:sz w:val="21"/>
                <w:highlight w:val="none"/>
              </w:rPr>
            </w:pPr>
          </w:p>
        </w:tc>
        <w:tc>
          <w:tcPr>
            <w:tcW w:w="1034" w:type="dxa"/>
            <w:vAlign w:val="top"/>
          </w:tcPr>
          <w:p w14:paraId="50C4CF52">
            <w:pPr>
              <w:rPr>
                <w:rFonts w:ascii="Arial"/>
                <w:color w:val="auto"/>
                <w:sz w:val="21"/>
                <w:highlight w:val="none"/>
              </w:rPr>
            </w:pPr>
          </w:p>
        </w:tc>
        <w:tc>
          <w:tcPr>
            <w:tcW w:w="1026" w:type="dxa"/>
            <w:vAlign w:val="top"/>
          </w:tcPr>
          <w:p w14:paraId="3D8D251E">
            <w:pPr>
              <w:rPr>
                <w:rFonts w:ascii="Arial"/>
                <w:color w:val="auto"/>
                <w:sz w:val="21"/>
                <w:highlight w:val="none"/>
              </w:rPr>
            </w:pPr>
          </w:p>
        </w:tc>
        <w:tc>
          <w:tcPr>
            <w:tcW w:w="1026" w:type="dxa"/>
            <w:vAlign w:val="top"/>
          </w:tcPr>
          <w:p w14:paraId="31BF16F8">
            <w:pPr>
              <w:rPr>
                <w:rFonts w:ascii="Arial"/>
                <w:color w:val="auto"/>
                <w:sz w:val="21"/>
                <w:highlight w:val="none"/>
              </w:rPr>
            </w:pPr>
          </w:p>
        </w:tc>
        <w:tc>
          <w:tcPr>
            <w:tcW w:w="1237" w:type="dxa"/>
            <w:tcBorders>
              <w:right w:val="single" w:color="000000" w:sz="6" w:space="0"/>
            </w:tcBorders>
            <w:vAlign w:val="top"/>
          </w:tcPr>
          <w:p w14:paraId="5087CD72">
            <w:pPr>
              <w:rPr>
                <w:rFonts w:ascii="Arial"/>
                <w:color w:val="auto"/>
                <w:sz w:val="21"/>
                <w:highlight w:val="none"/>
              </w:rPr>
            </w:pPr>
          </w:p>
        </w:tc>
      </w:tr>
      <w:tr w14:paraId="4F12D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74" w:type="dxa"/>
            <w:tcBorders>
              <w:left w:val="single" w:color="000000" w:sz="6" w:space="0"/>
            </w:tcBorders>
            <w:vAlign w:val="top"/>
          </w:tcPr>
          <w:p w14:paraId="0DD1EBBD">
            <w:pPr>
              <w:pStyle w:val="17"/>
              <w:spacing w:before="209" w:line="265" w:lineRule="exact"/>
              <w:ind w:left="179"/>
              <w:rPr>
                <w:color w:val="auto"/>
                <w:highlight w:val="none"/>
              </w:rPr>
            </w:pPr>
            <w:r>
              <w:rPr>
                <w:color w:val="auto"/>
                <w:position w:val="1"/>
                <w:highlight w:val="none"/>
              </w:rPr>
              <w:t>4</w:t>
            </w:r>
          </w:p>
        </w:tc>
        <w:tc>
          <w:tcPr>
            <w:tcW w:w="1029" w:type="dxa"/>
            <w:vAlign w:val="top"/>
          </w:tcPr>
          <w:p w14:paraId="01B9FD1D">
            <w:pPr>
              <w:rPr>
                <w:rFonts w:ascii="Arial"/>
                <w:color w:val="auto"/>
                <w:sz w:val="21"/>
                <w:highlight w:val="none"/>
              </w:rPr>
            </w:pPr>
          </w:p>
        </w:tc>
        <w:tc>
          <w:tcPr>
            <w:tcW w:w="792" w:type="dxa"/>
            <w:vAlign w:val="top"/>
          </w:tcPr>
          <w:p w14:paraId="663A332A">
            <w:pPr>
              <w:rPr>
                <w:rFonts w:ascii="Arial"/>
                <w:color w:val="auto"/>
                <w:sz w:val="21"/>
                <w:highlight w:val="none"/>
              </w:rPr>
            </w:pPr>
          </w:p>
        </w:tc>
        <w:tc>
          <w:tcPr>
            <w:tcW w:w="696" w:type="dxa"/>
            <w:vAlign w:val="top"/>
          </w:tcPr>
          <w:p w14:paraId="21BFA1FE">
            <w:pPr>
              <w:rPr>
                <w:rFonts w:ascii="Arial"/>
                <w:color w:val="auto"/>
                <w:sz w:val="21"/>
                <w:highlight w:val="none"/>
              </w:rPr>
            </w:pPr>
          </w:p>
        </w:tc>
        <w:tc>
          <w:tcPr>
            <w:tcW w:w="1068" w:type="dxa"/>
            <w:vAlign w:val="top"/>
          </w:tcPr>
          <w:p w14:paraId="0D0A16C3">
            <w:pPr>
              <w:rPr>
                <w:rFonts w:ascii="Arial"/>
                <w:color w:val="auto"/>
                <w:sz w:val="21"/>
                <w:highlight w:val="none"/>
              </w:rPr>
            </w:pPr>
          </w:p>
        </w:tc>
        <w:tc>
          <w:tcPr>
            <w:tcW w:w="943" w:type="dxa"/>
            <w:gridSpan w:val="2"/>
            <w:vAlign w:val="top"/>
          </w:tcPr>
          <w:p w14:paraId="069C502B">
            <w:pPr>
              <w:rPr>
                <w:rFonts w:ascii="Arial"/>
                <w:color w:val="auto"/>
                <w:sz w:val="21"/>
                <w:highlight w:val="none"/>
              </w:rPr>
            </w:pPr>
          </w:p>
        </w:tc>
        <w:tc>
          <w:tcPr>
            <w:tcW w:w="935" w:type="dxa"/>
            <w:vAlign w:val="top"/>
          </w:tcPr>
          <w:p w14:paraId="05AACCA3">
            <w:pPr>
              <w:rPr>
                <w:rFonts w:ascii="Arial"/>
                <w:color w:val="auto"/>
                <w:sz w:val="21"/>
                <w:highlight w:val="none"/>
              </w:rPr>
            </w:pPr>
          </w:p>
        </w:tc>
        <w:tc>
          <w:tcPr>
            <w:tcW w:w="1230" w:type="dxa"/>
            <w:vAlign w:val="top"/>
          </w:tcPr>
          <w:p w14:paraId="3053DCB0">
            <w:pPr>
              <w:rPr>
                <w:rFonts w:ascii="Arial"/>
                <w:color w:val="auto"/>
                <w:sz w:val="21"/>
                <w:highlight w:val="none"/>
              </w:rPr>
            </w:pPr>
          </w:p>
        </w:tc>
        <w:tc>
          <w:tcPr>
            <w:tcW w:w="1222" w:type="dxa"/>
            <w:vAlign w:val="top"/>
          </w:tcPr>
          <w:p w14:paraId="56D5AE53">
            <w:pPr>
              <w:rPr>
                <w:rFonts w:ascii="Arial"/>
                <w:color w:val="auto"/>
                <w:sz w:val="21"/>
                <w:highlight w:val="none"/>
              </w:rPr>
            </w:pPr>
          </w:p>
        </w:tc>
        <w:tc>
          <w:tcPr>
            <w:tcW w:w="827" w:type="dxa"/>
            <w:vAlign w:val="top"/>
          </w:tcPr>
          <w:p w14:paraId="7DC399E5">
            <w:pPr>
              <w:rPr>
                <w:rFonts w:ascii="Arial"/>
                <w:color w:val="auto"/>
                <w:sz w:val="21"/>
                <w:highlight w:val="none"/>
              </w:rPr>
            </w:pPr>
          </w:p>
        </w:tc>
        <w:tc>
          <w:tcPr>
            <w:tcW w:w="682" w:type="dxa"/>
            <w:vAlign w:val="top"/>
          </w:tcPr>
          <w:p w14:paraId="18D4AB19">
            <w:pPr>
              <w:rPr>
                <w:rFonts w:ascii="Arial"/>
                <w:color w:val="auto"/>
                <w:sz w:val="21"/>
                <w:highlight w:val="none"/>
              </w:rPr>
            </w:pPr>
          </w:p>
        </w:tc>
        <w:tc>
          <w:tcPr>
            <w:tcW w:w="1034" w:type="dxa"/>
            <w:vAlign w:val="top"/>
          </w:tcPr>
          <w:p w14:paraId="531DD014">
            <w:pPr>
              <w:rPr>
                <w:rFonts w:ascii="Arial"/>
                <w:color w:val="auto"/>
                <w:sz w:val="21"/>
                <w:highlight w:val="none"/>
              </w:rPr>
            </w:pPr>
          </w:p>
        </w:tc>
        <w:tc>
          <w:tcPr>
            <w:tcW w:w="1026" w:type="dxa"/>
            <w:vAlign w:val="top"/>
          </w:tcPr>
          <w:p w14:paraId="77EDEDE9">
            <w:pPr>
              <w:rPr>
                <w:rFonts w:ascii="Arial"/>
                <w:color w:val="auto"/>
                <w:sz w:val="21"/>
                <w:highlight w:val="none"/>
              </w:rPr>
            </w:pPr>
          </w:p>
        </w:tc>
        <w:tc>
          <w:tcPr>
            <w:tcW w:w="1026" w:type="dxa"/>
            <w:vAlign w:val="top"/>
          </w:tcPr>
          <w:p w14:paraId="60A8A986">
            <w:pPr>
              <w:rPr>
                <w:rFonts w:ascii="Arial"/>
                <w:color w:val="auto"/>
                <w:sz w:val="21"/>
                <w:highlight w:val="none"/>
              </w:rPr>
            </w:pPr>
          </w:p>
        </w:tc>
        <w:tc>
          <w:tcPr>
            <w:tcW w:w="1237" w:type="dxa"/>
            <w:tcBorders>
              <w:right w:val="single" w:color="000000" w:sz="6" w:space="0"/>
            </w:tcBorders>
            <w:vAlign w:val="top"/>
          </w:tcPr>
          <w:p w14:paraId="793921F1">
            <w:pPr>
              <w:rPr>
                <w:rFonts w:ascii="Arial"/>
                <w:color w:val="auto"/>
                <w:sz w:val="21"/>
                <w:highlight w:val="none"/>
              </w:rPr>
            </w:pPr>
          </w:p>
        </w:tc>
      </w:tr>
      <w:tr w14:paraId="67466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74" w:type="dxa"/>
            <w:tcBorders>
              <w:left w:val="single" w:color="000000" w:sz="6" w:space="0"/>
            </w:tcBorders>
            <w:vAlign w:val="top"/>
          </w:tcPr>
          <w:p w14:paraId="49C6E0FE">
            <w:pPr>
              <w:pStyle w:val="17"/>
              <w:spacing w:before="210" w:line="264" w:lineRule="exact"/>
              <w:ind w:left="184"/>
              <w:rPr>
                <w:color w:val="auto"/>
                <w:highlight w:val="none"/>
              </w:rPr>
            </w:pPr>
            <w:r>
              <w:rPr>
                <w:color w:val="auto"/>
                <w:position w:val="1"/>
                <w:highlight w:val="none"/>
              </w:rPr>
              <w:t>5</w:t>
            </w:r>
          </w:p>
        </w:tc>
        <w:tc>
          <w:tcPr>
            <w:tcW w:w="1029" w:type="dxa"/>
            <w:vAlign w:val="top"/>
          </w:tcPr>
          <w:p w14:paraId="6EFC89C5">
            <w:pPr>
              <w:rPr>
                <w:rFonts w:ascii="Arial"/>
                <w:color w:val="auto"/>
                <w:sz w:val="21"/>
                <w:highlight w:val="none"/>
              </w:rPr>
            </w:pPr>
          </w:p>
        </w:tc>
        <w:tc>
          <w:tcPr>
            <w:tcW w:w="792" w:type="dxa"/>
            <w:vAlign w:val="top"/>
          </w:tcPr>
          <w:p w14:paraId="034B1074">
            <w:pPr>
              <w:rPr>
                <w:rFonts w:ascii="Arial"/>
                <w:color w:val="auto"/>
                <w:sz w:val="21"/>
                <w:highlight w:val="none"/>
              </w:rPr>
            </w:pPr>
          </w:p>
        </w:tc>
        <w:tc>
          <w:tcPr>
            <w:tcW w:w="696" w:type="dxa"/>
            <w:vAlign w:val="top"/>
          </w:tcPr>
          <w:p w14:paraId="29D09B37">
            <w:pPr>
              <w:rPr>
                <w:rFonts w:ascii="Arial"/>
                <w:color w:val="auto"/>
                <w:sz w:val="21"/>
                <w:highlight w:val="none"/>
              </w:rPr>
            </w:pPr>
          </w:p>
        </w:tc>
        <w:tc>
          <w:tcPr>
            <w:tcW w:w="1068" w:type="dxa"/>
            <w:vAlign w:val="top"/>
          </w:tcPr>
          <w:p w14:paraId="3895AF72">
            <w:pPr>
              <w:rPr>
                <w:rFonts w:ascii="Arial"/>
                <w:color w:val="auto"/>
                <w:sz w:val="21"/>
                <w:highlight w:val="none"/>
              </w:rPr>
            </w:pPr>
          </w:p>
        </w:tc>
        <w:tc>
          <w:tcPr>
            <w:tcW w:w="943" w:type="dxa"/>
            <w:gridSpan w:val="2"/>
            <w:vAlign w:val="top"/>
          </w:tcPr>
          <w:p w14:paraId="74A01AC2">
            <w:pPr>
              <w:rPr>
                <w:rFonts w:ascii="Arial"/>
                <w:color w:val="auto"/>
                <w:sz w:val="21"/>
                <w:highlight w:val="none"/>
              </w:rPr>
            </w:pPr>
          </w:p>
        </w:tc>
        <w:tc>
          <w:tcPr>
            <w:tcW w:w="935" w:type="dxa"/>
            <w:vAlign w:val="top"/>
          </w:tcPr>
          <w:p w14:paraId="0E533029">
            <w:pPr>
              <w:rPr>
                <w:rFonts w:ascii="Arial"/>
                <w:color w:val="auto"/>
                <w:sz w:val="21"/>
                <w:highlight w:val="none"/>
              </w:rPr>
            </w:pPr>
          </w:p>
        </w:tc>
        <w:tc>
          <w:tcPr>
            <w:tcW w:w="1230" w:type="dxa"/>
            <w:vAlign w:val="top"/>
          </w:tcPr>
          <w:p w14:paraId="64C131D4">
            <w:pPr>
              <w:rPr>
                <w:rFonts w:ascii="Arial"/>
                <w:color w:val="auto"/>
                <w:sz w:val="21"/>
                <w:highlight w:val="none"/>
              </w:rPr>
            </w:pPr>
          </w:p>
        </w:tc>
        <w:tc>
          <w:tcPr>
            <w:tcW w:w="1222" w:type="dxa"/>
            <w:vAlign w:val="top"/>
          </w:tcPr>
          <w:p w14:paraId="5937B798">
            <w:pPr>
              <w:rPr>
                <w:rFonts w:ascii="Arial"/>
                <w:color w:val="auto"/>
                <w:sz w:val="21"/>
                <w:highlight w:val="none"/>
              </w:rPr>
            </w:pPr>
          </w:p>
        </w:tc>
        <w:tc>
          <w:tcPr>
            <w:tcW w:w="827" w:type="dxa"/>
            <w:vAlign w:val="top"/>
          </w:tcPr>
          <w:p w14:paraId="12AFEF3F">
            <w:pPr>
              <w:rPr>
                <w:rFonts w:ascii="Arial"/>
                <w:color w:val="auto"/>
                <w:sz w:val="21"/>
                <w:highlight w:val="none"/>
              </w:rPr>
            </w:pPr>
          </w:p>
        </w:tc>
        <w:tc>
          <w:tcPr>
            <w:tcW w:w="682" w:type="dxa"/>
            <w:vAlign w:val="top"/>
          </w:tcPr>
          <w:p w14:paraId="6B77A448">
            <w:pPr>
              <w:rPr>
                <w:rFonts w:ascii="Arial"/>
                <w:color w:val="auto"/>
                <w:sz w:val="21"/>
                <w:highlight w:val="none"/>
              </w:rPr>
            </w:pPr>
          </w:p>
        </w:tc>
        <w:tc>
          <w:tcPr>
            <w:tcW w:w="1034" w:type="dxa"/>
            <w:vAlign w:val="top"/>
          </w:tcPr>
          <w:p w14:paraId="37634550">
            <w:pPr>
              <w:rPr>
                <w:rFonts w:ascii="Arial"/>
                <w:color w:val="auto"/>
                <w:sz w:val="21"/>
                <w:highlight w:val="none"/>
              </w:rPr>
            </w:pPr>
          </w:p>
        </w:tc>
        <w:tc>
          <w:tcPr>
            <w:tcW w:w="1026" w:type="dxa"/>
            <w:vAlign w:val="top"/>
          </w:tcPr>
          <w:p w14:paraId="2A16E41D">
            <w:pPr>
              <w:rPr>
                <w:rFonts w:ascii="Arial"/>
                <w:color w:val="auto"/>
                <w:sz w:val="21"/>
                <w:highlight w:val="none"/>
              </w:rPr>
            </w:pPr>
          </w:p>
        </w:tc>
        <w:tc>
          <w:tcPr>
            <w:tcW w:w="1026" w:type="dxa"/>
            <w:vAlign w:val="top"/>
          </w:tcPr>
          <w:p w14:paraId="406A79E6">
            <w:pPr>
              <w:rPr>
                <w:rFonts w:ascii="Arial"/>
                <w:color w:val="auto"/>
                <w:sz w:val="21"/>
                <w:highlight w:val="none"/>
              </w:rPr>
            </w:pPr>
          </w:p>
        </w:tc>
        <w:tc>
          <w:tcPr>
            <w:tcW w:w="1237" w:type="dxa"/>
            <w:tcBorders>
              <w:right w:val="single" w:color="000000" w:sz="6" w:space="0"/>
            </w:tcBorders>
            <w:vAlign w:val="top"/>
          </w:tcPr>
          <w:p w14:paraId="735342FD">
            <w:pPr>
              <w:rPr>
                <w:rFonts w:ascii="Arial"/>
                <w:color w:val="auto"/>
                <w:sz w:val="21"/>
                <w:highlight w:val="none"/>
              </w:rPr>
            </w:pPr>
          </w:p>
        </w:tc>
      </w:tr>
      <w:tr w14:paraId="1FAE3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74" w:type="dxa"/>
            <w:tcBorders>
              <w:left w:val="single" w:color="000000" w:sz="6" w:space="0"/>
            </w:tcBorders>
            <w:vAlign w:val="top"/>
          </w:tcPr>
          <w:p w14:paraId="3A6C507C">
            <w:pPr>
              <w:pStyle w:val="17"/>
              <w:spacing w:before="210" w:line="264" w:lineRule="exact"/>
              <w:ind w:left="182"/>
              <w:rPr>
                <w:color w:val="auto"/>
                <w:highlight w:val="none"/>
              </w:rPr>
            </w:pPr>
            <w:r>
              <w:rPr>
                <w:color w:val="auto"/>
                <w:position w:val="1"/>
                <w:highlight w:val="none"/>
              </w:rPr>
              <w:t>6</w:t>
            </w:r>
          </w:p>
        </w:tc>
        <w:tc>
          <w:tcPr>
            <w:tcW w:w="1029" w:type="dxa"/>
            <w:vAlign w:val="top"/>
          </w:tcPr>
          <w:p w14:paraId="0AADCB24">
            <w:pPr>
              <w:rPr>
                <w:rFonts w:ascii="Arial"/>
                <w:color w:val="auto"/>
                <w:sz w:val="21"/>
                <w:highlight w:val="none"/>
              </w:rPr>
            </w:pPr>
          </w:p>
        </w:tc>
        <w:tc>
          <w:tcPr>
            <w:tcW w:w="792" w:type="dxa"/>
            <w:vAlign w:val="top"/>
          </w:tcPr>
          <w:p w14:paraId="34EB7C87">
            <w:pPr>
              <w:rPr>
                <w:rFonts w:ascii="Arial"/>
                <w:color w:val="auto"/>
                <w:sz w:val="21"/>
                <w:highlight w:val="none"/>
              </w:rPr>
            </w:pPr>
          </w:p>
        </w:tc>
        <w:tc>
          <w:tcPr>
            <w:tcW w:w="696" w:type="dxa"/>
            <w:vAlign w:val="top"/>
          </w:tcPr>
          <w:p w14:paraId="3D277A00">
            <w:pPr>
              <w:rPr>
                <w:rFonts w:ascii="Arial"/>
                <w:color w:val="auto"/>
                <w:sz w:val="21"/>
                <w:highlight w:val="none"/>
              </w:rPr>
            </w:pPr>
          </w:p>
        </w:tc>
        <w:tc>
          <w:tcPr>
            <w:tcW w:w="1068" w:type="dxa"/>
            <w:vAlign w:val="top"/>
          </w:tcPr>
          <w:p w14:paraId="40F95D0D">
            <w:pPr>
              <w:rPr>
                <w:rFonts w:ascii="Arial"/>
                <w:color w:val="auto"/>
                <w:sz w:val="21"/>
                <w:highlight w:val="none"/>
              </w:rPr>
            </w:pPr>
          </w:p>
        </w:tc>
        <w:tc>
          <w:tcPr>
            <w:tcW w:w="943" w:type="dxa"/>
            <w:gridSpan w:val="2"/>
            <w:vAlign w:val="top"/>
          </w:tcPr>
          <w:p w14:paraId="0FC111E1">
            <w:pPr>
              <w:rPr>
                <w:rFonts w:ascii="Arial"/>
                <w:color w:val="auto"/>
                <w:sz w:val="21"/>
                <w:highlight w:val="none"/>
              </w:rPr>
            </w:pPr>
          </w:p>
        </w:tc>
        <w:tc>
          <w:tcPr>
            <w:tcW w:w="935" w:type="dxa"/>
            <w:vAlign w:val="top"/>
          </w:tcPr>
          <w:p w14:paraId="0AB2A91C">
            <w:pPr>
              <w:rPr>
                <w:rFonts w:ascii="Arial"/>
                <w:color w:val="auto"/>
                <w:sz w:val="21"/>
                <w:highlight w:val="none"/>
              </w:rPr>
            </w:pPr>
          </w:p>
        </w:tc>
        <w:tc>
          <w:tcPr>
            <w:tcW w:w="1230" w:type="dxa"/>
            <w:vAlign w:val="top"/>
          </w:tcPr>
          <w:p w14:paraId="586EF8A5">
            <w:pPr>
              <w:rPr>
                <w:rFonts w:ascii="Arial"/>
                <w:color w:val="auto"/>
                <w:sz w:val="21"/>
                <w:highlight w:val="none"/>
              </w:rPr>
            </w:pPr>
          </w:p>
        </w:tc>
        <w:tc>
          <w:tcPr>
            <w:tcW w:w="1222" w:type="dxa"/>
            <w:vAlign w:val="top"/>
          </w:tcPr>
          <w:p w14:paraId="3D244CD2">
            <w:pPr>
              <w:rPr>
                <w:rFonts w:ascii="Arial"/>
                <w:color w:val="auto"/>
                <w:sz w:val="21"/>
                <w:highlight w:val="none"/>
              </w:rPr>
            </w:pPr>
          </w:p>
        </w:tc>
        <w:tc>
          <w:tcPr>
            <w:tcW w:w="827" w:type="dxa"/>
            <w:vAlign w:val="top"/>
          </w:tcPr>
          <w:p w14:paraId="3B574BA0">
            <w:pPr>
              <w:rPr>
                <w:rFonts w:ascii="Arial"/>
                <w:color w:val="auto"/>
                <w:sz w:val="21"/>
                <w:highlight w:val="none"/>
              </w:rPr>
            </w:pPr>
          </w:p>
        </w:tc>
        <w:tc>
          <w:tcPr>
            <w:tcW w:w="682" w:type="dxa"/>
            <w:vAlign w:val="top"/>
          </w:tcPr>
          <w:p w14:paraId="321BB8F1">
            <w:pPr>
              <w:rPr>
                <w:rFonts w:ascii="Arial"/>
                <w:color w:val="auto"/>
                <w:sz w:val="21"/>
                <w:highlight w:val="none"/>
              </w:rPr>
            </w:pPr>
          </w:p>
        </w:tc>
        <w:tc>
          <w:tcPr>
            <w:tcW w:w="1034" w:type="dxa"/>
            <w:vAlign w:val="top"/>
          </w:tcPr>
          <w:p w14:paraId="5BE5B154">
            <w:pPr>
              <w:rPr>
                <w:rFonts w:ascii="Arial"/>
                <w:color w:val="auto"/>
                <w:sz w:val="21"/>
                <w:highlight w:val="none"/>
              </w:rPr>
            </w:pPr>
          </w:p>
        </w:tc>
        <w:tc>
          <w:tcPr>
            <w:tcW w:w="1026" w:type="dxa"/>
            <w:vAlign w:val="top"/>
          </w:tcPr>
          <w:p w14:paraId="1ED0E28D">
            <w:pPr>
              <w:rPr>
                <w:rFonts w:ascii="Arial"/>
                <w:color w:val="auto"/>
                <w:sz w:val="21"/>
                <w:highlight w:val="none"/>
              </w:rPr>
            </w:pPr>
          </w:p>
        </w:tc>
        <w:tc>
          <w:tcPr>
            <w:tcW w:w="1026" w:type="dxa"/>
            <w:vAlign w:val="top"/>
          </w:tcPr>
          <w:p w14:paraId="7F0741E7">
            <w:pPr>
              <w:rPr>
                <w:rFonts w:ascii="Arial"/>
                <w:color w:val="auto"/>
                <w:sz w:val="21"/>
                <w:highlight w:val="none"/>
              </w:rPr>
            </w:pPr>
          </w:p>
        </w:tc>
        <w:tc>
          <w:tcPr>
            <w:tcW w:w="1237" w:type="dxa"/>
            <w:tcBorders>
              <w:right w:val="single" w:color="000000" w:sz="6" w:space="0"/>
            </w:tcBorders>
            <w:vAlign w:val="top"/>
          </w:tcPr>
          <w:p w14:paraId="3BC8F491">
            <w:pPr>
              <w:rPr>
                <w:rFonts w:ascii="Arial"/>
                <w:color w:val="auto"/>
                <w:sz w:val="21"/>
                <w:highlight w:val="none"/>
              </w:rPr>
            </w:pPr>
          </w:p>
        </w:tc>
      </w:tr>
      <w:tr w14:paraId="0F5F8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74" w:type="dxa"/>
            <w:tcBorders>
              <w:left w:val="single" w:color="000000" w:sz="6" w:space="0"/>
            </w:tcBorders>
            <w:vAlign w:val="top"/>
          </w:tcPr>
          <w:p w14:paraId="19C52691">
            <w:pPr>
              <w:pStyle w:val="17"/>
              <w:spacing w:before="211" w:line="242" w:lineRule="auto"/>
              <w:ind w:left="141"/>
              <w:rPr>
                <w:color w:val="auto"/>
                <w:highlight w:val="none"/>
              </w:rPr>
            </w:pPr>
            <w:r>
              <w:rPr>
                <w:color w:val="auto"/>
                <w:highlight w:val="none"/>
              </w:rPr>
              <w:t>…</w:t>
            </w:r>
          </w:p>
        </w:tc>
        <w:tc>
          <w:tcPr>
            <w:tcW w:w="1029" w:type="dxa"/>
            <w:vAlign w:val="top"/>
          </w:tcPr>
          <w:p w14:paraId="4435ED64">
            <w:pPr>
              <w:rPr>
                <w:rFonts w:ascii="Arial"/>
                <w:color w:val="auto"/>
                <w:sz w:val="21"/>
                <w:highlight w:val="none"/>
              </w:rPr>
            </w:pPr>
          </w:p>
        </w:tc>
        <w:tc>
          <w:tcPr>
            <w:tcW w:w="792" w:type="dxa"/>
            <w:vAlign w:val="top"/>
          </w:tcPr>
          <w:p w14:paraId="443F0F54">
            <w:pPr>
              <w:rPr>
                <w:rFonts w:ascii="Arial"/>
                <w:color w:val="auto"/>
                <w:sz w:val="21"/>
                <w:highlight w:val="none"/>
              </w:rPr>
            </w:pPr>
          </w:p>
        </w:tc>
        <w:tc>
          <w:tcPr>
            <w:tcW w:w="696" w:type="dxa"/>
            <w:vAlign w:val="top"/>
          </w:tcPr>
          <w:p w14:paraId="3D1DCC8C">
            <w:pPr>
              <w:rPr>
                <w:rFonts w:ascii="Arial"/>
                <w:color w:val="auto"/>
                <w:sz w:val="21"/>
                <w:highlight w:val="none"/>
              </w:rPr>
            </w:pPr>
          </w:p>
        </w:tc>
        <w:tc>
          <w:tcPr>
            <w:tcW w:w="1068" w:type="dxa"/>
            <w:vAlign w:val="top"/>
          </w:tcPr>
          <w:p w14:paraId="206C9B1B">
            <w:pPr>
              <w:rPr>
                <w:rFonts w:ascii="Arial"/>
                <w:color w:val="auto"/>
                <w:sz w:val="21"/>
                <w:highlight w:val="none"/>
              </w:rPr>
            </w:pPr>
          </w:p>
        </w:tc>
        <w:tc>
          <w:tcPr>
            <w:tcW w:w="943" w:type="dxa"/>
            <w:gridSpan w:val="2"/>
            <w:vAlign w:val="top"/>
          </w:tcPr>
          <w:p w14:paraId="3B8C01FF">
            <w:pPr>
              <w:rPr>
                <w:rFonts w:ascii="Arial"/>
                <w:color w:val="auto"/>
                <w:sz w:val="21"/>
                <w:highlight w:val="none"/>
              </w:rPr>
            </w:pPr>
          </w:p>
        </w:tc>
        <w:tc>
          <w:tcPr>
            <w:tcW w:w="935" w:type="dxa"/>
            <w:vAlign w:val="top"/>
          </w:tcPr>
          <w:p w14:paraId="1A62659D">
            <w:pPr>
              <w:rPr>
                <w:rFonts w:ascii="Arial"/>
                <w:color w:val="auto"/>
                <w:sz w:val="21"/>
                <w:highlight w:val="none"/>
              </w:rPr>
            </w:pPr>
          </w:p>
        </w:tc>
        <w:tc>
          <w:tcPr>
            <w:tcW w:w="1230" w:type="dxa"/>
            <w:vAlign w:val="top"/>
          </w:tcPr>
          <w:p w14:paraId="15D3E1BB">
            <w:pPr>
              <w:rPr>
                <w:rFonts w:ascii="Arial"/>
                <w:color w:val="auto"/>
                <w:sz w:val="21"/>
                <w:highlight w:val="none"/>
              </w:rPr>
            </w:pPr>
          </w:p>
        </w:tc>
        <w:tc>
          <w:tcPr>
            <w:tcW w:w="1222" w:type="dxa"/>
            <w:vAlign w:val="top"/>
          </w:tcPr>
          <w:p w14:paraId="24133D9A">
            <w:pPr>
              <w:rPr>
                <w:rFonts w:ascii="Arial"/>
                <w:color w:val="auto"/>
                <w:sz w:val="21"/>
                <w:highlight w:val="none"/>
              </w:rPr>
            </w:pPr>
          </w:p>
        </w:tc>
        <w:tc>
          <w:tcPr>
            <w:tcW w:w="827" w:type="dxa"/>
            <w:vAlign w:val="top"/>
          </w:tcPr>
          <w:p w14:paraId="3E5FBCD3">
            <w:pPr>
              <w:rPr>
                <w:rFonts w:ascii="Arial"/>
                <w:color w:val="auto"/>
                <w:sz w:val="21"/>
                <w:highlight w:val="none"/>
              </w:rPr>
            </w:pPr>
          </w:p>
        </w:tc>
        <w:tc>
          <w:tcPr>
            <w:tcW w:w="682" w:type="dxa"/>
            <w:vAlign w:val="top"/>
          </w:tcPr>
          <w:p w14:paraId="477AF9D8">
            <w:pPr>
              <w:rPr>
                <w:rFonts w:ascii="Arial"/>
                <w:color w:val="auto"/>
                <w:sz w:val="21"/>
                <w:highlight w:val="none"/>
              </w:rPr>
            </w:pPr>
          </w:p>
        </w:tc>
        <w:tc>
          <w:tcPr>
            <w:tcW w:w="1034" w:type="dxa"/>
            <w:vAlign w:val="top"/>
          </w:tcPr>
          <w:p w14:paraId="777BD7FC">
            <w:pPr>
              <w:rPr>
                <w:rFonts w:ascii="Arial"/>
                <w:color w:val="auto"/>
                <w:sz w:val="21"/>
                <w:highlight w:val="none"/>
              </w:rPr>
            </w:pPr>
          </w:p>
        </w:tc>
        <w:tc>
          <w:tcPr>
            <w:tcW w:w="1026" w:type="dxa"/>
            <w:vAlign w:val="top"/>
          </w:tcPr>
          <w:p w14:paraId="318EF27C">
            <w:pPr>
              <w:rPr>
                <w:rFonts w:ascii="Arial"/>
                <w:color w:val="auto"/>
                <w:sz w:val="21"/>
                <w:highlight w:val="none"/>
              </w:rPr>
            </w:pPr>
          </w:p>
        </w:tc>
        <w:tc>
          <w:tcPr>
            <w:tcW w:w="1026" w:type="dxa"/>
            <w:vAlign w:val="top"/>
          </w:tcPr>
          <w:p w14:paraId="435B8F84">
            <w:pPr>
              <w:rPr>
                <w:rFonts w:ascii="Arial"/>
                <w:color w:val="auto"/>
                <w:sz w:val="21"/>
                <w:highlight w:val="none"/>
              </w:rPr>
            </w:pPr>
          </w:p>
        </w:tc>
        <w:tc>
          <w:tcPr>
            <w:tcW w:w="1237" w:type="dxa"/>
            <w:tcBorders>
              <w:right w:val="single" w:color="000000" w:sz="6" w:space="0"/>
            </w:tcBorders>
            <w:vAlign w:val="top"/>
          </w:tcPr>
          <w:p w14:paraId="1D47ED66">
            <w:pPr>
              <w:rPr>
                <w:rFonts w:ascii="Arial"/>
                <w:color w:val="auto"/>
                <w:sz w:val="21"/>
                <w:highlight w:val="none"/>
              </w:rPr>
            </w:pPr>
          </w:p>
        </w:tc>
      </w:tr>
      <w:tr w14:paraId="5E9FA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474" w:type="dxa"/>
            <w:tcBorders>
              <w:left w:val="single" w:color="000000" w:sz="6" w:space="0"/>
              <w:bottom w:val="single" w:color="000000" w:sz="6" w:space="0"/>
              <w:right w:val="nil"/>
            </w:tcBorders>
            <w:vAlign w:val="top"/>
          </w:tcPr>
          <w:p w14:paraId="32B7A04B">
            <w:pPr>
              <w:rPr>
                <w:rFonts w:ascii="Arial"/>
                <w:color w:val="auto"/>
                <w:sz w:val="21"/>
                <w:highlight w:val="none"/>
              </w:rPr>
            </w:pPr>
          </w:p>
        </w:tc>
        <w:tc>
          <w:tcPr>
            <w:tcW w:w="3605" w:type="dxa"/>
            <w:gridSpan w:val="5"/>
            <w:tcBorders>
              <w:left w:val="nil"/>
              <w:bottom w:val="single" w:color="000000" w:sz="6" w:space="0"/>
            </w:tcBorders>
            <w:vAlign w:val="top"/>
          </w:tcPr>
          <w:p w14:paraId="203C76A6">
            <w:pPr>
              <w:pStyle w:val="17"/>
              <w:spacing w:before="214" w:line="228" w:lineRule="auto"/>
              <w:ind w:left="996"/>
              <w:rPr>
                <w:color w:val="auto"/>
                <w:highlight w:val="none"/>
              </w:rPr>
            </w:pPr>
            <w:r>
              <w:rPr>
                <w:color w:val="auto"/>
                <w:spacing w:val="-6"/>
                <w:highlight w:val="none"/>
              </w:rPr>
              <w:t>合</w:t>
            </w:r>
            <w:r>
              <w:rPr>
                <w:color w:val="auto"/>
                <w:spacing w:val="11"/>
                <w:highlight w:val="none"/>
              </w:rPr>
              <w:t xml:space="preserve">  </w:t>
            </w:r>
            <w:r>
              <w:rPr>
                <w:color w:val="auto"/>
                <w:spacing w:val="-6"/>
                <w:highlight w:val="none"/>
              </w:rPr>
              <w:t>计</w:t>
            </w:r>
            <w:r>
              <w:rPr>
                <w:color w:val="auto"/>
                <w:spacing w:val="51"/>
                <w:highlight w:val="none"/>
              </w:rPr>
              <w:t xml:space="preserve"> </w:t>
            </w:r>
            <w:r>
              <w:rPr>
                <w:color w:val="auto"/>
                <w:spacing w:val="-6"/>
                <w:highlight w:val="none"/>
              </w:rPr>
              <w:t>(元)</w:t>
            </w:r>
          </w:p>
        </w:tc>
        <w:tc>
          <w:tcPr>
            <w:tcW w:w="923" w:type="dxa"/>
            <w:tcBorders>
              <w:bottom w:val="single" w:color="000000" w:sz="6" w:space="0"/>
            </w:tcBorders>
            <w:vAlign w:val="top"/>
          </w:tcPr>
          <w:p w14:paraId="560B874E">
            <w:pPr>
              <w:rPr>
                <w:rFonts w:ascii="Arial"/>
                <w:color w:val="auto"/>
                <w:sz w:val="21"/>
                <w:highlight w:val="none"/>
              </w:rPr>
            </w:pPr>
          </w:p>
        </w:tc>
        <w:tc>
          <w:tcPr>
            <w:tcW w:w="935" w:type="dxa"/>
            <w:tcBorders>
              <w:bottom w:val="single" w:color="000000" w:sz="6" w:space="0"/>
            </w:tcBorders>
            <w:vAlign w:val="top"/>
          </w:tcPr>
          <w:p w14:paraId="0F65D2B2">
            <w:pPr>
              <w:rPr>
                <w:rFonts w:ascii="Arial"/>
                <w:color w:val="auto"/>
                <w:sz w:val="21"/>
                <w:highlight w:val="none"/>
              </w:rPr>
            </w:pPr>
          </w:p>
        </w:tc>
        <w:tc>
          <w:tcPr>
            <w:tcW w:w="1230" w:type="dxa"/>
            <w:tcBorders>
              <w:bottom w:val="single" w:color="000000" w:sz="6" w:space="0"/>
            </w:tcBorders>
            <w:vAlign w:val="top"/>
          </w:tcPr>
          <w:p w14:paraId="6DF9481D">
            <w:pPr>
              <w:rPr>
                <w:rFonts w:ascii="Arial"/>
                <w:color w:val="auto"/>
                <w:sz w:val="21"/>
                <w:highlight w:val="none"/>
              </w:rPr>
            </w:pPr>
          </w:p>
        </w:tc>
        <w:tc>
          <w:tcPr>
            <w:tcW w:w="3765" w:type="dxa"/>
            <w:gridSpan w:val="4"/>
            <w:tcBorders>
              <w:bottom w:val="single" w:color="000000" w:sz="6" w:space="0"/>
            </w:tcBorders>
            <w:vAlign w:val="top"/>
          </w:tcPr>
          <w:p w14:paraId="6968F968">
            <w:pPr>
              <w:pStyle w:val="17"/>
              <w:spacing w:before="214" w:line="228" w:lineRule="auto"/>
              <w:ind w:left="1313"/>
              <w:rPr>
                <w:color w:val="auto"/>
                <w:highlight w:val="none"/>
              </w:rPr>
            </w:pPr>
            <w:r>
              <w:rPr>
                <w:color w:val="auto"/>
                <w:spacing w:val="-6"/>
                <w:highlight w:val="none"/>
              </w:rPr>
              <w:t>合</w:t>
            </w:r>
            <w:r>
              <w:rPr>
                <w:color w:val="auto"/>
                <w:spacing w:val="11"/>
                <w:highlight w:val="none"/>
              </w:rPr>
              <w:t xml:space="preserve">  </w:t>
            </w:r>
            <w:r>
              <w:rPr>
                <w:color w:val="auto"/>
                <w:spacing w:val="-6"/>
                <w:highlight w:val="none"/>
              </w:rPr>
              <w:t>计</w:t>
            </w:r>
            <w:r>
              <w:rPr>
                <w:color w:val="auto"/>
                <w:spacing w:val="51"/>
                <w:highlight w:val="none"/>
              </w:rPr>
              <w:t xml:space="preserve"> </w:t>
            </w:r>
            <w:r>
              <w:rPr>
                <w:color w:val="auto"/>
                <w:spacing w:val="-6"/>
                <w:highlight w:val="none"/>
              </w:rPr>
              <w:t>(元)</w:t>
            </w:r>
          </w:p>
        </w:tc>
        <w:tc>
          <w:tcPr>
            <w:tcW w:w="1026" w:type="dxa"/>
            <w:tcBorders>
              <w:bottom w:val="single" w:color="000000" w:sz="6" w:space="0"/>
            </w:tcBorders>
            <w:vAlign w:val="top"/>
          </w:tcPr>
          <w:p w14:paraId="53E4FE6C">
            <w:pPr>
              <w:rPr>
                <w:rFonts w:ascii="Arial"/>
                <w:color w:val="auto"/>
                <w:sz w:val="21"/>
                <w:highlight w:val="none"/>
              </w:rPr>
            </w:pPr>
          </w:p>
        </w:tc>
        <w:tc>
          <w:tcPr>
            <w:tcW w:w="1026" w:type="dxa"/>
            <w:tcBorders>
              <w:bottom w:val="single" w:color="000000" w:sz="6" w:space="0"/>
            </w:tcBorders>
            <w:vAlign w:val="top"/>
          </w:tcPr>
          <w:p w14:paraId="5EE9EE88">
            <w:pPr>
              <w:rPr>
                <w:rFonts w:ascii="Arial"/>
                <w:color w:val="auto"/>
                <w:sz w:val="21"/>
                <w:highlight w:val="none"/>
              </w:rPr>
            </w:pPr>
          </w:p>
        </w:tc>
        <w:tc>
          <w:tcPr>
            <w:tcW w:w="1237" w:type="dxa"/>
            <w:tcBorders>
              <w:bottom w:val="single" w:color="000000" w:sz="6" w:space="0"/>
              <w:right w:val="single" w:color="000000" w:sz="6" w:space="0"/>
            </w:tcBorders>
            <w:vAlign w:val="top"/>
          </w:tcPr>
          <w:p w14:paraId="5942A704">
            <w:pPr>
              <w:rPr>
                <w:rFonts w:ascii="Arial"/>
                <w:color w:val="auto"/>
                <w:sz w:val="21"/>
                <w:highlight w:val="none"/>
              </w:rPr>
            </w:pPr>
          </w:p>
        </w:tc>
      </w:tr>
    </w:tbl>
    <w:p w14:paraId="72260E8D">
      <w:pPr>
        <w:rPr>
          <w:rFonts w:ascii="Arial"/>
          <w:color w:val="auto"/>
          <w:sz w:val="21"/>
          <w:highlight w:val="none"/>
        </w:rPr>
      </w:pPr>
    </w:p>
    <w:p w14:paraId="08A6ECBB">
      <w:pPr>
        <w:rPr>
          <w:rFonts w:ascii="Arial" w:hAnsi="Arial" w:eastAsia="Arial" w:cs="Arial"/>
          <w:color w:val="auto"/>
          <w:sz w:val="21"/>
          <w:szCs w:val="21"/>
          <w:highlight w:val="none"/>
        </w:rPr>
        <w:sectPr>
          <w:footerReference r:id="rId118" w:type="default"/>
          <w:pgSz w:w="16839" w:h="11906"/>
          <w:pgMar w:top="1012" w:right="1301" w:bottom="1297" w:left="1300" w:header="0" w:footer="1067" w:gutter="0"/>
          <w:pgNumType w:fmt="decimal"/>
          <w:cols w:space="720" w:num="1"/>
        </w:sectPr>
      </w:pPr>
    </w:p>
    <w:p w14:paraId="4BFEF402">
      <w:pPr>
        <w:spacing w:line="353" w:lineRule="auto"/>
        <w:rPr>
          <w:rFonts w:ascii="Arial"/>
          <w:color w:val="auto"/>
          <w:sz w:val="21"/>
          <w:highlight w:val="none"/>
        </w:rPr>
      </w:pPr>
    </w:p>
    <w:p w14:paraId="38A5658B">
      <w:pPr>
        <w:spacing w:before="91" w:line="212" w:lineRule="auto"/>
        <w:ind w:left="4913"/>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表</w:t>
      </w:r>
      <w:r>
        <w:rPr>
          <w:rFonts w:ascii="宋体" w:hAnsi="宋体" w:eastAsia="宋体" w:cs="宋体"/>
          <w:color w:val="auto"/>
          <w:spacing w:val="-42"/>
          <w:sz w:val="28"/>
          <w:szCs w:val="28"/>
          <w:highlight w:val="none"/>
        </w:rPr>
        <w:t xml:space="preserve"> </w:t>
      </w:r>
      <w:r>
        <w:rPr>
          <w:rFonts w:ascii="宋体" w:hAnsi="宋体" w:eastAsia="宋体" w:cs="宋体"/>
          <w:b/>
          <w:bCs/>
          <w:color w:val="auto"/>
          <w:spacing w:val="-4"/>
          <w:sz w:val="28"/>
          <w:szCs w:val="28"/>
          <w:highlight w:val="none"/>
        </w:rPr>
        <w:t>6</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监理工程师生活设施费报价表</w:t>
      </w:r>
    </w:p>
    <w:tbl>
      <w:tblPr>
        <w:tblStyle w:val="16"/>
        <w:tblW w:w="1422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396"/>
        <w:gridCol w:w="753"/>
        <w:gridCol w:w="989"/>
        <w:gridCol w:w="966"/>
        <w:gridCol w:w="1009"/>
        <w:gridCol w:w="1497"/>
        <w:gridCol w:w="1491"/>
        <w:gridCol w:w="827"/>
        <w:gridCol w:w="1071"/>
        <w:gridCol w:w="1040"/>
        <w:gridCol w:w="1040"/>
        <w:gridCol w:w="1507"/>
      </w:tblGrid>
      <w:tr w14:paraId="17A71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35" w:type="dxa"/>
            <w:vMerge w:val="restart"/>
            <w:tcBorders>
              <w:top w:val="single" w:color="000000" w:sz="6" w:space="0"/>
              <w:left w:val="single" w:color="000000" w:sz="6" w:space="0"/>
              <w:bottom w:val="nil"/>
            </w:tcBorders>
            <w:textDirection w:val="tbRlV"/>
            <w:vAlign w:val="top"/>
          </w:tcPr>
          <w:p w14:paraId="55194AC4">
            <w:pPr>
              <w:pStyle w:val="17"/>
              <w:spacing w:before="214" w:line="218" w:lineRule="auto"/>
              <w:ind w:left="668"/>
              <w:rPr>
                <w:color w:val="auto"/>
                <w:highlight w:val="none"/>
              </w:rPr>
            </w:pPr>
            <w:r>
              <w:rPr>
                <w:color w:val="auto"/>
                <w:spacing w:val="8"/>
                <w:highlight w:val="none"/>
              </w:rPr>
              <w:t>序</w:t>
            </w:r>
            <w:r>
              <w:rPr>
                <w:color w:val="auto"/>
                <w:spacing w:val="90"/>
                <w:highlight w:val="none"/>
              </w:rPr>
              <w:t xml:space="preserve"> </w:t>
            </w:r>
            <w:r>
              <w:rPr>
                <w:color w:val="auto"/>
                <w:spacing w:val="8"/>
                <w:highlight w:val="none"/>
              </w:rPr>
              <w:t>号</w:t>
            </w:r>
          </w:p>
        </w:tc>
        <w:tc>
          <w:tcPr>
            <w:tcW w:w="6610" w:type="dxa"/>
            <w:gridSpan w:val="6"/>
            <w:tcBorders>
              <w:top w:val="single" w:color="000000" w:sz="6" w:space="0"/>
            </w:tcBorders>
            <w:vAlign w:val="top"/>
          </w:tcPr>
          <w:p w14:paraId="7ECC8095">
            <w:pPr>
              <w:pStyle w:val="17"/>
              <w:spacing w:before="194" w:line="228" w:lineRule="auto"/>
              <w:ind w:left="2991"/>
              <w:rPr>
                <w:color w:val="auto"/>
                <w:highlight w:val="none"/>
              </w:rPr>
            </w:pPr>
            <w:r>
              <w:rPr>
                <w:color w:val="auto"/>
                <w:spacing w:val="7"/>
                <w:highlight w:val="none"/>
              </w:rPr>
              <w:t>施工期</w:t>
            </w:r>
          </w:p>
        </w:tc>
        <w:tc>
          <w:tcPr>
            <w:tcW w:w="6976" w:type="dxa"/>
            <w:gridSpan w:val="6"/>
            <w:tcBorders>
              <w:top w:val="single" w:color="000000" w:sz="6" w:space="0"/>
              <w:right w:val="single" w:color="000000" w:sz="6" w:space="0"/>
            </w:tcBorders>
            <w:vAlign w:val="top"/>
          </w:tcPr>
          <w:p w14:paraId="37729B14">
            <w:pPr>
              <w:pStyle w:val="17"/>
              <w:spacing w:before="193" w:line="228" w:lineRule="auto"/>
              <w:ind w:left="2967"/>
              <w:rPr>
                <w:color w:val="auto"/>
                <w:highlight w:val="none"/>
              </w:rPr>
            </w:pPr>
            <w:r>
              <w:rPr>
                <w:color w:val="auto"/>
                <w:spacing w:val="8"/>
                <w:highlight w:val="none"/>
              </w:rPr>
              <w:t>缺陷责任期</w:t>
            </w:r>
          </w:p>
        </w:tc>
      </w:tr>
      <w:tr w14:paraId="7E9ED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635" w:type="dxa"/>
            <w:vMerge w:val="continue"/>
            <w:tcBorders>
              <w:top w:val="nil"/>
              <w:left w:val="single" w:color="000000" w:sz="6" w:space="0"/>
            </w:tcBorders>
            <w:textDirection w:val="tbRlV"/>
            <w:vAlign w:val="top"/>
          </w:tcPr>
          <w:p w14:paraId="0FB40635">
            <w:pPr>
              <w:rPr>
                <w:rFonts w:ascii="Arial"/>
                <w:color w:val="auto"/>
                <w:sz w:val="21"/>
                <w:highlight w:val="none"/>
              </w:rPr>
            </w:pPr>
          </w:p>
        </w:tc>
        <w:tc>
          <w:tcPr>
            <w:tcW w:w="1396" w:type="dxa"/>
            <w:vAlign w:val="top"/>
          </w:tcPr>
          <w:p w14:paraId="2C15F592">
            <w:pPr>
              <w:spacing w:line="251" w:lineRule="auto"/>
              <w:rPr>
                <w:rFonts w:ascii="Arial"/>
                <w:color w:val="auto"/>
                <w:sz w:val="21"/>
                <w:highlight w:val="none"/>
              </w:rPr>
            </w:pPr>
          </w:p>
          <w:p w14:paraId="21A70E92">
            <w:pPr>
              <w:spacing w:line="251" w:lineRule="auto"/>
              <w:rPr>
                <w:rFonts w:ascii="Arial"/>
                <w:color w:val="auto"/>
                <w:sz w:val="21"/>
                <w:highlight w:val="none"/>
              </w:rPr>
            </w:pPr>
          </w:p>
          <w:p w14:paraId="5993CE2E">
            <w:pPr>
              <w:pStyle w:val="17"/>
              <w:spacing w:before="65" w:line="229" w:lineRule="auto"/>
              <w:ind w:left="174"/>
              <w:rPr>
                <w:color w:val="auto"/>
                <w:highlight w:val="none"/>
              </w:rPr>
            </w:pPr>
            <w:r>
              <w:rPr>
                <w:color w:val="auto"/>
                <w:spacing w:val="7"/>
                <w:highlight w:val="none"/>
              </w:rPr>
              <w:t>名称及型号</w:t>
            </w:r>
          </w:p>
        </w:tc>
        <w:tc>
          <w:tcPr>
            <w:tcW w:w="753" w:type="dxa"/>
            <w:vAlign w:val="top"/>
          </w:tcPr>
          <w:p w14:paraId="0985B980">
            <w:pPr>
              <w:spacing w:line="251" w:lineRule="auto"/>
              <w:rPr>
                <w:rFonts w:ascii="Arial"/>
                <w:color w:val="auto"/>
                <w:sz w:val="21"/>
                <w:highlight w:val="none"/>
              </w:rPr>
            </w:pPr>
          </w:p>
          <w:p w14:paraId="5FBDC945">
            <w:pPr>
              <w:spacing w:line="251" w:lineRule="auto"/>
              <w:rPr>
                <w:rFonts w:ascii="Arial"/>
                <w:color w:val="auto"/>
                <w:sz w:val="21"/>
                <w:highlight w:val="none"/>
              </w:rPr>
            </w:pPr>
          </w:p>
          <w:p w14:paraId="3BD7EA57">
            <w:pPr>
              <w:pStyle w:val="17"/>
              <w:spacing w:before="65" w:line="228" w:lineRule="auto"/>
              <w:ind w:left="167"/>
              <w:rPr>
                <w:color w:val="auto"/>
                <w:highlight w:val="none"/>
              </w:rPr>
            </w:pPr>
            <w:r>
              <w:rPr>
                <w:color w:val="auto"/>
                <w:spacing w:val="3"/>
                <w:highlight w:val="none"/>
              </w:rPr>
              <w:t>数量</w:t>
            </w:r>
          </w:p>
        </w:tc>
        <w:tc>
          <w:tcPr>
            <w:tcW w:w="989" w:type="dxa"/>
            <w:vAlign w:val="top"/>
          </w:tcPr>
          <w:p w14:paraId="78888C55">
            <w:pPr>
              <w:spacing w:line="304" w:lineRule="auto"/>
              <w:rPr>
                <w:rFonts w:ascii="Arial"/>
                <w:color w:val="auto"/>
                <w:sz w:val="21"/>
                <w:highlight w:val="none"/>
              </w:rPr>
            </w:pPr>
          </w:p>
          <w:p w14:paraId="50F92C13">
            <w:pPr>
              <w:pStyle w:val="17"/>
              <w:spacing w:before="65" w:line="371" w:lineRule="auto"/>
              <w:ind w:left="181" w:right="181" w:hanging="2"/>
              <w:rPr>
                <w:color w:val="auto"/>
                <w:highlight w:val="none"/>
              </w:rPr>
            </w:pPr>
            <w:r>
              <w:rPr>
                <w:color w:val="auto"/>
                <w:spacing w:val="7"/>
                <w:highlight w:val="none"/>
              </w:rPr>
              <w:t>购置合</w:t>
            </w:r>
            <w:r>
              <w:rPr>
                <w:color w:val="auto"/>
                <w:spacing w:val="5"/>
                <w:highlight w:val="none"/>
              </w:rPr>
              <w:t>价(元)</w:t>
            </w:r>
          </w:p>
        </w:tc>
        <w:tc>
          <w:tcPr>
            <w:tcW w:w="966" w:type="dxa"/>
            <w:vAlign w:val="top"/>
          </w:tcPr>
          <w:p w14:paraId="7A968CD6">
            <w:pPr>
              <w:spacing w:line="304" w:lineRule="auto"/>
              <w:rPr>
                <w:rFonts w:ascii="Arial"/>
                <w:color w:val="auto"/>
                <w:sz w:val="21"/>
                <w:highlight w:val="none"/>
              </w:rPr>
            </w:pPr>
          </w:p>
          <w:p w14:paraId="1BBDEFBD">
            <w:pPr>
              <w:pStyle w:val="17"/>
              <w:spacing w:before="65" w:line="372" w:lineRule="auto"/>
              <w:ind w:left="310" w:right="171" w:hanging="140"/>
              <w:rPr>
                <w:color w:val="auto"/>
                <w:highlight w:val="none"/>
              </w:rPr>
            </w:pPr>
            <w:r>
              <w:rPr>
                <w:color w:val="auto"/>
                <w:spacing w:val="6"/>
                <w:highlight w:val="none"/>
              </w:rPr>
              <w:t>折旧费</w:t>
            </w:r>
            <w:r>
              <w:rPr>
                <w:color w:val="auto"/>
                <w:spacing w:val="-9"/>
                <w:highlight w:val="none"/>
              </w:rPr>
              <w:t>(元)</w:t>
            </w:r>
          </w:p>
        </w:tc>
        <w:tc>
          <w:tcPr>
            <w:tcW w:w="1009" w:type="dxa"/>
            <w:vAlign w:val="top"/>
          </w:tcPr>
          <w:p w14:paraId="5F1BACDE">
            <w:pPr>
              <w:spacing w:line="304" w:lineRule="auto"/>
              <w:rPr>
                <w:rFonts w:ascii="Arial"/>
                <w:color w:val="auto"/>
                <w:sz w:val="21"/>
                <w:highlight w:val="none"/>
              </w:rPr>
            </w:pPr>
          </w:p>
          <w:p w14:paraId="0337491F">
            <w:pPr>
              <w:pStyle w:val="17"/>
              <w:spacing w:before="65" w:line="372" w:lineRule="auto"/>
              <w:ind w:left="333" w:right="191" w:hanging="141"/>
              <w:rPr>
                <w:color w:val="auto"/>
                <w:highlight w:val="none"/>
              </w:rPr>
            </w:pPr>
            <w:r>
              <w:rPr>
                <w:color w:val="auto"/>
                <w:spacing w:val="6"/>
                <w:highlight w:val="none"/>
              </w:rPr>
              <w:t>使用费</w:t>
            </w:r>
            <w:r>
              <w:rPr>
                <w:color w:val="auto"/>
                <w:spacing w:val="-9"/>
                <w:highlight w:val="none"/>
              </w:rPr>
              <w:t>(元)</w:t>
            </w:r>
          </w:p>
        </w:tc>
        <w:tc>
          <w:tcPr>
            <w:tcW w:w="1497" w:type="dxa"/>
            <w:vAlign w:val="top"/>
          </w:tcPr>
          <w:p w14:paraId="3EF0D87A">
            <w:pPr>
              <w:pStyle w:val="17"/>
              <w:spacing w:before="172" w:line="229" w:lineRule="auto"/>
              <w:ind w:left="443"/>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5BA042B2">
            <w:pPr>
              <w:pStyle w:val="17"/>
              <w:spacing w:before="149" w:line="228" w:lineRule="auto"/>
              <w:ind w:left="125"/>
              <w:rPr>
                <w:color w:val="auto"/>
                <w:highlight w:val="none"/>
              </w:rPr>
            </w:pPr>
            <w:r>
              <w:rPr>
                <w:color w:val="auto"/>
                <w:spacing w:val="7"/>
                <w:highlight w:val="none"/>
              </w:rPr>
              <w:t>折旧及使用费</w:t>
            </w:r>
          </w:p>
          <w:p w14:paraId="0C72DC1C">
            <w:pPr>
              <w:pStyle w:val="17"/>
              <w:spacing w:before="153" w:line="213" w:lineRule="auto"/>
              <w:ind w:left="580"/>
              <w:rPr>
                <w:color w:val="auto"/>
                <w:highlight w:val="none"/>
              </w:rPr>
            </w:pPr>
            <w:r>
              <w:rPr>
                <w:color w:val="auto"/>
                <w:spacing w:val="-9"/>
                <w:highlight w:val="none"/>
              </w:rPr>
              <w:t>(元)</w:t>
            </w:r>
          </w:p>
        </w:tc>
        <w:tc>
          <w:tcPr>
            <w:tcW w:w="1491" w:type="dxa"/>
            <w:vAlign w:val="top"/>
          </w:tcPr>
          <w:p w14:paraId="3F81D9E5">
            <w:pPr>
              <w:spacing w:line="251" w:lineRule="auto"/>
              <w:rPr>
                <w:rFonts w:ascii="Arial"/>
                <w:color w:val="auto"/>
                <w:sz w:val="21"/>
                <w:highlight w:val="none"/>
              </w:rPr>
            </w:pPr>
          </w:p>
          <w:p w14:paraId="2A276A49">
            <w:pPr>
              <w:spacing w:line="251" w:lineRule="auto"/>
              <w:rPr>
                <w:rFonts w:ascii="Arial"/>
                <w:color w:val="auto"/>
                <w:sz w:val="21"/>
                <w:highlight w:val="none"/>
              </w:rPr>
            </w:pPr>
          </w:p>
          <w:p w14:paraId="0EACEF27">
            <w:pPr>
              <w:pStyle w:val="17"/>
              <w:spacing w:before="65" w:line="229" w:lineRule="auto"/>
              <w:ind w:left="229"/>
              <w:rPr>
                <w:color w:val="auto"/>
                <w:highlight w:val="none"/>
              </w:rPr>
            </w:pPr>
            <w:r>
              <w:rPr>
                <w:color w:val="auto"/>
                <w:spacing w:val="7"/>
                <w:highlight w:val="none"/>
              </w:rPr>
              <w:t>名称及型号</w:t>
            </w:r>
          </w:p>
        </w:tc>
        <w:tc>
          <w:tcPr>
            <w:tcW w:w="827" w:type="dxa"/>
            <w:vAlign w:val="top"/>
          </w:tcPr>
          <w:p w14:paraId="10C401FA">
            <w:pPr>
              <w:spacing w:line="251" w:lineRule="auto"/>
              <w:rPr>
                <w:rFonts w:ascii="Arial"/>
                <w:color w:val="auto"/>
                <w:sz w:val="21"/>
                <w:highlight w:val="none"/>
              </w:rPr>
            </w:pPr>
          </w:p>
          <w:p w14:paraId="08F1E07F">
            <w:pPr>
              <w:spacing w:line="251" w:lineRule="auto"/>
              <w:rPr>
                <w:rFonts w:ascii="Arial"/>
                <w:color w:val="auto"/>
                <w:sz w:val="21"/>
                <w:highlight w:val="none"/>
              </w:rPr>
            </w:pPr>
          </w:p>
          <w:p w14:paraId="5C72DF6A">
            <w:pPr>
              <w:pStyle w:val="17"/>
              <w:spacing w:before="65" w:line="228" w:lineRule="auto"/>
              <w:ind w:left="213"/>
              <w:rPr>
                <w:color w:val="auto"/>
                <w:highlight w:val="none"/>
              </w:rPr>
            </w:pPr>
            <w:r>
              <w:rPr>
                <w:color w:val="auto"/>
                <w:spacing w:val="3"/>
                <w:highlight w:val="none"/>
              </w:rPr>
              <w:t>数量</w:t>
            </w:r>
          </w:p>
        </w:tc>
        <w:tc>
          <w:tcPr>
            <w:tcW w:w="1071" w:type="dxa"/>
            <w:vAlign w:val="top"/>
          </w:tcPr>
          <w:p w14:paraId="277FB0D4">
            <w:pPr>
              <w:spacing w:line="304" w:lineRule="auto"/>
              <w:rPr>
                <w:rFonts w:ascii="Arial"/>
                <w:color w:val="auto"/>
                <w:sz w:val="21"/>
                <w:highlight w:val="none"/>
              </w:rPr>
            </w:pPr>
          </w:p>
          <w:p w14:paraId="4E15877C">
            <w:pPr>
              <w:pStyle w:val="17"/>
              <w:spacing w:before="65" w:line="372" w:lineRule="auto"/>
              <w:ind w:left="371" w:right="112" w:hanging="249"/>
              <w:rPr>
                <w:color w:val="auto"/>
                <w:highlight w:val="none"/>
              </w:rPr>
            </w:pPr>
            <w:r>
              <w:rPr>
                <w:color w:val="auto"/>
                <w:spacing w:val="7"/>
                <w:highlight w:val="none"/>
              </w:rPr>
              <w:t>购置合价</w:t>
            </w:r>
            <w:r>
              <w:rPr>
                <w:color w:val="auto"/>
                <w:spacing w:val="-9"/>
                <w:highlight w:val="none"/>
              </w:rPr>
              <w:t>(元)</w:t>
            </w:r>
          </w:p>
        </w:tc>
        <w:tc>
          <w:tcPr>
            <w:tcW w:w="1040" w:type="dxa"/>
            <w:vAlign w:val="top"/>
          </w:tcPr>
          <w:p w14:paraId="574A7DEB">
            <w:pPr>
              <w:spacing w:line="304" w:lineRule="auto"/>
              <w:rPr>
                <w:rFonts w:ascii="Arial"/>
                <w:color w:val="auto"/>
                <w:sz w:val="21"/>
                <w:highlight w:val="none"/>
              </w:rPr>
            </w:pPr>
          </w:p>
          <w:p w14:paraId="786DA710">
            <w:pPr>
              <w:pStyle w:val="17"/>
              <w:spacing w:before="65" w:line="372" w:lineRule="auto"/>
              <w:ind w:left="356" w:right="199" w:hanging="140"/>
              <w:rPr>
                <w:color w:val="auto"/>
                <w:highlight w:val="none"/>
              </w:rPr>
            </w:pPr>
            <w:r>
              <w:rPr>
                <w:color w:val="auto"/>
                <w:spacing w:val="6"/>
                <w:highlight w:val="none"/>
              </w:rPr>
              <w:t>折旧费</w:t>
            </w:r>
            <w:r>
              <w:rPr>
                <w:color w:val="auto"/>
                <w:spacing w:val="-9"/>
                <w:highlight w:val="none"/>
              </w:rPr>
              <w:t>(元)</w:t>
            </w:r>
          </w:p>
        </w:tc>
        <w:tc>
          <w:tcPr>
            <w:tcW w:w="1040" w:type="dxa"/>
            <w:vAlign w:val="top"/>
          </w:tcPr>
          <w:p w14:paraId="71008685">
            <w:pPr>
              <w:spacing w:line="304" w:lineRule="auto"/>
              <w:rPr>
                <w:rFonts w:ascii="Arial"/>
                <w:color w:val="auto"/>
                <w:sz w:val="21"/>
                <w:highlight w:val="none"/>
              </w:rPr>
            </w:pPr>
          </w:p>
          <w:p w14:paraId="396F07C7">
            <w:pPr>
              <w:pStyle w:val="17"/>
              <w:spacing w:before="65" w:line="372" w:lineRule="auto"/>
              <w:ind w:left="356" w:right="197" w:hanging="139"/>
              <w:rPr>
                <w:color w:val="auto"/>
                <w:highlight w:val="none"/>
              </w:rPr>
            </w:pPr>
            <w:r>
              <w:rPr>
                <w:color w:val="auto"/>
                <w:spacing w:val="6"/>
                <w:highlight w:val="none"/>
              </w:rPr>
              <w:t>使用费</w:t>
            </w:r>
            <w:r>
              <w:rPr>
                <w:color w:val="auto"/>
                <w:spacing w:val="-8"/>
                <w:highlight w:val="none"/>
              </w:rPr>
              <w:t>(元)</w:t>
            </w:r>
          </w:p>
        </w:tc>
        <w:tc>
          <w:tcPr>
            <w:tcW w:w="1507" w:type="dxa"/>
            <w:tcBorders>
              <w:right w:val="single" w:color="000000" w:sz="6" w:space="0"/>
            </w:tcBorders>
            <w:vAlign w:val="top"/>
          </w:tcPr>
          <w:p w14:paraId="5FC2C905">
            <w:pPr>
              <w:pStyle w:val="17"/>
              <w:spacing w:before="172" w:line="229" w:lineRule="auto"/>
              <w:ind w:left="451"/>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5F52228A">
            <w:pPr>
              <w:pStyle w:val="17"/>
              <w:spacing w:before="149" w:line="228" w:lineRule="auto"/>
              <w:ind w:left="133"/>
              <w:rPr>
                <w:color w:val="auto"/>
                <w:highlight w:val="none"/>
              </w:rPr>
            </w:pPr>
            <w:r>
              <w:rPr>
                <w:color w:val="auto"/>
                <w:spacing w:val="7"/>
                <w:highlight w:val="none"/>
              </w:rPr>
              <w:t>折旧及使用费</w:t>
            </w:r>
          </w:p>
          <w:p w14:paraId="355EBA93">
            <w:pPr>
              <w:pStyle w:val="17"/>
              <w:spacing w:before="153" w:line="213" w:lineRule="auto"/>
              <w:ind w:left="588"/>
              <w:rPr>
                <w:color w:val="auto"/>
                <w:highlight w:val="none"/>
              </w:rPr>
            </w:pPr>
            <w:r>
              <w:rPr>
                <w:color w:val="auto"/>
                <w:spacing w:val="-9"/>
                <w:highlight w:val="none"/>
              </w:rPr>
              <w:t>(元)</w:t>
            </w:r>
          </w:p>
        </w:tc>
      </w:tr>
      <w:tr w14:paraId="558F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47373EDC">
            <w:pPr>
              <w:pStyle w:val="17"/>
              <w:spacing w:before="195"/>
              <w:ind w:left="277"/>
              <w:rPr>
                <w:color w:val="auto"/>
                <w:highlight w:val="none"/>
              </w:rPr>
            </w:pPr>
            <w:r>
              <w:rPr>
                <w:color w:val="auto"/>
                <w:highlight w:val="none"/>
              </w:rPr>
              <w:t>1</w:t>
            </w:r>
          </w:p>
        </w:tc>
        <w:tc>
          <w:tcPr>
            <w:tcW w:w="1396" w:type="dxa"/>
            <w:vAlign w:val="top"/>
          </w:tcPr>
          <w:p w14:paraId="7353DB65">
            <w:pPr>
              <w:rPr>
                <w:rFonts w:ascii="Arial"/>
                <w:color w:val="auto"/>
                <w:sz w:val="21"/>
                <w:highlight w:val="none"/>
              </w:rPr>
            </w:pPr>
          </w:p>
        </w:tc>
        <w:tc>
          <w:tcPr>
            <w:tcW w:w="753" w:type="dxa"/>
            <w:vAlign w:val="top"/>
          </w:tcPr>
          <w:p w14:paraId="579DA2E8">
            <w:pPr>
              <w:rPr>
                <w:rFonts w:ascii="Arial"/>
                <w:color w:val="auto"/>
                <w:sz w:val="21"/>
                <w:highlight w:val="none"/>
              </w:rPr>
            </w:pPr>
          </w:p>
        </w:tc>
        <w:tc>
          <w:tcPr>
            <w:tcW w:w="989" w:type="dxa"/>
            <w:vAlign w:val="top"/>
          </w:tcPr>
          <w:p w14:paraId="7455596F">
            <w:pPr>
              <w:rPr>
                <w:rFonts w:ascii="Arial"/>
                <w:color w:val="auto"/>
                <w:sz w:val="21"/>
                <w:highlight w:val="none"/>
              </w:rPr>
            </w:pPr>
          </w:p>
        </w:tc>
        <w:tc>
          <w:tcPr>
            <w:tcW w:w="966" w:type="dxa"/>
            <w:vAlign w:val="top"/>
          </w:tcPr>
          <w:p w14:paraId="5B6541BF">
            <w:pPr>
              <w:rPr>
                <w:rFonts w:ascii="Arial"/>
                <w:color w:val="auto"/>
                <w:sz w:val="21"/>
                <w:highlight w:val="none"/>
              </w:rPr>
            </w:pPr>
          </w:p>
        </w:tc>
        <w:tc>
          <w:tcPr>
            <w:tcW w:w="1009" w:type="dxa"/>
            <w:vAlign w:val="top"/>
          </w:tcPr>
          <w:p w14:paraId="557D797B">
            <w:pPr>
              <w:rPr>
                <w:rFonts w:ascii="Arial"/>
                <w:color w:val="auto"/>
                <w:sz w:val="21"/>
                <w:highlight w:val="none"/>
              </w:rPr>
            </w:pPr>
          </w:p>
        </w:tc>
        <w:tc>
          <w:tcPr>
            <w:tcW w:w="1497" w:type="dxa"/>
            <w:vAlign w:val="top"/>
          </w:tcPr>
          <w:p w14:paraId="6DA6287C">
            <w:pPr>
              <w:rPr>
                <w:rFonts w:ascii="Arial"/>
                <w:color w:val="auto"/>
                <w:sz w:val="21"/>
                <w:highlight w:val="none"/>
              </w:rPr>
            </w:pPr>
          </w:p>
        </w:tc>
        <w:tc>
          <w:tcPr>
            <w:tcW w:w="1491" w:type="dxa"/>
            <w:vAlign w:val="top"/>
          </w:tcPr>
          <w:p w14:paraId="45CAD0DE">
            <w:pPr>
              <w:rPr>
                <w:rFonts w:ascii="Arial"/>
                <w:color w:val="auto"/>
                <w:sz w:val="21"/>
                <w:highlight w:val="none"/>
              </w:rPr>
            </w:pPr>
          </w:p>
        </w:tc>
        <w:tc>
          <w:tcPr>
            <w:tcW w:w="827" w:type="dxa"/>
            <w:vAlign w:val="top"/>
          </w:tcPr>
          <w:p w14:paraId="7AEA4531">
            <w:pPr>
              <w:rPr>
                <w:rFonts w:ascii="Arial"/>
                <w:color w:val="auto"/>
                <w:sz w:val="21"/>
                <w:highlight w:val="none"/>
              </w:rPr>
            </w:pPr>
          </w:p>
        </w:tc>
        <w:tc>
          <w:tcPr>
            <w:tcW w:w="1071" w:type="dxa"/>
            <w:vAlign w:val="top"/>
          </w:tcPr>
          <w:p w14:paraId="28867FAD">
            <w:pPr>
              <w:rPr>
                <w:rFonts w:ascii="Arial"/>
                <w:color w:val="auto"/>
                <w:sz w:val="21"/>
                <w:highlight w:val="none"/>
              </w:rPr>
            </w:pPr>
          </w:p>
        </w:tc>
        <w:tc>
          <w:tcPr>
            <w:tcW w:w="1040" w:type="dxa"/>
            <w:vAlign w:val="top"/>
          </w:tcPr>
          <w:p w14:paraId="0780C600">
            <w:pPr>
              <w:rPr>
                <w:rFonts w:ascii="Arial"/>
                <w:color w:val="auto"/>
                <w:sz w:val="21"/>
                <w:highlight w:val="none"/>
              </w:rPr>
            </w:pPr>
          </w:p>
        </w:tc>
        <w:tc>
          <w:tcPr>
            <w:tcW w:w="1040" w:type="dxa"/>
            <w:vAlign w:val="top"/>
          </w:tcPr>
          <w:p w14:paraId="474D6BE1">
            <w:pPr>
              <w:rPr>
                <w:rFonts w:ascii="Arial"/>
                <w:color w:val="auto"/>
                <w:sz w:val="21"/>
                <w:highlight w:val="none"/>
              </w:rPr>
            </w:pPr>
          </w:p>
        </w:tc>
        <w:tc>
          <w:tcPr>
            <w:tcW w:w="1507" w:type="dxa"/>
            <w:tcBorders>
              <w:right w:val="single" w:color="000000" w:sz="6" w:space="0"/>
            </w:tcBorders>
            <w:vAlign w:val="top"/>
          </w:tcPr>
          <w:p w14:paraId="4EE7A71F">
            <w:pPr>
              <w:rPr>
                <w:rFonts w:ascii="Arial"/>
                <w:color w:val="auto"/>
                <w:sz w:val="21"/>
                <w:highlight w:val="none"/>
              </w:rPr>
            </w:pPr>
          </w:p>
        </w:tc>
      </w:tr>
      <w:tr w14:paraId="6A600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53D45BBB">
            <w:pPr>
              <w:pStyle w:val="17"/>
              <w:spacing w:before="195"/>
              <w:ind w:left="264"/>
              <w:rPr>
                <w:color w:val="auto"/>
                <w:highlight w:val="none"/>
              </w:rPr>
            </w:pPr>
            <w:r>
              <w:rPr>
                <w:color w:val="auto"/>
                <w:highlight w:val="none"/>
              </w:rPr>
              <w:t>2</w:t>
            </w:r>
          </w:p>
        </w:tc>
        <w:tc>
          <w:tcPr>
            <w:tcW w:w="1396" w:type="dxa"/>
            <w:vAlign w:val="top"/>
          </w:tcPr>
          <w:p w14:paraId="7388B357">
            <w:pPr>
              <w:rPr>
                <w:rFonts w:ascii="Arial"/>
                <w:color w:val="auto"/>
                <w:sz w:val="21"/>
                <w:highlight w:val="none"/>
              </w:rPr>
            </w:pPr>
          </w:p>
        </w:tc>
        <w:tc>
          <w:tcPr>
            <w:tcW w:w="753" w:type="dxa"/>
            <w:vAlign w:val="top"/>
          </w:tcPr>
          <w:p w14:paraId="49CCA11B">
            <w:pPr>
              <w:rPr>
                <w:rFonts w:ascii="Arial"/>
                <w:color w:val="auto"/>
                <w:sz w:val="21"/>
                <w:highlight w:val="none"/>
              </w:rPr>
            </w:pPr>
          </w:p>
        </w:tc>
        <w:tc>
          <w:tcPr>
            <w:tcW w:w="989" w:type="dxa"/>
            <w:vAlign w:val="top"/>
          </w:tcPr>
          <w:p w14:paraId="55591063">
            <w:pPr>
              <w:rPr>
                <w:rFonts w:ascii="Arial"/>
                <w:color w:val="auto"/>
                <w:sz w:val="21"/>
                <w:highlight w:val="none"/>
              </w:rPr>
            </w:pPr>
          </w:p>
        </w:tc>
        <w:tc>
          <w:tcPr>
            <w:tcW w:w="966" w:type="dxa"/>
            <w:vAlign w:val="top"/>
          </w:tcPr>
          <w:p w14:paraId="264D0C76">
            <w:pPr>
              <w:rPr>
                <w:rFonts w:ascii="Arial"/>
                <w:color w:val="auto"/>
                <w:sz w:val="21"/>
                <w:highlight w:val="none"/>
              </w:rPr>
            </w:pPr>
          </w:p>
        </w:tc>
        <w:tc>
          <w:tcPr>
            <w:tcW w:w="1009" w:type="dxa"/>
            <w:vAlign w:val="top"/>
          </w:tcPr>
          <w:p w14:paraId="2FDA8288">
            <w:pPr>
              <w:rPr>
                <w:rFonts w:ascii="Arial"/>
                <w:color w:val="auto"/>
                <w:sz w:val="21"/>
                <w:highlight w:val="none"/>
              </w:rPr>
            </w:pPr>
          </w:p>
        </w:tc>
        <w:tc>
          <w:tcPr>
            <w:tcW w:w="1497" w:type="dxa"/>
            <w:vAlign w:val="top"/>
          </w:tcPr>
          <w:p w14:paraId="1A892443">
            <w:pPr>
              <w:rPr>
                <w:rFonts w:ascii="Arial"/>
                <w:color w:val="auto"/>
                <w:sz w:val="21"/>
                <w:highlight w:val="none"/>
              </w:rPr>
            </w:pPr>
          </w:p>
        </w:tc>
        <w:tc>
          <w:tcPr>
            <w:tcW w:w="1491" w:type="dxa"/>
            <w:vAlign w:val="top"/>
          </w:tcPr>
          <w:p w14:paraId="50DA80E2">
            <w:pPr>
              <w:rPr>
                <w:rFonts w:ascii="Arial"/>
                <w:color w:val="auto"/>
                <w:sz w:val="21"/>
                <w:highlight w:val="none"/>
              </w:rPr>
            </w:pPr>
          </w:p>
        </w:tc>
        <w:tc>
          <w:tcPr>
            <w:tcW w:w="827" w:type="dxa"/>
            <w:vAlign w:val="top"/>
          </w:tcPr>
          <w:p w14:paraId="7441E3F6">
            <w:pPr>
              <w:rPr>
                <w:rFonts w:ascii="Arial"/>
                <w:color w:val="auto"/>
                <w:sz w:val="21"/>
                <w:highlight w:val="none"/>
              </w:rPr>
            </w:pPr>
          </w:p>
        </w:tc>
        <w:tc>
          <w:tcPr>
            <w:tcW w:w="1071" w:type="dxa"/>
            <w:vAlign w:val="top"/>
          </w:tcPr>
          <w:p w14:paraId="250246C7">
            <w:pPr>
              <w:rPr>
                <w:rFonts w:ascii="Arial"/>
                <w:color w:val="auto"/>
                <w:sz w:val="21"/>
                <w:highlight w:val="none"/>
              </w:rPr>
            </w:pPr>
          </w:p>
        </w:tc>
        <w:tc>
          <w:tcPr>
            <w:tcW w:w="1040" w:type="dxa"/>
            <w:vAlign w:val="top"/>
          </w:tcPr>
          <w:p w14:paraId="34FE3151">
            <w:pPr>
              <w:rPr>
                <w:rFonts w:ascii="Arial"/>
                <w:color w:val="auto"/>
                <w:sz w:val="21"/>
                <w:highlight w:val="none"/>
              </w:rPr>
            </w:pPr>
          </w:p>
        </w:tc>
        <w:tc>
          <w:tcPr>
            <w:tcW w:w="1040" w:type="dxa"/>
            <w:vAlign w:val="top"/>
          </w:tcPr>
          <w:p w14:paraId="0EF38A87">
            <w:pPr>
              <w:rPr>
                <w:rFonts w:ascii="Arial"/>
                <w:color w:val="auto"/>
                <w:sz w:val="21"/>
                <w:highlight w:val="none"/>
              </w:rPr>
            </w:pPr>
          </w:p>
        </w:tc>
        <w:tc>
          <w:tcPr>
            <w:tcW w:w="1507" w:type="dxa"/>
            <w:tcBorders>
              <w:right w:val="single" w:color="000000" w:sz="6" w:space="0"/>
            </w:tcBorders>
            <w:vAlign w:val="top"/>
          </w:tcPr>
          <w:p w14:paraId="5BCE020D">
            <w:pPr>
              <w:rPr>
                <w:rFonts w:ascii="Arial"/>
                <w:color w:val="auto"/>
                <w:sz w:val="21"/>
                <w:highlight w:val="none"/>
              </w:rPr>
            </w:pPr>
          </w:p>
        </w:tc>
      </w:tr>
      <w:tr w14:paraId="3FA5C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635" w:type="dxa"/>
            <w:tcBorders>
              <w:left w:val="single" w:color="000000" w:sz="6" w:space="0"/>
            </w:tcBorders>
            <w:vAlign w:val="top"/>
          </w:tcPr>
          <w:p w14:paraId="2EBC5F05">
            <w:pPr>
              <w:pStyle w:val="17"/>
              <w:spacing w:before="197" w:line="239" w:lineRule="auto"/>
              <w:ind w:left="266"/>
              <w:rPr>
                <w:color w:val="auto"/>
                <w:highlight w:val="none"/>
              </w:rPr>
            </w:pPr>
            <w:r>
              <w:rPr>
                <w:color w:val="auto"/>
                <w:highlight w:val="none"/>
              </w:rPr>
              <w:t>3</w:t>
            </w:r>
          </w:p>
        </w:tc>
        <w:tc>
          <w:tcPr>
            <w:tcW w:w="1396" w:type="dxa"/>
            <w:vAlign w:val="top"/>
          </w:tcPr>
          <w:p w14:paraId="1E206A97">
            <w:pPr>
              <w:rPr>
                <w:rFonts w:ascii="Arial"/>
                <w:color w:val="auto"/>
                <w:sz w:val="21"/>
                <w:highlight w:val="none"/>
              </w:rPr>
            </w:pPr>
          </w:p>
        </w:tc>
        <w:tc>
          <w:tcPr>
            <w:tcW w:w="753" w:type="dxa"/>
            <w:vAlign w:val="top"/>
          </w:tcPr>
          <w:p w14:paraId="741A9FEF">
            <w:pPr>
              <w:rPr>
                <w:rFonts w:ascii="Arial"/>
                <w:color w:val="auto"/>
                <w:sz w:val="21"/>
                <w:highlight w:val="none"/>
              </w:rPr>
            </w:pPr>
          </w:p>
        </w:tc>
        <w:tc>
          <w:tcPr>
            <w:tcW w:w="989" w:type="dxa"/>
            <w:vAlign w:val="top"/>
          </w:tcPr>
          <w:p w14:paraId="4D009809">
            <w:pPr>
              <w:rPr>
                <w:rFonts w:ascii="Arial"/>
                <w:color w:val="auto"/>
                <w:sz w:val="21"/>
                <w:highlight w:val="none"/>
              </w:rPr>
            </w:pPr>
          </w:p>
        </w:tc>
        <w:tc>
          <w:tcPr>
            <w:tcW w:w="966" w:type="dxa"/>
            <w:vAlign w:val="top"/>
          </w:tcPr>
          <w:p w14:paraId="707AC6EB">
            <w:pPr>
              <w:rPr>
                <w:rFonts w:ascii="Arial"/>
                <w:color w:val="auto"/>
                <w:sz w:val="21"/>
                <w:highlight w:val="none"/>
              </w:rPr>
            </w:pPr>
          </w:p>
        </w:tc>
        <w:tc>
          <w:tcPr>
            <w:tcW w:w="1009" w:type="dxa"/>
            <w:vAlign w:val="top"/>
          </w:tcPr>
          <w:p w14:paraId="6224EE63">
            <w:pPr>
              <w:rPr>
                <w:rFonts w:ascii="Arial"/>
                <w:color w:val="auto"/>
                <w:sz w:val="21"/>
                <w:highlight w:val="none"/>
              </w:rPr>
            </w:pPr>
          </w:p>
        </w:tc>
        <w:tc>
          <w:tcPr>
            <w:tcW w:w="1497" w:type="dxa"/>
            <w:vAlign w:val="top"/>
          </w:tcPr>
          <w:p w14:paraId="7DF6B999">
            <w:pPr>
              <w:rPr>
                <w:rFonts w:ascii="Arial"/>
                <w:color w:val="auto"/>
                <w:sz w:val="21"/>
                <w:highlight w:val="none"/>
              </w:rPr>
            </w:pPr>
          </w:p>
        </w:tc>
        <w:tc>
          <w:tcPr>
            <w:tcW w:w="1491" w:type="dxa"/>
            <w:vAlign w:val="top"/>
          </w:tcPr>
          <w:p w14:paraId="7AC21494">
            <w:pPr>
              <w:rPr>
                <w:rFonts w:ascii="Arial"/>
                <w:color w:val="auto"/>
                <w:sz w:val="21"/>
                <w:highlight w:val="none"/>
              </w:rPr>
            </w:pPr>
          </w:p>
        </w:tc>
        <w:tc>
          <w:tcPr>
            <w:tcW w:w="827" w:type="dxa"/>
            <w:vAlign w:val="top"/>
          </w:tcPr>
          <w:p w14:paraId="7F7AC73E">
            <w:pPr>
              <w:rPr>
                <w:rFonts w:ascii="Arial"/>
                <w:color w:val="auto"/>
                <w:sz w:val="21"/>
                <w:highlight w:val="none"/>
              </w:rPr>
            </w:pPr>
          </w:p>
        </w:tc>
        <w:tc>
          <w:tcPr>
            <w:tcW w:w="1071" w:type="dxa"/>
            <w:vAlign w:val="top"/>
          </w:tcPr>
          <w:p w14:paraId="060E1E56">
            <w:pPr>
              <w:rPr>
                <w:rFonts w:ascii="Arial"/>
                <w:color w:val="auto"/>
                <w:sz w:val="21"/>
                <w:highlight w:val="none"/>
              </w:rPr>
            </w:pPr>
          </w:p>
        </w:tc>
        <w:tc>
          <w:tcPr>
            <w:tcW w:w="1040" w:type="dxa"/>
            <w:vAlign w:val="top"/>
          </w:tcPr>
          <w:p w14:paraId="01C6315B">
            <w:pPr>
              <w:rPr>
                <w:rFonts w:ascii="Arial"/>
                <w:color w:val="auto"/>
                <w:sz w:val="21"/>
                <w:highlight w:val="none"/>
              </w:rPr>
            </w:pPr>
          </w:p>
        </w:tc>
        <w:tc>
          <w:tcPr>
            <w:tcW w:w="1040" w:type="dxa"/>
            <w:vAlign w:val="top"/>
          </w:tcPr>
          <w:p w14:paraId="509D492F">
            <w:pPr>
              <w:rPr>
                <w:rFonts w:ascii="Arial"/>
                <w:color w:val="auto"/>
                <w:sz w:val="21"/>
                <w:highlight w:val="none"/>
              </w:rPr>
            </w:pPr>
          </w:p>
        </w:tc>
        <w:tc>
          <w:tcPr>
            <w:tcW w:w="1507" w:type="dxa"/>
            <w:tcBorders>
              <w:right w:val="single" w:color="000000" w:sz="6" w:space="0"/>
            </w:tcBorders>
            <w:vAlign w:val="top"/>
          </w:tcPr>
          <w:p w14:paraId="2389EA70">
            <w:pPr>
              <w:rPr>
                <w:rFonts w:ascii="Arial"/>
                <w:color w:val="auto"/>
                <w:sz w:val="21"/>
                <w:highlight w:val="none"/>
              </w:rPr>
            </w:pPr>
          </w:p>
        </w:tc>
      </w:tr>
      <w:tr w14:paraId="766B2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635" w:type="dxa"/>
            <w:tcBorders>
              <w:left w:val="single" w:color="000000" w:sz="6" w:space="0"/>
            </w:tcBorders>
            <w:vAlign w:val="top"/>
          </w:tcPr>
          <w:p w14:paraId="212E83D8">
            <w:pPr>
              <w:pStyle w:val="17"/>
              <w:spacing w:before="199" w:line="237" w:lineRule="auto"/>
              <w:ind w:left="261"/>
              <w:rPr>
                <w:color w:val="auto"/>
                <w:highlight w:val="none"/>
              </w:rPr>
            </w:pPr>
            <w:r>
              <w:rPr>
                <w:color w:val="auto"/>
                <w:highlight w:val="none"/>
              </w:rPr>
              <w:t>4</w:t>
            </w:r>
          </w:p>
        </w:tc>
        <w:tc>
          <w:tcPr>
            <w:tcW w:w="1396" w:type="dxa"/>
            <w:vAlign w:val="top"/>
          </w:tcPr>
          <w:p w14:paraId="24D9AECA">
            <w:pPr>
              <w:rPr>
                <w:rFonts w:ascii="Arial"/>
                <w:color w:val="auto"/>
                <w:sz w:val="21"/>
                <w:highlight w:val="none"/>
              </w:rPr>
            </w:pPr>
          </w:p>
        </w:tc>
        <w:tc>
          <w:tcPr>
            <w:tcW w:w="753" w:type="dxa"/>
            <w:vAlign w:val="top"/>
          </w:tcPr>
          <w:p w14:paraId="578CA8BD">
            <w:pPr>
              <w:rPr>
                <w:rFonts w:ascii="Arial"/>
                <w:color w:val="auto"/>
                <w:sz w:val="21"/>
                <w:highlight w:val="none"/>
              </w:rPr>
            </w:pPr>
          </w:p>
        </w:tc>
        <w:tc>
          <w:tcPr>
            <w:tcW w:w="989" w:type="dxa"/>
            <w:vAlign w:val="top"/>
          </w:tcPr>
          <w:p w14:paraId="211077CE">
            <w:pPr>
              <w:rPr>
                <w:rFonts w:ascii="Arial"/>
                <w:color w:val="auto"/>
                <w:sz w:val="21"/>
                <w:highlight w:val="none"/>
              </w:rPr>
            </w:pPr>
          </w:p>
        </w:tc>
        <w:tc>
          <w:tcPr>
            <w:tcW w:w="966" w:type="dxa"/>
            <w:vAlign w:val="top"/>
          </w:tcPr>
          <w:p w14:paraId="4121B483">
            <w:pPr>
              <w:rPr>
                <w:rFonts w:ascii="Arial"/>
                <w:color w:val="auto"/>
                <w:sz w:val="21"/>
                <w:highlight w:val="none"/>
              </w:rPr>
            </w:pPr>
          </w:p>
        </w:tc>
        <w:tc>
          <w:tcPr>
            <w:tcW w:w="1009" w:type="dxa"/>
            <w:vAlign w:val="top"/>
          </w:tcPr>
          <w:p w14:paraId="36DA7955">
            <w:pPr>
              <w:rPr>
                <w:rFonts w:ascii="Arial"/>
                <w:color w:val="auto"/>
                <w:sz w:val="21"/>
                <w:highlight w:val="none"/>
              </w:rPr>
            </w:pPr>
          </w:p>
        </w:tc>
        <w:tc>
          <w:tcPr>
            <w:tcW w:w="1497" w:type="dxa"/>
            <w:vAlign w:val="top"/>
          </w:tcPr>
          <w:p w14:paraId="2C793F9D">
            <w:pPr>
              <w:rPr>
                <w:rFonts w:ascii="Arial"/>
                <w:color w:val="auto"/>
                <w:sz w:val="21"/>
                <w:highlight w:val="none"/>
              </w:rPr>
            </w:pPr>
          </w:p>
        </w:tc>
        <w:tc>
          <w:tcPr>
            <w:tcW w:w="1491" w:type="dxa"/>
            <w:vAlign w:val="top"/>
          </w:tcPr>
          <w:p w14:paraId="3712E91D">
            <w:pPr>
              <w:rPr>
                <w:rFonts w:ascii="Arial"/>
                <w:color w:val="auto"/>
                <w:sz w:val="21"/>
                <w:highlight w:val="none"/>
              </w:rPr>
            </w:pPr>
          </w:p>
        </w:tc>
        <w:tc>
          <w:tcPr>
            <w:tcW w:w="827" w:type="dxa"/>
            <w:vAlign w:val="top"/>
          </w:tcPr>
          <w:p w14:paraId="38396D4B">
            <w:pPr>
              <w:rPr>
                <w:rFonts w:ascii="Arial"/>
                <w:color w:val="auto"/>
                <w:sz w:val="21"/>
                <w:highlight w:val="none"/>
              </w:rPr>
            </w:pPr>
          </w:p>
        </w:tc>
        <w:tc>
          <w:tcPr>
            <w:tcW w:w="1071" w:type="dxa"/>
            <w:vAlign w:val="top"/>
          </w:tcPr>
          <w:p w14:paraId="178DC5C7">
            <w:pPr>
              <w:rPr>
                <w:rFonts w:ascii="Arial"/>
                <w:color w:val="auto"/>
                <w:sz w:val="21"/>
                <w:highlight w:val="none"/>
              </w:rPr>
            </w:pPr>
          </w:p>
        </w:tc>
        <w:tc>
          <w:tcPr>
            <w:tcW w:w="1040" w:type="dxa"/>
            <w:vAlign w:val="top"/>
          </w:tcPr>
          <w:p w14:paraId="36CE5981">
            <w:pPr>
              <w:rPr>
                <w:rFonts w:ascii="Arial"/>
                <w:color w:val="auto"/>
                <w:sz w:val="21"/>
                <w:highlight w:val="none"/>
              </w:rPr>
            </w:pPr>
          </w:p>
        </w:tc>
        <w:tc>
          <w:tcPr>
            <w:tcW w:w="1040" w:type="dxa"/>
            <w:vAlign w:val="top"/>
          </w:tcPr>
          <w:p w14:paraId="6F8A9BF5">
            <w:pPr>
              <w:rPr>
                <w:rFonts w:ascii="Arial"/>
                <w:color w:val="auto"/>
                <w:sz w:val="21"/>
                <w:highlight w:val="none"/>
              </w:rPr>
            </w:pPr>
          </w:p>
        </w:tc>
        <w:tc>
          <w:tcPr>
            <w:tcW w:w="1507" w:type="dxa"/>
            <w:tcBorders>
              <w:right w:val="single" w:color="000000" w:sz="6" w:space="0"/>
            </w:tcBorders>
            <w:vAlign w:val="top"/>
          </w:tcPr>
          <w:p w14:paraId="7AD6D069">
            <w:pPr>
              <w:rPr>
                <w:rFonts w:ascii="Arial"/>
                <w:color w:val="auto"/>
                <w:sz w:val="21"/>
                <w:highlight w:val="none"/>
              </w:rPr>
            </w:pPr>
          </w:p>
        </w:tc>
      </w:tr>
      <w:tr w14:paraId="62B6D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35" w:type="dxa"/>
            <w:tcBorders>
              <w:left w:val="single" w:color="000000" w:sz="6" w:space="0"/>
            </w:tcBorders>
            <w:vAlign w:val="top"/>
          </w:tcPr>
          <w:p w14:paraId="7B0E034B">
            <w:pPr>
              <w:pStyle w:val="17"/>
              <w:spacing w:before="199" w:line="238" w:lineRule="auto"/>
              <w:ind w:left="266"/>
              <w:rPr>
                <w:color w:val="auto"/>
                <w:highlight w:val="none"/>
              </w:rPr>
            </w:pPr>
            <w:r>
              <w:rPr>
                <w:color w:val="auto"/>
                <w:highlight w:val="none"/>
              </w:rPr>
              <w:t>5</w:t>
            </w:r>
          </w:p>
        </w:tc>
        <w:tc>
          <w:tcPr>
            <w:tcW w:w="1396" w:type="dxa"/>
            <w:vAlign w:val="top"/>
          </w:tcPr>
          <w:p w14:paraId="4BD1188A">
            <w:pPr>
              <w:rPr>
                <w:rFonts w:ascii="Arial"/>
                <w:color w:val="auto"/>
                <w:sz w:val="21"/>
                <w:highlight w:val="none"/>
              </w:rPr>
            </w:pPr>
          </w:p>
        </w:tc>
        <w:tc>
          <w:tcPr>
            <w:tcW w:w="753" w:type="dxa"/>
            <w:vAlign w:val="top"/>
          </w:tcPr>
          <w:p w14:paraId="6736E195">
            <w:pPr>
              <w:rPr>
                <w:rFonts w:ascii="Arial"/>
                <w:color w:val="auto"/>
                <w:sz w:val="21"/>
                <w:highlight w:val="none"/>
              </w:rPr>
            </w:pPr>
          </w:p>
        </w:tc>
        <w:tc>
          <w:tcPr>
            <w:tcW w:w="989" w:type="dxa"/>
            <w:vAlign w:val="top"/>
          </w:tcPr>
          <w:p w14:paraId="740DB125">
            <w:pPr>
              <w:rPr>
                <w:rFonts w:ascii="Arial"/>
                <w:color w:val="auto"/>
                <w:sz w:val="21"/>
                <w:highlight w:val="none"/>
              </w:rPr>
            </w:pPr>
          </w:p>
        </w:tc>
        <w:tc>
          <w:tcPr>
            <w:tcW w:w="966" w:type="dxa"/>
            <w:vAlign w:val="top"/>
          </w:tcPr>
          <w:p w14:paraId="54BF9D26">
            <w:pPr>
              <w:rPr>
                <w:rFonts w:ascii="Arial"/>
                <w:color w:val="auto"/>
                <w:sz w:val="21"/>
                <w:highlight w:val="none"/>
              </w:rPr>
            </w:pPr>
          </w:p>
        </w:tc>
        <w:tc>
          <w:tcPr>
            <w:tcW w:w="1009" w:type="dxa"/>
            <w:vAlign w:val="top"/>
          </w:tcPr>
          <w:p w14:paraId="24D0AFEE">
            <w:pPr>
              <w:rPr>
                <w:rFonts w:ascii="Arial"/>
                <w:color w:val="auto"/>
                <w:sz w:val="21"/>
                <w:highlight w:val="none"/>
              </w:rPr>
            </w:pPr>
          </w:p>
        </w:tc>
        <w:tc>
          <w:tcPr>
            <w:tcW w:w="1497" w:type="dxa"/>
            <w:vAlign w:val="top"/>
          </w:tcPr>
          <w:p w14:paraId="16FC4C18">
            <w:pPr>
              <w:rPr>
                <w:rFonts w:ascii="Arial"/>
                <w:color w:val="auto"/>
                <w:sz w:val="21"/>
                <w:highlight w:val="none"/>
              </w:rPr>
            </w:pPr>
          </w:p>
        </w:tc>
        <w:tc>
          <w:tcPr>
            <w:tcW w:w="1491" w:type="dxa"/>
            <w:vAlign w:val="top"/>
          </w:tcPr>
          <w:p w14:paraId="2098EF0A">
            <w:pPr>
              <w:rPr>
                <w:rFonts w:ascii="Arial"/>
                <w:color w:val="auto"/>
                <w:sz w:val="21"/>
                <w:highlight w:val="none"/>
              </w:rPr>
            </w:pPr>
          </w:p>
        </w:tc>
        <w:tc>
          <w:tcPr>
            <w:tcW w:w="827" w:type="dxa"/>
            <w:vAlign w:val="top"/>
          </w:tcPr>
          <w:p w14:paraId="03142B35">
            <w:pPr>
              <w:rPr>
                <w:rFonts w:ascii="Arial"/>
                <w:color w:val="auto"/>
                <w:sz w:val="21"/>
                <w:highlight w:val="none"/>
              </w:rPr>
            </w:pPr>
          </w:p>
        </w:tc>
        <w:tc>
          <w:tcPr>
            <w:tcW w:w="1071" w:type="dxa"/>
            <w:vAlign w:val="top"/>
          </w:tcPr>
          <w:p w14:paraId="62FF2045">
            <w:pPr>
              <w:rPr>
                <w:rFonts w:ascii="Arial"/>
                <w:color w:val="auto"/>
                <w:sz w:val="21"/>
                <w:highlight w:val="none"/>
              </w:rPr>
            </w:pPr>
          </w:p>
        </w:tc>
        <w:tc>
          <w:tcPr>
            <w:tcW w:w="1040" w:type="dxa"/>
            <w:vAlign w:val="top"/>
          </w:tcPr>
          <w:p w14:paraId="78858563">
            <w:pPr>
              <w:rPr>
                <w:rFonts w:ascii="Arial"/>
                <w:color w:val="auto"/>
                <w:sz w:val="21"/>
                <w:highlight w:val="none"/>
              </w:rPr>
            </w:pPr>
          </w:p>
        </w:tc>
        <w:tc>
          <w:tcPr>
            <w:tcW w:w="1040" w:type="dxa"/>
            <w:vAlign w:val="top"/>
          </w:tcPr>
          <w:p w14:paraId="5CB6D6C2">
            <w:pPr>
              <w:rPr>
                <w:rFonts w:ascii="Arial"/>
                <w:color w:val="auto"/>
                <w:sz w:val="21"/>
                <w:highlight w:val="none"/>
              </w:rPr>
            </w:pPr>
          </w:p>
        </w:tc>
        <w:tc>
          <w:tcPr>
            <w:tcW w:w="1507" w:type="dxa"/>
            <w:tcBorders>
              <w:right w:val="single" w:color="000000" w:sz="6" w:space="0"/>
            </w:tcBorders>
            <w:vAlign w:val="top"/>
          </w:tcPr>
          <w:p w14:paraId="3B9711B7">
            <w:pPr>
              <w:rPr>
                <w:rFonts w:ascii="Arial"/>
                <w:color w:val="auto"/>
                <w:sz w:val="21"/>
                <w:highlight w:val="none"/>
              </w:rPr>
            </w:pPr>
          </w:p>
        </w:tc>
      </w:tr>
      <w:tr w14:paraId="07635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1D49488B">
            <w:pPr>
              <w:pStyle w:val="17"/>
              <w:spacing w:before="199" w:line="237" w:lineRule="auto"/>
              <w:ind w:left="264"/>
              <w:rPr>
                <w:color w:val="auto"/>
                <w:highlight w:val="none"/>
              </w:rPr>
            </w:pPr>
            <w:r>
              <w:rPr>
                <w:color w:val="auto"/>
                <w:highlight w:val="none"/>
              </w:rPr>
              <w:t>6</w:t>
            </w:r>
          </w:p>
        </w:tc>
        <w:tc>
          <w:tcPr>
            <w:tcW w:w="1396" w:type="dxa"/>
            <w:vAlign w:val="top"/>
          </w:tcPr>
          <w:p w14:paraId="6C0D9349">
            <w:pPr>
              <w:rPr>
                <w:rFonts w:ascii="Arial"/>
                <w:color w:val="auto"/>
                <w:sz w:val="21"/>
                <w:highlight w:val="none"/>
              </w:rPr>
            </w:pPr>
          </w:p>
        </w:tc>
        <w:tc>
          <w:tcPr>
            <w:tcW w:w="753" w:type="dxa"/>
            <w:vAlign w:val="top"/>
          </w:tcPr>
          <w:p w14:paraId="0F90E53F">
            <w:pPr>
              <w:rPr>
                <w:rFonts w:ascii="Arial"/>
                <w:color w:val="auto"/>
                <w:sz w:val="21"/>
                <w:highlight w:val="none"/>
              </w:rPr>
            </w:pPr>
          </w:p>
        </w:tc>
        <w:tc>
          <w:tcPr>
            <w:tcW w:w="989" w:type="dxa"/>
            <w:vAlign w:val="top"/>
          </w:tcPr>
          <w:p w14:paraId="31D9D825">
            <w:pPr>
              <w:rPr>
                <w:rFonts w:ascii="Arial"/>
                <w:color w:val="auto"/>
                <w:sz w:val="21"/>
                <w:highlight w:val="none"/>
              </w:rPr>
            </w:pPr>
          </w:p>
        </w:tc>
        <w:tc>
          <w:tcPr>
            <w:tcW w:w="966" w:type="dxa"/>
            <w:vAlign w:val="top"/>
          </w:tcPr>
          <w:p w14:paraId="7DADB8F0">
            <w:pPr>
              <w:rPr>
                <w:rFonts w:ascii="Arial"/>
                <w:color w:val="auto"/>
                <w:sz w:val="21"/>
                <w:highlight w:val="none"/>
              </w:rPr>
            </w:pPr>
          </w:p>
        </w:tc>
        <w:tc>
          <w:tcPr>
            <w:tcW w:w="1009" w:type="dxa"/>
            <w:vAlign w:val="top"/>
          </w:tcPr>
          <w:p w14:paraId="158E7CE7">
            <w:pPr>
              <w:rPr>
                <w:rFonts w:ascii="Arial"/>
                <w:color w:val="auto"/>
                <w:sz w:val="21"/>
                <w:highlight w:val="none"/>
              </w:rPr>
            </w:pPr>
          </w:p>
        </w:tc>
        <w:tc>
          <w:tcPr>
            <w:tcW w:w="1497" w:type="dxa"/>
            <w:vAlign w:val="top"/>
          </w:tcPr>
          <w:p w14:paraId="24BE0B64">
            <w:pPr>
              <w:rPr>
                <w:rFonts w:ascii="Arial"/>
                <w:color w:val="auto"/>
                <w:sz w:val="21"/>
                <w:highlight w:val="none"/>
              </w:rPr>
            </w:pPr>
          </w:p>
        </w:tc>
        <w:tc>
          <w:tcPr>
            <w:tcW w:w="1491" w:type="dxa"/>
            <w:vAlign w:val="top"/>
          </w:tcPr>
          <w:p w14:paraId="5610429A">
            <w:pPr>
              <w:rPr>
                <w:rFonts w:ascii="Arial"/>
                <w:color w:val="auto"/>
                <w:sz w:val="21"/>
                <w:highlight w:val="none"/>
              </w:rPr>
            </w:pPr>
          </w:p>
        </w:tc>
        <w:tc>
          <w:tcPr>
            <w:tcW w:w="827" w:type="dxa"/>
            <w:vAlign w:val="top"/>
          </w:tcPr>
          <w:p w14:paraId="79D99599">
            <w:pPr>
              <w:rPr>
                <w:rFonts w:ascii="Arial"/>
                <w:color w:val="auto"/>
                <w:sz w:val="21"/>
                <w:highlight w:val="none"/>
              </w:rPr>
            </w:pPr>
          </w:p>
        </w:tc>
        <w:tc>
          <w:tcPr>
            <w:tcW w:w="1071" w:type="dxa"/>
            <w:vAlign w:val="top"/>
          </w:tcPr>
          <w:p w14:paraId="6047D92C">
            <w:pPr>
              <w:rPr>
                <w:rFonts w:ascii="Arial"/>
                <w:color w:val="auto"/>
                <w:sz w:val="21"/>
                <w:highlight w:val="none"/>
              </w:rPr>
            </w:pPr>
          </w:p>
        </w:tc>
        <w:tc>
          <w:tcPr>
            <w:tcW w:w="1040" w:type="dxa"/>
            <w:vAlign w:val="top"/>
          </w:tcPr>
          <w:p w14:paraId="3E43ECDA">
            <w:pPr>
              <w:rPr>
                <w:rFonts w:ascii="Arial"/>
                <w:color w:val="auto"/>
                <w:sz w:val="21"/>
                <w:highlight w:val="none"/>
              </w:rPr>
            </w:pPr>
          </w:p>
        </w:tc>
        <w:tc>
          <w:tcPr>
            <w:tcW w:w="1040" w:type="dxa"/>
            <w:vAlign w:val="top"/>
          </w:tcPr>
          <w:p w14:paraId="5A76C5AD">
            <w:pPr>
              <w:rPr>
                <w:rFonts w:ascii="Arial"/>
                <w:color w:val="auto"/>
                <w:sz w:val="21"/>
                <w:highlight w:val="none"/>
              </w:rPr>
            </w:pPr>
          </w:p>
        </w:tc>
        <w:tc>
          <w:tcPr>
            <w:tcW w:w="1507" w:type="dxa"/>
            <w:tcBorders>
              <w:right w:val="single" w:color="000000" w:sz="6" w:space="0"/>
            </w:tcBorders>
            <w:vAlign w:val="top"/>
          </w:tcPr>
          <w:p w14:paraId="20FCCD64">
            <w:pPr>
              <w:rPr>
                <w:rFonts w:ascii="Arial"/>
                <w:color w:val="auto"/>
                <w:sz w:val="21"/>
                <w:highlight w:val="none"/>
              </w:rPr>
            </w:pPr>
          </w:p>
        </w:tc>
      </w:tr>
      <w:tr w14:paraId="11511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5FDE605C">
            <w:pPr>
              <w:pStyle w:val="17"/>
              <w:spacing w:before="201" w:line="235" w:lineRule="auto"/>
              <w:ind w:left="267"/>
              <w:rPr>
                <w:color w:val="auto"/>
                <w:highlight w:val="none"/>
              </w:rPr>
            </w:pPr>
            <w:r>
              <w:rPr>
                <w:color w:val="auto"/>
                <w:highlight w:val="none"/>
              </w:rPr>
              <w:t>7</w:t>
            </w:r>
          </w:p>
        </w:tc>
        <w:tc>
          <w:tcPr>
            <w:tcW w:w="1396" w:type="dxa"/>
            <w:vAlign w:val="top"/>
          </w:tcPr>
          <w:p w14:paraId="0C18C082">
            <w:pPr>
              <w:rPr>
                <w:rFonts w:ascii="Arial"/>
                <w:color w:val="auto"/>
                <w:sz w:val="21"/>
                <w:highlight w:val="none"/>
              </w:rPr>
            </w:pPr>
          </w:p>
        </w:tc>
        <w:tc>
          <w:tcPr>
            <w:tcW w:w="753" w:type="dxa"/>
            <w:vAlign w:val="top"/>
          </w:tcPr>
          <w:p w14:paraId="5D23B1FD">
            <w:pPr>
              <w:rPr>
                <w:rFonts w:ascii="Arial"/>
                <w:color w:val="auto"/>
                <w:sz w:val="21"/>
                <w:highlight w:val="none"/>
              </w:rPr>
            </w:pPr>
          </w:p>
        </w:tc>
        <w:tc>
          <w:tcPr>
            <w:tcW w:w="989" w:type="dxa"/>
            <w:vAlign w:val="top"/>
          </w:tcPr>
          <w:p w14:paraId="1D0C1669">
            <w:pPr>
              <w:rPr>
                <w:rFonts w:ascii="Arial"/>
                <w:color w:val="auto"/>
                <w:sz w:val="21"/>
                <w:highlight w:val="none"/>
              </w:rPr>
            </w:pPr>
          </w:p>
        </w:tc>
        <w:tc>
          <w:tcPr>
            <w:tcW w:w="966" w:type="dxa"/>
            <w:vAlign w:val="top"/>
          </w:tcPr>
          <w:p w14:paraId="78E3F240">
            <w:pPr>
              <w:rPr>
                <w:rFonts w:ascii="Arial"/>
                <w:color w:val="auto"/>
                <w:sz w:val="21"/>
                <w:highlight w:val="none"/>
              </w:rPr>
            </w:pPr>
          </w:p>
        </w:tc>
        <w:tc>
          <w:tcPr>
            <w:tcW w:w="1009" w:type="dxa"/>
            <w:vAlign w:val="top"/>
          </w:tcPr>
          <w:p w14:paraId="5F3FCAE2">
            <w:pPr>
              <w:rPr>
                <w:rFonts w:ascii="Arial"/>
                <w:color w:val="auto"/>
                <w:sz w:val="21"/>
                <w:highlight w:val="none"/>
              </w:rPr>
            </w:pPr>
          </w:p>
        </w:tc>
        <w:tc>
          <w:tcPr>
            <w:tcW w:w="1497" w:type="dxa"/>
            <w:vAlign w:val="top"/>
          </w:tcPr>
          <w:p w14:paraId="72B713FA">
            <w:pPr>
              <w:rPr>
                <w:rFonts w:ascii="Arial"/>
                <w:color w:val="auto"/>
                <w:sz w:val="21"/>
                <w:highlight w:val="none"/>
              </w:rPr>
            </w:pPr>
          </w:p>
        </w:tc>
        <w:tc>
          <w:tcPr>
            <w:tcW w:w="1491" w:type="dxa"/>
            <w:vAlign w:val="top"/>
          </w:tcPr>
          <w:p w14:paraId="65593379">
            <w:pPr>
              <w:rPr>
                <w:rFonts w:ascii="Arial"/>
                <w:color w:val="auto"/>
                <w:sz w:val="21"/>
                <w:highlight w:val="none"/>
              </w:rPr>
            </w:pPr>
          </w:p>
        </w:tc>
        <w:tc>
          <w:tcPr>
            <w:tcW w:w="827" w:type="dxa"/>
            <w:vAlign w:val="top"/>
          </w:tcPr>
          <w:p w14:paraId="7F7D17C5">
            <w:pPr>
              <w:rPr>
                <w:rFonts w:ascii="Arial"/>
                <w:color w:val="auto"/>
                <w:sz w:val="21"/>
                <w:highlight w:val="none"/>
              </w:rPr>
            </w:pPr>
          </w:p>
        </w:tc>
        <w:tc>
          <w:tcPr>
            <w:tcW w:w="1071" w:type="dxa"/>
            <w:vAlign w:val="top"/>
          </w:tcPr>
          <w:p w14:paraId="5331BD38">
            <w:pPr>
              <w:rPr>
                <w:rFonts w:ascii="Arial"/>
                <w:color w:val="auto"/>
                <w:sz w:val="21"/>
                <w:highlight w:val="none"/>
              </w:rPr>
            </w:pPr>
          </w:p>
        </w:tc>
        <w:tc>
          <w:tcPr>
            <w:tcW w:w="1040" w:type="dxa"/>
            <w:vAlign w:val="top"/>
          </w:tcPr>
          <w:p w14:paraId="3CB37BE5">
            <w:pPr>
              <w:rPr>
                <w:rFonts w:ascii="Arial"/>
                <w:color w:val="auto"/>
                <w:sz w:val="21"/>
                <w:highlight w:val="none"/>
              </w:rPr>
            </w:pPr>
          </w:p>
        </w:tc>
        <w:tc>
          <w:tcPr>
            <w:tcW w:w="1040" w:type="dxa"/>
            <w:vAlign w:val="top"/>
          </w:tcPr>
          <w:p w14:paraId="20630AD9">
            <w:pPr>
              <w:rPr>
                <w:rFonts w:ascii="Arial"/>
                <w:color w:val="auto"/>
                <w:sz w:val="21"/>
                <w:highlight w:val="none"/>
              </w:rPr>
            </w:pPr>
          </w:p>
        </w:tc>
        <w:tc>
          <w:tcPr>
            <w:tcW w:w="1507" w:type="dxa"/>
            <w:tcBorders>
              <w:right w:val="single" w:color="000000" w:sz="6" w:space="0"/>
            </w:tcBorders>
            <w:vAlign w:val="top"/>
          </w:tcPr>
          <w:p w14:paraId="62060977">
            <w:pPr>
              <w:rPr>
                <w:rFonts w:ascii="Arial"/>
                <w:color w:val="auto"/>
                <w:sz w:val="21"/>
                <w:highlight w:val="none"/>
              </w:rPr>
            </w:pPr>
          </w:p>
        </w:tc>
      </w:tr>
      <w:tr w14:paraId="37CB3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5" w:type="dxa"/>
            <w:tcBorders>
              <w:left w:val="single" w:color="000000" w:sz="6" w:space="0"/>
            </w:tcBorders>
            <w:vAlign w:val="top"/>
          </w:tcPr>
          <w:p w14:paraId="77B69D6F">
            <w:pPr>
              <w:pStyle w:val="17"/>
              <w:spacing w:before="203" w:line="233" w:lineRule="auto"/>
              <w:ind w:left="263"/>
              <w:rPr>
                <w:color w:val="auto"/>
                <w:highlight w:val="none"/>
              </w:rPr>
            </w:pPr>
            <w:r>
              <w:rPr>
                <w:color w:val="auto"/>
                <w:highlight w:val="none"/>
              </w:rPr>
              <w:t>8</w:t>
            </w:r>
          </w:p>
        </w:tc>
        <w:tc>
          <w:tcPr>
            <w:tcW w:w="1396" w:type="dxa"/>
            <w:vAlign w:val="top"/>
          </w:tcPr>
          <w:p w14:paraId="3AA651D9">
            <w:pPr>
              <w:rPr>
                <w:rFonts w:ascii="Arial"/>
                <w:color w:val="auto"/>
                <w:sz w:val="21"/>
                <w:highlight w:val="none"/>
              </w:rPr>
            </w:pPr>
          </w:p>
        </w:tc>
        <w:tc>
          <w:tcPr>
            <w:tcW w:w="753" w:type="dxa"/>
            <w:vAlign w:val="top"/>
          </w:tcPr>
          <w:p w14:paraId="2BBAD854">
            <w:pPr>
              <w:rPr>
                <w:rFonts w:ascii="Arial"/>
                <w:color w:val="auto"/>
                <w:sz w:val="21"/>
                <w:highlight w:val="none"/>
              </w:rPr>
            </w:pPr>
          </w:p>
        </w:tc>
        <w:tc>
          <w:tcPr>
            <w:tcW w:w="989" w:type="dxa"/>
            <w:vAlign w:val="top"/>
          </w:tcPr>
          <w:p w14:paraId="75EF2449">
            <w:pPr>
              <w:rPr>
                <w:rFonts w:ascii="Arial"/>
                <w:color w:val="auto"/>
                <w:sz w:val="21"/>
                <w:highlight w:val="none"/>
              </w:rPr>
            </w:pPr>
          </w:p>
        </w:tc>
        <w:tc>
          <w:tcPr>
            <w:tcW w:w="966" w:type="dxa"/>
            <w:vAlign w:val="top"/>
          </w:tcPr>
          <w:p w14:paraId="043F50AD">
            <w:pPr>
              <w:rPr>
                <w:rFonts w:ascii="Arial"/>
                <w:color w:val="auto"/>
                <w:sz w:val="21"/>
                <w:highlight w:val="none"/>
              </w:rPr>
            </w:pPr>
          </w:p>
        </w:tc>
        <w:tc>
          <w:tcPr>
            <w:tcW w:w="1009" w:type="dxa"/>
            <w:vAlign w:val="top"/>
          </w:tcPr>
          <w:p w14:paraId="23A003ED">
            <w:pPr>
              <w:rPr>
                <w:rFonts w:ascii="Arial"/>
                <w:color w:val="auto"/>
                <w:sz w:val="21"/>
                <w:highlight w:val="none"/>
              </w:rPr>
            </w:pPr>
          </w:p>
        </w:tc>
        <w:tc>
          <w:tcPr>
            <w:tcW w:w="1497" w:type="dxa"/>
            <w:vAlign w:val="top"/>
          </w:tcPr>
          <w:p w14:paraId="16081681">
            <w:pPr>
              <w:rPr>
                <w:rFonts w:ascii="Arial"/>
                <w:color w:val="auto"/>
                <w:sz w:val="21"/>
                <w:highlight w:val="none"/>
              </w:rPr>
            </w:pPr>
          </w:p>
        </w:tc>
        <w:tc>
          <w:tcPr>
            <w:tcW w:w="1491" w:type="dxa"/>
            <w:vAlign w:val="top"/>
          </w:tcPr>
          <w:p w14:paraId="66D69215">
            <w:pPr>
              <w:rPr>
                <w:rFonts w:ascii="Arial"/>
                <w:color w:val="auto"/>
                <w:sz w:val="21"/>
                <w:highlight w:val="none"/>
              </w:rPr>
            </w:pPr>
          </w:p>
        </w:tc>
        <w:tc>
          <w:tcPr>
            <w:tcW w:w="827" w:type="dxa"/>
            <w:vAlign w:val="top"/>
          </w:tcPr>
          <w:p w14:paraId="6F2B2CBD">
            <w:pPr>
              <w:rPr>
                <w:rFonts w:ascii="Arial"/>
                <w:color w:val="auto"/>
                <w:sz w:val="21"/>
                <w:highlight w:val="none"/>
              </w:rPr>
            </w:pPr>
          </w:p>
        </w:tc>
        <w:tc>
          <w:tcPr>
            <w:tcW w:w="1071" w:type="dxa"/>
            <w:vAlign w:val="top"/>
          </w:tcPr>
          <w:p w14:paraId="2ACAB077">
            <w:pPr>
              <w:rPr>
                <w:rFonts w:ascii="Arial"/>
                <w:color w:val="auto"/>
                <w:sz w:val="21"/>
                <w:highlight w:val="none"/>
              </w:rPr>
            </w:pPr>
          </w:p>
        </w:tc>
        <w:tc>
          <w:tcPr>
            <w:tcW w:w="1040" w:type="dxa"/>
            <w:vAlign w:val="top"/>
          </w:tcPr>
          <w:p w14:paraId="263CF7C7">
            <w:pPr>
              <w:rPr>
                <w:rFonts w:ascii="Arial"/>
                <w:color w:val="auto"/>
                <w:sz w:val="21"/>
                <w:highlight w:val="none"/>
              </w:rPr>
            </w:pPr>
          </w:p>
        </w:tc>
        <w:tc>
          <w:tcPr>
            <w:tcW w:w="1040" w:type="dxa"/>
            <w:vAlign w:val="top"/>
          </w:tcPr>
          <w:p w14:paraId="404D040C">
            <w:pPr>
              <w:rPr>
                <w:rFonts w:ascii="Arial"/>
                <w:color w:val="auto"/>
                <w:sz w:val="21"/>
                <w:highlight w:val="none"/>
              </w:rPr>
            </w:pPr>
          </w:p>
        </w:tc>
        <w:tc>
          <w:tcPr>
            <w:tcW w:w="1507" w:type="dxa"/>
            <w:tcBorders>
              <w:right w:val="single" w:color="000000" w:sz="6" w:space="0"/>
            </w:tcBorders>
            <w:vAlign w:val="top"/>
          </w:tcPr>
          <w:p w14:paraId="508A4BDA">
            <w:pPr>
              <w:rPr>
                <w:rFonts w:ascii="Arial"/>
                <w:color w:val="auto"/>
                <w:sz w:val="21"/>
                <w:highlight w:val="none"/>
              </w:rPr>
            </w:pPr>
          </w:p>
        </w:tc>
      </w:tr>
      <w:tr w14:paraId="200B5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635" w:type="dxa"/>
            <w:tcBorders>
              <w:left w:val="single" w:color="000000" w:sz="6" w:space="0"/>
            </w:tcBorders>
            <w:vAlign w:val="top"/>
          </w:tcPr>
          <w:p w14:paraId="2639CFA6">
            <w:pPr>
              <w:pStyle w:val="17"/>
              <w:spacing w:before="202" w:line="234" w:lineRule="auto"/>
              <w:ind w:left="222"/>
              <w:rPr>
                <w:color w:val="auto"/>
                <w:highlight w:val="none"/>
              </w:rPr>
            </w:pPr>
            <w:r>
              <w:rPr>
                <w:color w:val="auto"/>
                <w:highlight w:val="none"/>
              </w:rPr>
              <w:t>…</w:t>
            </w:r>
          </w:p>
        </w:tc>
        <w:tc>
          <w:tcPr>
            <w:tcW w:w="1396" w:type="dxa"/>
            <w:vAlign w:val="top"/>
          </w:tcPr>
          <w:p w14:paraId="1ECB3432">
            <w:pPr>
              <w:rPr>
                <w:rFonts w:ascii="Arial"/>
                <w:color w:val="auto"/>
                <w:sz w:val="21"/>
                <w:highlight w:val="none"/>
              </w:rPr>
            </w:pPr>
          </w:p>
        </w:tc>
        <w:tc>
          <w:tcPr>
            <w:tcW w:w="753" w:type="dxa"/>
            <w:vAlign w:val="top"/>
          </w:tcPr>
          <w:p w14:paraId="40D2CC13">
            <w:pPr>
              <w:rPr>
                <w:rFonts w:ascii="Arial"/>
                <w:color w:val="auto"/>
                <w:sz w:val="21"/>
                <w:highlight w:val="none"/>
              </w:rPr>
            </w:pPr>
          </w:p>
        </w:tc>
        <w:tc>
          <w:tcPr>
            <w:tcW w:w="989" w:type="dxa"/>
            <w:vAlign w:val="top"/>
          </w:tcPr>
          <w:p w14:paraId="2F0997C7">
            <w:pPr>
              <w:rPr>
                <w:rFonts w:ascii="Arial"/>
                <w:color w:val="auto"/>
                <w:sz w:val="21"/>
                <w:highlight w:val="none"/>
              </w:rPr>
            </w:pPr>
          </w:p>
        </w:tc>
        <w:tc>
          <w:tcPr>
            <w:tcW w:w="966" w:type="dxa"/>
            <w:vAlign w:val="top"/>
          </w:tcPr>
          <w:p w14:paraId="029BDAEE">
            <w:pPr>
              <w:rPr>
                <w:rFonts w:ascii="Arial"/>
                <w:color w:val="auto"/>
                <w:sz w:val="21"/>
                <w:highlight w:val="none"/>
              </w:rPr>
            </w:pPr>
          </w:p>
        </w:tc>
        <w:tc>
          <w:tcPr>
            <w:tcW w:w="1009" w:type="dxa"/>
            <w:vAlign w:val="top"/>
          </w:tcPr>
          <w:p w14:paraId="4EB74C96">
            <w:pPr>
              <w:rPr>
                <w:rFonts w:ascii="Arial"/>
                <w:color w:val="auto"/>
                <w:sz w:val="21"/>
                <w:highlight w:val="none"/>
              </w:rPr>
            </w:pPr>
          </w:p>
        </w:tc>
        <w:tc>
          <w:tcPr>
            <w:tcW w:w="1497" w:type="dxa"/>
            <w:vAlign w:val="top"/>
          </w:tcPr>
          <w:p w14:paraId="3298AAD2">
            <w:pPr>
              <w:rPr>
                <w:rFonts w:ascii="Arial"/>
                <w:color w:val="auto"/>
                <w:sz w:val="21"/>
                <w:highlight w:val="none"/>
              </w:rPr>
            </w:pPr>
          </w:p>
        </w:tc>
        <w:tc>
          <w:tcPr>
            <w:tcW w:w="1491" w:type="dxa"/>
            <w:vAlign w:val="top"/>
          </w:tcPr>
          <w:p w14:paraId="4536E8A2">
            <w:pPr>
              <w:rPr>
                <w:rFonts w:ascii="Arial"/>
                <w:color w:val="auto"/>
                <w:sz w:val="21"/>
                <w:highlight w:val="none"/>
              </w:rPr>
            </w:pPr>
          </w:p>
        </w:tc>
        <w:tc>
          <w:tcPr>
            <w:tcW w:w="827" w:type="dxa"/>
            <w:vAlign w:val="top"/>
          </w:tcPr>
          <w:p w14:paraId="521E197D">
            <w:pPr>
              <w:rPr>
                <w:rFonts w:ascii="Arial"/>
                <w:color w:val="auto"/>
                <w:sz w:val="21"/>
                <w:highlight w:val="none"/>
              </w:rPr>
            </w:pPr>
          </w:p>
        </w:tc>
        <w:tc>
          <w:tcPr>
            <w:tcW w:w="1071" w:type="dxa"/>
            <w:vAlign w:val="top"/>
          </w:tcPr>
          <w:p w14:paraId="687B9750">
            <w:pPr>
              <w:rPr>
                <w:rFonts w:ascii="Arial"/>
                <w:color w:val="auto"/>
                <w:sz w:val="21"/>
                <w:highlight w:val="none"/>
              </w:rPr>
            </w:pPr>
          </w:p>
        </w:tc>
        <w:tc>
          <w:tcPr>
            <w:tcW w:w="1040" w:type="dxa"/>
            <w:vAlign w:val="top"/>
          </w:tcPr>
          <w:p w14:paraId="2E228016">
            <w:pPr>
              <w:rPr>
                <w:rFonts w:ascii="Arial"/>
                <w:color w:val="auto"/>
                <w:sz w:val="21"/>
                <w:highlight w:val="none"/>
              </w:rPr>
            </w:pPr>
          </w:p>
        </w:tc>
        <w:tc>
          <w:tcPr>
            <w:tcW w:w="1040" w:type="dxa"/>
            <w:vAlign w:val="top"/>
          </w:tcPr>
          <w:p w14:paraId="69EDE7EA">
            <w:pPr>
              <w:rPr>
                <w:rFonts w:ascii="Arial"/>
                <w:color w:val="auto"/>
                <w:sz w:val="21"/>
                <w:highlight w:val="none"/>
              </w:rPr>
            </w:pPr>
          </w:p>
        </w:tc>
        <w:tc>
          <w:tcPr>
            <w:tcW w:w="1507" w:type="dxa"/>
            <w:tcBorders>
              <w:right w:val="single" w:color="000000" w:sz="6" w:space="0"/>
            </w:tcBorders>
            <w:vAlign w:val="top"/>
          </w:tcPr>
          <w:p w14:paraId="640D6E7D">
            <w:pPr>
              <w:rPr>
                <w:rFonts w:ascii="Arial"/>
                <w:color w:val="auto"/>
                <w:sz w:val="21"/>
                <w:highlight w:val="none"/>
              </w:rPr>
            </w:pPr>
          </w:p>
        </w:tc>
      </w:tr>
      <w:tr w14:paraId="01D6A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35" w:type="dxa"/>
            <w:tcBorders>
              <w:left w:val="single" w:color="000000" w:sz="6" w:space="0"/>
              <w:bottom w:val="single" w:color="000000" w:sz="6" w:space="0"/>
              <w:right w:val="nil"/>
            </w:tcBorders>
            <w:vAlign w:val="top"/>
          </w:tcPr>
          <w:p w14:paraId="09BD7044">
            <w:pPr>
              <w:rPr>
                <w:rFonts w:ascii="Arial"/>
                <w:color w:val="auto"/>
                <w:sz w:val="21"/>
                <w:highlight w:val="none"/>
              </w:rPr>
            </w:pPr>
          </w:p>
        </w:tc>
        <w:tc>
          <w:tcPr>
            <w:tcW w:w="3138" w:type="dxa"/>
            <w:gridSpan w:val="3"/>
            <w:tcBorders>
              <w:left w:val="nil"/>
              <w:bottom w:val="single" w:color="000000" w:sz="6" w:space="0"/>
            </w:tcBorders>
            <w:vAlign w:val="top"/>
          </w:tcPr>
          <w:p w14:paraId="4B3482C0">
            <w:pPr>
              <w:pStyle w:val="17"/>
              <w:spacing w:before="204" w:line="228" w:lineRule="auto"/>
              <w:ind w:left="734"/>
              <w:rPr>
                <w:color w:val="auto"/>
                <w:highlight w:val="none"/>
              </w:rPr>
            </w:pPr>
            <w:r>
              <w:rPr>
                <w:color w:val="auto"/>
                <w:spacing w:val="3"/>
                <w:highlight w:val="none"/>
              </w:rPr>
              <w:t>合</w:t>
            </w:r>
            <w:r>
              <w:rPr>
                <w:color w:val="auto"/>
                <w:spacing w:val="11"/>
                <w:highlight w:val="none"/>
              </w:rPr>
              <w:t xml:space="preserve">  </w:t>
            </w:r>
            <w:r>
              <w:rPr>
                <w:color w:val="auto"/>
                <w:spacing w:val="3"/>
                <w:highlight w:val="none"/>
              </w:rPr>
              <w:t>计(元)</w:t>
            </w:r>
          </w:p>
        </w:tc>
        <w:tc>
          <w:tcPr>
            <w:tcW w:w="966" w:type="dxa"/>
            <w:tcBorders>
              <w:bottom w:val="single" w:color="000000" w:sz="6" w:space="0"/>
            </w:tcBorders>
            <w:vAlign w:val="top"/>
          </w:tcPr>
          <w:p w14:paraId="3B0B25BB">
            <w:pPr>
              <w:rPr>
                <w:rFonts w:ascii="Arial"/>
                <w:color w:val="auto"/>
                <w:sz w:val="21"/>
                <w:highlight w:val="none"/>
              </w:rPr>
            </w:pPr>
          </w:p>
        </w:tc>
        <w:tc>
          <w:tcPr>
            <w:tcW w:w="1009" w:type="dxa"/>
            <w:tcBorders>
              <w:bottom w:val="single" w:color="000000" w:sz="6" w:space="0"/>
            </w:tcBorders>
            <w:vAlign w:val="top"/>
          </w:tcPr>
          <w:p w14:paraId="74797813">
            <w:pPr>
              <w:rPr>
                <w:rFonts w:ascii="Arial"/>
                <w:color w:val="auto"/>
                <w:sz w:val="21"/>
                <w:highlight w:val="none"/>
              </w:rPr>
            </w:pPr>
          </w:p>
        </w:tc>
        <w:tc>
          <w:tcPr>
            <w:tcW w:w="1497" w:type="dxa"/>
            <w:tcBorders>
              <w:bottom w:val="single" w:color="000000" w:sz="6" w:space="0"/>
            </w:tcBorders>
            <w:vAlign w:val="top"/>
          </w:tcPr>
          <w:p w14:paraId="4B10B56E">
            <w:pPr>
              <w:rPr>
                <w:rFonts w:ascii="Arial"/>
                <w:color w:val="auto"/>
                <w:sz w:val="21"/>
                <w:highlight w:val="none"/>
              </w:rPr>
            </w:pPr>
          </w:p>
        </w:tc>
        <w:tc>
          <w:tcPr>
            <w:tcW w:w="3389" w:type="dxa"/>
            <w:gridSpan w:val="3"/>
            <w:tcBorders>
              <w:bottom w:val="single" w:color="000000" w:sz="6" w:space="0"/>
            </w:tcBorders>
            <w:vAlign w:val="top"/>
          </w:tcPr>
          <w:p w14:paraId="08E579FC">
            <w:pPr>
              <w:pStyle w:val="17"/>
              <w:spacing w:before="204" w:line="228" w:lineRule="auto"/>
              <w:ind w:left="1178"/>
              <w:rPr>
                <w:color w:val="auto"/>
                <w:highlight w:val="none"/>
              </w:rPr>
            </w:pPr>
            <w:r>
              <w:rPr>
                <w:color w:val="auto"/>
                <w:spacing w:val="3"/>
                <w:highlight w:val="none"/>
              </w:rPr>
              <w:t>合</w:t>
            </w:r>
            <w:r>
              <w:rPr>
                <w:color w:val="auto"/>
                <w:spacing w:val="11"/>
                <w:highlight w:val="none"/>
              </w:rPr>
              <w:t xml:space="preserve">  </w:t>
            </w:r>
            <w:r>
              <w:rPr>
                <w:color w:val="auto"/>
                <w:spacing w:val="3"/>
                <w:highlight w:val="none"/>
              </w:rPr>
              <w:t>计(元)</w:t>
            </w:r>
          </w:p>
        </w:tc>
        <w:tc>
          <w:tcPr>
            <w:tcW w:w="1040" w:type="dxa"/>
            <w:tcBorders>
              <w:bottom w:val="single" w:color="000000" w:sz="6" w:space="0"/>
            </w:tcBorders>
            <w:vAlign w:val="top"/>
          </w:tcPr>
          <w:p w14:paraId="3370256B">
            <w:pPr>
              <w:rPr>
                <w:rFonts w:ascii="Arial"/>
                <w:color w:val="auto"/>
                <w:sz w:val="21"/>
                <w:highlight w:val="none"/>
              </w:rPr>
            </w:pPr>
          </w:p>
        </w:tc>
        <w:tc>
          <w:tcPr>
            <w:tcW w:w="1040" w:type="dxa"/>
            <w:tcBorders>
              <w:bottom w:val="single" w:color="000000" w:sz="6" w:space="0"/>
            </w:tcBorders>
            <w:vAlign w:val="top"/>
          </w:tcPr>
          <w:p w14:paraId="06F9A577">
            <w:pPr>
              <w:rPr>
                <w:rFonts w:ascii="Arial"/>
                <w:color w:val="auto"/>
                <w:sz w:val="21"/>
                <w:highlight w:val="none"/>
              </w:rPr>
            </w:pPr>
          </w:p>
        </w:tc>
        <w:tc>
          <w:tcPr>
            <w:tcW w:w="1507" w:type="dxa"/>
            <w:tcBorders>
              <w:bottom w:val="single" w:color="000000" w:sz="6" w:space="0"/>
              <w:right w:val="single" w:color="000000" w:sz="6" w:space="0"/>
            </w:tcBorders>
            <w:vAlign w:val="top"/>
          </w:tcPr>
          <w:p w14:paraId="20837A3B">
            <w:pPr>
              <w:rPr>
                <w:rFonts w:ascii="Arial"/>
                <w:color w:val="auto"/>
                <w:sz w:val="21"/>
                <w:highlight w:val="none"/>
              </w:rPr>
            </w:pPr>
          </w:p>
        </w:tc>
      </w:tr>
    </w:tbl>
    <w:p w14:paraId="30512659">
      <w:pPr>
        <w:rPr>
          <w:rFonts w:ascii="Arial"/>
          <w:color w:val="auto"/>
          <w:sz w:val="21"/>
          <w:highlight w:val="none"/>
        </w:rPr>
      </w:pPr>
    </w:p>
    <w:p w14:paraId="46735590">
      <w:pPr>
        <w:rPr>
          <w:rFonts w:ascii="Arial" w:hAnsi="Arial" w:eastAsia="Arial" w:cs="Arial"/>
          <w:color w:val="auto"/>
          <w:sz w:val="21"/>
          <w:szCs w:val="21"/>
          <w:highlight w:val="none"/>
        </w:rPr>
        <w:sectPr>
          <w:footerReference r:id="rId119" w:type="default"/>
          <w:pgSz w:w="16839" w:h="11906"/>
          <w:pgMar w:top="1012" w:right="1301" w:bottom="1297" w:left="1300" w:header="0" w:footer="1067" w:gutter="0"/>
          <w:pgNumType w:fmt="decimal"/>
          <w:cols w:space="720" w:num="1"/>
        </w:sectPr>
      </w:pPr>
    </w:p>
    <w:p w14:paraId="116F8071">
      <w:pPr>
        <w:spacing w:line="302" w:lineRule="auto"/>
        <w:rPr>
          <w:rFonts w:ascii="Arial"/>
          <w:color w:val="auto"/>
          <w:sz w:val="21"/>
          <w:highlight w:val="none"/>
        </w:rPr>
      </w:pPr>
    </w:p>
    <w:p w14:paraId="5471AD8E">
      <w:pPr>
        <w:spacing w:line="302" w:lineRule="auto"/>
        <w:rPr>
          <w:rFonts w:ascii="Arial"/>
          <w:color w:val="auto"/>
          <w:sz w:val="21"/>
          <w:highlight w:val="none"/>
        </w:rPr>
      </w:pPr>
    </w:p>
    <w:p w14:paraId="6219923C">
      <w:pPr>
        <w:spacing w:before="91" w:line="225" w:lineRule="auto"/>
        <w:ind w:left="5751"/>
        <w:rPr>
          <w:rFonts w:ascii="宋体" w:hAnsi="宋体" w:eastAsia="宋体" w:cs="宋体"/>
          <w:color w:val="auto"/>
          <w:sz w:val="13"/>
          <w:szCs w:val="13"/>
          <w:highlight w:val="none"/>
        </w:rPr>
      </w:pPr>
      <w:r>
        <w:rPr>
          <w:rFonts w:ascii="宋体" w:hAnsi="宋体" w:eastAsia="宋体" w:cs="宋体"/>
          <w:b/>
          <w:bCs/>
          <w:color w:val="auto"/>
          <w:spacing w:val="-4"/>
          <w:sz w:val="28"/>
          <w:szCs w:val="28"/>
          <w:highlight w:val="none"/>
        </w:rPr>
        <w:t>表</w:t>
      </w:r>
      <w:r>
        <w:rPr>
          <w:rFonts w:ascii="宋体" w:hAnsi="宋体" w:eastAsia="宋体" w:cs="宋体"/>
          <w:color w:val="auto"/>
          <w:spacing w:val="-47"/>
          <w:sz w:val="28"/>
          <w:szCs w:val="28"/>
          <w:highlight w:val="none"/>
        </w:rPr>
        <w:t xml:space="preserve"> </w:t>
      </w:r>
      <w:r>
        <w:rPr>
          <w:rFonts w:ascii="宋体" w:hAnsi="宋体" w:eastAsia="宋体" w:cs="宋体"/>
          <w:b/>
          <w:bCs/>
          <w:color w:val="auto"/>
          <w:spacing w:val="-4"/>
          <w:sz w:val="28"/>
          <w:szCs w:val="28"/>
          <w:highlight w:val="none"/>
        </w:rPr>
        <w:t>7</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其他费用报价表</w:t>
      </w:r>
      <w:r>
        <w:rPr>
          <w:color w:val="auto"/>
          <w:highlight w:val="none"/>
        </w:rPr>
        <w:fldChar w:fldCharType="begin"/>
      </w:r>
      <w:r>
        <w:rPr>
          <w:color w:val="auto"/>
          <w:highlight w:val="none"/>
        </w:rPr>
        <w:instrText xml:space="preserve"> HYPERLINK \l "bookmark163" </w:instrText>
      </w:r>
      <w:r>
        <w:rPr>
          <w:color w:val="auto"/>
          <w:highlight w:val="none"/>
        </w:rPr>
        <w:fldChar w:fldCharType="separate"/>
      </w:r>
      <w:r>
        <w:rPr>
          <w:rFonts w:ascii="宋体" w:hAnsi="宋体" w:eastAsia="宋体" w:cs="宋体"/>
          <w:b/>
          <w:bCs/>
          <w:color w:val="auto"/>
          <w:spacing w:val="-4"/>
          <w:position w:val="13"/>
          <w:sz w:val="13"/>
          <w:szCs w:val="13"/>
          <w:highlight w:val="none"/>
        </w:rPr>
        <w:t>①</w:t>
      </w:r>
      <w:r>
        <w:rPr>
          <w:rFonts w:ascii="宋体" w:hAnsi="宋体" w:eastAsia="宋体" w:cs="宋体"/>
          <w:b/>
          <w:bCs/>
          <w:color w:val="auto"/>
          <w:spacing w:val="-4"/>
          <w:position w:val="13"/>
          <w:sz w:val="13"/>
          <w:szCs w:val="13"/>
          <w:highlight w:val="none"/>
        </w:rPr>
        <w:fldChar w:fldCharType="end"/>
      </w:r>
    </w:p>
    <w:tbl>
      <w:tblPr>
        <w:tblStyle w:val="16"/>
        <w:tblW w:w="14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3452"/>
        <w:gridCol w:w="1351"/>
        <w:gridCol w:w="1198"/>
        <w:gridCol w:w="1649"/>
        <w:gridCol w:w="1649"/>
        <w:gridCol w:w="3766"/>
      </w:tblGrid>
      <w:tr w14:paraId="52635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53" w:type="dxa"/>
            <w:vAlign w:val="top"/>
          </w:tcPr>
          <w:p w14:paraId="25DA2343">
            <w:pPr>
              <w:pStyle w:val="17"/>
              <w:spacing w:before="73" w:line="229" w:lineRule="auto"/>
              <w:ind w:left="370"/>
              <w:rPr>
                <w:color w:val="auto"/>
                <w:highlight w:val="none"/>
              </w:rPr>
            </w:pPr>
            <w:r>
              <w:rPr>
                <w:color w:val="auto"/>
                <w:spacing w:val="5"/>
                <w:highlight w:val="none"/>
              </w:rPr>
              <w:t>序号</w:t>
            </w:r>
          </w:p>
        </w:tc>
        <w:tc>
          <w:tcPr>
            <w:tcW w:w="3452" w:type="dxa"/>
            <w:vAlign w:val="top"/>
          </w:tcPr>
          <w:p w14:paraId="200B8EB0">
            <w:pPr>
              <w:pStyle w:val="17"/>
              <w:spacing w:before="73" w:line="228" w:lineRule="auto"/>
              <w:ind w:left="1311"/>
              <w:rPr>
                <w:color w:val="auto"/>
                <w:highlight w:val="none"/>
              </w:rPr>
            </w:pPr>
            <w:r>
              <w:rPr>
                <w:color w:val="auto"/>
                <w:spacing w:val="7"/>
                <w:highlight w:val="none"/>
              </w:rPr>
              <w:t>子目名称</w:t>
            </w:r>
          </w:p>
        </w:tc>
        <w:tc>
          <w:tcPr>
            <w:tcW w:w="1351" w:type="dxa"/>
            <w:vAlign w:val="top"/>
          </w:tcPr>
          <w:p w14:paraId="18C39272">
            <w:pPr>
              <w:pStyle w:val="17"/>
              <w:spacing w:before="73" w:line="228" w:lineRule="auto"/>
              <w:ind w:left="471"/>
              <w:rPr>
                <w:color w:val="auto"/>
                <w:highlight w:val="none"/>
              </w:rPr>
            </w:pPr>
            <w:r>
              <w:rPr>
                <w:color w:val="auto"/>
                <w:spacing w:val="3"/>
                <w:highlight w:val="none"/>
              </w:rPr>
              <w:t>单位</w:t>
            </w:r>
          </w:p>
        </w:tc>
        <w:tc>
          <w:tcPr>
            <w:tcW w:w="1198" w:type="dxa"/>
            <w:vAlign w:val="top"/>
          </w:tcPr>
          <w:p w14:paraId="0E2DC3C2">
            <w:pPr>
              <w:pStyle w:val="17"/>
              <w:spacing w:before="72" w:line="228" w:lineRule="auto"/>
              <w:ind w:left="395"/>
              <w:rPr>
                <w:color w:val="auto"/>
                <w:highlight w:val="none"/>
              </w:rPr>
            </w:pPr>
            <w:r>
              <w:rPr>
                <w:color w:val="auto"/>
                <w:spacing w:val="3"/>
                <w:highlight w:val="none"/>
              </w:rPr>
              <w:t>数量</w:t>
            </w:r>
          </w:p>
        </w:tc>
        <w:tc>
          <w:tcPr>
            <w:tcW w:w="1649" w:type="dxa"/>
            <w:vAlign w:val="top"/>
          </w:tcPr>
          <w:p w14:paraId="736C67C7">
            <w:pPr>
              <w:pStyle w:val="17"/>
              <w:spacing w:before="73" w:line="226" w:lineRule="auto"/>
              <w:ind w:left="306"/>
              <w:rPr>
                <w:color w:val="auto"/>
                <w:highlight w:val="none"/>
              </w:rPr>
            </w:pPr>
            <w:r>
              <w:rPr>
                <w:color w:val="auto"/>
                <w:spacing w:val="5"/>
                <w:highlight w:val="none"/>
              </w:rPr>
              <w:t>单价（元）</w:t>
            </w:r>
          </w:p>
        </w:tc>
        <w:tc>
          <w:tcPr>
            <w:tcW w:w="1649" w:type="dxa"/>
            <w:vAlign w:val="top"/>
          </w:tcPr>
          <w:p w14:paraId="157A1113">
            <w:pPr>
              <w:pStyle w:val="17"/>
              <w:spacing w:before="73" w:line="226" w:lineRule="auto"/>
              <w:ind w:left="307"/>
              <w:rPr>
                <w:color w:val="auto"/>
                <w:highlight w:val="none"/>
              </w:rPr>
            </w:pPr>
            <w:r>
              <w:rPr>
                <w:color w:val="auto"/>
                <w:spacing w:val="5"/>
                <w:highlight w:val="none"/>
              </w:rPr>
              <w:t>合价（元）</w:t>
            </w:r>
          </w:p>
        </w:tc>
        <w:tc>
          <w:tcPr>
            <w:tcW w:w="3766" w:type="dxa"/>
            <w:vAlign w:val="top"/>
          </w:tcPr>
          <w:p w14:paraId="6DC937FA">
            <w:pPr>
              <w:pStyle w:val="17"/>
              <w:spacing w:before="73" w:line="229" w:lineRule="auto"/>
              <w:ind w:left="1679"/>
              <w:rPr>
                <w:color w:val="auto"/>
                <w:highlight w:val="none"/>
              </w:rPr>
            </w:pPr>
            <w:r>
              <w:rPr>
                <w:color w:val="auto"/>
                <w:spacing w:val="3"/>
                <w:highlight w:val="none"/>
              </w:rPr>
              <w:t>备注</w:t>
            </w:r>
          </w:p>
        </w:tc>
      </w:tr>
      <w:tr w14:paraId="3957D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3" w:type="dxa"/>
            <w:vAlign w:val="top"/>
          </w:tcPr>
          <w:p w14:paraId="1D54E6EB">
            <w:pPr>
              <w:pStyle w:val="17"/>
              <w:spacing w:before="71" w:line="270" w:lineRule="exact"/>
              <w:ind w:left="545"/>
              <w:rPr>
                <w:color w:val="auto"/>
                <w:highlight w:val="none"/>
              </w:rPr>
            </w:pPr>
            <w:r>
              <w:rPr>
                <w:color w:val="auto"/>
                <w:position w:val="1"/>
                <w:highlight w:val="none"/>
              </w:rPr>
              <w:t>1</w:t>
            </w:r>
          </w:p>
        </w:tc>
        <w:tc>
          <w:tcPr>
            <w:tcW w:w="3452" w:type="dxa"/>
            <w:vAlign w:val="top"/>
          </w:tcPr>
          <w:p w14:paraId="1FE832D6">
            <w:pPr>
              <w:pStyle w:val="17"/>
              <w:spacing w:before="70" w:line="228" w:lineRule="auto"/>
              <w:ind w:left="894"/>
              <w:rPr>
                <w:color w:val="auto"/>
                <w:highlight w:val="none"/>
              </w:rPr>
            </w:pPr>
            <w:r>
              <w:rPr>
                <w:color w:val="auto"/>
                <w:spacing w:val="8"/>
                <w:highlight w:val="none"/>
              </w:rPr>
              <w:t>项目管理系统软件</w:t>
            </w:r>
          </w:p>
        </w:tc>
        <w:tc>
          <w:tcPr>
            <w:tcW w:w="1351" w:type="dxa"/>
            <w:vAlign w:val="top"/>
          </w:tcPr>
          <w:p w14:paraId="25BD91F2">
            <w:pPr>
              <w:pStyle w:val="17"/>
              <w:spacing w:before="70" w:line="228" w:lineRule="auto"/>
              <w:ind w:left="475"/>
              <w:rPr>
                <w:color w:val="auto"/>
                <w:highlight w:val="none"/>
              </w:rPr>
            </w:pPr>
            <w:r>
              <w:rPr>
                <w:color w:val="auto"/>
                <w:spacing w:val="2"/>
                <w:highlight w:val="none"/>
              </w:rPr>
              <w:t>总额</w:t>
            </w:r>
          </w:p>
        </w:tc>
        <w:tc>
          <w:tcPr>
            <w:tcW w:w="1198" w:type="dxa"/>
            <w:vAlign w:val="top"/>
          </w:tcPr>
          <w:p w14:paraId="24DACD9E">
            <w:pPr>
              <w:pStyle w:val="17"/>
              <w:spacing w:before="71" w:line="270" w:lineRule="exact"/>
              <w:ind w:left="567"/>
              <w:rPr>
                <w:color w:val="auto"/>
                <w:highlight w:val="none"/>
              </w:rPr>
            </w:pPr>
            <w:r>
              <w:rPr>
                <w:color w:val="auto"/>
                <w:position w:val="1"/>
                <w:highlight w:val="none"/>
              </w:rPr>
              <w:t>1</w:t>
            </w:r>
          </w:p>
        </w:tc>
        <w:tc>
          <w:tcPr>
            <w:tcW w:w="1649" w:type="dxa"/>
            <w:vAlign w:val="top"/>
          </w:tcPr>
          <w:p w14:paraId="19264724">
            <w:pPr>
              <w:rPr>
                <w:rFonts w:ascii="Arial"/>
                <w:color w:val="auto"/>
                <w:sz w:val="21"/>
                <w:highlight w:val="none"/>
              </w:rPr>
            </w:pPr>
          </w:p>
        </w:tc>
        <w:tc>
          <w:tcPr>
            <w:tcW w:w="1649" w:type="dxa"/>
            <w:vAlign w:val="top"/>
          </w:tcPr>
          <w:p w14:paraId="35312372">
            <w:pPr>
              <w:rPr>
                <w:rFonts w:ascii="Arial"/>
                <w:color w:val="auto"/>
                <w:sz w:val="21"/>
                <w:highlight w:val="none"/>
              </w:rPr>
            </w:pPr>
          </w:p>
        </w:tc>
        <w:tc>
          <w:tcPr>
            <w:tcW w:w="3766" w:type="dxa"/>
            <w:vAlign w:val="top"/>
          </w:tcPr>
          <w:p w14:paraId="26CE6EAB">
            <w:pPr>
              <w:pStyle w:val="17"/>
              <w:spacing w:before="70" w:line="228" w:lineRule="auto"/>
              <w:ind w:left="418"/>
              <w:rPr>
                <w:color w:val="auto"/>
                <w:highlight w:val="none"/>
              </w:rPr>
            </w:pPr>
            <w:r>
              <w:rPr>
                <w:color w:val="auto"/>
                <w:spacing w:val="9"/>
                <w:highlight w:val="none"/>
              </w:rPr>
              <w:t>按招标文件规定的固定金额填报</w:t>
            </w:r>
          </w:p>
        </w:tc>
      </w:tr>
      <w:tr w14:paraId="68C8B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3" w:type="dxa"/>
            <w:vAlign w:val="top"/>
          </w:tcPr>
          <w:p w14:paraId="5E3D42D2">
            <w:pPr>
              <w:pStyle w:val="17"/>
              <w:spacing w:before="71" w:line="270" w:lineRule="exact"/>
              <w:ind w:left="532"/>
              <w:rPr>
                <w:color w:val="auto"/>
                <w:highlight w:val="none"/>
              </w:rPr>
            </w:pPr>
            <w:r>
              <w:rPr>
                <w:color w:val="auto"/>
                <w:position w:val="1"/>
                <w:highlight w:val="none"/>
              </w:rPr>
              <w:t>2</w:t>
            </w:r>
          </w:p>
        </w:tc>
        <w:tc>
          <w:tcPr>
            <w:tcW w:w="3452" w:type="dxa"/>
            <w:vAlign w:val="top"/>
          </w:tcPr>
          <w:p w14:paraId="36BA40E3">
            <w:pPr>
              <w:pStyle w:val="17"/>
              <w:spacing w:before="71" w:line="228" w:lineRule="auto"/>
              <w:ind w:left="891"/>
              <w:rPr>
                <w:color w:val="auto"/>
                <w:highlight w:val="none"/>
              </w:rPr>
            </w:pPr>
            <w:r>
              <w:rPr>
                <w:color w:val="auto"/>
                <w:spacing w:val="8"/>
                <w:highlight w:val="none"/>
              </w:rPr>
              <w:t>监理适岗培训费用</w:t>
            </w:r>
          </w:p>
        </w:tc>
        <w:tc>
          <w:tcPr>
            <w:tcW w:w="1351" w:type="dxa"/>
            <w:vAlign w:val="top"/>
          </w:tcPr>
          <w:p w14:paraId="7D9B9DF2">
            <w:pPr>
              <w:pStyle w:val="17"/>
              <w:spacing w:before="71" w:line="228" w:lineRule="auto"/>
              <w:ind w:left="475"/>
              <w:rPr>
                <w:color w:val="auto"/>
                <w:highlight w:val="none"/>
              </w:rPr>
            </w:pPr>
            <w:r>
              <w:rPr>
                <w:color w:val="auto"/>
                <w:spacing w:val="2"/>
                <w:highlight w:val="none"/>
              </w:rPr>
              <w:t>总额</w:t>
            </w:r>
          </w:p>
        </w:tc>
        <w:tc>
          <w:tcPr>
            <w:tcW w:w="1198" w:type="dxa"/>
            <w:vAlign w:val="top"/>
          </w:tcPr>
          <w:p w14:paraId="59038679">
            <w:pPr>
              <w:pStyle w:val="17"/>
              <w:spacing w:before="71" w:line="270" w:lineRule="exact"/>
              <w:ind w:left="567"/>
              <w:rPr>
                <w:color w:val="auto"/>
                <w:highlight w:val="none"/>
              </w:rPr>
            </w:pPr>
            <w:r>
              <w:rPr>
                <w:color w:val="auto"/>
                <w:position w:val="1"/>
                <w:highlight w:val="none"/>
              </w:rPr>
              <w:t>1</w:t>
            </w:r>
          </w:p>
        </w:tc>
        <w:tc>
          <w:tcPr>
            <w:tcW w:w="1649" w:type="dxa"/>
            <w:vAlign w:val="top"/>
          </w:tcPr>
          <w:p w14:paraId="2992152A">
            <w:pPr>
              <w:rPr>
                <w:rFonts w:ascii="Arial"/>
                <w:color w:val="auto"/>
                <w:sz w:val="21"/>
                <w:highlight w:val="none"/>
              </w:rPr>
            </w:pPr>
          </w:p>
        </w:tc>
        <w:tc>
          <w:tcPr>
            <w:tcW w:w="1649" w:type="dxa"/>
            <w:vAlign w:val="top"/>
          </w:tcPr>
          <w:p w14:paraId="4F2E7F54">
            <w:pPr>
              <w:rPr>
                <w:rFonts w:ascii="Arial"/>
                <w:color w:val="auto"/>
                <w:sz w:val="21"/>
                <w:highlight w:val="none"/>
              </w:rPr>
            </w:pPr>
          </w:p>
        </w:tc>
        <w:tc>
          <w:tcPr>
            <w:tcW w:w="3766" w:type="dxa"/>
            <w:vAlign w:val="top"/>
          </w:tcPr>
          <w:p w14:paraId="26F53325">
            <w:pPr>
              <w:pStyle w:val="17"/>
              <w:spacing w:before="71" w:line="228" w:lineRule="auto"/>
              <w:ind w:left="418"/>
              <w:rPr>
                <w:color w:val="auto"/>
                <w:highlight w:val="none"/>
              </w:rPr>
            </w:pPr>
            <w:r>
              <w:rPr>
                <w:color w:val="auto"/>
                <w:spacing w:val="9"/>
                <w:highlight w:val="none"/>
              </w:rPr>
              <w:t>按招标文件规定的固定金额填报</w:t>
            </w:r>
          </w:p>
        </w:tc>
      </w:tr>
      <w:tr w14:paraId="2B61E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153" w:type="dxa"/>
            <w:vAlign w:val="top"/>
          </w:tcPr>
          <w:p w14:paraId="6A258ED8">
            <w:pPr>
              <w:pStyle w:val="17"/>
              <w:spacing w:before="237" w:line="268" w:lineRule="exact"/>
              <w:ind w:left="533"/>
              <w:rPr>
                <w:color w:val="auto"/>
                <w:highlight w:val="none"/>
              </w:rPr>
            </w:pPr>
            <w:r>
              <w:rPr>
                <w:color w:val="auto"/>
                <w:position w:val="1"/>
                <w:highlight w:val="none"/>
              </w:rPr>
              <w:t>3</w:t>
            </w:r>
          </w:p>
        </w:tc>
        <w:tc>
          <w:tcPr>
            <w:tcW w:w="3452" w:type="dxa"/>
            <w:vAlign w:val="top"/>
          </w:tcPr>
          <w:p w14:paraId="66F960B1">
            <w:pPr>
              <w:pStyle w:val="17"/>
              <w:spacing w:before="33" w:line="227" w:lineRule="auto"/>
              <w:ind w:left="154"/>
              <w:rPr>
                <w:color w:val="auto"/>
                <w:highlight w:val="none"/>
              </w:rPr>
            </w:pPr>
            <w:r>
              <w:rPr>
                <w:color w:val="auto"/>
                <w:spacing w:val="13"/>
                <w:highlight w:val="none"/>
              </w:rPr>
              <w:t>法人单位对“项目现场管理机构</w:t>
            </w:r>
            <w:r>
              <w:rPr>
                <w:color w:val="auto"/>
                <w:spacing w:val="-56"/>
                <w:highlight w:val="none"/>
              </w:rPr>
              <w:t xml:space="preserve"> </w:t>
            </w:r>
            <w:r>
              <w:rPr>
                <w:color w:val="auto"/>
                <w:spacing w:val="13"/>
                <w:highlight w:val="none"/>
              </w:rPr>
              <w:t>”</w:t>
            </w:r>
          </w:p>
          <w:p w14:paraId="4640E8E4">
            <w:pPr>
              <w:pStyle w:val="17"/>
              <w:spacing w:before="161" w:line="228" w:lineRule="auto"/>
              <w:ind w:left="1011"/>
              <w:rPr>
                <w:color w:val="auto"/>
                <w:highlight w:val="none"/>
              </w:rPr>
            </w:pPr>
            <w:r>
              <w:rPr>
                <w:color w:val="auto"/>
                <w:spacing w:val="6"/>
                <w:highlight w:val="none"/>
              </w:rPr>
              <w:t>的监管和支持费</w:t>
            </w:r>
          </w:p>
        </w:tc>
        <w:tc>
          <w:tcPr>
            <w:tcW w:w="1351" w:type="dxa"/>
            <w:vAlign w:val="top"/>
          </w:tcPr>
          <w:p w14:paraId="39943CF7">
            <w:pPr>
              <w:pStyle w:val="17"/>
              <w:spacing w:before="237" w:line="228" w:lineRule="auto"/>
              <w:ind w:left="475"/>
              <w:rPr>
                <w:color w:val="auto"/>
                <w:highlight w:val="none"/>
              </w:rPr>
            </w:pPr>
            <w:r>
              <w:rPr>
                <w:color w:val="auto"/>
                <w:spacing w:val="2"/>
                <w:highlight w:val="none"/>
              </w:rPr>
              <w:t>总额</w:t>
            </w:r>
          </w:p>
        </w:tc>
        <w:tc>
          <w:tcPr>
            <w:tcW w:w="1198" w:type="dxa"/>
            <w:vAlign w:val="top"/>
          </w:tcPr>
          <w:p w14:paraId="3CA79F4E">
            <w:pPr>
              <w:pStyle w:val="17"/>
              <w:spacing w:before="237" w:line="270" w:lineRule="exact"/>
              <w:ind w:left="567"/>
              <w:rPr>
                <w:color w:val="auto"/>
                <w:highlight w:val="none"/>
              </w:rPr>
            </w:pPr>
            <w:r>
              <w:rPr>
                <w:color w:val="auto"/>
                <w:position w:val="1"/>
                <w:highlight w:val="none"/>
              </w:rPr>
              <w:t>1</w:t>
            </w:r>
          </w:p>
        </w:tc>
        <w:tc>
          <w:tcPr>
            <w:tcW w:w="1649" w:type="dxa"/>
            <w:vAlign w:val="top"/>
          </w:tcPr>
          <w:p w14:paraId="319C955D">
            <w:pPr>
              <w:rPr>
                <w:rFonts w:ascii="Arial"/>
                <w:color w:val="auto"/>
                <w:sz w:val="21"/>
                <w:highlight w:val="none"/>
              </w:rPr>
            </w:pPr>
          </w:p>
        </w:tc>
        <w:tc>
          <w:tcPr>
            <w:tcW w:w="1649" w:type="dxa"/>
            <w:vAlign w:val="top"/>
          </w:tcPr>
          <w:p w14:paraId="0693572C">
            <w:pPr>
              <w:rPr>
                <w:rFonts w:ascii="Arial"/>
                <w:color w:val="auto"/>
                <w:sz w:val="21"/>
                <w:highlight w:val="none"/>
              </w:rPr>
            </w:pPr>
          </w:p>
        </w:tc>
        <w:tc>
          <w:tcPr>
            <w:tcW w:w="3766" w:type="dxa"/>
            <w:vAlign w:val="top"/>
          </w:tcPr>
          <w:p w14:paraId="7108A5DF">
            <w:pPr>
              <w:pStyle w:val="17"/>
              <w:spacing w:before="237" w:line="228" w:lineRule="auto"/>
              <w:ind w:left="418"/>
              <w:rPr>
                <w:color w:val="auto"/>
                <w:highlight w:val="none"/>
              </w:rPr>
            </w:pPr>
            <w:r>
              <w:rPr>
                <w:color w:val="auto"/>
                <w:spacing w:val="9"/>
                <w:highlight w:val="none"/>
              </w:rPr>
              <w:t>按招标文件规定的固定金额填报</w:t>
            </w:r>
          </w:p>
        </w:tc>
      </w:tr>
      <w:tr w14:paraId="63908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3" w:type="dxa"/>
            <w:vAlign w:val="top"/>
          </w:tcPr>
          <w:p w14:paraId="61261154">
            <w:pPr>
              <w:pStyle w:val="17"/>
              <w:spacing w:before="72" w:line="270" w:lineRule="exact"/>
              <w:ind w:left="528"/>
              <w:rPr>
                <w:color w:val="auto"/>
                <w:highlight w:val="none"/>
              </w:rPr>
            </w:pPr>
            <w:r>
              <w:rPr>
                <w:color w:val="auto"/>
                <w:position w:val="1"/>
                <w:highlight w:val="none"/>
              </w:rPr>
              <w:t>4</w:t>
            </w:r>
          </w:p>
        </w:tc>
        <w:tc>
          <w:tcPr>
            <w:tcW w:w="3452" w:type="dxa"/>
            <w:vAlign w:val="top"/>
          </w:tcPr>
          <w:p w14:paraId="5F91E7E8">
            <w:pPr>
              <w:pStyle w:val="17"/>
              <w:spacing w:before="226" w:line="84" w:lineRule="exact"/>
              <w:ind w:left="1263"/>
              <w:rPr>
                <w:color w:val="auto"/>
                <w:highlight w:val="none"/>
              </w:rPr>
            </w:pPr>
            <w:r>
              <w:rPr>
                <w:color w:val="auto"/>
                <w:spacing w:val="4"/>
                <w:position w:val="1"/>
                <w:highlight w:val="none"/>
              </w:rPr>
              <w:t>.........</w:t>
            </w:r>
          </w:p>
        </w:tc>
        <w:tc>
          <w:tcPr>
            <w:tcW w:w="1351" w:type="dxa"/>
            <w:vAlign w:val="top"/>
          </w:tcPr>
          <w:p w14:paraId="5E3505BF">
            <w:pPr>
              <w:rPr>
                <w:rFonts w:ascii="Arial"/>
                <w:color w:val="auto"/>
                <w:sz w:val="21"/>
                <w:highlight w:val="none"/>
              </w:rPr>
            </w:pPr>
          </w:p>
        </w:tc>
        <w:tc>
          <w:tcPr>
            <w:tcW w:w="1198" w:type="dxa"/>
            <w:vAlign w:val="top"/>
          </w:tcPr>
          <w:p w14:paraId="222D2EF0">
            <w:pPr>
              <w:rPr>
                <w:rFonts w:ascii="Arial"/>
                <w:color w:val="auto"/>
                <w:sz w:val="21"/>
                <w:highlight w:val="none"/>
              </w:rPr>
            </w:pPr>
          </w:p>
        </w:tc>
        <w:tc>
          <w:tcPr>
            <w:tcW w:w="1649" w:type="dxa"/>
            <w:vAlign w:val="top"/>
          </w:tcPr>
          <w:p w14:paraId="2D84C5F6">
            <w:pPr>
              <w:rPr>
                <w:rFonts w:ascii="Arial"/>
                <w:color w:val="auto"/>
                <w:sz w:val="21"/>
                <w:highlight w:val="none"/>
              </w:rPr>
            </w:pPr>
          </w:p>
        </w:tc>
        <w:tc>
          <w:tcPr>
            <w:tcW w:w="1649" w:type="dxa"/>
            <w:vAlign w:val="top"/>
          </w:tcPr>
          <w:p w14:paraId="1D398A07">
            <w:pPr>
              <w:rPr>
                <w:rFonts w:ascii="Arial"/>
                <w:color w:val="auto"/>
                <w:sz w:val="21"/>
                <w:highlight w:val="none"/>
              </w:rPr>
            </w:pPr>
          </w:p>
        </w:tc>
        <w:tc>
          <w:tcPr>
            <w:tcW w:w="3766" w:type="dxa"/>
            <w:vAlign w:val="top"/>
          </w:tcPr>
          <w:p w14:paraId="3099FD8F">
            <w:pPr>
              <w:rPr>
                <w:rFonts w:ascii="Arial"/>
                <w:color w:val="auto"/>
                <w:sz w:val="21"/>
                <w:highlight w:val="none"/>
              </w:rPr>
            </w:pPr>
          </w:p>
        </w:tc>
      </w:tr>
      <w:tr w14:paraId="1D29D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3" w:type="dxa"/>
            <w:vAlign w:val="top"/>
          </w:tcPr>
          <w:p w14:paraId="625591E2">
            <w:pPr>
              <w:pStyle w:val="17"/>
              <w:spacing w:before="33" w:line="361" w:lineRule="auto"/>
              <w:ind w:left="278" w:right="277" w:firstLine="93"/>
              <w:rPr>
                <w:color w:val="auto"/>
                <w:highlight w:val="none"/>
              </w:rPr>
            </w:pPr>
            <w:r>
              <w:rPr>
                <w:color w:val="auto"/>
                <w:spacing w:val="4"/>
                <w:highlight w:val="none"/>
              </w:rPr>
              <w:t>合计</w:t>
            </w:r>
            <w:r>
              <w:rPr>
                <w:color w:val="auto"/>
                <w:spacing w:val="-3"/>
                <w:highlight w:val="none"/>
              </w:rPr>
              <w:t>（元）</w:t>
            </w:r>
          </w:p>
        </w:tc>
        <w:tc>
          <w:tcPr>
            <w:tcW w:w="3452" w:type="dxa"/>
            <w:vAlign w:val="top"/>
          </w:tcPr>
          <w:p w14:paraId="502CB034">
            <w:pPr>
              <w:rPr>
                <w:rFonts w:ascii="Arial"/>
                <w:color w:val="auto"/>
                <w:sz w:val="21"/>
                <w:highlight w:val="none"/>
              </w:rPr>
            </w:pPr>
          </w:p>
        </w:tc>
        <w:tc>
          <w:tcPr>
            <w:tcW w:w="1351" w:type="dxa"/>
            <w:vAlign w:val="top"/>
          </w:tcPr>
          <w:p w14:paraId="6870BD57">
            <w:pPr>
              <w:rPr>
                <w:rFonts w:ascii="Arial"/>
                <w:color w:val="auto"/>
                <w:sz w:val="21"/>
                <w:highlight w:val="none"/>
              </w:rPr>
            </w:pPr>
          </w:p>
        </w:tc>
        <w:tc>
          <w:tcPr>
            <w:tcW w:w="1198" w:type="dxa"/>
            <w:vAlign w:val="top"/>
          </w:tcPr>
          <w:p w14:paraId="0DB2DD6A">
            <w:pPr>
              <w:rPr>
                <w:rFonts w:ascii="Arial"/>
                <w:color w:val="auto"/>
                <w:sz w:val="21"/>
                <w:highlight w:val="none"/>
              </w:rPr>
            </w:pPr>
          </w:p>
        </w:tc>
        <w:tc>
          <w:tcPr>
            <w:tcW w:w="1649" w:type="dxa"/>
            <w:vAlign w:val="top"/>
          </w:tcPr>
          <w:p w14:paraId="4D3BB6E8">
            <w:pPr>
              <w:rPr>
                <w:rFonts w:ascii="Arial"/>
                <w:color w:val="auto"/>
                <w:sz w:val="21"/>
                <w:highlight w:val="none"/>
              </w:rPr>
            </w:pPr>
          </w:p>
        </w:tc>
        <w:tc>
          <w:tcPr>
            <w:tcW w:w="1649" w:type="dxa"/>
            <w:vAlign w:val="top"/>
          </w:tcPr>
          <w:p w14:paraId="1682509F">
            <w:pPr>
              <w:rPr>
                <w:rFonts w:ascii="Arial"/>
                <w:color w:val="auto"/>
                <w:sz w:val="21"/>
                <w:highlight w:val="none"/>
              </w:rPr>
            </w:pPr>
          </w:p>
        </w:tc>
        <w:tc>
          <w:tcPr>
            <w:tcW w:w="3766" w:type="dxa"/>
            <w:vAlign w:val="top"/>
          </w:tcPr>
          <w:p w14:paraId="02AF30F7">
            <w:pPr>
              <w:rPr>
                <w:rFonts w:ascii="Arial"/>
                <w:color w:val="auto"/>
                <w:sz w:val="21"/>
                <w:highlight w:val="none"/>
              </w:rPr>
            </w:pPr>
          </w:p>
        </w:tc>
      </w:tr>
    </w:tbl>
    <w:p w14:paraId="1550250B">
      <w:pPr>
        <w:rPr>
          <w:rFonts w:ascii="Arial"/>
          <w:color w:val="auto"/>
          <w:sz w:val="21"/>
          <w:highlight w:val="none"/>
        </w:rPr>
      </w:pPr>
    </w:p>
    <w:p w14:paraId="0FB293EE">
      <w:pPr>
        <w:rPr>
          <w:rFonts w:ascii="Arial"/>
          <w:color w:val="auto"/>
          <w:sz w:val="21"/>
          <w:highlight w:val="none"/>
        </w:rPr>
      </w:pPr>
    </w:p>
    <w:p w14:paraId="22B2786B">
      <w:pPr>
        <w:rPr>
          <w:rFonts w:ascii="Arial"/>
          <w:color w:val="auto"/>
          <w:sz w:val="21"/>
          <w:highlight w:val="none"/>
        </w:rPr>
      </w:pPr>
    </w:p>
    <w:p w14:paraId="717A796A">
      <w:pPr>
        <w:rPr>
          <w:rFonts w:ascii="Arial"/>
          <w:color w:val="auto"/>
          <w:sz w:val="21"/>
          <w:highlight w:val="none"/>
        </w:rPr>
      </w:pPr>
    </w:p>
    <w:p w14:paraId="7F1036D9">
      <w:pPr>
        <w:rPr>
          <w:rFonts w:ascii="Arial"/>
          <w:color w:val="auto"/>
          <w:sz w:val="21"/>
          <w:highlight w:val="none"/>
        </w:rPr>
      </w:pPr>
    </w:p>
    <w:p w14:paraId="619FCE02">
      <w:pPr>
        <w:rPr>
          <w:rFonts w:ascii="Arial"/>
          <w:color w:val="auto"/>
          <w:sz w:val="21"/>
          <w:highlight w:val="none"/>
        </w:rPr>
      </w:pPr>
    </w:p>
    <w:p w14:paraId="20627256">
      <w:pPr>
        <w:rPr>
          <w:rFonts w:ascii="Arial"/>
          <w:color w:val="auto"/>
          <w:sz w:val="21"/>
          <w:highlight w:val="none"/>
        </w:rPr>
      </w:pPr>
    </w:p>
    <w:p w14:paraId="2B88F70A">
      <w:pPr>
        <w:rPr>
          <w:rFonts w:ascii="Arial"/>
          <w:color w:val="auto"/>
          <w:sz w:val="21"/>
          <w:highlight w:val="none"/>
        </w:rPr>
      </w:pPr>
    </w:p>
    <w:p w14:paraId="3962D15F">
      <w:pPr>
        <w:rPr>
          <w:rFonts w:ascii="Arial"/>
          <w:color w:val="auto"/>
          <w:sz w:val="21"/>
          <w:highlight w:val="none"/>
        </w:rPr>
      </w:pPr>
    </w:p>
    <w:p w14:paraId="6D69BAAA">
      <w:pPr>
        <w:rPr>
          <w:rFonts w:ascii="Arial"/>
          <w:color w:val="auto"/>
          <w:sz w:val="21"/>
          <w:highlight w:val="none"/>
        </w:rPr>
      </w:pPr>
    </w:p>
    <w:p w14:paraId="50AA3646">
      <w:pPr>
        <w:rPr>
          <w:rFonts w:ascii="Arial"/>
          <w:color w:val="auto"/>
          <w:sz w:val="21"/>
          <w:highlight w:val="none"/>
        </w:rPr>
      </w:pPr>
    </w:p>
    <w:p w14:paraId="68967B4E">
      <w:pPr>
        <w:rPr>
          <w:rFonts w:ascii="Arial"/>
          <w:color w:val="auto"/>
          <w:sz w:val="21"/>
          <w:highlight w:val="none"/>
        </w:rPr>
      </w:pPr>
    </w:p>
    <w:p w14:paraId="09DDA17F">
      <w:pPr>
        <w:rPr>
          <w:rFonts w:ascii="Arial"/>
          <w:color w:val="auto"/>
          <w:sz w:val="21"/>
          <w:highlight w:val="none"/>
        </w:rPr>
      </w:pPr>
    </w:p>
    <w:p w14:paraId="6425E977">
      <w:pPr>
        <w:rPr>
          <w:rFonts w:ascii="Arial"/>
          <w:color w:val="auto"/>
          <w:sz w:val="21"/>
          <w:highlight w:val="none"/>
        </w:rPr>
      </w:pPr>
    </w:p>
    <w:p w14:paraId="7177DCD3">
      <w:pPr>
        <w:rPr>
          <w:rFonts w:ascii="Arial"/>
          <w:color w:val="auto"/>
          <w:sz w:val="21"/>
          <w:highlight w:val="none"/>
        </w:rPr>
      </w:pPr>
    </w:p>
    <w:p w14:paraId="30C57861">
      <w:pPr>
        <w:rPr>
          <w:rFonts w:ascii="Arial"/>
          <w:color w:val="auto"/>
          <w:sz w:val="21"/>
          <w:highlight w:val="none"/>
        </w:rPr>
      </w:pPr>
      <w:r>
        <w:rPr>
          <w:color w:val="auto"/>
          <w:highlight w:val="none"/>
        </w:rPr>
        <w:pict>
          <v:shape id="_x0000_s1100" o:spid="_x0000_s1100" style="position:absolute;left:0pt;margin-left:5.45pt;margin-top:10.35pt;height:0pt;width:144pt;z-index:251708416;mso-width-relative:page;mso-height-relative:page;" filled="f" stroked="t" coordsize="2880,0" path="m0,0l2880,0e">
            <v:fill on="f" focussize="0,0"/>
            <v:stroke weight="0pt" color="#000000" miterlimit="0" joinstyle="bevel" endcap="square"/>
            <v:imagedata o:title=""/>
            <o:lock v:ext="edit"/>
          </v:shape>
        </w:pict>
      </w:r>
    </w:p>
    <w:p w14:paraId="6F7EAD22">
      <w:pPr>
        <w:rPr>
          <w:rFonts w:ascii="Arial"/>
          <w:color w:val="auto"/>
          <w:sz w:val="21"/>
          <w:highlight w:val="none"/>
        </w:rPr>
      </w:pPr>
    </w:p>
    <w:p w14:paraId="7C48AE0B">
      <w:pPr>
        <w:spacing w:before="59" w:line="373" w:lineRule="auto"/>
        <w:ind w:left="114" w:right="163"/>
        <w:rPr>
          <w:rFonts w:ascii="宋体" w:hAnsi="宋体" w:eastAsia="宋体" w:cs="宋体"/>
          <w:color w:val="auto"/>
          <w:sz w:val="18"/>
          <w:szCs w:val="18"/>
          <w:highlight w:val="none"/>
        </w:rPr>
      </w:pPr>
      <w:r>
        <w:rPr>
          <w:rFonts w:ascii="宋体" w:hAnsi="宋体" w:eastAsia="宋体" w:cs="宋体"/>
          <w:color w:val="auto"/>
          <w:sz w:val="18"/>
          <w:szCs w:val="18"/>
          <w:highlight w:val="none"/>
        </w:rPr>
        <w:t>① 根据《广东省公路工程施工监理指南（试行）》和《广东省交通运输厅关于推进公路建设项目管理改革的指导意见（试行）》相关要求，招标人结合项目特点</w:t>
      </w:r>
      <w:r>
        <w:rPr>
          <w:rFonts w:ascii="宋体" w:hAnsi="宋体" w:eastAsia="宋体" w:cs="宋体"/>
          <w:color w:val="auto"/>
          <w:spacing w:val="-1"/>
          <w:sz w:val="18"/>
          <w:szCs w:val="18"/>
          <w:highlight w:val="none"/>
        </w:rPr>
        <w:t>合理设置他费用</w:t>
      </w:r>
      <w:bookmarkStart w:id="362" w:name="bookmark163"/>
      <w:bookmarkEnd w:id="362"/>
      <w:r>
        <w:rPr>
          <w:rFonts w:ascii="宋体" w:hAnsi="宋体" w:eastAsia="宋体" w:cs="宋体"/>
          <w:color w:val="auto"/>
          <w:sz w:val="18"/>
          <w:szCs w:val="18"/>
          <w:highlight w:val="none"/>
        </w:rPr>
        <w:t>报价表中的费用子目，并在合同</w:t>
      </w:r>
      <w:r>
        <w:rPr>
          <w:rFonts w:ascii="MingLiU-ExtB" w:hAnsi="MingLiU-ExtB" w:eastAsia="MingLiU-ExtB" w:cs="MingLiU-ExtB"/>
          <w:color w:val="auto"/>
          <w:sz w:val="18"/>
          <w:szCs w:val="18"/>
          <w:highlight w:val="none"/>
        </w:rPr>
        <w:t>9</w:t>
      </w:r>
      <w:r>
        <w:rPr>
          <w:rFonts w:ascii="MingLiU-ExtB" w:hAnsi="MingLiU-ExtB" w:eastAsia="MingLiU-ExtB" w:cs="MingLiU-ExtB"/>
          <w:color w:val="auto"/>
          <w:spacing w:val="-53"/>
          <w:sz w:val="18"/>
          <w:szCs w:val="18"/>
          <w:highlight w:val="none"/>
        </w:rPr>
        <w:t xml:space="preserve"> </w:t>
      </w:r>
      <w:r>
        <w:rPr>
          <w:rFonts w:ascii="MingLiU-ExtB" w:hAnsi="MingLiU-ExtB" w:eastAsia="MingLiU-ExtB" w:cs="MingLiU-ExtB"/>
          <w:color w:val="auto"/>
          <w:sz w:val="18"/>
          <w:szCs w:val="18"/>
          <w:highlight w:val="none"/>
        </w:rPr>
        <w:t>.3</w:t>
      </w:r>
      <w:r>
        <w:rPr>
          <w:rFonts w:ascii="MingLiU-ExtB" w:hAnsi="MingLiU-ExtB" w:eastAsia="MingLiU-ExtB" w:cs="MingLiU-ExtB"/>
          <w:color w:val="auto"/>
          <w:spacing w:val="-38"/>
          <w:sz w:val="18"/>
          <w:szCs w:val="18"/>
          <w:highlight w:val="none"/>
        </w:rPr>
        <w:t xml:space="preserve"> </w:t>
      </w:r>
      <w:r>
        <w:rPr>
          <w:rFonts w:ascii="宋体" w:hAnsi="宋体" w:eastAsia="宋体" w:cs="宋体"/>
          <w:color w:val="auto"/>
          <w:sz w:val="18"/>
          <w:szCs w:val="18"/>
          <w:highlight w:val="none"/>
        </w:rPr>
        <w:t>款中约</w:t>
      </w:r>
      <w:r>
        <w:rPr>
          <w:rFonts w:ascii="宋体" w:hAnsi="宋体" w:eastAsia="宋体" w:cs="宋体"/>
          <w:color w:val="auto"/>
          <w:spacing w:val="-1"/>
          <w:sz w:val="18"/>
          <w:szCs w:val="18"/>
          <w:highlight w:val="none"/>
        </w:rPr>
        <w:t>定支付细则。</w:t>
      </w:r>
    </w:p>
    <w:p w14:paraId="1F591AB1">
      <w:pPr>
        <w:spacing w:line="373" w:lineRule="auto"/>
        <w:rPr>
          <w:rFonts w:ascii="宋体" w:hAnsi="宋体" w:eastAsia="宋体" w:cs="宋体"/>
          <w:color w:val="auto"/>
          <w:sz w:val="18"/>
          <w:szCs w:val="18"/>
          <w:highlight w:val="none"/>
        </w:rPr>
        <w:sectPr>
          <w:footerReference r:id="rId120" w:type="default"/>
          <w:pgSz w:w="16839" w:h="11906"/>
          <w:pgMar w:top="1012" w:right="1307" w:bottom="1297" w:left="1307" w:header="0" w:footer="1069" w:gutter="0"/>
          <w:pgNumType w:fmt="decimal"/>
          <w:cols w:space="720" w:num="1"/>
        </w:sectPr>
      </w:pPr>
    </w:p>
    <w:p w14:paraId="419A8487">
      <w:pPr>
        <w:spacing w:before="55" w:line="212" w:lineRule="auto"/>
        <w:ind w:left="3076"/>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表</w:t>
      </w:r>
      <w:r>
        <w:rPr>
          <w:rFonts w:ascii="宋体" w:hAnsi="宋体" w:eastAsia="宋体" w:cs="宋体"/>
          <w:color w:val="auto"/>
          <w:spacing w:val="-52"/>
          <w:sz w:val="28"/>
          <w:szCs w:val="28"/>
          <w:highlight w:val="none"/>
        </w:rPr>
        <w:t xml:space="preserve"> </w:t>
      </w:r>
      <w:r>
        <w:rPr>
          <w:rFonts w:ascii="宋体" w:hAnsi="宋体" w:eastAsia="宋体" w:cs="宋体"/>
          <w:b/>
          <w:bCs/>
          <w:color w:val="auto"/>
          <w:spacing w:val="-4"/>
          <w:sz w:val="28"/>
          <w:szCs w:val="28"/>
          <w:highlight w:val="none"/>
        </w:rPr>
        <w:t>8</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监理费用支付估算表</w:t>
      </w:r>
    </w:p>
    <w:tbl>
      <w:tblPr>
        <w:tblStyle w:val="16"/>
        <w:tblW w:w="9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3"/>
        <w:gridCol w:w="661"/>
        <w:gridCol w:w="661"/>
        <w:gridCol w:w="661"/>
        <w:gridCol w:w="664"/>
        <w:gridCol w:w="660"/>
        <w:gridCol w:w="661"/>
        <w:gridCol w:w="661"/>
        <w:gridCol w:w="666"/>
        <w:gridCol w:w="1467"/>
        <w:gridCol w:w="923"/>
      </w:tblGrid>
      <w:tr w14:paraId="625FA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03" w:type="dxa"/>
            <w:vMerge w:val="restart"/>
            <w:tcBorders>
              <w:bottom w:val="nil"/>
              <w:tl2br w:val="single" w:color="000000" w:sz="8" w:space="0"/>
            </w:tcBorders>
            <w:vAlign w:val="top"/>
          </w:tcPr>
          <w:p w14:paraId="5FC8C470">
            <w:pPr>
              <w:pStyle w:val="17"/>
              <w:spacing w:before="208" w:line="277" w:lineRule="auto"/>
              <w:ind w:left="51" w:right="55" w:firstLine="1091"/>
              <w:rPr>
                <w:color w:val="auto"/>
                <w:highlight w:val="none"/>
              </w:rPr>
            </w:pPr>
            <w:r>
              <w:rPr>
                <w:color w:val="auto"/>
                <w:spacing w:val="-1"/>
                <w:highlight w:val="none"/>
              </w:rPr>
              <w:t>时间</w:t>
            </w:r>
            <w:r>
              <w:rPr>
                <w:color w:val="auto"/>
                <w:spacing w:val="3"/>
                <w:highlight w:val="none"/>
              </w:rPr>
              <w:t>项目</w:t>
            </w:r>
          </w:p>
        </w:tc>
        <w:tc>
          <w:tcPr>
            <w:tcW w:w="2647" w:type="dxa"/>
            <w:gridSpan w:val="4"/>
            <w:vAlign w:val="top"/>
          </w:tcPr>
          <w:p w14:paraId="6365DE93">
            <w:pPr>
              <w:pStyle w:val="17"/>
              <w:tabs>
                <w:tab w:val="left" w:pos="1020"/>
              </w:tabs>
              <w:spacing w:before="165" w:line="216" w:lineRule="auto"/>
              <w:ind w:left="706"/>
              <w:rPr>
                <w:color w:val="auto"/>
                <w:highlight w:val="none"/>
              </w:rPr>
            </w:pPr>
            <w:r>
              <w:rPr>
                <w:color w:val="auto"/>
                <w:highlight w:val="none"/>
                <w:u w:val="single" w:color="auto"/>
              </w:rPr>
              <w:tab/>
            </w:r>
            <w:r>
              <w:rPr>
                <w:color w:val="auto"/>
                <w:spacing w:val="-88"/>
                <w:highlight w:val="none"/>
              </w:rPr>
              <w:t xml:space="preserve"> </w:t>
            </w:r>
            <w:r>
              <w:rPr>
                <w:color w:val="auto"/>
                <w:spacing w:val="2"/>
                <w:highlight w:val="none"/>
              </w:rPr>
              <w:t>年</w:t>
            </w:r>
            <w:r>
              <w:rPr>
                <w:color w:val="auto"/>
                <w:spacing w:val="-99"/>
                <w:highlight w:val="none"/>
              </w:rPr>
              <w:t xml:space="preserve"> </w:t>
            </w:r>
            <w:r>
              <w:rPr>
                <w:color w:val="auto"/>
                <w:spacing w:val="5"/>
                <w:highlight w:val="none"/>
                <w:u w:val="single" w:color="auto"/>
              </w:rPr>
              <w:t xml:space="preserve">   </w:t>
            </w:r>
            <w:r>
              <w:rPr>
                <w:color w:val="auto"/>
                <w:spacing w:val="-91"/>
                <w:highlight w:val="none"/>
              </w:rPr>
              <w:t xml:space="preserve"> </w:t>
            </w:r>
            <w:r>
              <w:rPr>
                <w:color w:val="auto"/>
                <w:spacing w:val="2"/>
                <w:highlight w:val="none"/>
              </w:rPr>
              <w:t>季度</w:t>
            </w:r>
          </w:p>
        </w:tc>
        <w:tc>
          <w:tcPr>
            <w:tcW w:w="2648" w:type="dxa"/>
            <w:gridSpan w:val="4"/>
            <w:vAlign w:val="top"/>
          </w:tcPr>
          <w:p w14:paraId="6D3632BF">
            <w:pPr>
              <w:pStyle w:val="17"/>
              <w:tabs>
                <w:tab w:val="left" w:pos="1005"/>
              </w:tabs>
              <w:spacing w:before="165" w:line="216" w:lineRule="auto"/>
              <w:ind w:left="692"/>
              <w:rPr>
                <w:color w:val="auto"/>
                <w:highlight w:val="none"/>
              </w:rPr>
            </w:pPr>
            <w:r>
              <w:rPr>
                <w:color w:val="auto"/>
                <w:highlight w:val="none"/>
                <w:u w:val="single" w:color="auto"/>
              </w:rPr>
              <w:tab/>
            </w:r>
            <w:r>
              <w:rPr>
                <w:color w:val="auto"/>
                <w:spacing w:val="-88"/>
                <w:highlight w:val="none"/>
              </w:rPr>
              <w:t xml:space="preserve"> </w:t>
            </w:r>
            <w:r>
              <w:rPr>
                <w:color w:val="auto"/>
                <w:spacing w:val="2"/>
                <w:highlight w:val="none"/>
              </w:rPr>
              <w:t>年</w:t>
            </w:r>
            <w:r>
              <w:rPr>
                <w:color w:val="auto"/>
                <w:spacing w:val="5"/>
                <w:highlight w:val="none"/>
                <w:u w:val="single" w:color="auto"/>
              </w:rPr>
              <w:t xml:space="preserve">   </w:t>
            </w:r>
            <w:r>
              <w:rPr>
                <w:color w:val="auto"/>
                <w:spacing w:val="-90"/>
                <w:highlight w:val="none"/>
              </w:rPr>
              <w:t xml:space="preserve"> </w:t>
            </w:r>
            <w:r>
              <w:rPr>
                <w:color w:val="auto"/>
                <w:spacing w:val="2"/>
                <w:highlight w:val="none"/>
              </w:rPr>
              <w:t>季度</w:t>
            </w:r>
          </w:p>
        </w:tc>
        <w:tc>
          <w:tcPr>
            <w:tcW w:w="1467" w:type="dxa"/>
            <w:vMerge w:val="restart"/>
            <w:tcBorders>
              <w:bottom w:val="nil"/>
            </w:tcBorders>
            <w:vAlign w:val="top"/>
          </w:tcPr>
          <w:p w14:paraId="4E3770E9">
            <w:pPr>
              <w:spacing w:line="302" w:lineRule="auto"/>
              <w:rPr>
                <w:rFonts w:ascii="Arial"/>
                <w:color w:val="auto"/>
                <w:sz w:val="21"/>
                <w:highlight w:val="none"/>
              </w:rPr>
            </w:pPr>
          </w:p>
          <w:p w14:paraId="18C2D4B0">
            <w:pPr>
              <w:pStyle w:val="17"/>
              <w:spacing w:before="65" w:line="228" w:lineRule="auto"/>
              <w:ind w:left="215"/>
              <w:rPr>
                <w:color w:val="auto"/>
                <w:highlight w:val="none"/>
              </w:rPr>
            </w:pPr>
            <w:r>
              <w:rPr>
                <w:color w:val="auto"/>
                <w:spacing w:val="8"/>
                <w:highlight w:val="none"/>
              </w:rPr>
              <w:t>缺陷责任期</w:t>
            </w:r>
          </w:p>
        </w:tc>
        <w:tc>
          <w:tcPr>
            <w:tcW w:w="923" w:type="dxa"/>
            <w:vMerge w:val="restart"/>
            <w:tcBorders>
              <w:bottom w:val="nil"/>
            </w:tcBorders>
            <w:vAlign w:val="top"/>
          </w:tcPr>
          <w:p w14:paraId="73B9E93F">
            <w:pPr>
              <w:spacing w:line="302" w:lineRule="auto"/>
              <w:rPr>
                <w:rFonts w:ascii="Arial"/>
                <w:color w:val="auto"/>
                <w:sz w:val="21"/>
                <w:highlight w:val="none"/>
              </w:rPr>
            </w:pPr>
          </w:p>
          <w:p w14:paraId="4A409AD4">
            <w:pPr>
              <w:pStyle w:val="17"/>
              <w:spacing w:before="65" w:line="229" w:lineRule="auto"/>
              <w:ind w:left="258"/>
              <w:rPr>
                <w:color w:val="auto"/>
                <w:highlight w:val="none"/>
              </w:rPr>
            </w:pPr>
            <w:r>
              <w:rPr>
                <w:color w:val="auto"/>
                <w:spacing w:val="4"/>
                <w:highlight w:val="none"/>
              </w:rPr>
              <w:t>合计</w:t>
            </w:r>
          </w:p>
        </w:tc>
      </w:tr>
      <w:tr w14:paraId="697AC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603" w:type="dxa"/>
            <w:vMerge w:val="continue"/>
            <w:tcBorders>
              <w:top w:val="nil"/>
              <w:tl2br w:val="single" w:color="000000" w:sz="8" w:space="0"/>
            </w:tcBorders>
            <w:vAlign w:val="top"/>
          </w:tcPr>
          <w:p w14:paraId="063D4B42">
            <w:pPr>
              <w:rPr>
                <w:rFonts w:ascii="Arial"/>
                <w:color w:val="auto"/>
                <w:sz w:val="21"/>
                <w:highlight w:val="none"/>
              </w:rPr>
            </w:pPr>
          </w:p>
        </w:tc>
        <w:tc>
          <w:tcPr>
            <w:tcW w:w="661" w:type="dxa"/>
            <w:vAlign w:val="top"/>
          </w:tcPr>
          <w:p w14:paraId="204B4562">
            <w:pPr>
              <w:pStyle w:val="17"/>
              <w:spacing w:before="158" w:line="218" w:lineRule="auto"/>
              <w:ind w:left="296"/>
              <w:rPr>
                <w:color w:val="auto"/>
                <w:highlight w:val="none"/>
              </w:rPr>
            </w:pPr>
            <w:r>
              <w:rPr>
                <w:color w:val="auto"/>
                <w:highlight w:val="none"/>
              </w:rPr>
              <w:t>1</w:t>
            </w:r>
          </w:p>
        </w:tc>
        <w:tc>
          <w:tcPr>
            <w:tcW w:w="661" w:type="dxa"/>
            <w:vAlign w:val="top"/>
          </w:tcPr>
          <w:p w14:paraId="059FD4C0">
            <w:pPr>
              <w:pStyle w:val="17"/>
              <w:spacing w:before="158" w:line="218" w:lineRule="auto"/>
              <w:ind w:left="284"/>
              <w:rPr>
                <w:color w:val="auto"/>
                <w:highlight w:val="none"/>
              </w:rPr>
            </w:pPr>
            <w:r>
              <w:rPr>
                <w:color w:val="auto"/>
                <w:highlight w:val="none"/>
              </w:rPr>
              <w:t>2</w:t>
            </w:r>
          </w:p>
        </w:tc>
        <w:tc>
          <w:tcPr>
            <w:tcW w:w="661" w:type="dxa"/>
            <w:vAlign w:val="top"/>
          </w:tcPr>
          <w:p w14:paraId="228B4B2B">
            <w:pPr>
              <w:pStyle w:val="17"/>
              <w:spacing w:before="158" w:line="218" w:lineRule="auto"/>
              <w:ind w:left="285"/>
              <w:rPr>
                <w:color w:val="auto"/>
                <w:highlight w:val="none"/>
              </w:rPr>
            </w:pPr>
            <w:r>
              <w:rPr>
                <w:color w:val="auto"/>
                <w:highlight w:val="none"/>
              </w:rPr>
              <w:t>3</w:t>
            </w:r>
          </w:p>
        </w:tc>
        <w:tc>
          <w:tcPr>
            <w:tcW w:w="664" w:type="dxa"/>
            <w:vAlign w:val="top"/>
          </w:tcPr>
          <w:p w14:paraId="4BE96C3A">
            <w:pPr>
              <w:pStyle w:val="17"/>
              <w:spacing w:before="158" w:line="218" w:lineRule="auto"/>
              <w:ind w:left="284"/>
              <w:rPr>
                <w:color w:val="auto"/>
                <w:highlight w:val="none"/>
              </w:rPr>
            </w:pPr>
            <w:r>
              <w:rPr>
                <w:color w:val="auto"/>
                <w:highlight w:val="none"/>
              </w:rPr>
              <w:t>4</w:t>
            </w:r>
          </w:p>
        </w:tc>
        <w:tc>
          <w:tcPr>
            <w:tcW w:w="660" w:type="dxa"/>
            <w:vAlign w:val="top"/>
          </w:tcPr>
          <w:p w14:paraId="1FF6C728">
            <w:pPr>
              <w:pStyle w:val="17"/>
              <w:spacing w:before="158" w:line="218" w:lineRule="auto"/>
              <w:ind w:left="298"/>
              <w:rPr>
                <w:color w:val="auto"/>
                <w:highlight w:val="none"/>
              </w:rPr>
            </w:pPr>
            <w:r>
              <w:rPr>
                <w:color w:val="auto"/>
                <w:highlight w:val="none"/>
              </w:rPr>
              <w:t>1</w:t>
            </w:r>
          </w:p>
        </w:tc>
        <w:tc>
          <w:tcPr>
            <w:tcW w:w="661" w:type="dxa"/>
            <w:vAlign w:val="top"/>
          </w:tcPr>
          <w:p w14:paraId="2CCE0276">
            <w:pPr>
              <w:pStyle w:val="17"/>
              <w:spacing w:before="158" w:line="218" w:lineRule="auto"/>
              <w:ind w:left="285"/>
              <w:rPr>
                <w:color w:val="auto"/>
                <w:highlight w:val="none"/>
              </w:rPr>
            </w:pPr>
            <w:r>
              <w:rPr>
                <w:color w:val="auto"/>
                <w:highlight w:val="none"/>
              </w:rPr>
              <w:t>2</w:t>
            </w:r>
          </w:p>
        </w:tc>
        <w:tc>
          <w:tcPr>
            <w:tcW w:w="661" w:type="dxa"/>
            <w:vAlign w:val="top"/>
          </w:tcPr>
          <w:p w14:paraId="642A5247">
            <w:pPr>
              <w:pStyle w:val="17"/>
              <w:spacing w:before="158" w:line="218" w:lineRule="auto"/>
              <w:ind w:left="288"/>
              <w:rPr>
                <w:color w:val="auto"/>
                <w:highlight w:val="none"/>
              </w:rPr>
            </w:pPr>
            <w:r>
              <w:rPr>
                <w:color w:val="auto"/>
                <w:highlight w:val="none"/>
              </w:rPr>
              <w:t>3</w:t>
            </w:r>
          </w:p>
        </w:tc>
        <w:tc>
          <w:tcPr>
            <w:tcW w:w="666" w:type="dxa"/>
            <w:vAlign w:val="top"/>
          </w:tcPr>
          <w:p w14:paraId="21150E6A">
            <w:pPr>
              <w:pStyle w:val="17"/>
              <w:spacing w:before="158" w:line="218" w:lineRule="auto"/>
              <w:ind w:left="285"/>
              <w:rPr>
                <w:color w:val="auto"/>
                <w:highlight w:val="none"/>
              </w:rPr>
            </w:pPr>
            <w:r>
              <w:rPr>
                <w:color w:val="auto"/>
                <w:highlight w:val="none"/>
              </w:rPr>
              <w:t>4</w:t>
            </w:r>
          </w:p>
        </w:tc>
        <w:tc>
          <w:tcPr>
            <w:tcW w:w="1467" w:type="dxa"/>
            <w:vMerge w:val="continue"/>
            <w:tcBorders>
              <w:top w:val="nil"/>
            </w:tcBorders>
            <w:vAlign w:val="top"/>
          </w:tcPr>
          <w:p w14:paraId="11093D15">
            <w:pPr>
              <w:rPr>
                <w:rFonts w:ascii="Arial"/>
                <w:color w:val="auto"/>
                <w:sz w:val="21"/>
                <w:highlight w:val="none"/>
              </w:rPr>
            </w:pPr>
          </w:p>
        </w:tc>
        <w:tc>
          <w:tcPr>
            <w:tcW w:w="923" w:type="dxa"/>
            <w:vMerge w:val="continue"/>
            <w:tcBorders>
              <w:top w:val="nil"/>
            </w:tcBorders>
            <w:vAlign w:val="top"/>
          </w:tcPr>
          <w:p w14:paraId="4414CB33">
            <w:pPr>
              <w:rPr>
                <w:rFonts w:ascii="Arial"/>
                <w:color w:val="auto"/>
                <w:sz w:val="21"/>
                <w:highlight w:val="none"/>
              </w:rPr>
            </w:pPr>
          </w:p>
        </w:tc>
      </w:tr>
      <w:tr w14:paraId="6ACBF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603" w:type="dxa"/>
            <w:vAlign w:val="top"/>
          </w:tcPr>
          <w:p w14:paraId="4F63D43E">
            <w:pPr>
              <w:pStyle w:val="17"/>
              <w:spacing w:before="260" w:line="216" w:lineRule="auto"/>
              <w:ind w:left="46"/>
              <w:rPr>
                <w:color w:val="auto"/>
                <w:highlight w:val="none"/>
              </w:rPr>
            </w:pPr>
            <w:r>
              <w:rPr>
                <w:color w:val="auto"/>
                <w:spacing w:val="8"/>
                <w:highlight w:val="none"/>
              </w:rPr>
              <w:t>监理人员服务费</w:t>
            </w:r>
          </w:p>
        </w:tc>
        <w:tc>
          <w:tcPr>
            <w:tcW w:w="661" w:type="dxa"/>
            <w:vAlign w:val="top"/>
          </w:tcPr>
          <w:p w14:paraId="7ACB0C9F">
            <w:pPr>
              <w:rPr>
                <w:rFonts w:ascii="Arial"/>
                <w:color w:val="auto"/>
                <w:sz w:val="21"/>
                <w:highlight w:val="none"/>
              </w:rPr>
            </w:pPr>
          </w:p>
        </w:tc>
        <w:tc>
          <w:tcPr>
            <w:tcW w:w="661" w:type="dxa"/>
            <w:vAlign w:val="top"/>
          </w:tcPr>
          <w:p w14:paraId="09A9B89D">
            <w:pPr>
              <w:rPr>
                <w:rFonts w:ascii="Arial"/>
                <w:color w:val="auto"/>
                <w:sz w:val="21"/>
                <w:highlight w:val="none"/>
              </w:rPr>
            </w:pPr>
          </w:p>
        </w:tc>
        <w:tc>
          <w:tcPr>
            <w:tcW w:w="661" w:type="dxa"/>
            <w:vAlign w:val="top"/>
          </w:tcPr>
          <w:p w14:paraId="1B7B16AA">
            <w:pPr>
              <w:rPr>
                <w:rFonts w:ascii="Arial"/>
                <w:color w:val="auto"/>
                <w:sz w:val="21"/>
                <w:highlight w:val="none"/>
              </w:rPr>
            </w:pPr>
          </w:p>
        </w:tc>
        <w:tc>
          <w:tcPr>
            <w:tcW w:w="664" w:type="dxa"/>
            <w:vAlign w:val="top"/>
          </w:tcPr>
          <w:p w14:paraId="4FF49652">
            <w:pPr>
              <w:rPr>
                <w:rFonts w:ascii="Arial"/>
                <w:color w:val="auto"/>
                <w:sz w:val="21"/>
                <w:highlight w:val="none"/>
              </w:rPr>
            </w:pPr>
          </w:p>
        </w:tc>
        <w:tc>
          <w:tcPr>
            <w:tcW w:w="660" w:type="dxa"/>
            <w:vAlign w:val="top"/>
          </w:tcPr>
          <w:p w14:paraId="0A77353A">
            <w:pPr>
              <w:rPr>
                <w:rFonts w:ascii="Arial"/>
                <w:color w:val="auto"/>
                <w:sz w:val="21"/>
                <w:highlight w:val="none"/>
              </w:rPr>
            </w:pPr>
          </w:p>
        </w:tc>
        <w:tc>
          <w:tcPr>
            <w:tcW w:w="661" w:type="dxa"/>
            <w:vAlign w:val="top"/>
          </w:tcPr>
          <w:p w14:paraId="6C880789">
            <w:pPr>
              <w:rPr>
                <w:rFonts w:ascii="Arial"/>
                <w:color w:val="auto"/>
                <w:sz w:val="21"/>
                <w:highlight w:val="none"/>
              </w:rPr>
            </w:pPr>
          </w:p>
        </w:tc>
        <w:tc>
          <w:tcPr>
            <w:tcW w:w="661" w:type="dxa"/>
            <w:vAlign w:val="top"/>
          </w:tcPr>
          <w:p w14:paraId="28561FED">
            <w:pPr>
              <w:rPr>
                <w:rFonts w:ascii="Arial"/>
                <w:color w:val="auto"/>
                <w:sz w:val="21"/>
                <w:highlight w:val="none"/>
              </w:rPr>
            </w:pPr>
          </w:p>
        </w:tc>
        <w:tc>
          <w:tcPr>
            <w:tcW w:w="666" w:type="dxa"/>
            <w:vAlign w:val="top"/>
          </w:tcPr>
          <w:p w14:paraId="11D1E6CE">
            <w:pPr>
              <w:rPr>
                <w:rFonts w:ascii="Arial"/>
                <w:color w:val="auto"/>
                <w:sz w:val="21"/>
                <w:highlight w:val="none"/>
              </w:rPr>
            </w:pPr>
          </w:p>
        </w:tc>
        <w:tc>
          <w:tcPr>
            <w:tcW w:w="1467" w:type="dxa"/>
            <w:vAlign w:val="top"/>
          </w:tcPr>
          <w:p w14:paraId="32AA3DBB">
            <w:pPr>
              <w:rPr>
                <w:rFonts w:ascii="Arial"/>
                <w:color w:val="auto"/>
                <w:sz w:val="21"/>
                <w:highlight w:val="none"/>
              </w:rPr>
            </w:pPr>
          </w:p>
        </w:tc>
        <w:tc>
          <w:tcPr>
            <w:tcW w:w="923" w:type="dxa"/>
            <w:vAlign w:val="top"/>
          </w:tcPr>
          <w:p w14:paraId="091896EE">
            <w:pPr>
              <w:rPr>
                <w:rFonts w:ascii="Arial"/>
                <w:color w:val="auto"/>
                <w:sz w:val="21"/>
                <w:highlight w:val="none"/>
              </w:rPr>
            </w:pPr>
          </w:p>
        </w:tc>
      </w:tr>
      <w:tr w14:paraId="66E82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603" w:type="dxa"/>
            <w:vAlign w:val="top"/>
          </w:tcPr>
          <w:p w14:paraId="5D8BCA2F">
            <w:pPr>
              <w:pStyle w:val="17"/>
              <w:spacing w:before="260" w:line="216" w:lineRule="auto"/>
              <w:ind w:left="46"/>
              <w:rPr>
                <w:color w:val="auto"/>
                <w:highlight w:val="none"/>
              </w:rPr>
            </w:pPr>
            <w:r>
              <w:rPr>
                <w:color w:val="auto"/>
                <w:spacing w:val="8"/>
                <w:highlight w:val="none"/>
              </w:rPr>
              <w:t>监理办公设施费</w:t>
            </w:r>
          </w:p>
        </w:tc>
        <w:tc>
          <w:tcPr>
            <w:tcW w:w="661" w:type="dxa"/>
            <w:vAlign w:val="top"/>
          </w:tcPr>
          <w:p w14:paraId="27C21E6B">
            <w:pPr>
              <w:rPr>
                <w:rFonts w:ascii="Arial"/>
                <w:color w:val="auto"/>
                <w:sz w:val="21"/>
                <w:highlight w:val="none"/>
              </w:rPr>
            </w:pPr>
          </w:p>
        </w:tc>
        <w:tc>
          <w:tcPr>
            <w:tcW w:w="661" w:type="dxa"/>
            <w:vAlign w:val="top"/>
          </w:tcPr>
          <w:p w14:paraId="2A367082">
            <w:pPr>
              <w:rPr>
                <w:rFonts w:ascii="Arial"/>
                <w:color w:val="auto"/>
                <w:sz w:val="21"/>
                <w:highlight w:val="none"/>
              </w:rPr>
            </w:pPr>
          </w:p>
        </w:tc>
        <w:tc>
          <w:tcPr>
            <w:tcW w:w="661" w:type="dxa"/>
            <w:vAlign w:val="top"/>
          </w:tcPr>
          <w:p w14:paraId="159E60EB">
            <w:pPr>
              <w:rPr>
                <w:rFonts w:ascii="Arial"/>
                <w:color w:val="auto"/>
                <w:sz w:val="21"/>
                <w:highlight w:val="none"/>
              </w:rPr>
            </w:pPr>
          </w:p>
        </w:tc>
        <w:tc>
          <w:tcPr>
            <w:tcW w:w="664" w:type="dxa"/>
            <w:vAlign w:val="top"/>
          </w:tcPr>
          <w:p w14:paraId="46E2E7F0">
            <w:pPr>
              <w:rPr>
                <w:rFonts w:ascii="Arial"/>
                <w:color w:val="auto"/>
                <w:sz w:val="21"/>
                <w:highlight w:val="none"/>
              </w:rPr>
            </w:pPr>
          </w:p>
        </w:tc>
        <w:tc>
          <w:tcPr>
            <w:tcW w:w="660" w:type="dxa"/>
            <w:vAlign w:val="top"/>
          </w:tcPr>
          <w:p w14:paraId="7877A667">
            <w:pPr>
              <w:rPr>
                <w:rFonts w:ascii="Arial"/>
                <w:color w:val="auto"/>
                <w:sz w:val="21"/>
                <w:highlight w:val="none"/>
              </w:rPr>
            </w:pPr>
          </w:p>
        </w:tc>
        <w:tc>
          <w:tcPr>
            <w:tcW w:w="661" w:type="dxa"/>
            <w:vAlign w:val="top"/>
          </w:tcPr>
          <w:p w14:paraId="0CECAA74">
            <w:pPr>
              <w:rPr>
                <w:rFonts w:ascii="Arial"/>
                <w:color w:val="auto"/>
                <w:sz w:val="21"/>
                <w:highlight w:val="none"/>
              </w:rPr>
            </w:pPr>
          </w:p>
        </w:tc>
        <w:tc>
          <w:tcPr>
            <w:tcW w:w="661" w:type="dxa"/>
            <w:vAlign w:val="top"/>
          </w:tcPr>
          <w:p w14:paraId="117F5E69">
            <w:pPr>
              <w:rPr>
                <w:rFonts w:ascii="Arial"/>
                <w:color w:val="auto"/>
                <w:sz w:val="21"/>
                <w:highlight w:val="none"/>
              </w:rPr>
            </w:pPr>
          </w:p>
        </w:tc>
        <w:tc>
          <w:tcPr>
            <w:tcW w:w="666" w:type="dxa"/>
            <w:vAlign w:val="top"/>
          </w:tcPr>
          <w:p w14:paraId="0743B953">
            <w:pPr>
              <w:rPr>
                <w:rFonts w:ascii="Arial"/>
                <w:color w:val="auto"/>
                <w:sz w:val="21"/>
                <w:highlight w:val="none"/>
              </w:rPr>
            </w:pPr>
          </w:p>
        </w:tc>
        <w:tc>
          <w:tcPr>
            <w:tcW w:w="1467" w:type="dxa"/>
            <w:vAlign w:val="top"/>
          </w:tcPr>
          <w:p w14:paraId="2417ED7C">
            <w:pPr>
              <w:rPr>
                <w:rFonts w:ascii="Arial"/>
                <w:color w:val="auto"/>
                <w:sz w:val="21"/>
                <w:highlight w:val="none"/>
              </w:rPr>
            </w:pPr>
          </w:p>
        </w:tc>
        <w:tc>
          <w:tcPr>
            <w:tcW w:w="923" w:type="dxa"/>
            <w:vAlign w:val="top"/>
          </w:tcPr>
          <w:p w14:paraId="39819E05">
            <w:pPr>
              <w:rPr>
                <w:rFonts w:ascii="Arial"/>
                <w:color w:val="auto"/>
                <w:sz w:val="21"/>
                <w:highlight w:val="none"/>
              </w:rPr>
            </w:pPr>
          </w:p>
        </w:tc>
      </w:tr>
      <w:tr w14:paraId="5EB27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603" w:type="dxa"/>
            <w:vAlign w:val="top"/>
          </w:tcPr>
          <w:p w14:paraId="05365BC3">
            <w:pPr>
              <w:pStyle w:val="17"/>
              <w:spacing w:before="262" w:line="214" w:lineRule="auto"/>
              <w:ind w:left="46"/>
              <w:rPr>
                <w:color w:val="auto"/>
                <w:highlight w:val="none"/>
              </w:rPr>
            </w:pPr>
            <w:r>
              <w:rPr>
                <w:color w:val="auto"/>
                <w:spacing w:val="8"/>
                <w:highlight w:val="none"/>
              </w:rPr>
              <w:t>监理交通设施费</w:t>
            </w:r>
          </w:p>
        </w:tc>
        <w:tc>
          <w:tcPr>
            <w:tcW w:w="661" w:type="dxa"/>
            <w:vAlign w:val="top"/>
          </w:tcPr>
          <w:p w14:paraId="0ACBE042">
            <w:pPr>
              <w:rPr>
                <w:rFonts w:ascii="Arial"/>
                <w:color w:val="auto"/>
                <w:sz w:val="21"/>
                <w:highlight w:val="none"/>
              </w:rPr>
            </w:pPr>
          </w:p>
        </w:tc>
        <w:tc>
          <w:tcPr>
            <w:tcW w:w="661" w:type="dxa"/>
            <w:vAlign w:val="top"/>
          </w:tcPr>
          <w:p w14:paraId="01B702C1">
            <w:pPr>
              <w:rPr>
                <w:rFonts w:ascii="Arial"/>
                <w:color w:val="auto"/>
                <w:sz w:val="21"/>
                <w:highlight w:val="none"/>
              </w:rPr>
            </w:pPr>
          </w:p>
        </w:tc>
        <w:tc>
          <w:tcPr>
            <w:tcW w:w="661" w:type="dxa"/>
            <w:vAlign w:val="top"/>
          </w:tcPr>
          <w:p w14:paraId="31D8836B">
            <w:pPr>
              <w:rPr>
                <w:rFonts w:ascii="Arial"/>
                <w:color w:val="auto"/>
                <w:sz w:val="21"/>
                <w:highlight w:val="none"/>
              </w:rPr>
            </w:pPr>
          </w:p>
        </w:tc>
        <w:tc>
          <w:tcPr>
            <w:tcW w:w="664" w:type="dxa"/>
            <w:vAlign w:val="top"/>
          </w:tcPr>
          <w:p w14:paraId="410BCACA">
            <w:pPr>
              <w:rPr>
                <w:rFonts w:ascii="Arial"/>
                <w:color w:val="auto"/>
                <w:sz w:val="21"/>
                <w:highlight w:val="none"/>
              </w:rPr>
            </w:pPr>
          </w:p>
        </w:tc>
        <w:tc>
          <w:tcPr>
            <w:tcW w:w="660" w:type="dxa"/>
            <w:vAlign w:val="top"/>
          </w:tcPr>
          <w:p w14:paraId="1E700E9F">
            <w:pPr>
              <w:rPr>
                <w:rFonts w:ascii="Arial"/>
                <w:color w:val="auto"/>
                <w:sz w:val="21"/>
                <w:highlight w:val="none"/>
              </w:rPr>
            </w:pPr>
          </w:p>
        </w:tc>
        <w:tc>
          <w:tcPr>
            <w:tcW w:w="661" w:type="dxa"/>
            <w:vAlign w:val="top"/>
          </w:tcPr>
          <w:p w14:paraId="40767321">
            <w:pPr>
              <w:rPr>
                <w:rFonts w:ascii="Arial"/>
                <w:color w:val="auto"/>
                <w:sz w:val="21"/>
                <w:highlight w:val="none"/>
              </w:rPr>
            </w:pPr>
          </w:p>
        </w:tc>
        <w:tc>
          <w:tcPr>
            <w:tcW w:w="661" w:type="dxa"/>
            <w:vAlign w:val="top"/>
          </w:tcPr>
          <w:p w14:paraId="109CACCD">
            <w:pPr>
              <w:rPr>
                <w:rFonts w:ascii="Arial"/>
                <w:color w:val="auto"/>
                <w:sz w:val="21"/>
                <w:highlight w:val="none"/>
              </w:rPr>
            </w:pPr>
          </w:p>
        </w:tc>
        <w:tc>
          <w:tcPr>
            <w:tcW w:w="666" w:type="dxa"/>
            <w:vAlign w:val="top"/>
          </w:tcPr>
          <w:p w14:paraId="600FA537">
            <w:pPr>
              <w:rPr>
                <w:rFonts w:ascii="Arial"/>
                <w:color w:val="auto"/>
                <w:sz w:val="21"/>
                <w:highlight w:val="none"/>
              </w:rPr>
            </w:pPr>
          </w:p>
        </w:tc>
        <w:tc>
          <w:tcPr>
            <w:tcW w:w="1467" w:type="dxa"/>
            <w:vAlign w:val="top"/>
          </w:tcPr>
          <w:p w14:paraId="0EC5F992">
            <w:pPr>
              <w:rPr>
                <w:rFonts w:ascii="Arial"/>
                <w:color w:val="auto"/>
                <w:sz w:val="21"/>
                <w:highlight w:val="none"/>
              </w:rPr>
            </w:pPr>
          </w:p>
        </w:tc>
        <w:tc>
          <w:tcPr>
            <w:tcW w:w="923" w:type="dxa"/>
            <w:vAlign w:val="top"/>
          </w:tcPr>
          <w:p w14:paraId="660C2B30">
            <w:pPr>
              <w:rPr>
                <w:rFonts w:ascii="Arial"/>
                <w:color w:val="auto"/>
                <w:sz w:val="21"/>
                <w:highlight w:val="none"/>
              </w:rPr>
            </w:pPr>
          </w:p>
        </w:tc>
      </w:tr>
      <w:tr w14:paraId="3A84D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603" w:type="dxa"/>
            <w:vAlign w:val="top"/>
          </w:tcPr>
          <w:p w14:paraId="6E6B14AE">
            <w:pPr>
              <w:pStyle w:val="17"/>
              <w:spacing w:before="262" w:line="214" w:lineRule="auto"/>
              <w:ind w:left="46"/>
              <w:rPr>
                <w:color w:val="auto"/>
                <w:highlight w:val="none"/>
              </w:rPr>
            </w:pPr>
            <w:r>
              <w:rPr>
                <w:color w:val="auto"/>
                <w:spacing w:val="8"/>
                <w:highlight w:val="none"/>
              </w:rPr>
              <w:t>监理试验设施费</w:t>
            </w:r>
          </w:p>
        </w:tc>
        <w:tc>
          <w:tcPr>
            <w:tcW w:w="661" w:type="dxa"/>
            <w:vAlign w:val="top"/>
          </w:tcPr>
          <w:p w14:paraId="100359F7">
            <w:pPr>
              <w:rPr>
                <w:rFonts w:ascii="Arial"/>
                <w:color w:val="auto"/>
                <w:sz w:val="21"/>
                <w:highlight w:val="none"/>
              </w:rPr>
            </w:pPr>
          </w:p>
        </w:tc>
        <w:tc>
          <w:tcPr>
            <w:tcW w:w="661" w:type="dxa"/>
            <w:vAlign w:val="top"/>
          </w:tcPr>
          <w:p w14:paraId="6B686A64">
            <w:pPr>
              <w:rPr>
                <w:rFonts w:ascii="Arial"/>
                <w:color w:val="auto"/>
                <w:sz w:val="21"/>
                <w:highlight w:val="none"/>
              </w:rPr>
            </w:pPr>
          </w:p>
        </w:tc>
        <w:tc>
          <w:tcPr>
            <w:tcW w:w="661" w:type="dxa"/>
            <w:vAlign w:val="top"/>
          </w:tcPr>
          <w:p w14:paraId="3C75926D">
            <w:pPr>
              <w:rPr>
                <w:rFonts w:ascii="Arial"/>
                <w:color w:val="auto"/>
                <w:sz w:val="21"/>
                <w:highlight w:val="none"/>
              </w:rPr>
            </w:pPr>
          </w:p>
        </w:tc>
        <w:tc>
          <w:tcPr>
            <w:tcW w:w="664" w:type="dxa"/>
            <w:vAlign w:val="top"/>
          </w:tcPr>
          <w:p w14:paraId="29D47732">
            <w:pPr>
              <w:rPr>
                <w:rFonts w:ascii="Arial"/>
                <w:color w:val="auto"/>
                <w:sz w:val="21"/>
                <w:highlight w:val="none"/>
              </w:rPr>
            </w:pPr>
          </w:p>
        </w:tc>
        <w:tc>
          <w:tcPr>
            <w:tcW w:w="660" w:type="dxa"/>
            <w:vAlign w:val="top"/>
          </w:tcPr>
          <w:p w14:paraId="30476D6D">
            <w:pPr>
              <w:rPr>
                <w:rFonts w:ascii="Arial"/>
                <w:color w:val="auto"/>
                <w:sz w:val="21"/>
                <w:highlight w:val="none"/>
              </w:rPr>
            </w:pPr>
          </w:p>
        </w:tc>
        <w:tc>
          <w:tcPr>
            <w:tcW w:w="661" w:type="dxa"/>
            <w:vAlign w:val="top"/>
          </w:tcPr>
          <w:p w14:paraId="35AEE597">
            <w:pPr>
              <w:rPr>
                <w:rFonts w:ascii="Arial"/>
                <w:color w:val="auto"/>
                <w:sz w:val="21"/>
                <w:highlight w:val="none"/>
              </w:rPr>
            </w:pPr>
          </w:p>
        </w:tc>
        <w:tc>
          <w:tcPr>
            <w:tcW w:w="661" w:type="dxa"/>
            <w:vAlign w:val="top"/>
          </w:tcPr>
          <w:p w14:paraId="11101DB5">
            <w:pPr>
              <w:rPr>
                <w:rFonts w:ascii="Arial"/>
                <w:color w:val="auto"/>
                <w:sz w:val="21"/>
                <w:highlight w:val="none"/>
              </w:rPr>
            </w:pPr>
          </w:p>
        </w:tc>
        <w:tc>
          <w:tcPr>
            <w:tcW w:w="666" w:type="dxa"/>
            <w:vAlign w:val="top"/>
          </w:tcPr>
          <w:p w14:paraId="417891A2">
            <w:pPr>
              <w:rPr>
                <w:rFonts w:ascii="Arial"/>
                <w:color w:val="auto"/>
                <w:sz w:val="21"/>
                <w:highlight w:val="none"/>
              </w:rPr>
            </w:pPr>
          </w:p>
        </w:tc>
        <w:tc>
          <w:tcPr>
            <w:tcW w:w="1467" w:type="dxa"/>
            <w:vAlign w:val="top"/>
          </w:tcPr>
          <w:p w14:paraId="169871A2">
            <w:pPr>
              <w:rPr>
                <w:rFonts w:ascii="Arial"/>
                <w:color w:val="auto"/>
                <w:sz w:val="21"/>
                <w:highlight w:val="none"/>
              </w:rPr>
            </w:pPr>
          </w:p>
        </w:tc>
        <w:tc>
          <w:tcPr>
            <w:tcW w:w="923" w:type="dxa"/>
            <w:vAlign w:val="top"/>
          </w:tcPr>
          <w:p w14:paraId="097B0670">
            <w:pPr>
              <w:rPr>
                <w:rFonts w:ascii="Arial"/>
                <w:color w:val="auto"/>
                <w:sz w:val="21"/>
                <w:highlight w:val="none"/>
              </w:rPr>
            </w:pPr>
          </w:p>
        </w:tc>
      </w:tr>
      <w:tr w14:paraId="1C1B5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603" w:type="dxa"/>
            <w:vAlign w:val="top"/>
          </w:tcPr>
          <w:p w14:paraId="2A465513">
            <w:pPr>
              <w:pStyle w:val="17"/>
              <w:spacing w:before="264" w:line="213" w:lineRule="auto"/>
              <w:ind w:left="46"/>
              <w:rPr>
                <w:color w:val="auto"/>
                <w:highlight w:val="none"/>
              </w:rPr>
            </w:pPr>
            <w:r>
              <w:rPr>
                <w:color w:val="auto"/>
                <w:spacing w:val="8"/>
                <w:highlight w:val="none"/>
              </w:rPr>
              <w:t>监理生活设施费</w:t>
            </w:r>
          </w:p>
        </w:tc>
        <w:tc>
          <w:tcPr>
            <w:tcW w:w="661" w:type="dxa"/>
            <w:vAlign w:val="top"/>
          </w:tcPr>
          <w:p w14:paraId="6F9231DE">
            <w:pPr>
              <w:rPr>
                <w:rFonts w:ascii="Arial"/>
                <w:color w:val="auto"/>
                <w:sz w:val="21"/>
                <w:highlight w:val="none"/>
              </w:rPr>
            </w:pPr>
          </w:p>
        </w:tc>
        <w:tc>
          <w:tcPr>
            <w:tcW w:w="661" w:type="dxa"/>
            <w:vAlign w:val="top"/>
          </w:tcPr>
          <w:p w14:paraId="07D54CD7">
            <w:pPr>
              <w:rPr>
                <w:rFonts w:ascii="Arial"/>
                <w:color w:val="auto"/>
                <w:sz w:val="21"/>
                <w:highlight w:val="none"/>
              </w:rPr>
            </w:pPr>
          </w:p>
        </w:tc>
        <w:tc>
          <w:tcPr>
            <w:tcW w:w="661" w:type="dxa"/>
            <w:vAlign w:val="top"/>
          </w:tcPr>
          <w:p w14:paraId="573FB024">
            <w:pPr>
              <w:rPr>
                <w:rFonts w:ascii="Arial"/>
                <w:color w:val="auto"/>
                <w:sz w:val="21"/>
                <w:highlight w:val="none"/>
              </w:rPr>
            </w:pPr>
          </w:p>
        </w:tc>
        <w:tc>
          <w:tcPr>
            <w:tcW w:w="664" w:type="dxa"/>
            <w:vAlign w:val="top"/>
          </w:tcPr>
          <w:p w14:paraId="101722CA">
            <w:pPr>
              <w:rPr>
                <w:rFonts w:ascii="Arial"/>
                <w:color w:val="auto"/>
                <w:sz w:val="21"/>
                <w:highlight w:val="none"/>
              </w:rPr>
            </w:pPr>
          </w:p>
        </w:tc>
        <w:tc>
          <w:tcPr>
            <w:tcW w:w="660" w:type="dxa"/>
            <w:vAlign w:val="top"/>
          </w:tcPr>
          <w:p w14:paraId="3D776740">
            <w:pPr>
              <w:rPr>
                <w:rFonts w:ascii="Arial"/>
                <w:color w:val="auto"/>
                <w:sz w:val="21"/>
                <w:highlight w:val="none"/>
              </w:rPr>
            </w:pPr>
          </w:p>
        </w:tc>
        <w:tc>
          <w:tcPr>
            <w:tcW w:w="661" w:type="dxa"/>
            <w:vAlign w:val="top"/>
          </w:tcPr>
          <w:p w14:paraId="5B05B7D0">
            <w:pPr>
              <w:rPr>
                <w:rFonts w:ascii="Arial"/>
                <w:color w:val="auto"/>
                <w:sz w:val="21"/>
                <w:highlight w:val="none"/>
              </w:rPr>
            </w:pPr>
          </w:p>
        </w:tc>
        <w:tc>
          <w:tcPr>
            <w:tcW w:w="661" w:type="dxa"/>
            <w:vAlign w:val="top"/>
          </w:tcPr>
          <w:p w14:paraId="012C29DA">
            <w:pPr>
              <w:rPr>
                <w:rFonts w:ascii="Arial"/>
                <w:color w:val="auto"/>
                <w:sz w:val="21"/>
                <w:highlight w:val="none"/>
              </w:rPr>
            </w:pPr>
          </w:p>
        </w:tc>
        <w:tc>
          <w:tcPr>
            <w:tcW w:w="666" w:type="dxa"/>
            <w:vAlign w:val="top"/>
          </w:tcPr>
          <w:p w14:paraId="4695727E">
            <w:pPr>
              <w:rPr>
                <w:rFonts w:ascii="Arial"/>
                <w:color w:val="auto"/>
                <w:sz w:val="21"/>
                <w:highlight w:val="none"/>
              </w:rPr>
            </w:pPr>
          </w:p>
        </w:tc>
        <w:tc>
          <w:tcPr>
            <w:tcW w:w="1467" w:type="dxa"/>
            <w:vAlign w:val="top"/>
          </w:tcPr>
          <w:p w14:paraId="1995CFED">
            <w:pPr>
              <w:rPr>
                <w:rFonts w:ascii="Arial"/>
                <w:color w:val="auto"/>
                <w:sz w:val="21"/>
                <w:highlight w:val="none"/>
              </w:rPr>
            </w:pPr>
          </w:p>
        </w:tc>
        <w:tc>
          <w:tcPr>
            <w:tcW w:w="923" w:type="dxa"/>
            <w:vAlign w:val="top"/>
          </w:tcPr>
          <w:p w14:paraId="474D3D30">
            <w:pPr>
              <w:rPr>
                <w:rFonts w:ascii="Arial"/>
                <w:color w:val="auto"/>
                <w:sz w:val="21"/>
                <w:highlight w:val="none"/>
              </w:rPr>
            </w:pPr>
          </w:p>
        </w:tc>
      </w:tr>
      <w:tr w14:paraId="1D0C9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603" w:type="dxa"/>
            <w:vAlign w:val="top"/>
          </w:tcPr>
          <w:p w14:paraId="041BFC2C">
            <w:pPr>
              <w:pStyle w:val="17"/>
              <w:spacing w:before="263" w:line="214" w:lineRule="auto"/>
              <w:ind w:left="46"/>
              <w:rPr>
                <w:color w:val="auto"/>
                <w:highlight w:val="none"/>
              </w:rPr>
            </w:pPr>
            <w:r>
              <w:rPr>
                <w:color w:val="auto"/>
                <w:spacing w:val="7"/>
                <w:highlight w:val="none"/>
              </w:rPr>
              <w:t>其他费用</w:t>
            </w:r>
          </w:p>
        </w:tc>
        <w:tc>
          <w:tcPr>
            <w:tcW w:w="661" w:type="dxa"/>
            <w:vAlign w:val="top"/>
          </w:tcPr>
          <w:p w14:paraId="21A471E3">
            <w:pPr>
              <w:rPr>
                <w:rFonts w:ascii="Arial"/>
                <w:color w:val="auto"/>
                <w:sz w:val="21"/>
                <w:highlight w:val="none"/>
              </w:rPr>
            </w:pPr>
          </w:p>
        </w:tc>
        <w:tc>
          <w:tcPr>
            <w:tcW w:w="661" w:type="dxa"/>
            <w:vAlign w:val="top"/>
          </w:tcPr>
          <w:p w14:paraId="2BAD6FF0">
            <w:pPr>
              <w:rPr>
                <w:rFonts w:ascii="Arial"/>
                <w:color w:val="auto"/>
                <w:sz w:val="21"/>
                <w:highlight w:val="none"/>
              </w:rPr>
            </w:pPr>
          </w:p>
        </w:tc>
        <w:tc>
          <w:tcPr>
            <w:tcW w:w="661" w:type="dxa"/>
            <w:vAlign w:val="top"/>
          </w:tcPr>
          <w:p w14:paraId="04747682">
            <w:pPr>
              <w:rPr>
                <w:rFonts w:ascii="Arial"/>
                <w:color w:val="auto"/>
                <w:sz w:val="21"/>
                <w:highlight w:val="none"/>
              </w:rPr>
            </w:pPr>
          </w:p>
        </w:tc>
        <w:tc>
          <w:tcPr>
            <w:tcW w:w="664" w:type="dxa"/>
            <w:vAlign w:val="top"/>
          </w:tcPr>
          <w:p w14:paraId="1C288864">
            <w:pPr>
              <w:rPr>
                <w:rFonts w:ascii="Arial"/>
                <w:color w:val="auto"/>
                <w:sz w:val="21"/>
                <w:highlight w:val="none"/>
              </w:rPr>
            </w:pPr>
          </w:p>
        </w:tc>
        <w:tc>
          <w:tcPr>
            <w:tcW w:w="660" w:type="dxa"/>
            <w:vAlign w:val="top"/>
          </w:tcPr>
          <w:p w14:paraId="105C48E3">
            <w:pPr>
              <w:rPr>
                <w:rFonts w:ascii="Arial"/>
                <w:color w:val="auto"/>
                <w:sz w:val="21"/>
                <w:highlight w:val="none"/>
              </w:rPr>
            </w:pPr>
          </w:p>
        </w:tc>
        <w:tc>
          <w:tcPr>
            <w:tcW w:w="661" w:type="dxa"/>
            <w:vAlign w:val="top"/>
          </w:tcPr>
          <w:p w14:paraId="41317460">
            <w:pPr>
              <w:rPr>
                <w:rFonts w:ascii="Arial"/>
                <w:color w:val="auto"/>
                <w:sz w:val="21"/>
                <w:highlight w:val="none"/>
              </w:rPr>
            </w:pPr>
          </w:p>
        </w:tc>
        <w:tc>
          <w:tcPr>
            <w:tcW w:w="661" w:type="dxa"/>
            <w:vAlign w:val="top"/>
          </w:tcPr>
          <w:p w14:paraId="79AFE6A6">
            <w:pPr>
              <w:rPr>
                <w:rFonts w:ascii="Arial"/>
                <w:color w:val="auto"/>
                <w:sz w:val="21"/>
                <w:highlight w:val="none"/>
              </w:rPr>
            </w:pPr>
          </w:p>
        </w:tc>
        <w:tc>
          <w:tcPr>
            <w:tcW w:w="666" w:type="dxa"/>
            <w:vAlign w:val="top"/>
          </w:tcPr>
          <w:p w14:paraId="5B9E8F52">
            <w:pPr>
              <w:rPr>
                <w:rFonts w:ascii="Arial"/>
                <w:color w:val="auto"/>
                <w:sz w:val="21"/>
                <w:highlight w:val="none"/>
              </w:rPr>
            </w:pPr>
          </w:p>
        </w:tc>
        <w:tc>
          <w:tcPr>
            <w:tcW w:w="1467" w:type="dxa"/>
            <w:vAlign w:val="top"/>
          </w:tcPr>
          <w:p w14:paraId="48BAE78B">
            <w:pPr>
              <w:rPr>
                <w:rFonts w:ascii="Arial"/>
                <w:color w:val="auto"/>
                <w:sz w:val="21"/>
                <w:highlight w:val="none"/>
              </w:rPr>
            </w:pPr>
          </w:p>
        </w:tc>
        <w:tc>
          <w:tcPr>
            <w:tcW w:w="923" w:type="dxa"/>
            <w:vAlign w:val="top"/>
          </w:tcPr>
          <w:p w14:paraId="390CEBB7">
            <w:pPr>
              <w:rPr>
                <w:rFonts w:ascii="Arial"/>
                <w:color w:val="auto"/>
                <w:sz w:val="21"/>
                <w:highlight w:val="none"/>
              </w:rPr>
            </w:pPr>
          </w:p>
        </w:tc>
      </w:tr>
      <w:tr w14:paraId="137E4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603" w:type="dxa"/>
            <w:vAlign w:val="top"/>
          </w:tcPr>
          <w:p w14:paraId="39E76530">
            <w:pPr>
              <w:pStyle w:val="17"/>
              <w:spacing w:before="265" w:line="216" w:lineRule="auto"/>
              <w:ind w:left="46"/>
              <w:rPr>
                <w:color w:val="auto"/>
                <w:highlight w:val="none"/>
              </w:rPr>
            </w:pPr>
            <w:r>
              <w:rPr>
                <w:color w:val="auto"/>
                <w:spacing w:val="4"/>
                <w:highlight w:val="none"/>
              </w:rPr>
              <w:t>合计</w:t>
            </w:r>
          </w:p>
        </w:tc>
        <w:tc>
          <w:tcPr>
            <w:tcW w:w="661" w:type="dxa"/>
            <w:vAlign w:val="top"/>
          </w:tcPr>
          <w:p w14:paraId="6B4EBD0A">
            <w:pPr>
              <w:rPr>
                <w:rFonts w:ascii="Arial"/>
                <w:color w:val="auto"/>
                <w:sz w:val="21"/>
                <w:highlight w:val="none"/>
              </w:rPr>
            </w:pPr>
          </w:p>
        </w:tc>
        <w:tc>
          <w:tcPr>
            <w:tcW w:w="661" w:type="dxa"/>
            <w:vAlign w:val="top"/>
          </w:tcPr>
          <w:p w14:paraId="62392639">
            <w:pPr>
              <w:rPr>
                <w:rFonts w:ascii="Arial"/>
                <w:color w:val="auto"/>
                <w:sz w:val="21"/>
                <w:highlight w:val="none"/>
              </w:rPr>
            </w:pPr>
          </w:p>
        </w:tc>
        <w:tc>
          <w:tcPr>
            <w:tcW w:w="661" w:type="dxa"/>
            <w:vAlign w:val="top"/>
          </w:tcPr>
          <w:p w14:paraId="6082EB75">
            <w:pPr>
              <w:rPr>
                <w:rFonts w:ascii="Arial"/>
                <w:color w:val="auto"/>
                <w:sz w:val="21"/>
                <w:highlight w:val="none"/>
              </w:rPr>
            </w:pPr>
          </w:p>
        </w:tc>
        <w:tc>
          <w:tcPr>
            <w:tcW w:w="664" w:type="dxa"/>
            <w:vAlign w:val="top"/>
          </w:tcPr>
          <w:p w14:paraId="748587BB">
            <w:pPr>
              <w:rPr>
                <w:rFonts w:ascii="Arial"/>
                <w:color w:val="auto"/>
                <w:sz w:val="21"/>
                <w:highlight w:val="none"/>
              </w:rPr>
            </w:pPr>
          </w:p>
        </w:tc>
        <w:tc>
          <w:tcPr>
            <w:tcW w:w="660" w:type="dxa"/>
            <w:vAlign w:val="top"/>
          </w:tcPr>
          <w:p w14:paraId="30E7AF10">
            <w:pPr>
              <w:rPr>
                <w:rFonts w:ascii="Arial"/>
                <w:color w:val="auto"/>
                <w:sz w:val="21"/>
                <w:highlight w:val="none"/>
              </w:rPr>
            </w:pPr>
          </w:p>
        </w:tc>
        <w:tc>
          <w:tcPr>
            <w:tcW w:w="661" w:type="dxa"/>
            <w:vAlign w:val="top"/>
          </w:tcPr>
          <w:p w14:paraId="6D790363">
            <w:pPr>
              <w:rPr>
                <w:rFonts w:ascii="Arial"/>
                <w:color w:val="auto"/>
                <w:sz w:val="21"/>
                <w:highlight w:val="none"/>
              </w:rPr>
            </w:pPr>
          </w:p>
        </w:tc>
        <w:tc>
          <w:tcPr>
            <w:tcW w:w="661" w:type="dxa"/>
            <w:vAlign w:val="top"/>
          </w:tcPr>
          <w:p w14:paraId="62A8D777">
            <w:pPr>
              <w:rPr>
                <w:rFonts w:ascii="Arial"/>
                <w:color w:val="auto"/>
                <w:sz w:val="21"/>
                <w:highlight w:val="none"/>
              </w:rPr>
            </w:pPr>
          </w:p>
        </w:tc>
        <w:tc>
          <w:tcPr>
            <w:tcW w:w="666" w:type="dxa"/>
            <w:vAlign w:val="top"/>
          </w:tcPr>
          <w:p w14:paraId="4A74F3FB">
            <w:pPr>
              <w:rPr>
                <w:rFonts w:ascii="Arial"/>
                <w:color w:val="auto"/>
                <w:sz w:val="21"/>
                <w:highlight w:val="none"/>
              </w:rPr>
            </w:pPr>
          </w:p>
        </w:tc>
        <w:tc>
          <w:tcPr>
            <w:tcW w:w="1467" w:type="dxa"/>
            <w:vAlign w:val="top"/>
          </w:tcPr>
          <w:p w14:paraId="0C162157">
            <w:pPr>
              <w:rPr>
                <w:rFonts w:ascii="Arial"/>
                <w:color w:val="auto"/>
                <w:sz w:val="21"/>
                <w:highlight w:val="none"/>
              </w:rPr>
            </w:pPr>
          </w:p>
        </w:tc>
        <w:tc>
          <w:tcPr>
            <w:tcW w:w="923" w:type="dxa"/>
            <w:vAlign w:val="top"/>
          </w:tcPr>
          <w:p w14:paraId="5BA9B48C">
            <w:pPr>
              <w:rPr>
                <w:rFonts w:ascii="Arial"/>
                <w:color w:val="auto"/>
                <w:sz w:val="21"/>
                <w:highlight w:val="none"/>
              </w:rPr>
            </w:pPr>
          </w:p>
        </w:tc>
      </w:tr>
    </w:tbl>
    <w:p w14:paraId="1458B5EA">
      <w:pPr>
        <w:spacing w:line="254" w:lineRule="auto"/>
        <w:rPr>
          <w:rFonts w:ascii="Arial"/>
          <w:color w:val="auto"/>
          <w:sz w:val="21"/>
          <w:highlight w:val="none"/>
        </w:rPr>
      </w:pPr>
    </w:p>
    <w:p w14:paraId="0BC61BB9">
      <w:pPr>
        <w:spacing w:line="254" w:lineRule="auto"/>
        <w:rPr>
          <w:rFonts w:ascii="Arial"/>
          <w:color w:val="auto"/>
          <w:sz w:val="21"/>
          <w:highlight w:val="none"/>
        </w:rPr>
      </w:pPr>
    </w:p>
    <w:p w14:paraId="356E4AA2">
      <w:pPr>
        <w:spacing w:line="254" w:lineRule="auto"/>
        <w:rPr>
          <w:rFonts w:ascii="Arial"/>
          <w:color w:val="auto"/>
          <w:sz w:val="21"/>
          <w:highlight w:val="none"/>
        </w:rPr>
      </w:pPr>
    </w:p>
    <w:p w14:paraId="45462298">
      <w:pPr>
        <w:spacing w:line="254" w:lineRule="auto"/>
        <w:rPr>
          <w:rFonts w:ascii="Arial"/>
          <w:color w:val="auto"/>
          <w:sz w:val="21"/>
          <w:highlight w:val="none"/>
        </w:rPr>
      </w:pPr>
    </w:p>
    <w:p w14:paraId="6AC2D34B">
      <w:pPr>
        <w:spacing w:line="254" w:lineRule="auto"/>
        <w:rPr>
          <w:rFonts w:ascii="Arial"/>
          <w:color w:val="auto"/>
          <w:sz w:val="21"/>
          <w:highlight w:val="none"/>
        </w:rPr>
      </w:pPr>
    </w:p>
    <w:p w14:paraId="791BFE43">
      <w:pPr>
        <w:spacing w:before="65" w:line="227" w:lineRule="auto"/>
        <w:ind w:left="1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注：1. 本表应按附件</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和附件</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2</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监理人员和监理设施</w:t>
      </w:r>
      <w:r>
        <w:rPr>
          <w:rFonts w:ascii="宋体" w:hAnsi="宋体" w:eastAsia="宋体" w:cs="宋体"/>
          <w:color w:val="auto"/>
          <w:spacing w:val="7"/>
          <w:sz w:val="20"/>
          <w:szCs w:val="20"/>
          <w:highlight w:val="none"/>
        </w:rPr>
        <w:t>进场时间及数量安排计算相应的费用。</w:t>
      </w:r>
    </w:p>
    <w:p w14:paraId="62E8168E">
      <w:pPr>
        <w:spacing w:before="155" w:line="226" w:lineRule="auto"/>
        <w:ind w:left="54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 本表各项合计费用应与监理服务费用报价汇总表相一致。</w:t>
      </w:r>
    </w:p>
    <w:p w14:paraId="7D679AB3">
      <w:pPr>
        <w:spacing w:before="153" w:line="227" w:lineRule="auto"/>
        <w:ind w:left="54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 本表将作为监理合同履行过程中委托人支付监理费</w:t>
      </w:r>
      <w:r>
        <w:rPr>
          <w:rFonts w:ascii="宋体" w:hAnsi="宋体" w:eastAsia="宋体" w:cs="宋体"/>
          <w:color w:val="auto"/>
          <w:spacing w:val="8"/>
          <w:sz w:val="20"/>
          <w:szCs w:val="20"/>
          <w:highlight w:val="none"/>
        </w:rPr>
        <w:t>用的参考依据。</w:t>
      </w:r>
    </w:p>
    <w:p w14:paraId="13B3A548">
      <w:pPr>
        <w:spacing w:line="227" w:lineRule="auto"/>
        <w:rPr>
          <w:rFonts w:ascii="宋体" w:hAnsi="宋体" w:eastAsia="宋体" w:cs="宋体"/>
          <w:color w:val="auto"/>
          <w:sz w:val="20"/>
          <w:szCs w:val="20"/>
          <w:highlight w:val="none"/>
        </w:rPr>
        <w:sectPr>
          <w:footerReference r:id="rId121" w:type="default"/>
          <w:pgSz w:w="11906" w:h="16839"/>
          <w:pgMar w:top="1402" w:right="1308" w:bottom="1297" w:left="1304" w:header="0" w:footer="1067" w:gutter="0"/>
          <w:pgNumType w:fmt="decimal"/>
          <w:cols w:space="720" w:num="1"/>
        </w:sectPr>
      </w:pPr>
    </w:p>
    <w:p w14:paraId="27E2F6CE">
      <w:pPr>
        <w:spacing w:before="56" w:line="219" w:lineRule="auto"/>
        <w:ind w:left="2534"/>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附件</w:t>
      </w:r>
      <w:r>
        <w:rPr>
          <w:rFonts w:ascii="宋体" w:hAnsi="宋体" w:eastAsia="宋体" w:cs="宋体"/>
          <w:color w:val="auto"/>
          <w:spacing w:val="-27"/>
          <w:sz w:val="28"/>
          <w:szCs w:val="28"/>
          <w:highlight w:val="none"/>
        </w:rPr>
        <w:t xml:space="preserve"> </w:t>
      </w:r>
      <w:r>
        <w:rPr>
          <w:rFonts w:ascii="宋体" w:hAnsi="宋体" w:eastAsia="宋体" w:cs="宋体"/>
          <w:b/>
          <w:bCs/>
          <w:color w:val="auto"/>
          <w:spacing w:val="-6"/>
          <w:sz w:val="28"/>
          <w:szCs w:val="28"/>
          <w:highlight w:val="none"/>
        </w:rPr>
        <w:t>1</w:t>
      </w:r>
      <w:r>
        <w:rPr>
          <w:rFonts w:ascii="宋体" w:hAnsi="宋体" w:eastAsia="宋体" w:cs="宋体"/>
          <w:color w:val="auto"/>
          <w:spacing w:val="-6"/>
          <w:sz w:val="28"/>
          <w:szCs w:val="28"/>
          <w:highlight w:val="none"/>
        </w:rPr>
        <w:t xml:space="preserve">   </w:t>
      </w:r>
      <w:r>
        <w:rPr>
          <w:rFonts w:ascii="宋体" w:hAnsi="宋体" w:eastAsia="宋体" w:cs="宋体"/>
          <w:b/>
          <w:bCs/>
          <w:color w:val="auto"/>
          <w:spacing w:val="-6"/>
          <w:sz w:val="28"/>
          <w:szCs w:val="28"/>
          <w:highlight w:val="none"/>
        </w:rPr>
        <w:t>监理人员工作计划安排表</w:t>
      </w:r>
    </w:p>
    <w:p w14:paraId="339D356B">
      <w:pPr>
        <w:spacing w:before="20" w:line="228" w:lineRule="auto"/>
        <w:ind w:left="1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标段：</w:t>
      </w:r>
      <w:r>
        <w:rPr>
          <w:rFonts w:ascii="宋体" w:hAnsi="宋体" w:eastAsia="宋体" w:cs="宋体"/>
          <w:color w:val="auto"/>
          <w:sz w:val="20"/>
          <w:szCs w:val="20"/>
          <w:highlight w:val="none"/>
          <w:u w:val="single" w:color="auto"/>
        </w:rPr>
        <w:t xml:space="preserve">         </w:t>
      </w:r>
    </w:p>
    <w:p w14:paraId="5480B341">
      <w:pPr>
        <w:spacing w:line="113" w:lineRule="exact"/>
        <w:rPr>
          <w:color w:val="auto"/>
          <w:highlight w:val="none"/>
        </w:rPr>
      </w:pPr>
    </w:p>
    <w:tbl>
      <w:tblPr>
        <w:tblStyle w:val="16"/>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
        <w:gridCol w:w="1628"/>
        <w:gridCol w:w="805"/>
        <w:gridCol w:w="635"/>
        <w:gridCol w:w="348"/>
        <w:gridCol w:w="348"/>
        <w:gridCol w:w="350"/>
        <w:gridCol w:w="348"/>
        <w:gridCol w:w="349"/>
        <w:gridCol w:w="351"/>
        <w:gridCol w:w="349"/>
        <w:gridCol w:w="349"/>
        <w:gridCol w:w="426"/>
        <w:gridCol w:w="426"/>
        <w:gridCol w:w="426"/>
        <w:gridCol w:w="429"/>
        <w:gridCol w:w="526"/>
        <w:gridCol w:w="735"/>
      </w:tblGrid>
      <w:tr w14:paraId="6DB75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58" w:type="dxa"/>
            <w:vMerge w:val="restart"/>
            <w:tcBorders>
              <w:bottom w:val="nil"/>
            </w:tcBorders>
            <w:textDirection w:val="tbRlV"/>
            <w:vAlign w:val="top"/>
          </w:tcPr>
          <w:p w14:paraId="26E741A1">
            <w:pPr>
              <w:pStyle w:val="17"/>
              <w:spacing w:before="123" w:line="218" w:lineRule="auto"/>
              <w:ind w:left="308"/>
              <w:rPr>
                <w:color w:val="auto"/>
                <w:highlight w:val="none"/>
              </w:rPr>
            </w:pPr>
            <w:r>
              <w:rPr>
                <w:color w:val="auto"/>
                <w:spacing w:val="8"/>
                <w:highlight w:val="none"/>
              </w:rPr>
              <w:t>序</w:t>
            </w:r>
            <w:r>
              <w:rPr>
                <w:color w:val="auto"/>
                <w:spacing w:val="-38"/>
                <w:highlight w:val="none"/>
              </w:rPr>
              <w:t xml:space="preserve"> </w:t>
            </w:r>
            <w:r>
              <w:rPr>
                <w:color w:val="auto"/>
                <w:spacing w:val="8"/>
                <w:highlight w:val="none"/>
              </w:rPr>
              <w:t>号</w:t>
            </w:r>
          </w:p>
        </w:tc>
        <w:tc>
          <w:tcPr>
            <w:tcW w:w="1628" w:type="dxa"/>
            <w:vMerge w:val="restart"/>
            <w:tcBorders>
              <w:bottom w:val="nil"/>
            </w:tcBorders>
            <w:vAlign w:val="top"/>
          </w:tcPr>
          <w:p w14:paraId="4522CA58">
            <w:pPr>
              <w:spacing w:line="378" w:lineRule="auto"/>
              <w:rPr>
                <w:rFonts w:ascii="Arial"/>
                <w:color w:val="auto"/>
                <w:sz w:val="21"/>
                <w:highlight w:val="none"/>
              </w:rPr>
            </w:pPr>
          </w:p>
          <w:p w14:paraId="55AE24C9">
            <w:pPr>
              <w:pStyle w:val="17"/>
              <w:spacing w:before="65" w:line="229" w:lineRule="auto"/>
              <w:ind w:left="608"/>
              <w:rPr>
                <w:color w:val="auto"/>
                <w:highlight w:val="none"/>
              </w:rPr>
            </w:pPr>
            <w:r>
              <w:rPr>
                <w:color w:val="auto"/>
                <w:spacing w:val="3"/>
                <w:highlight w:val="none"/>
              </w:rPr>
              <w:t>人员</w:t>
            </w:r>
          </w:p>
        </w:tc>
        <w:tc>
          <w:tcPr>
            <w:tcW w:w="805" w:type="dxa"/>
            <w:vMerge w:val="restart"/>
            <w:tcBorders>
              <w:bottom w:val="nil"/>
            </w:tcBorders>
            <w:vAlign w:val="top"/>
          </w:tcPr>
          <w:p w14:paraId="781E9D8D">
            <w:pPr>
              <w:pStyle w:val="17"/>
              <w:spacing w:before="172" w:line="228" w:lineRule="auto"/>
              <w:ind w:left="198"/>
              <w:rPr>
                <w:color w:val="auto"/>
                <w:highlight w:val="none"/>
              </w:rPr>
            </w:pPr>
            <w:r>
              <w:rPr>
                <w:color w:val="auto"/>
                <w:spacing w:val="4"/>
                <w:highlight w:val="none"/>
              </w:rPr>
              <w:t>驻场</w:t>
            </w:r>
          </w:p>
          <w:p w14:paraId="18A9E25C">
            <w:pPr>
              <w:pStyle w:val="17"/>
              <w:spacing w:before="23" w:line="254" w:lineRule="auto"/>
              <w:ind w:left="104" w:right="102" w:firstLine="102"/>
              <w:rPr>
                <w:color w:val="auto"/>
                <w:highlight w:val="none"/>
              </w:rPr>
            </w:pPr>
            <w:r>
              <w:rPr>
                <w:color w:val="auto"/>
                <w:spacing w:val="-1"/>
                <w:highlight w:val="none"/>
              </w:rPr>
              <w:t>时间</w:t>
            </w:r>
            <w:r>
              <w:rPr>
                <w:color w:val="auto"/>
                <w:spacing w:val="-3"/>
                <w:highlight w:val="none"/>
              </w:rPr>
              <w:t>（月）</w:t>
            </w:r>
          </w:p>
        </w:tc>
        <w:tc>
          <w:tcPr>
            <w:tcW w:w="5134" w:type="dxa"/>
            <w:gridSpan w:val="13"/>
            <w:vAlign w:val="top"/>
          </w:tcPr>
          <w:p w14:paraId="0D02F688">
            <w:pPr>
              <w:pStyle w:val="17"/>
              <w:spacing w:before="168" w:line="228" w:lineRule="auto"/>
              <w:ind w:left="1052"/>
              <w:rPr>
                <w:color w:val="auto"/>
                <w:highlight w:val="none"/>
              </w:rPr>
            </w:pPr>
            <w:r>
              <w:rPr>
                <w:color w:val="auto"/>
                <w:spacing w:val="7"/>
                <w:highlight w:val="none"/>
              </w:rPr>
              <w:t>监理人员投入安排（共   个月）</w:t>
            </w:r>
          </w:p>
        </w:tc>
        <w:tc>
          <w:tcPr>
            <w:tcW w:w="526" w:type="dxa"/>
            <w:vMerge w:val="restart"/>
            <w:tcBorders>
              <w:bottom w:val="nil"/>
            </w:tcBorders>
            <w:textDirection w:val="tbRlV"/>
            <w:vAlign w:val="top"/>
          </w:tcPr>
          <w:p w14:paraId="1BF29738">
            <w:pPr>
              <w:pStyle w:val="17"/>
              <w:spacing w:before="154" w:line="217" w:lineRule="auto"/>
              <w:ind w:left="308"/>
              <w:rPr>
                <w:color w:val="auto"/>
                <w:highlight w:val="none"/>
              </w:rPr>
            </w:pPr>
            <w:r>
              <w:rPr>
                <w:color w:val="auto"/>
                <w:spacing w:val="8"/>
                <w:highlight w:val="none"/>
              </w:rPr>
              <w:t>合</w:t>
            </w:r>
            <w:r>
              <w:rPr>
                <w:color w:val="auto"/>
                <w:spacing w:val="-38"/>
                <w:highlight w:val="none"/>
              </w:rPr>
              <w:t xml:space="preserve"> </w:t>
            </w:r>
            <w:r>
              <w:rPr>
                <w:color w:val="auto"/>
                <w:spacing w:val="8"/>
                <w:highlight w:val="none"/>
              </w:rPr>
              <w:t>计</w:t>
            </w:r>
          </w:p>
        </w:tc>
        <w:tc>
          <w:tcPr>
            <w:tcW w:w="735" w:type="dxa"/>
            <w:vMerge w:val="restart"/>
            <w:tcBorders>
              <w:bottom w:val="nil"/>
            </w:tcBorders>
            <w:vAlign w:val="top"/>
          </w:tcPr>
          <w:p w14:paraId="019E5517">
            <w:pPr>
              <w:spacing w:line="378" w:lineRule="auto"/>
              <w:rPr>
                <w:rFonts w:ascii="Arial"/>
                <w:color w:val="auto"/>
                <w:sz w:val="21"/>
                <w:highlight w:val="none"/>
              </w:rPr>
            </w:pPr>
          </w:p>
          <w:p w14:paraId="3B67ADFA">
            <w:pPr>
              <w:pStyle w:val="17"/>
              <w:spacing w:before="65" w:line="229" w:lineRule="auto"/>
              <w:ind w:left="165"/>
              <w:rPr>
                <w:color w:val="auto"/>
                <w:highlight w:val="none"/>
              </w:rPr>
            </w:pPr>
            <w:r>
              <w:rPr>
                <w:color w:val="auto"/>
                <w:spacing w:val="3"/>
                <w:highlight w:val="none"/>
              </w:rPr>
              <w:t>备注</w:t>
            </w:r>
          </w:p>
        </w:tc>
      </w:tr>
      <w:tr w14:paraId="2E94F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458" w:type="dxa"/>
            <w:vMerge w:val="continue"/>
            <w:tcBorders>
              <w:top w:val="nil"/>
            </w:tcBorders>
            <w:textDirection w:val="tbRlV"/>
            <w:vAlign w:val="top"/>
          </w:tcPr>
          <w:p w14:paraId="322A1229">
            <w:pPr>
              <w:rPr>
                <w:rFonts w:ascii="Arial"/>
                <w:color w:val="auto"/>
                <w:sz w:val="21"/>
                <w:highlight w:val="none"/>
              </w:rPr>
            </w:pPr>
          </w:p>
        </w:tc>
        <w:tc>
          <w:tcPr>
            <w:tcW w:w="1628" w:type="dxa"/>
            <w:vMerge w:val="continue"/>
            <w:tcBorders>
              <w:top w:val="nil"/>
            </w:tcBorders>
            <w:vAlign w:val="top"/>
          </w:tcPr>
          <w:p w14:paraId="1E247E0C">
            <w:pPr>
              <w:rPr>
                <w:rFonts w:ascii="Arial"/>
                <w:color w:val="auto"/>
                <w:sz w:val="21"/>
                <w:highlight w:val="none"/>
              </w:rPr>
            </w:pPr>
          </w:p>
        </w:tc>
        <w:tc>
          <w:tcPr>
            <w:tcW w:w="805" w:type="dxa"/>
            <w:vMerge w:val="continue"/>
            <w:tcBorders>
              <w:top w:val="nil"/>
            </w:tcBorders>
            <w:vAlign w:val="top"/>
          </w:tcPr>
          <w:p w14:paraId="05F322F2">
            <w:pPr>
              <w:rPr>
                <w:rFonts w:ascii="Arial"/>
                <w:color w:val="auto"/>
                <w:sz w:val="21"/>
                <w:highlight w:val="none"/>
              </w:rPr>
            </w:pPr>
          </w:p>
        </w:tc>
        <w:tc>
          <w:tcPr>
            <w:tcW w:w="635" w:type="dxa"/>
            <w:vAlign w:val="top"/>
          </w:tcPr>
          <w:p w14:paraId="7614B103">
            <w:pPr>
              <w:pStyle w:val="17"/>
              <w:spacing w:before="163" w:line="270" w:lineRule="exact"/>
              <w:ind w:left="286"/>
              <w:rPr>
                <w:color w:val="auto"/>
                <w:highlight w:val="none"/>
              </w:rPr>
            </w:pPr>
            <w:r>
              <w:rPr>
                <w:color w:val="auto"/>
                <w:position w:val="1"/>
                <w:highlight w:val="none"/>
              </w:rPr>
              <w:t>1</w:t>
            </w:r>
          </w:p>
        </w:tc>
        <w:tc>
          <w:tcPr>
            <w:tcW w:w="348" w:type="dxa"/>
            <w:vAlign w:val="top"/>
          </w:tcPr>
          <w:p w14:paraId="6B576819">
            <w:pPr>
              <w:pStyle w:val="17"/>
              <w:spacing w:before="163" w:line="270" w:lineRule="exact"/>
              <w:ind w:left="130"/>
              <w:rPr>
                <w:color w:val="auto"/>
                <w:highlight w:val="none"/>
              </w:rPr>
            </w:pPr>
            <w:r>
              <w:rPr>
                <w:color w:val="auto"/>
                <w:position w:val="1"/>
                <w:highlight w:val="none"/>
              </w:rPr>
              <w:t>2</w:t>
            </w:r>
          </w:p>
        </w:tc>
        <w:tc>
          <w:tcPr>
            <w:tcW w:w="348" w:type="dxa"/>
            <w:vAlign w:val="top"/>
          </w:tcPr>
          <w:p w14:paraId="14E39116">
            <w:pPr>
              <w:pStyle w:val="17"/>
              <w:spacing w:before="163" w:line="269" w:lineRule="exact"/>
              <w:ind w:left="132"/>
              <w:rPr>
                <w:color w:val="auto"/>
                <w:highlight w:val="none"/>
              </w:rPr>
            </w:pPr>
            <w:r>
              <w:rPr>
                <w:color w:val="auto"/>
                <w:position w:val="1"/>
                <w:highlight w:val="none"/>
              </w:rPr>
              <w:t>3</w:t>
            </w:r>
          </w:p>
        </w:tc>
        <w:tc>
          <w:tcPr>
            <w:tcW w:w="350" w:type="dxa"/>
            <w:vAlign w:val="top"/>
          </w:tcPr>
          <w:p w14:paraId="3C8ECCF6">
            <w:pPr>
              <w:pStyle w:val="17"/>
              <w:spacing w:before="163" w:line="270" w:lineRule="exact"/>
              <w:ind w:left="127"/>
              <w:rPr>
                <w:color w:val="auto"/>
                <w:highlight w:val="none"/>
              </w:rPr>
            </w:pPr>
            <w:r>
              <w:rPr>
                <w:color w:val="auto"/>
                <w:position w:val="1"/>
                <w:highlight w:val="none"/>
              </w:rPr>
              <w:t>4</w:t>
            </w:r>
          </w:p>
        </w:tc>
        <w:tc>
          <w:tcPr>
            <w:tcW w:w="348" w:type="dxa"/>
            <w:vAlign w:val="top"/>
          </w:tcPr>
          <w:p w14:paraId="6F32116C">
            <w:pPr>
              <w:pStyle w:val="17"/>
              <w:spacing w:before="163" w:line="269" w:lineRule="exact"/>
              <w:ind w:left="132"/>
              <w:rPr>
                <w:color w:val="auto"/>
                <w:highlight w:val="none"/>
              </w:rPr>
            </w:pPr>
            <w:r>
              <w:rPr>
                <w:color w:val="auto"/>
                <w:position w:val="1"/>
                <w:highlight w:val="none"/>
              </w:rPr>
              <w:t>5</w:t>
            </w:r>
          </w:p>
        </w:tc>
        <w:tc>
          <w:tcPr>
            <w:tcW w:w="349" w:type="dxa"/>
            <w:vAlign w:val="top"/>
          </w:tcPr>
          <w:p w14:paraId="30E2A605">
            <w:pPr>
              <w:pStyle w:val="17"/>
              <w:spacing w:before="163" w:line="269" w:lineRule="exact"/>
              <w:ind w:left="130"/>
              <w:rPr>
                <w:color w:val="auto"/>
                <w:highlight w:val="none"/>
              </w:rPr>
            </w:pPr>
            <w:r>
              <w:rPr>
                <w:color w:val="auto"/>
                <w:position w:val="1"/>
                <w:highlight w:val="none"/>
              </w:rPr>
              <w:t>6</w:t>
            </w:r>
          </w:p>
        </w:tc>
        <w:tc>
          <w:tcPr>
            <w:tcW w:w="351" w:type="dxa"/>
            <w:vAlign w:val="top"/>
          </w:tcPr>
          <w:p w14:paraId="412A2D13">
            <w:pPr>
              <w:pStyle w:val="17"/>
              <w:spacing w:before="163" w:line="269" w:lineRule="exact"/>
              <w:ind w:left="135"/>
              <w:rPr>
                <w:color w:val="auto"/>
                <w:highlight w:val="none"/>
              </w:rPr>
            </w:pPr>
            <w:r>
              <w:rPr>
                <w:color w:val="auto"/>
                <w:position w:val="1"/>
                <w:highlight w:val="none"/>
              </w:rPr>
              <w:t>7</w:t>
            </w:r>
          </w:p>
        </w:tc>
        <w:tc>
          <w:tcPr>
            <w:tcW w:w="349" w:type="dxa"/>
            <w:vAlign w:val="top"/>
          </w:tcPr>
          <w:p w14:paraId="24F54B11">
            <w:pPr>
              <w:pStyle w:val="17"/>
              <w:spacing w:before="163" w:line="269" w:lineRule="exact"/>
              <w:ind w:left="130"/>
              <w:rPr>
                <w:color w:val="auto"/>
                <w:highlight w:val="none"/>
              </w:rPr>
            </w:pPr>
            <w:r>
              <w:rPr>
                <w:color w:val="auto"/>
                <w:position w:val="1"/>
                <w:highlight w:val="none"/>
              </w:rPr>
              <w:t>8</w:t>
            </w:r>
          </w:p>
        </w:tc>
        <w:tc>
          <w:tcPr>
            <w:tcW w:w="349" w:type="dxa"/>
            <w:vAlign w:val="top"/>
          </w:tcPr>
          <w:p w14:paraId="38F61BDD">
            <w:pPr>
              <w:pStyle w:val="17"/>
              <w:spacing w:before="163" w:line="269" w:lineRule="exact"/>
              <w:ind w:left="129"/>
              <w:rPr>
                <w:color w:val="auto"/>
                <w:highlight w:val="none"/>
              </w:rPr>
            </w:pPr>
            <w:r>
              <w:rPr>
                <w:color w:val="auto"/>
                <w:position w:val="1"/>
                <w:highlight w:val="none"/>
              </w:rPr>
              <w:t>9</w:t>
            </w:r>
          </w:p>
        </w:tc>
        <w:tc>
          <w:tcPr>
            <w:tcW w:w="426" w:type="dxa"/>
            <w:vAlign w:val="top"/>
          </w:tcPr>
          <w:p w14:paraId="25EEE4E4">
            <w:pPr>
              <w:pStyle w:val="17"/>
              <w:spacing w:before="163" w:line="269" w:lineRule="exact"/>
              <w:ind w:left="131"/>
              <w:rPr>
                <w:color w:val="auto"/>
                <w:highlight w:val="none"/>
              </w:rPr>
            </w:pPr>
            <w:r>
              <w:rPr>
                <w:color w:val="auto"/>
                <w:spacing w:val="-7"/>
                <w:position w:val="1"/>
                <w:highlight w:val="none"/>
              </w:rPr>
              <w:t>10</w:t>
            </w:r>
          </w:p>
        </w:tc>
        <w:tc>
          <w:tcPr>
            <w:tcW w:w="426" w:type="dxa"/>
            <w:vAlign w:val="top"/>
          </w:tcPr>
          <w:p w14:paraId="145F7CB3">
            <w:pPr>
              <w:pStyle w:val="17"/>
              <w:spacing w:before="163" w:line="270" w:lineRule="exact"/>
              <w:ind w:left="129"/>
              <w:rPr>
                <w:color w:val="auto"/>
                <w:highlight w:val="none"/>
              </w:rPr>
            </w:pPr>
            <w:r>
              <w:rPr>
                <w:color w:val="auto"/>
                <w:spacing w:val="-7"/>
                <w:position w:val="1"/>
                <w:highlight w:val="none"/>
              </w:rPr>
              <w:t>11</w:t>
            </w:r>
          </w:p>
        </w:tc>
        <w:tc>
          <w:tcPr>
            <w:tcW w:w="426" w:type="dxa"/>
            <w:vAlign w:val="top"/>
          </w:tcPr>
          <w:p w14:paraId="079EB64F">
            <w:pPr>
              <w:pStyle w:val="17"/>
              <w:spacing w:before="163" w:line="270" w:lineRule="exact"/>
              <w:ind w:left="131"/>
              <w:rPr>
                <w:color w:val="auto"/>
                <w:highlight w:val="none"/>
              </w:rPr>
            </w:pPr>
            <w:r>
              <w:rPr>
                <w:color w:val="auto"/>
                <w:spacing w:val="-7"/>
                <w:position w:val="1"/>
                <w:highlight w:val="none"/>
              </w:rPr>
              <w:t>12</w:t>
            </w:r>
          </w:p>
        </w:tc>
        <w:tc>
          <w:tcPr>
            <w:tcW w:w="429" w:type="dxa"/>
            <w:vAlign w:val="top"/>
          </w:tcPr>
          <w:p w14:paraId="2EE4EC7E">
            <w:pPr>
              <w:pStyle w:val="17"/>
              <w:spacing w:before="163" w:line="324" w:lineRule="exact"/>
              <w:ind w:left="129"/>
              <w:rPr>
                <w:color w:val="auto"/>
                <w:highlight w:val="none"/>
              </w:rPr>
            </w:pPr>
            <w:r>
              <w:rPr>
                <w:color w:val="auto"/>
                <w:position w:val="2"/>
                <w:highlight w:val="none"/>
              </w:rPr>
              <w:t>…</w:t>
            </w:r>
          </w:p>
        </w:tc>
        <w:tc>
          <w:tcPr>
            <w:tcW w:w="526" w:type="dxa"/>
            <w:vMerge w:val="continue"/>
            <w:tcBorders>
              <w:top w:val="nil"/>
            </w:tcBorders>
            <w:textDirection w:val="tbRlV"/>
            <w:vAlign w:val="top"/>
          </w:tcPr>
          <w:p w14:paraId="7C946742">
            <w:pPr>
              <w:rPr>
                <w:rFonts w:ascii="Arial"/>
                <w:color w:val="auto"/>
                <w:sz w:val="21"/>
                <w:highlight w:val="none"/>
              </w:rPr>
            </w:pPr>
          </w:p>
        </w:tc>
        <w:tc>
          <w:tcPr>
            <w:tcW w:w="735" w:type="dxa"/>
            <w:vMerge w:val="continue"/>
            <w:tcBorders>
              <w:top w:val="nil"/>
            </w:tcBorders>
            <w:vAlign w:val="top"/>
          </w:tcPr>
          <w:p w14:paraId="5A6A97AF">
            <w:pPr>
              <w:rPr>
                <w:rFonts w:ascii="Arial"/>
                <w:color w:val="auto"/>
                <w:sz w:val="21"/>
                <w:highlight w:val="none"/>
              </w:rPr>
            </w:pPr>
          </w:p>
        </w:tc>
      </w:tr>
      <w:tr w14:paraId="7BD95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717FB30F">
            <w:pPr>
              <w:pStyle w:val="17"/>
              <w:spacing w:before="165" w:line="270" w:lineRule="exact"/>
              <w:ind w:left="197"/>
              <w:rPr>
                <w:color w:val="auto"/>
                <w:highlight w:val="none"/>
              </w:rPr>
            </w:pPr>
            <w:r>
              <w:rPr>
                <w:color w:val="auto"/>
                <w:position w:val="1"/>
                <w:highlight w:val="none"/>
              </w:rPr>
              <w:t>1</w:t>
            </w:r>
          </w:p>
        </w:tc>
        <w:tc>
          <w:tcPr>
            <w:tcW w:w="1628" w:type="dxa"/>
            <w:vAlign w:val="top"/>
          </w:tcPr>
          <w:p w14:paraId="0015C18A">
            <w:pPr>
              <w:pStyle w:val="17"/>
              <w:spacing w:before="165" w:line="228" w:lineRule="auto"/>
              <w:ind w:left="192"/>
              <w:rPr>
                <w:color w:val="auto"/>
                <w:highlight w:val="none"/>
              </w:rPr>
            </w:pPr>
            <w:r>
              <w:rPr>
                <w:color w:val="auto"/>
                <w:spacing w:val="7"/>
                <w:highlight w:val="none"/>
              </w:rPr>
              <w:t>总监理工程师</w:t>
            </w:r>
          </w:p>
        </w:tc>
        <w:tc>
          <w:tcPr>
            <w:tcW w:w="805" w:type="dxa"/>
            <w:vAlign w:val="top"/>
          </w:tcPr>
          <w:p w14:paraId="167FF1FC">
            <w:pPr>
              <w:rPr>
                <w:rFonts w:ascii="Arial"/>
                <w:color w:val="auto"/>
                <w:sz w:val="21"/>
                <w:highlight w:val="none"/>
              </w:rPr>
            </w:pPr>
          </w:p>
        </w:tc>
        <w:tc>
          <w:tcPr>
            <w:tcW w:w="635" w:type="dxa"/>
            <w:vAlign w:val="top"/>
          </w:tcPr>
          <w:p w14:paraId="71CDEA9B">
            <w:pPr>
              <w:rPr>
                <w:rFonts w:ascii="Arial"/>
                <w:color w:val="auto"/>
                <w:sz w:val="21"/>
                <w:highlight w:val="none"/>
              </w:rPr>
            </w:pPr>
          </w:p>
        </w:tc>
        <w:tc>
          <w:tcPr>
            <w:tcW w:w="348" w:type="dxa"/>
            <w:vAlign w:val="top"/>
          </w:tcPr>
          <w:p w14:paraId="524572C1">
            <w:pPr>
              <w:rPr>
                <w:rFonts w:ascii="Arial"/>
                <w:color w:val="auto"/>
                <w:sz w:val="21"/>
                <w:highlight w:val="none"/>
              </w:rPr>
            </w:pPr>
          </w:p>
        </w:tc>
        <w:tc>
          <w:tcPr>
            <w:tcW w:w="348" w:type="dxa"/>
            <w:vAlign w:val="top"/>
          </w:tcPr>
          <w:p w14:paraId="71B8B3DB">
            <w:pPr>
              <w:rPr>
                <w:rFonts w:ascii="Arial"/>
                <w:color w:val="auto"/>
                <w:sz w:val="21"/>
                <w:highlight w:val="none"/>
              </w:rPr>
            </w:pPr>
          </w:p>
        </w:tc>
        <w:tc>
          <w:tcPr>
            <w:tcW w:w="350" w:type="dxa"/>
            <w:vAlign w:val="top"/>
          </w:tcPr>
          <w:p w14:paraId="08E6FFA9">
            <w:pPr>
              <w:rPr>
                <w:rFonts w:ascii="Arial"/>
                <w:color w:val="auto"/>
                <w:sz w:val="21"/>
                <w:highlight w:val="none"/>
              </w:rPr>
            </w:pPr>
          </w:p>
        </w:tc>
        <w:tc>
          <w:tcPr>
            <w:tcW w:w="348" w:type="dxa"/>
            <w:vAlign w:val="top"/>
          </w:tcPr>
          <w:p w14:paraId="56ED5E5B">
            <w:pPr>
              <w:rPr>
                <w:rFonts w:ascii="Arial"/>
                <w:color w:val="auto"/>
                <w:sz w:val="21"/>
                <w:highlight w:val="none"/>
              </w:rPr>
            </w:pPr>
          </w:p>
        </w:tc>
        <w:tc>
          <w:tcPr>
            <w:tcW w:w="349" w:type="dxa"/>
            <w:vAlign w:val="top"/>
          </w:tcPr>
          <w:p w14:paraId="5DA58E06">
            <w:pPr>
              <w:rPr>
                <w:rFonts w:ascii="Arial"/>
                <w:color w:val="auto"/>
                <w:sz w:val="21"/>
                <w:highlight w:val="none"/>
              </w:rPr>
            </w:pPr>
          </w:p>
        </w:tc>
        <w:tc>
          <w:tcPr>
            <w:tcW w:w="351" w:type="dxa"/>
            <w:vAlign w:val="top"/>
          </w:tcPr>
          <w:p w14:paraId="7C34C498">
            <w:pPr>
              <w:rPr>
                <w:rFonts w:ascii="Arial"/>
                <w:color w:val="auto"/>
                <w:sz w:val="21"/>
                <w:highlight w:val="none"/>
              </w:rPr>
            </w:pPr>
          </w:p>
        </w:tc>
        <w:tc>
          <w:tcPr>
            <w:tcW w:w="349" w:type="dxa"/>
            <w:vAlign w:val="top"/>
          </w:tcPr>
          <w:p w14:paraId="3CB95C9F">
            <w:pPr>
              <w:rPr>
                <w:rFonts w:ascii="Arial"/>
                <w:color w:val="auto"/>
                <w:sz w:val="21"/>
                <w:highlight w:val="none"/>
              </w:rPr>
            </w:pPr>
          </w:p>
        </w:tc>
        <w:tc>
          <w:tcPr>
            <w:tcW w:w="349" w:type="dxa"/>
            <w:vAlign w:val="top"/>
          </w:tcPr>
          <w:p w14:paraId="7A567977">
            <w:pPr>
              <w:rPr>
                <w:rFonts w:ascii="Arial"/>
                <w:color w:val="auto"/>
                <w:sz w:val="21"/>
                <w:highlight w:val="none"/>
              </w:rPr>
            </w:pPr>
          </w:p>
        </w:tc>
        <w:tc>
          <w:tcPr>
            <w:tcW w:w="426" w:type="dxa"/>
            <w:vAlign w:val="top"/>
          </w:tcPr>
          <w:p w14:paraId="3DFE89EB">
            <w:pPr>
              <w:rPr>
                <w:rFonts w:ascii="Arial"/>
                <w:color w:val="auto"/>
                <w:sz w:val="21"/>
                <w:highlight w:val="none"/>
              </w:rPr>
            </w:pPr>
          </w:p>
        </w:tc>
        <w:tc>
          <w:tcPr>
            <w:tcW w:w="426" w:type="dxa"/>
            <w:vAlign w:val="top"/>
          </w:tcPr>
          <w:p w14:paraId="1B6EBF95">
            <w:pPr>
              <w:rPr>
                <w:rFonts w:ascii="Arial"/>
                <w:color w:val="auto"/>
                <w:sz w:val="21"/>
                <w:highlight w:val="none"/>
              </w:rPr>
            </w:pPr>
          </w:p>
        </w:tc>
        <w:tc>
          <w:tcPr>
            <w:tcW w:w="426" w:type="dxa"/>
            <w:vAlign w:val="top"/>
          </w:tcPr>
          <w:p w14:paraId="268F6BD4">
            <w:pPr>
              <w:rPr>
                <w:rFonts w:ascii="Arial"/>
                <w:color w:val="auto"/>
                <w:sz w:val="21"/>
                <w:highlight w:val="none"/>
              </w:rPr>
            </w:pPr>
          </w:p>
        </w:tc>
        <w:tc>
          <w:tcPr>
            <w:tcW w:w="429" w:type="dxa"/>
            <w:vAlign w:val="top"/>
          </w:tcPr>
          <w:p w14:paraId="1CBB52CD">
            <w:pPr>
              <w:rPr>
                <w:rFonts w:ascii="Arial"/>
                <w:color w:val="auto"/>
                <w:sz w:val="21"/>
                <w:highlight w:val="none"/>
              </w:rPr>
            </w:pPr>
          </w:p>
        </w:tc>
        <w:tc>
          <w:tcPr>
            <w:tcW w:w="526" w:type="dxa"/>
            <w:vAlign w:val="top"/>
          </w:tcPr>
          <w:p w14:paraId="49E861F8">
            <w:pPr>
              <w:rPr>
                <w:rFonts w:ascii="Arial"/>
                <w:color w:val="auto"/>
                <w:sz w:val="21"/>
                <w:highlight w:val="none"/>
              </w:rPr>
            </w:pPr>
          </w:p>
        </w:tc>
        <w:tc>
          <w:tcPr>
            <w:tcW w:w="735" w:type="dxa"/>
            <w:vAlign w:val="top"/>
          </w:tcPr>
          <w:p w14:paraId="45F9D063">
            <w:pPr>
              <w:rPr>
                <w:rFonts w:ascii="Arial"/>
                <w:color w:val="auto"/>
                <w:sz w:val="21"/>
                <w:highlight w:val="none"/>
              </w:rPr>
            </w:pPr>
          </w:p>
        </w:tc>
      </w:tr>
      <w:tr w14:paraId="47D15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8" w:type="dxa"/>
            <w:vAlign w:val="top"/>
          </w:tcPr>
          <w:p w14:paraId="1B5C6622">
            <w:pPr>
              <w:pStyle w:val="17"/>
              <w:spacing w:before="167" w:line="270" w:lineRule="exact"/>
              <w:ind w:left="184"/>
              <w:rPr>
                <w:color w:val="auto"/>
                <w:highlight w:val="none"/>
              </w:rPr>
            </w:pPr>
            <w:r>
              <w:rPr>
                <w:color w:val="auto"/>
                <w:position w:val="1"/>
                <w:highlight w:val="none"/>
              </w:rPr>
              <w:t>2</w:t>
            </w:r>
          </w:p>
        </w:tc>
        <w:tc>
          <w:tcPr>
            <w:tcW w:w="1628" w:type="dxa"/>
            <w:vAlign w:val="top"/>
          </w:tcPr>
          <w:p w14:paraId="5913D415">
            <w:pPr>
              <w:pStyle w:val="17"/>
              <w:spacing w:before="32" w:line="234"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14796B18">
            <w:pPr>
              <w:rPr>
                <w:rFonts w:ascii="Arial"/>
                <w:color w:val="auto"/>
                <w:sz w:val="21"/>
                <w:highlight w:val="none"/>
              </w:rPr>
            </w:pPr>
          </w:p>
        </w:tc>
        <w:tc>
          <w:tcPr>
            <w:tcW w:w="635" w:type="dxa"/>
            <w:vAlign w:val="top"/>
          </w:tcPr>
          <w:p w14:paraId="38B586BF">
            <w:pPr>
              <w:rPr>
                <w:rFonts w:ascii="Arial"/>
                <w:color w:val="auto"/>
                <w:sz w:val="21"/>
                <w:highlight w:val="none"/>
              </w:rPr>
            </w:pPr>
          </w:p>
        </w:tc>
        <w:tc>
          <w:tcPr>
            <w:tcW w:w="348" w:type="dxa"/>
            <w:vAlign w:val="top"/>
          </w:tcPr>
          <w:p w14:paraId="63D0014D">
            <w:pPr>
              <w:rPr>
                <w:rFonts w:ascii="Arial"/>
                <w:color w:val="auto"/>
                <w:sz w:val="21"/>
                <w:highlight w:val="none"/>
              </w:rPr>
            </w:pPr>
          </w:p>
        </w:tc>
        <w:tc>
          <w:tcPr>
            <w:tcW w:w="348" w:type="dxa"/>
            <w:vAlign w:val="top"/>
          </w:tcPr>
          <w:p w14:paraId="6774F8BA">
            <w:pPr>
              <w:rPr>
                <w:rFonts w:ascii="Arial"/>
                <w:color w:val="auto"/>
                <w:sz w:val="21"/>
                <w:highlight w:val="none"/>
              </w:rPr>
            </w:pPr>
          </w:p>
        </w:tc>
        <w:tc>
          <w:tcPr>
            <w:tcW w:w="350" w:type="dxa"/>
            <w:vAlign w:val="top"/>
          </w:tcPr>
          <w:p w14:paraId="7B12786A">
            <w:pPr>
              <w:rPr>
                <w:rFonts w:ascii="Arial"/>
                <w:color w:val="auto"/>
                <w:sz w:val="21"/>
                <w:highlight w:val="none"/>
              </w:rPr>
            </w:pPr>
          </w:p>
        </w:tc>
        <w:tc>
          <w:tcPr>
            <w:tcW w:w="348" w:type="dxa"/>
            <w:vAlign w:val="top"/>
          </w:tcPr>
          <w:p w14:paraId="75A4D270">
            <w:pPr>
              <w:rPr>
                <w:rFonts w:ascii="Arial"/>
                <w:color w:val="auto"/>
                <w:sz w:val="21"/>
                <w:highlight w:val="none"/>
              </w:rPr>
            </w:pPr>
          </w:p>
        </w:tc>
        <w:tc>
          <w:tcPr>
            <w:tcW w:w="349" w:type="dxa"/>
            <w:vAlign w:val="top"/>
          </w:tcPr>
          <w:p w14:paraId="35E48778">
            <w:pPr>
              <w:rPr>
                <w:rFonts w:ascii="Arial"/>
                <w:color w:val="auto"/>
                <w:sz w:val="21"/>
                <w:highlight w:val="none"/>
              </w:rPr>
            </w:pPr>
          </w:p>
        </w:tc>
        <w:tc>
          <w:tcPr>
            <w:tcW w:w="351" w:type="dxa"/>
            <w:vAlign w:val="top"/>
          </w:tcPr>
          <w:p w14:paraId="7D4233AB">
            <w:pPr>
              <w:rPr>
                <w:rFonts w:ascii="Arial"/>
                <w:color w:val="auto"/>
                <w:sz w:val="21"/>
                <w:highlight w:val="none"/>
              </w:rPr>
            </w:pPr>
          </w:p>
        </w:tc>
        <w:tc>
          <w:tcPr>
            <w:tcW w:w="349" w:type="dxa"/>
            <w:vAlign w:val="top"/>
          </w:tcPr>
          <w:p w14:paraId="223AA7FB">
            <w:pPr>
              <w:rPr>
                <w:rFonts w:ascii="Arial"/>
                <w:color w:val="auto"/>
                <w:sz w:val="21"/>
                <w:highlight w:val="none"/>
              </w:rPr>
            </w:pPr>
          </w:p>
        </w:tc>
        <w:tc>
          <w:tcPr>
            <w:tcW w:w="349" w:type="dxa"/>
            <w:vAlign w:val="top"/>
          </w:tcPr>
          <w:p w14:paraId="778F0122">
            <w:pPr>
              <w:rPr>
                <w:rFonts w:ascii="Arial"/>
                <w:color w:val="auto"/>
                <w:sz w:val="21"/>
                <w:highlight w:val="none"/>
              </w:rPr>
            </w:pPr>
          </w:p>
        </w:tc>
        <w:tc>
          <w:tcPr>
            <w:tcW w:w="426" w:type="dxa"/>
            <w:vAlign w:val="top"/>
          </w:tcPr>
          <w:p w14:paraId="1113B7EC">
            <w:pPr>
              <w:rPr>
                <w:rFonts w:ascii="Arial"/>
                <w:color w:val="auto"/>
                <w:sz w:val="21"/>
                <w:highlight w:val="none"/>
              </w:rPr>
            </w:pPr>
          </w:p>
        </w:tc>
        <w:tc>
          <w:tcPr>
            <w:tcW w:w="426" w:type="dxa"/>
            <w:vAlign w:val="top"/>
          </w:tcPr>
          <w:p w14:paraId="28606667">
            <w:pPr>
              <w:rPr>
                <w:rFonts w:ascii="Arial"/>
                <w:color w:val="auto"/>
                <w:sz w:val="21"/>
                <w:highlight w:val="none"/>
              </w:rPr>
            </w:pPr>
          </w:p>
        </w:tc>
        <w:tc>
          <w:tcPr>
            <w:tcW w:w="426" w:type="dxa"/>
            <w:vAlign w:val="top"/>
          </w:tcPr>
          <w:p w14:paraId="70539B8A">
            <w:pPr>
              <w:rPr>
                <w:rFonts w:ascii="Arial"/>
                <w:color w:val="auto"/>
                <w:sz w:val="21"/>
                <w:highlight w:val="none"/>
              </w:rPr>
            </w:pPr>
          </w:p>
        </w:tc>
        <w:tc>
          <w:tcPr>
            <w:tcW w:w="429" w:type="dxa"/>
            <w:vAlign w:val="top"/>
          </w:tcPr>
          <w:p w14:paraId="630873E5">
            <w:pPr>
              <w:rPr>
                <w:rFonts w:ascii="Arial"/>
                <w:color w:val="auto"/>
                <w:sz w:val="21"/>
                <w:highlight w:val="none"/>
              </w:rPr>
            </w:pPr>
          </w:p>
        </w:tc>
        <w:tc>
          <w:tcPr>
            <w:tcW w:w="526" w:type="dxa"/>
            <w:vAlign w:val="top"/>
          </w:tcPr>
          <w:p w14:paraId="76D2FBEC">
            <w:pPr>
              <w:rPr>
                <w:rFonts w:ascii="Arial"/>
                <w:color w:val="auto"/>
                <w:sz w:val="21"/>
                <w:highlight w:val="none"/>
              </w:rPr>
            </w:pPr>
          </w:p>
        </w:tc>
        <w:tc>
          <w:tcPr>
            <w:tcW w:w="735" w:type="dxa"/>
            <w:vAlign w:val="top"/>
          </w:tcPr>
          <w:p w14:paraId="6ACEBE44">
            <w:pPr>
              <w:rPr>
                <w:rFonts w:ascii="Arial"/>
                <w:color w:val="auto"/>
                <w:sz w:val="21"/>
                <w:highlight w:val="none"/>
              </w:rPr>
            </w:pPr>
          </w:p>
        </w:tc>
      </w:tr>
      <w:tr w14:paraId="53474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8" w:type="dxa"/>
            <w:vAlign w:val="top"/>
          </w:tcPr>
          <w:p w14:paraId="6741ACD0">
            <w:pPr>
              <w:pStyle w:val="17"/>
              <w:spacing w:before="167" w:line="269" w:lineRule="exact"/>
              <w:ind w:left="185"/>
              <w:rPr>
                <w:color w:val="auto"/>
                <w:highlight w:val="none"/>
              </w:rPr>
            </w:pPr>
            <w:r>
              <w:rPr>
                <w:color w:val="auto"/>
                <w:position w:val="1"/>
                <w:highlight w:val="none"/>
              </w:rPr>
              <w:t>3</w:t>
            </w:r>
          </w:p>
        </w:tc>
        <w:tc>
          <w:tcPr>
            <w:tcW w:w="1628" w:type="dxa"/>
            <w:vAlign w:val="top"/>
          </w:tcPr>
          <w:p w14:paraId="1747EF2F">
            <w:pPr>
              <w:pStyle w:val="17"/>
              <w:spacing w:before="34" w:line="233"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2C9BAC4E">
            <w:pPr>
              <w:rPr>
                <w:rFonts w:ascii="Arial"/>
                <w:color w:val="auto"/>
                <w:sz w:val="21"/>
                <w:highlight w:val="none"/>
              </w:rPr>
            </w:pPr>
          </w:p>
        </w:tc>
        <w:tc>
          <w:tcPr>
            <w:tcW w:w="635" w:type="dxa"/>
            <w:vAlign w:val="top"/>
          </w:tcPr>
          <w:p w14:paraId="18868954">
            <w:pPr>
              <w:rPr>
                <w:rFonts w:ascii="Arial"/>
                <w:color w:val="auto"/>
                <w:sz w:val="21"/>
                <w:highlight w:val="none"/>
              </w:rPr>
            </w:pPr>
          </w:p>
        </w:tc>
        <w:tc>
          <w:tcPr>
            <w:tcW w:w="348" w:type="dxa"/>
            <w:vAlign w:val="top"/>
          </w:tcPr>
          <w:p w14:paraId="2E6976DB">
            <w:pPr>
              <w:rPr>
                <w:rFonts w:ascii="Arial"/>
                <w:color w:val="auto"/>
                <w:sz w:val="21"/>
                <w:highlight w:val="none"/>
              </w:rPr>
            </w:pPr>
          </w:p>
        </w:tc>
        <w:tc>
          <w:tcPr>
            <w:tcW w:w="348" w:type="dxa"/>
            <w:vAlign w:val="top"/>
          </w:tcPr>
          <w:p w14:paraId="66CE6403">
            <w:pPr>
              <w:rPr>
                <w:rFonts w:ascii="Arial"/>
                <w:color w:val="auto"/>
                <w:sz w:val="21"/>
                <w:highlight w:val="none"/>
              </w:rPr>
            </w:pPr>
          </w:p>
        </w:tc>
        <w:tc>
          <w:tcPr>
            <w:tcW w:w="350" w:type="dxa"/>
            <w:vAlign w:val="top"/>
          </w:tcPr>
          <w:p w14:paraId="7BC71137">
            <w:pPr>
              <w:rPr>
                <w:rFonts w:ascii="Arial"/>
                <w:color w:val="auto"/>
                <w:sz w:val="21"/>
                <w:highlight w:val="none"/>
              </w:rPr>
            </w:pPr>
          </w:p>
        </w:tc>
        <w:tc>
          <w:tcPr>
            <w:tcW w:w="348" w:type="dxa"/>
            <w:vAlign w:val="top"/>
          </w:tcPr>
          <w:p w14:paraId="303E34C7">
            <w:pPr>
              <w:rPr>
                <w:rFonts w:ascii="Arial"/>
                <w:color w:val="auto"/>
                <w:sz w:val="21"/>
                <w:highlight w:val="none"/>
              </w:rPr>
            </w:pPr>
          </w:p>
        </w:tc>
        <w:tc>
          <w:tcPr>
            <w:tcW w:w="349" w:type="dxa"/>
            <w:vAlign w:val="top"/>
          </w:tcPr>
          <w:p w14:paraId="5EF65171">
            <w:pPr>
              <w:rPr>
                <w:rFonts w:ascii="Arial"/>
                <w:color w:val="auto"/>
                <w:sz w:val="21"/>
                <w:highlight w:val="none"/>
              </w:rPr>
            </w:pPr>
          </w:p>
        </w:tc>
        <w:tc>
          <w:tcPr>
            <w:tcW w:w="351" w:type="dxa"/>
            <w:vAlign w:val="top"/>
          </w:tcPr>
          <w:p w14:paraId="0B021CEF">
            <w:pPr>
              <w:rPr>
                <w:rFonts w:ascii="Arial"/>
                <w:color w:val="auto"/>
                <w:sz w:val="21"/>
                <w:highlight w:val="none"/>
              </w:rPr>
            </w:pPr>
          </w:p>
        </w:tc>
        <w:tc>
          <w:tcPr>
            <w:tcW w:w="349" w:type="dxa"/>
            <w:vAlign w:val="top"/>
          </w:tcPr>
          <w:p w14:paraId="2E919B0C">
            <w:pPr>
              <w:rPr>
                <w:rFonts w:ascii="Arial"/>
                <w:color w:val="auto"/>
                <w:sz w:val="21"/>
                <w:highlight w:val="none"/>
              </w:rPr>
            </w:pPr>
          </w:p>
        </w:tc>
        <w:tc>
          <w:tcPr>
            <w:tcW w:w="349" w:type="dxa"/>
            <w:vAlign w:val="top"/>
          </w:tcPr>
          <w:p w14:paraId="21C16330">
            <w:pPr>
              <w:rPr>
                <w:rFonts w:ascii="Arial"/>
                <w:color w:val="auto"/>
                <w:sz w:val="21"/>
                <w:highlight w:val="none"/>
              </w:rPr>
            </w:pPr>
          </w:p>
        </w:tc>
        <w:tc>
          <w:tcPr>
            <w:tcW w:w="426" w:type="dxa"/>
            <w:vAlign w:val="top"/>
          </w:tcPr>
          <w:p w14:paraId="63E5E395">
            <w:pPr>
              <w:rPr>
                <w:rFonts w:ascii="Arial"/>
                <w:color w:val="auto"/>
                <w:sz w:val="21"/>
                <w:highlight w:val="none"/>
              </w:rPr>
            </w:pPr>
          </w:p>
        </w:tc>
        <w:tc>
          <w:tcPr>
            <w:tcW w:w="426" w:type="dxa"/>
            <w:vAlign w:val="top"/>
          </w:tcPr>
          <w:p w14:paraId="3DDBEB97">
            <w:pPr>
              <w:rPr>
                <w:rFonts w:ascii="Arial"/>
                <w:color w:val="auto"/>
                <w:sz w:val="21"/>
                <w:highlight w:val="none"/>
              </w:rPr>
            </w:pPr>
          </w:p>
        </w:tc>
        <w:tc>
          <w:tcPr>
            <w:tcW w:w="426" w:type="dxa"/>
            <w:vAlign w:val="top"/>
          </w:tcPr>
          <w:p w14:paraId="74033502">
            <w:pPr>
              <w:rPr>
                <w:rFonts w:ascii="Arial"/>
                <w:color w:val="auto"/>
                <w:sz w:val="21"/>
                <w:highlight w:val="none"/>
              </w:rPr>
            </w:pPr>
          </w:p>
        </w:tc>
        <w:tc>
          <w:tcPr>
            <w:tcW w:w="429" w:type="dxa"/>
            <w:vAlign w:val="top"/>
          </w:tcPr>
          <w:p w14:paraId="183981CE">
            <w:pPr>
              <w:rPr>
                <w:rFonts w:ascii="Arial"/>
                <w:color w:val="auto"/>
                <w:sz w:val="21"/>
                <w:highlight w:val="none"/>
              </w:rPr>
            </w:pPr>
          </w:p>
        </w:tc>
        <w:tc>
          <w:tcPr>
            <w:tcW w:w="526" w:type="dxa"/>
            <w:vAlign w:val="top"/>
          </w:tcPr>
          <w:p w14:paraId="729B8BA9">
            <w:pPr>
              <w:rPr>
                <w:rFonts w:ascii="Arial"/>
                <w:color w:val="auto"/>
                <w:sz w:val="21"/>
                <w:highlight w:val="none"/>
              </w:rPr>
            </w:pPr>
          </w:p>
        </w:tc>
        <w:tc>
          <w:tcPr>
            <w:tcW w:w="735" w:type="dxa"/>
            <w:vAlign w:val="top"/>
          </w:tcPr>
          <w:p w14:paraId="7FF0820C">
            <w:pPr>
              <w:rPr>
                <w:rFonts w:ascii="Arial"/>
                <w:color w:val="auto"/>
                <w:sz w:val="21"/>
                <w:highlight w:val="none"/>
              </w:rPr>
            </w:pPr>
          </w:p>
        </w:tc>
      </w:tr>
      <w:tr w14:paraId="25929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8" w:type="dxa"/>
            <w:vAlign w:val="top"/>
          </w:tcPr>
          <w:p w14:paraId="0FCA95BB">
            <w:pPr>
              <w:pStyle w:val="17"/>
              <w:spacing w:before="168" w:line="270" w:lineRule="exact"/>
              <w:ind w:left="180"/>
              <w:rPr>
                <w:color w:val="auto"/>
                <w:highlight w:val="none"/>
              </w:rPr>
            </w:pPr>
            <w:r>
              <w:rPr>
                <w:color w:val="auto"/>
                <w:position w:val="1"/>
                <w:highlight w:val="none"/>
              </w:rPr>
              <w:t>4</w:t>
            </w:r>
          </w:p>
        </w:tc>
        <w:tc>
          <w:tcPr>
            <w:tcW w:w="1628" w:type="dxa"/>
            <w:vAlign w:val="top"/>
          </w:tcPr>
          <w:p w14:paraId="6657B8B5">
            <w:pPr>
              <w:pStyle w:val="17"/>
              <w:spacing w:before="34" w:line="233"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65E8B040">
            <w:pPr>
              <w:rPr>
                <w:rFonts w:ascii="Arial"/>
                <w:color w:val="auto"/>
                <w:sz w:val="21"/>
                <w:highlight w:val="none"/>
              </w:rPr>
            </w:pPr>
          </w:p>
        </w:tc>
        <w:tc>
          <w:tcPr>
            <w:tcW w:w="635" w:type="dxa"/>
            <w:vAlign w:val="top"/>
          </w:tcPr>
          <w:p w14:paraId="68BDA1A4">
            <w:pPr>
              <w:rPr>
                <w:rFonts w:ascii="Arial"/>
                <w:color w:val="auto"/>
                <w:sz w:val="21"/>
                <w:highlight w:val="none"/>
              </w:rPr>
            </w:pPr>
          </w:p>
        </w:tc>
        <w:tc>
          <w:tcPr>
            <w:tcW w:w="348" w:type="dxa"/>
            <w:vAlign w:val="top"/>
          </w:tcPr>
          <w:p w14:paraId="4220165A">
            <w:pPr>
              <w:rPr>
                <w:rFonts w:ascii="Arial"/>
                <w:color w:val="auto"/>
                <w:sz w:val="21"/>
                <w:highlight w:val="none"/>
              </w:rPr>
            </w:pPr>
          </w:p>
        </w:tc>
        <w:tc>
          <w:tcPr>
            <w:tcW w:w="348" w:type="dxa"/>
            <w:vAlign w:val="top"/>
          </w:tcPr>
          <w:p w14:paraId="03D5ED43">
            <w:pPr>
              <w:rPr>
                <w:rFonts w:ascii="Arial"/>
                <w:color w:val="auto"/>
                <w:sz w:val="21"/>
                <w:highlight w:val="none"/>
              </w:rPr>
            </w:pPr>
          </w:p>
        </w:tc>
        <w:tc>
          <w:tcPr>
            <w:tcW w:w="350" w:type="dxa"/>
            <w:vAlign w:val="top"/>
          </w:tcPr>
          <w:p w14:paraId="11528BF3">
            <w:pPr>
              <w:rPr>
                <w:rFonts w:ascii="Arial"/>
                <w:color w:val="auto"/>
                <w:sz w:val="21"/>
                <w:highlight w:val="none"/>
              </w:rPr>
            </w:pPr>
          </w:p>
        </w:tc>
        <w:tc>
          <w:tcPr>
            <w:tcW w:w="348" w:type="dxa"/>
            <w:vAlign w:val="top"/>
          </w:tcPr>
          <w:p w14:paraId="258E7419">
            <w:pPr>
              <w:rPr>
                <w:rFonts w:ascii="Arial"/>
                <w:color w:val="auto"/>
                <w:sz w:val="21"/>
                <w:highlight w:val="none"/>
              </w:rPr>
            </w:pPr>
          </w:p>
        </w:tc>
        <w:tc>
          <w:tcPr>
            <w:tcW w:w="349" w:type="dxa"/>
            <w:vAlign w:val="top"/>
          </w:tcPr>
          <w:p w14:paraId="3DC6A2A3">
            <w:pPr>
              <w:rPr>
                <w:rFonts w:ascii="Arial"/>
                <w:color w:val="auto"/>
                <w:sz w:val="21"/>
                <w:highlight w:val="none"/>
              </w:rPr>
            </w:pPr>
          </w:p>
        </w:tc>
        <w:tc>
          <w:tcPr>
            <w:tcW w:w="351" w:type="dxa"/>
            <w:vAlign w:val="top"/>
          </w:tcPr>
          <w:p w14:paraId="1E27E140">
            <w:pPr>
              <w:rPr>
                <w:rFonts w:ascii="Arial"/>
                <w:color w:val="auto"/>
                <w:sz w:val="21"/>
                <w:highlight w:val="none"/>
              </w:rPr>
            </w:pPr>
          </w:p>
        </w:tc>
        <w:tc>
          <w:tcPr>
            <w:tcW w:w="349" w:type="dxa"/>
            <w:vAlign w:val="top"/>
          </w:tcPr>
          <w:p w14:paraId="5AA15E09">
            <w:pPr>
              <w:rPr>
                <w:rFonts w:ascii="Arial"/>
                <w:color w:val="auto"/>
                <w:sz w:val="21"/>
                <w:highlight w:val="none"/>
              </w:rPr>
            </w:pPr>
          </w:p>
        </w:tc>
        <w:tc>
          <w:tcPr>
            <w:tcW w:w="349" w:type="dxa"/>
            <w:vAlign w:val="top"/>
          </w:tcPr>
          <w:p w14:paraId="7467580B">
            <w:pPr>
              <w:rPr>
                <w:rFonts w:ascii="Arial"/>
                <w:color w:val="auto"/>
                <w:sz w:val="21"/>
                <w:highlight w:val="none"/>
              </w:rPr>
            </w:pPr>
          </w:p>
        </w:tc>
        <w:tc>
          <w:tcPr>
            <w:tcW w:w="426" w:type="dxa"/>
            <w:vAlign w:val="top"/>
          </w:tcPr>
          <w:p w14:paraId="507F1569">
            <w:pPr>
              <w:rPr>
                <w:rFonts w:ascii="Arial"/>
                <w:color w:val="auto"/>
                <w:sz w:val="21"/>
                <w:highlight w:val="none"/>
              </w:rPr>
            </w:pPr>
          </w:p>
        </w:tc>
        <w:tc>
          <w:tcPr>
            <w:tcW w:w="426" w:type="dxa"/>
            <w:vAlign w:val="top"/>
          </w:tcPr>
          <w:p w14:paraId="0F521F1D">
            <w:pPr>
              <w:rPr>
                <w:rFonts w:ascii="Arial"/>
                <w:color w:val="auto"/>
                <w:sz w:val="21"/>
                <w:highlight w:val="none"/>
              </w:rPr>
            </w:pPr>
          </w:p>
        </w:tc>
        <w:tc>
          <w:tcPr>
            <w:tcW w:w="426" w:type="dxa"/>
            <w:vAlign w:val="top"/>
          </w:tcPr>
          <w:p w14:paraId="22E296D0">
            <w:pPr>
              <w:rPr>
                <w:rFonts w:ascii="Arial"/>
                <w:color w:val="auto"/>
                <w:sz w:val="21"/>
                <w:highlight w:val="none"/>
              </w:rPr>
            </w:pPr>
          </w:p>
        </w:tc>
        <w:tc>
          <w:tcPr>
            <w:tcW w:w="429" w:type="dxa"/>
            <w:vAlign w:val="top"/>
          </w:tcPr>
          <w:p w14:paraId="3FBAF243">
            <w:pPr>
              <w:rPr>
                <w:rFonts w:ascii="Arial"/>
                <w:color w:val="auto"/>
                <w:sz w:val="21"/>
                <w:highlight w:val="none"/>
              </w:rPr>
            </w:pPr>
          </w:p>
        </w:tc>
        <w:tc>
          <w:tcPr>
            <w:tcW w:w="526" w:type="dxa"/>
            <w:vAlign w:val="top"/>
          </w:tcPr>
          <w:p w14:paraId="2BDF6972">
            <w:pPr>
              <w:rPr>
                <w:rFonts w:ascii="Arial"/>
                <w:color w:val="auto"/>
                <w:sz w:val="21"/>
                <w:highlight w:val="none"/>
              </w:rPr>
            </w:pPr>
          </w:p>
        </w:tc>
        <w:tc>
          <w:tcPr>
            <w:tcW w:w="735" w:type="dxa"/>
            <w:vAlign w:val="top"/>
          </w:tcPr>
          <w:p w14:paraId="5A5CCA7F">
            <w:pPr>
              <w:rPr>
                <w:rFonts w:ascii="Arial"/>
                <w:color w:val="auto"/>
                <w:sz w:val="21"/>
                <w:highlight w:val="none"/>
              </w:rPr>
            </w:pPr>
          </w:p>
        </w:tc>
      </w:tr>
      <w:tr w14:paraId="1EEA0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58" w:type="dxa"/>
            <w:vAlign w:val="top"/>
          </w:tcPr>
          <w:p w14:paraId="7782666B">
            <w:pPr>
              <w:pStyle w:val="17"/>
              <w:spacing w:before="168" w:line="269" w:lineRule="exact"/>
              <w:ind w:left="185"/>
              <w:rPr>
                <w:color w:val="auto"/>
                <w:highlight w:val="none"/>
              </w:rPr>
            </w:pPr>
            <w:r>
              <w:rPr>
                <w:color w:val="auto"/>
                <w:position w:val="1"/>
                <w:highlight w:val="none"/>
              </w:rPr>
              <w:t>5</w:t>
            </w:r>
          </w:p>
        </w:tc>
        <w:tc>
          <w:tcPr>
            <w:tcW w:w="1628" w:type="dxa"/>
            <w:vAlign w:val="top"/>
          </w:tcPr>
          <w:p w14:paraId="5A57B916">
            <w:pPr>
              <w:pStyle w:val="17"/>
              <w:spacing w:before="35" w:line="232"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66A11B1E">
            <w:pPr>
              <w:rPr>
                <w:rFonts w:ascii="Arial"/>
                <w:color w:val="auto"/>
                <w:sz w:val="21"/>
                <w:highlight w:val="none"/>
              </w:rPr>
            </w:pPr>
          </w:p>
        </w:tc>
        <w:tc>
          <w:tcPr>
            <w:tcW w:w="635" w:type="dxa"/>
            <w:vAlign w:val="top"/>
          </w:tcPr>
          <w:p w14:paraId="0A78473B">
            <w:pPr>
              <w:rPr>
                <w:rFonts w:ascii="Arial"/>
                <w:color w:val="auto"/>
                <w:sz w:val="21"/>
                <w:highlight w:val="none"/>
              </w:rPr>
            </w:pPr>
          </w:p>
        </w:tc>
        <w:tc>
          <w:tcPr>
            <w:tcW w:w="348" w:type="dxa"/>
            <w:vAlign w:val="top"/>
          </w:tcPr>
          <w:p w14:paraId="14EAF808">
            <w:pPr>
              <w:rPr>
                <w:rFonts w:ascii="Arial"/>
                <w:color w:val="auto"/>
                <w:sz w:val="21"/>
                <w:highlight w:val="none"/>
              </w:rPr>
            </w:pPr>
          </w:p>
        </w:tc>
        <w:tc>
          <w:tcPr>
            <w:tcW w:w="348" w:type="dxa"/>
            <w:vAlign w:val="top"/>
          </w:tcPr>
          <w:p w14:paraId="5CE29EEE">
            <w:pPr>
              <w:rPr>
                <w:rFonts w:ascii="Arial"/>
                <w:color w:val="auto"/>
                <w:sz w:val="21"/>
                <w:highlight w:val="none"/>
              </w:rPr>
            </w:pPr>
          </w:p>
        </w:tc>
        <w:tc>
          <w:tcPr>
            <w:tcW w:w="350" w:type="dxa"/>
            <w:vAlign w:val="top"/>
          </w:tcPr>
          <w:p w14:paraId="3649D7A0">
            <w:pPr>
              <w:rPr>
                <w:rFonts w:ascii="Arial"/>
                <w:color w:val="auto"/>
                <w:sz w:val="21"/>
                <w:highlight w:val="none"/>
              </w:rPr>
            </w:pPr>
          </w:p>
        </w:tc>
        <w:tc>
          <w:tcPr>
            <w:tcW w:w="348" w:type="dxa"/>
            <w:vAlign w:val="top"/>
          </w:tcPr>
          <w:p w14:paraId="5B137C86">
            <w:pPr>
              <w:rPr>
                <w:rFonts w:ascii="Arial"/>
                <w:color w:val="auto"/>
                <w:sz w:val="21"/>
                <w:highlight w:val="none"/>
              </w:rPr>
            </w:pPr>
          </w:p>
        </w:tc>
        <w:tc>
          <w:tcPr>
            <w:tcW w:w="349" w:type="dxa"/>
            <w:vAlign w:val="top"/>
          </w:tcPr>
          <w:p w14:paraId="43A86472">
            <w:pPr>
              <w:rPr>
                <w:rFonts w:ascii="Arial"/>
                <w:color w:val="auto"/>
                <w:sz w:val="21"/>
                <w:highlight w:val="none"/>
              </w:rPr>
            </w:pPr>
          </w:p>
        </w:tc>
        <w:tc>
          <w:tcPr>
            <w:tcW w:w="351" w:type="dxa"/>
            <w:vAlign w:val="top"/>
          </w:tcPr>
          <w:p w14:paraId="400F4D59">
            <w:pPr>
              <w:rPr>
                <w:rFonts w:ascii="Arial"/>
                <w:color w:val="auto"/>
                <w:sz w:val="21"/>
                <w:highlight w:val="none"/>
              </w:rPr>
            </w:pPr>
          </w:p>
        </w:tc>
        <w:tc>
          <w:tcPr>
            <w:tcW w:w="349" w:type="dxa"/>
            <w:vAlign w:val="top"/>
          </w:tcPr>
          <w:p w14:paraId="6D814A2F">
            <w:pPr>
              <w:rPr>
                <w:rFonts w:ascii="Arial"/>
                <w:color w:val="auto"/>
                <w:sz w:val="21"/>
                <w:highlight w:val="none"/>
              </w:rPr>
            </w:pPr>
          </w:p>
        </w:tc>
        <w:tc>
          <w:tcPr>
            <w:tcW w:w="349" w:type="dxa"/>
            <w:vAlign w:val="top"/>
          </w:tcPr>
          <w:p w14:paraId="1CFD9293">
            <w:pPr>
              <w:rPr>
                <w:rFonts w:ascii="Arial"/>
                <w:color w:val="auto"/>
                <w:sz w:val="21"/>
                <w:highlight w:val="none"/>
              </w:rPr>
            </w:pPr>
          </w:p>
        </w:tc>
        <w:tc>
          <w:tcPr>
            <w:tcW w:w="426" w:type="dxa"/>
            <w:vAlign w:val="top"/>
          </w:tcPr>
          <w:p w14:paraId="5F1BD6EE">
            <w:pPr>
              <w:rPr>
                <w:rFonts w:ascii="Arial"/>
                <w:color w:val="auto"/>
                <w:sz w:val="21"/>
                <w:highlight w:val="none"/>
              </w:rPr>
            </w:pPr>
          </w:p>
        </w:tc>
        <w:tc>
          <w:tcPr>
            <w:tcW w:w="426" w:type="dxa"/>
            <w:vAlign w:val="top"/>
          </w:tcPr>
          <w:p w14:paraId="15AA952E">
            <w:pPr>
              <w:rPr>
                <w:rFonts w:ascii="Arial"/>
                <w:color w:val="auto"/>
                <w:sz w:val="21"/>
                <w:highlight w:val="none"/>
              </w:rPr>
            </w:pPr>
          </w:p>
        </w:tc>
        <w:tc>
          <w:tcPr>
            <w:tcW w:w="426" w:type="dxa"/>
            <w:vAlign w:val="top"/>
          </w:tcPr>
          <w:p w14:paraId="442548B8">
            <w:pPr>
              <w:rPr>
                <w:rFonts w:ascii="Arial"/>
                <w:color w:val="auto"/>
                <w:sz w:val="21"/>
                <w:highlight w:val="none"/>
              </w:rPr>
            </w:pPr>
          </w:p>
        </w:tc>
        <w:tc>
          <w:tcPr>
            <w:tcW w:w="429" w:type="dxa"/>
            <w:vAlign w:val="top"/>
          </w:tcPr>
          <w:p w14:paraId="024102EB">
            <w:pPr>
              <w:rPr>
                <w:rFonts w:ascii="Arial"/>
                <w:color w:val="auto"/>
                <w:sz w:val="21"/>
                <w:highlight w:val="none"/>
              </w:rPr>
            </w:pPr>
          </w:p>
        </w:tc>
        <w:tc>
          <w:tcPr>
            <w:tcW w:w="526" w:type="dxa"/>
            <w:vAlign w:val="top"/>
          </w:tcPr>
          <w:p w14:paraId="616CECBB">
            <w:pPr>
              <w:rPr>
                <w:rFonts w:ascii="Arial"/>
                <w:color w:val="auto"/>
                <w:sz w:val="21"/>
                <w:highlight w:val="none"/>
              </w:rPr>
            </w:pPr>
          </w:p>
        </w:tc>
        <w:tc>
          <w:tcPr>
            <w:tcW w:w="735" w:type="dxa"/>
            <w:vAlign w:val="top"/>
          </w:tcPr>
          <w:p w14:paraId="1126A25F">
            <w:pPr>
              <w:rPr>
                <w:rFonts w:ascii="Arial"/>
                <w:color w:val="auto"/>
                <w:sz w:val="21"/>
                <w:highlight w:val="none"/>
              </w:rPr>
            </w:pPr>
          </w:p>
        </w:tc>
      </w:tr>
      <w:tr w14:paraId="0355A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58" w:type="dxa"/>
            <w:vAlign w:val="top"/>
          </w:tcPr>
          <w:p w14:paraId="351F58D5">
            <w:pPr>
              <w:pStyle w:val="17"/>
              <w:spacing w:before="172" w:line="268" w:lineRule="exact"/>
              <w:ind w:left="183"/>
              <w:rPr>
                <w:color w:val="auto"/>
                <w:highlight w:val="none"/>
              </w:rPr>
            </w:pPr>
            <w:r>
              <w:rPr>
                <w:color w:val="auto"/>
                <w:position w:val="1"/>
                <w:highlight w:val="none"/>
              </w:rPr>
              <w:t>6</w:t>
            </w:r>
          </w:p>
        </w:tc>
        <w:tc>
          <w:tcPr>
            <w:tcW w:w="1628" w:type="dxa"/>
            <w:vAlign w:val="top"/>
          </w:tcPr>
          <w:p w14:paraId="6AD73985">
            <w:pPr>
              <w:pStyle w:val="17"/>
              <w:spacing w:before="35" w:line="233"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02C7DF9E">
            <w:pPr>
              <w:rPr>
                <w:rFonts w:ascii="Arial"/>
                <w:color w:val="auto"/>
                <w:sz w:val="21"/>
                <w:highlight w:val="none"/>
              </w:rPr>
            </w:pPr>
          </w:p>
        </w:tc>
        <w:tc>
          <w:tcPr>
            <w:tcW w:w="635" w:type="dxa"/>
            <w:vAlign w:val="top"/>
          </w:tcPr>
          <w:p w14:paraId="2015AD46">
            <w:pPr>
              <w:rPr>
                <w:rFonts w:ascii="Arial"/>
                <w:color w:val="auto"/>
                <w:sz w:val="21"/>
                <w:highlight w:val="none"/>
              </w:rPr>
            </w:pPr>
          </w:p>
        </w:tc>
        <w:tc>
          <w:tcPr>
            <w:tcW w:w="348" w:type="dxa"/>
            <w:vAlign w:val="top"/>
          </w:tcPr>
          <w:p w14:paraId="7FC1F5A4">
            <w:pPr>
              <w:rPr>
                <w:rFonts w:ascii="Arial"/>
                <w:color w:val="auto"/>
                <w:sz w:val="21"/>
                <w:highlight w:val="none"/>
              </w:rPr>
            </w:pPr>
          </w:p>
        </w:tc>
        <w:tc>
          <w:tcPr>
            <w:tcW w:w="348" w:type="dxa"/>
            <w:vAlign w:val="top"/>
          </w:tcPr>
          <w:p w14:paraId="3EE258E0">
            <w:pPr>
              <w:rPr>
                <w:rFonts w:ascii="Arial"/>
                <w:color w:val="auto"/>
                <w:sz w:val="21"/>
                <w:highlight w:val="none"/>
              </w:rPr>
            </w:pPr>
          </w:p>
        </w:tc>
        <w:tc>
          <w:tcPr>
            <w:tcW w:w="350" w:type="dxa"/>
            <w:vAlign w:val="top"/>
          </w:tcPr>
          <w:p w14:paraId="13EA2CD7">
            <w:pPr>
              <w:rPr>
                <w:rFonts w:ascii="Arial"/>
                <w:color w:val="auto"/>
                <w:sz w:val="21"/>
                <w:highlight w:val="none"/>
              </w:rPr>
            </w:pPr>
          </w:p>
        </w:tc>
        <w:tc>
          <w:tcPr>
            <w:tcW w:w="348" w:type="dxa"/>
            <w:vAlign w:val="top"/>
          </w:tcPr>
          <w:p w14:paraId="177E4D2E">
            <w:pPr>
              <w:rPr>
                <w:rFonts w:ascii="Arial"/>
                <w:color w:val="auto"/>
                <w:sz w:val="21"/>
                <w:highlight w:val="none"/>
              </w:rPr>
            </w:pPr>
          </w:p>
        </w:tc>
        <w:tc>
          <w:tcPr>
            <w:tcW w:w="349" w:type="dxa"/>
            <w:vAlign w:val="top"/>
          </w:tcPr>
          <w:p w14:paraId="37A8D32D">
            <w:pPr>
              <w:rPr>
                <w:rFonts w:ascii="Arial"/>
                <w:color w:val="auto"/>
                <w:sz w:val="21"/>
                <w:highlight w:val="none"/>
              </w:rPr>
            </w:pPr>
          </w:p>
        </w:tc>
        <w:tc>
          <w:tcPr>
            <w:tcW w:w="351" w:type="dxa"/>
            <w:vAlign w:val="top"/>
          </w:tcPr>
          <w:p w14:paraId="3980C3B1">
            <w:pPr>
              <w:rPr>
                <w:rFonts w:ascii="Arial"/>
                <w:color w:val="auto"/>
                <w:sz w:val="21"/>
                <w:highlight w:val="none"/>
              </w:rPr>
            </w:pPr>
          </w:p>
        </w:tc>
        <w:tc>
          <w:tcPr>
            <w:tcW w:w="349" w:type="dxa"/>
            <w:vAlign w:val="top"/>
          </w:tcPr>
          <w:p w14:paraId="2E535B7A">
            <w:pPr>
              <w:rPr>
                <w:rFonts w:ascii="Arial"/>
                <w:color w:val="auto"/>
                <w:sz w:val="21"/>
                <w:highlight w:val="none"/>
              </w:rPr>
            </w:pPr>
          </w:p>
        </w:tc>
        <w:tc>
          <w:tcPr>
            <w:tcW w:w="349" w:type="dxa"/>
            <w:vAlign w:val="top"/>
          </w:tcPr>
          <w:p w14:paraId="7EBFAE65">
            <w:pPr>
              <w:rPr>
                <w:rFonts w:ascii="Arial"/>
                <w:color w:val="auto"/>
                <w:sz w:val="21"/>
                <w:highlight w:val="none"/>
              </w:rPr>
            </w:pPr>
          </w:p>
        </w:tc>
        <w:tc>
          <w:tcPr>
            <w:tcW w:w="426" w:type="dxa"/>
            <w:vAlign w:val="top"/>
          </w:tcPr>
          <w:p w14:paraId="14C077A5">
            <w:pPr>
              <w:rPr>
                <w:rFonts w:ascii="Arial"/>
                <w:color w:val="auto"/>
                <w:sz w:val="21"/>
                <w:highlight w:val="none"/>
              </w:rPr>
            </w:pPr>
          </w:p>
        </w:tc>
        <w:tc>
          <w:tcPr>
            <w:tcW w:w="426" w:type="dxa"/>
            <w:vAlign w:val="top"/>
          </w:tcPr>
          <w:p w14:paraId="00FF2514">
            <w:pPr>
              <w:rPr>
                <w:rFonts w:ascii="Arial"/>
                <w:color w:val="auto"/>
                <w:sz w:val="21"/>
                <w:highlight w:val="none"/>
              </w:rPr>
            </w:pPr>
          </w:p>
        </w:tc>
        <w:tc>
          <w:tcPr>
            <w:tcW w:w="426" w:type="dxa"/>
            <w:vAlign w:val="top"/>
          </w:tcPr>
          <w:p w14:paraId="2A76A80C">
            <w:pPr>
              <w:rPr>
                <w:rFonts w:ascii="Arial"/>
                <w:color w:val="auto"/>
                <w:sz w:val="21"/>
                <w:highlight w:val="none"/>
              </w:rPr>
            </w:pPr>
          </w:p>
        </w:tc>
        <w:tc>
          <w:tcPr>
            <w:tcW w:w="429" w:type="dxa"/>
            <w:vAlign w:val="top"/>
          </w:tcPr>
          <w:p w14:paraId="20DD635F">
            <w:pPr>
              <w:rPr>
                <w:rFonts w:ascii="Arial"/>
                <w:color w:val="auto"/>
                <w:sz w:val="21"/>
                <w:highlight w:val="none"/>
              </w:rPr>
            </w:pPr>
          </w:p>
        </w:tc>
        <w:tc>
          <w:tcPr>
            <w:tcW w:w="526" w:type="dxa"/>
            <w:vAlign w:val="top"/>
          </w:tcPr>
          <w:p w14:paraId="6432AD1A">
            <w:pPr>
              <w:rPr>
                <w:rFonts w:ascii="Arial"/>
                <w:color w:val="auto"/>
                <w:sz w:val="21"/>
                <w:highlight w:val="none"/>
              </w:rPr>
            </w:pPr>
          </w:p>
        </w:tc>
        <w:tc>
          <w:tcPr>
            <w:tcW w:w="735" w:type="dxa"/>
            <w:vAlign w:val="top"/>
          </w:tcPr>
          <w:p w14:paraId="4032C637">
            <w:pPr>
              <w:rPr>
                <w:rFonts w:ascii="Arial"/>
                <w:color w:val="auto"/>
                <w:sz w:val="21"/>
                <w:highlight w:val="none"/>
              </w:rPr>
            </w:pPr>
          </w:p>
        </w:tc>
      </w:tr>
      <w:tr w14:paraId="62049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58" w:type="dxa"/>
            <w:vAlign w:val="top"/>
          </w:tcPr>
          <w:p w14:paraId="408AE77C">
            <w:pPr>
              <w:pStyle w:val="17"/>
              <w:spacing w:before="169" w:line="268" w:lineRule="exact"/>
              <w:ind w:left="186"/>
              <w:rPr>
                <w:color w:val="auto"/>
                <w:highlight w:val="none"/>
              </w:rPr>
            </w:pPr>
            <w:r>
              <w:rPr>
                <w:color w:val="auto"/>
                <w:position w:val="1"/>
                <w:highlight w:val="none"/>
              </w:rPr>
              <w:t>7</w:t>
            </w:r>
          </w:p>
        </w:tc>
        <w:tc>
          <w:tcPr>
            <w:tcW w:w="1628" w:type="dxa"/>
            <w:vAlign w:val="top"/>
          </w:tcPr>
          <w:p w14:paraId="4D420315">
            <w:pPr>
              <w:pStyle w:val="17"/>
              <w:spacing w:before="35" w:line="233"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642DAF83">
            <w:pPr>
              <w:rPr>
                <w:rFonts w:ascii="Arial"/>
                <w:color w:val="auto"/>
                <w:sz w:val="21"/>
                <w:highlight w:val="none"/>
              </w:rPr>
            </w:pPr>
          </w:p>
        </w:tc>
        <w:tc>
          <w:tcPr>
            <w:tcW w:w="635" w:type="dxa"/>
            <w:vAlign w:val="top"/>
          </w:tcPr>
          <w:p w14:paraId="4FA97450">
            <w:pPr>
              <w:rPr>
                <w:rFonts w:ascii="Arial"/>
                <w:color w:val="auto"/>
                <w:sz w:val="21"/>
                <w:highlight w:val="none"/>
              </w:rPr>
            </w:pPr>
          </w:p>
        </w:tc>
        <w:tc>
          <w:tcPr>
            <w:tcW w:w="348" w:type="dxa"/>
            <w:vAlign w:val="top"/>
          </w:tcPr>
          <w:p w14:paraId="11BC033D">
            <w:pPr>
              <w:rPr>
                <w:rFonts w:ascii="Arial"/>
                <w:color w:val="auto"/>
                <w:sz w:val="21"/>
                <w:highlight w:val="none"/>
              </w:rPr>
            </w:pPr>
          </w:p>
        </w:tc>
        <w:tc>
          <w:tcPr>
            <w:tcW w:w="348" w:type="dxa"/>
            <w:vAlign w:val="top"/>
          </w:tcPr>
          <w:p w14:paraId="37F0566B">
            <w:pPr>
              <w:rPr>
                <w:rFonts w:ascii="Arial"/>
                <w:color w:val="auto"/>
                <w:sz w:val="21"/>
                <w:highlight w:val="none"/>
              </w:rPr>
            </w:pPr>
          </w:p>
        </w:tc>
        <w:tc>
          <w:tcPr>
            <w:tcW w:w="350" w:type="dxa"/>
            <w:vAlign w:val="top"/>
          </w:tcPr>
          <w:p w14:paraId="4ED1E86B">
            <w:pPr>
              <w:rPr>
                <w:rFonts w:ascii="Arial"/>
                <w:color w:val="auto"/>
                <w:sz w:val="21"/>
                <w:highlight w:val="none"/>
              </w:rPr>
            </w:pPr>
          </w:p>
        </w:tc>
        <w:tc>
          <w:tcPr>
            <w:tcW w:w="348" w:type="dxa"/>
            <w:vAlign w:val="top"/>
          </w:tcPr>
          <w:p w14:paraId="0E5C6C6D">
            <w:pPr>
              <w:rPr>
                <w:rFonts w:ascii="Arial"/>
                <w:color w:val="auto"/>
                <w:sz w:val="21"/>
                <w:highlight w:val="none"/>
              </w:rPr>
            </w:pPr>
          </w:p>
        </w:tc>
        <w:tc>
          <w:tcPr>
            <w:tcW w:w="349" w:type="dxa"/>
            <w:vAlign w:val="top"/>
          </w:tcPr>
          <w:p w14:paraId="121DECF6">
            <w:pPr>
              <w:rPr>
                <w:rFonts w:ascii="Arial"/>
                <w:color w:val="auto"/>
                <w:sz w:val="21"/>
                <w:highlight w:val="none"/>
              </w:rPr>
            </w:pPr>
          </w:p>
        </w:tc>
        <w:tc>
          <w:tcPr>
            <w:tcW w:w="351" w:type="dxa"/>
            <w:vAlign w:val="top"/>
          </w:tcPr>
          <w:p w14:paraId="6C2ADD78">
            <w:pPr>
              <w:rPr>
                <w:rFonts w:ascii="Arial"/>
                <w:color w:val="auto"/>
                <w:sz w:val="21"/>
                <w:highlight w:val="none"/>
              </w:rPr>
            </w:pPr>
          </w:p>
        </w:tc>
        <w:tc>
          <w:tcPr>
            <w:tcW w:w="349" w:type="dxa"/>
            <w:vAlign w:val="top"/>
          </w:tcPr>
          <w:p w14:paraId="4E19506E">
            <w:pPr>
              <w:rPr>
                <w:rFonts w:ascii="Arial"/>
                <w:color w:val="auto"/>
                <w:sz w:val="21"/>
                <w:highlight w:val="none"/>
              </w:rPr>
            </w:pPr>
          </w:p>
        </w:tc>
        <w:tc>
          <w:tcPr>
            <w:tcW w:w="349" w:type="dxa"/>
            <w:vAlign w:val="top"/>
          </w:tcPr>
          <w:p w14:paraId="7E9A9943">
            <w:pPr>
              <w:rPr>
                <w:rFonts w:ascii="Arial"/>
                <w:color w:val="auto"/>
                <w:sz w:val="21"/>
                <w:highlight w:val="none"/>
              </w:rPr>
            </w:pPr>
          </w:p>
        </w:tc>
        <w:tc>
          <w:tcPr>
            <w:tcW w:w="426" w:type="dxa"/>
            <w:vAlign w:val="top"/>
          </w:tcPr>
          <w:p w14:paraId="7A8B39B2">
            <w:pPr>
              <w:rPr>
                <w:rFonts w:ascii="Arial"/>
                <w:color w:val="auto"/>
                <w:sz w:val="21"/>
                <w:highlight w:val="none"/>
              </w:rPr>
            </w:pPr>
          </w:p>
        </w:tc>
        <w:tc>
          <w:tcPr>
            <w:tcW w:w="426" w:type="dxa"/>
            <w:vAlign w:val="top"/>
          </w:tcPr>
          <w:p w14:paraId="3C37191C">
            <w:pPr>
              <w:rPr>
                <w:rFonts w:ascii="Arial"/>
                <w:color w:val="auto"/>
                <w:sz w:val="21"/>
                <w:highlight w:val="none"/>
              </w:rPr>
            </w:pPr>
          </w:p>
        </w:tc>
        <w:tc>
          <w:tcPr>
            <w:tcW w:w="426" w:type="dxa"/>
            <w:vAlign w:val="top"/>
          </w:tcPr>
          <w:p w14:paraId="34E913A8">
            <w:pPr>
              <w:rPr>
                <w:rFonts w:ascii="Arial"/>
                <w:color w:val="auto"/>
                <w:sz w:val="21"/>
                <w:highlight w:val="none"/>
              </w:rPr>
            </w:pPr>
          </w:p>
        </w:tc>
        <w:tc>
          <w:tcPr>
            <w:tcW w:w="429" w:type="dxa"/>
            <w:vAlign w:val="top"/>
          </w:tcPr>
          <w:p w14:paraId="5F0F50FF">
            <w:pPr>
              <w:rPr>
                <w:rFonts w:ascii="Arial"/>
                <w:color w:val="auto"/>
                <w:sz w:val="21"/>
                <w:highlight w:val="none"/>
              </w:rPr>
            </w:pPr>
          </w:p>
        </w:tc>
        <w:tc>
          <w:tcPr>
            <w:tcW w:w="526" w:type="dxa"/>
            <w:vAlign w:val="top"/>
          </w:tcPr>
          <w:p w14:paraId="2F27D4C1">
            <w:pPr>
              <w:rPr>
                <w:rFonts w:ascii="Arial"/>
                <w:color w:val="auto"/>
                <w:sz w:val="21"/>
                <w:highlight w:val="none"/>
              </w:rPr>
            </w:pPr>
          </w:p>
        </w:tc>
        <w:tc>
          <w:tcPr>
            <w:tcW w:w="735" w:type="dxa"/>
            <w:vAlign w:val="top"/>
          </w:tcPr>
          <w:p w14:paraId="73E4411B">
            <w:pPr>
              <w:rPr>
                <w:rFonts w:ascii="Arial"/>
                <w:color w:val="auto"/>
                <w:sz w:val="21"/>
                <w:highlight w:val="none"/>
              </w:rPr>
            </w:pPr>
          </w:p>
        </w:tc>
      </w:tr>
      <w:tr w14:paraId="32B04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8" w:type="dxa"/>
            <w:vAlign w:val="top"/>
          </w:tcPr>
          <w:p w14:paraId="756FCA70">
            <w:pPr>
              <w:pStyle w:val="17"/>
              <w:spacing w:before="171" w:line="268" w:lineRule="exact"/>
              <w:ind w:left="182"/>
              <w:rPr>
                <w:color w:val="auto"/>
                <w:highlight w:val="none"/>
              </w:rPr>
            </w:pPr>
            <w:r>
              <w:rPr>
                <w:color w:val="auto"/>
                <w:position w:val="1"/>
                <w:highlight w:val="none"/>
              </w:rPr>
              <w:t>8</w:t>
            </w:r>
          </w:p>
        </w:tc>
        <w:tc>
          <w:tcPr>
            <w:tcW w:w="1628" w:type="dxa"/>
            <w:vAlign w:val="top"/>
          </w:tcPr>
          <w:p w14:paraId="2CD246C6">
            <w:pPr>
              <w:pStyle w:val="17"/>
              <w:spacing w:before="34" w:line="233"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071F0ED6">
            <w:pPr>
              <w:rPr>
                <w:rFonts w:ascii="Arial"/>
                <w:color w:val="auto"/>
                <w:sz w:val="21"/>
                <w:highlight w:val="none"/>
              </w:rPr>
            </w:pPr>
          </w:p>
        </w:tc>
        <w:tc>
          <w:tcPr>
            <w:tcW w:w="635" w:type="dxa"/>
            <w:vAlign w:val="top"/>
          </w:tcPr>
          <w:p w14:paraId="45E744ED">
            <w:pPr>
              <w:rPr>
                <w:rFonts w:ascii="Arial"/>
                <w:color w:val="auto"/>
                <w:sz w:val="21"/>
                <w:highlight w:val="none"/>
              </w:rPr>
            </w:pPr>
          </w:p>
        </w:tc>
        <w:tc>
          <w:tcPr>
            <w:tcW w:w="348" w:type="dxa"/>
            <w:vAlign w:val="top"/>
          </w:tcPr>
          <w:p w14:paraId="3434B233">
            <w:pPr>
              <w:rPr>
                <w:rFonts w:ascii="Arial"/>
                <w:color w:val="auto"/>
                <w:sz w:val="21"/>
                <w:highlight w:val="none"/>
              </w:rPr>
            </w:pPr>
          </w:p>
        </w:tc>
        <w:tc>
          <w:tcPr>
            <w:tcW w:w="348" w:type="dxa"/>
            <w:vAlign w:val="top"/>
          </w:tcPr>
          <w:p w14:paraId="2ADF7A98">
            <w:pPr>
              <w:rPr>
                <w:rFonts w:ascii="Arial"/>
                <w:color w:val="auto"/>
                <w:sz w:val="21"/>
                <w:highlight w:val="none"/>
              </w:rPr>
            </w:pPr>
          </w:p>
        </w:tc>
        <w:tc>
          <w:tcPr>
            <w:tcW w:w="350" w:type="dxa"/>
            <w:vAlign w:val="top"/>
          </w:tcPr>
          <w:p w14:paraId="2CCC554E">
            <w:pPr>
              <w:rPr>
                <w:rFonts w:ascii="Arial"/>
                <w:color w:val="auto"/>
                <w:sz w:val="21"/>
                <w:highlight w:val="none"/>
              </w:rPr>
            </w:pPr>
          </w:p>
        </w:tc>
        <w:tc>
          <w:tcPr>
            <w:tcW w:w="348" w:type="dxa"/>
            <w:vAlign w:val="top"/>
          </w:tcPr>
          <w:p w14:paraId="55192375">
            <w:pPr>
              <w:rPr>
                <w:rFonts w:ascii="Arial"/>
                <w:color w:val="auto"/>
                <w:sz w:val="21"/>
                <w:highlight w:val="none"/>
              </w:rPr>
            </w:pPr>
          </w:p>
        </w:tc>
        <w:tc>
          <w:tcPr>
            <w:tcW w:w="349" w:type="dxa"/>
            <w:vAlign w:val="top"/>
          </w:tcPr>
          <w:p w14:paraId="7A18C939">
            <w:pPr>
              <w:rPr>
                <w:rFonts w:ascii="Arial"/>
                <w:color w:val="auto"/>
                <w:sz w:val="21"/>
                <w:highlight w:val="none"/>
              </w:rPr>
            </w:pPr>
          </w:p>
        </w:tc>
        <w:tc>
          <w:tcPr>
            <w:tcW w:w="351" w:type="dxa"/>
            <w:vAlign w:val="top"/>
          </w:tcPr>
          <w:p w14:paraId="170BE32D">
            <w:pPr>
              <w:rPr>
                <w:rFonts w:ascii="Arial"/>
                <w:color w:val="auto"/>
                <w:sz w:val="21"/>
                <w:highlight w:val="none"/>
              </w:rPr>
            </w:pPr>
          </w:p>
        </w:tc>
        <w:tc>
          <w:tcPr>
            <w:tcW w:w="349" w:type="dxa"/>
            <w:vAlign w:val="top"/>
          </w:tcPr>
          <w:p w14:paraId="47DB91F2">
            <w:pPr>
              <w:rPr>
                <w:rFonts w:ascii="Arial"/>
                <w:color w:val="auto"/>
                <w:sz w:val="21"/>
                <w:highlight w:val="none"/>
              </w:rPr>
            </w:pPr>
          </w:p>
        </w:tc>
        <w:tc>
          <w:tcPr>
            <w:tcW w:w="349" w:type="dxa"/>
            <w:vAlign w:val="top"/>
          </w:tcPr>
          <w:p w14:paraId="60BE2469">
            <w:pPr>
              <w:rPr>
                <w:rFonts w:ascii="Arial"/>
                <w:color w:val="auto"/>
                <w:sz w:val="21"/>
                <w:highlight w:val="none"/>
              </w:rPr>
            </w:pPr>
          </w:p>
        </w:tc>
        <w:tc>
          <w:tcPr>
            <w:tcW w:w="426" w:type="dxa"/>
            <w:vAlign w:val="top"/>
          </w:tcPr>
          <w:p w14:paraId="327F63EC">
            <w:pPr>
              <w:rPr>
                <w:rFonts w:ascii="Arial"/>
                <w:color w:val="auto"/>
                <w:sz w:val="21"/>
                <w:highlight w:val="none"/>
              </w:rPr>
            </w:pPr>
          </w:p>
        </w:tc>
        <w:tc>
          <w:tcPr>
            <w:tcW w:w="426" w:type="dxa"/>
            <w:vAlign w:val="top"/>
          </w:tcPr>
          <w:p w14:paraId="0C3EC4CE">
            <w:pPr>
              <w:rPr>
                <w:rFonts w:ascii="Arial"/>
                <w:color w:val="auto"/>
                <w:sz w:val="21"/>
                <w:highlight w:val="none"/>
              </w:rPr>
            </w:pPr>
          </w:p>
        </w:tc>
        <w:tc>
          <w:tcPr>
            <w:tcW w:w="426" w:type="dxa"/>
            <w:vAlign w:val="top"/>
          </w:tcPr>
          <w:p w14:paraId="6EC8E96E">
            <w:pPr>
              <w:rPr>
                <w:rFonts w:ascii="Arial"/>
                <w:color w:val="auto"/>
                <w:sz w:val="21"/>
                <w:highlight w:val="none"/>
              </w:rPr>
            </w:pPr>
          </w:p>
        </w:tc>
        <w:tc>
          <w:tcPr>
            <w:tcW w:w="429" w:type="dxa"/>
            <w:vAlign w:val="top"/>
          </w:tcPr>
          <w:p w14:paraId="3AEB4035">
            <w:pPr>
              <w:rPr>
                <w:rFonts w:ascii="Arial"/>
                <w:color w:val="auto"/>
                <w:sz w:val="21"/>
                <w:highlight w:val="none"/>
              </w:rPr>
            </w:pPr>
          </w:p>
        </w:tc>
        <w:tc>
          <w:tcPr>
            <w:tcW w:w="526" w:type="dxa"/>
            <w:vAlign w:val="top"/>
          </w:tcPr>
          <w:p w14:paraId="173732E6">
            <w:pPr>
              <w:rPr>
                <w:rFonts w:ascii="Arial"/>
                <w:color w:val="auto"/>
                <w:sz w:val="21"/>
                <w:highlight w:val="none"/>
              </w:rPr>
            </w:pPr>
          </w:p>
        </w:tc>
        <w:tc>
          <w:tcPr>
            <w:tcW w:w="735" w:type="dxa"/>
            <w:vAlign w:val="top"/>
          </w:tcPr>
          <w:p w14:paraId="386154BA">
            <w:pPr>
              <w:rPr>
                <w:rFonts w:ascii="Arial"/>
                <w:color w:val="auto"/>
                <w:sz w:val="21"/>
                <w:highlight w:val="none"/>
              </w:rPr>
            </w:pPr>
          </w:p>
        </w:tc>
      </w:tr>
      <w:tr w14:paraId="2828E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58" w:type="dxa"/>
            <w:vAlign w:val="top"/>
          </w:tcPr>
          <w:p w14:paraId="1ACEEC98">
            <w:pPr>
              <w:pStyle w:val="17"/>
              <w:spacing w:before="171" w:line="269" w:lineRule="exact"/>
              <w:ind w:left="182"/>
              <w:rPr>
                <w:color w:val="auto"/>
                <w:highlight w:val="none"/>
              </w:rPr>
            </w:pPr>
            <w:r>
              <w:rPr>
                <w:color w:val="auto"/>
                <w:position w:val="1"/>
                <w:highlight w:val="none"/>
              </w:rPr>
              <w:t>9</w:t>
            </w:r>
          </w:p>
        </w:tc>
        <w:tc>
          <w:tcPr>
            <w:tcW w:w="1628" w:type="dxa"/>
            <w:vAlign w:val="top"/>
          </w:tcPr>
          <w:p w14:paraId="56322EFB">
            <w:pPr>
              <w:pStyle w:val="17"/>
              <w:spacing w:before="37" w:line="232" w:lineRule="auto"/>
              <w:ind w:left="605" w:right="184" w:hanging="420"/>
              <w:rPr>
                <w:color w:val="auto"/>
                <w:highlight w:val="none"/>
              </w:rPr>
            </w:pPr>
            <w:r>
              <w:rPr>
                <w:color w:val="auto"/>
                <w:spacing w:val="7"/>
                <w:highlight w:val="none"/>
              </w:rPr>
              <w:t>**专业监理工</w:t>
            </w:r>
            <w:r>
              <w:rPr>
                <w:color w:val="auto"/>
                <w:spacing w:val="5"/>
                <w:highlight w:val="none"/>
              </w:rPr>
              <w:t>程师</w:t>
            </w:r>
          </w:p>
        </w:tc>
        <w:tc>
          <w:tcPr>
            <w:tcW w:w="805" w:type="dxa"/>
            <w:vAlign w:val="top"/>
          </w:tcPr>
          <w:p w14:paraId="3A6522C0">
            <w:pPr>
              <w:rPr>
                <w:rFonts w:ascii="Arial"/>
                <w:color w:val="auto"/>
                <w:sz w:val="21"/>
                <w:highlight w:val="none"/>
              </w:rPr>
            </w:pPr>
          </w:p>
        </w:tc>
        <w:tc>
          <w:tcPr>
            <w:tcW w:w="635" w:type="dxa"/>
            <w:vAlign w:val="top"/>
          </w:tcPr>
          <w:p w14:paraId="38C9060B">
            <w:pPr>
              <w:rPr>
                <w:rFonts w:ascii="Arial"/>
                <w:color w:val="auto"/>
                <w:sz w:val="21"/>
                <w:highlight w:val="none"/>
              </w:rPr>
            </w:pPr>
          </w:p>
        </w:tc>
        <w:tc>
          <w:tcPr>
            <w:tcW w:w="348" w:type="dxa"/>
            <w:vAlign w:val="top"/>
          </w:tcPr>
          <w:p w14:paraId="1AE78A3F">
            <w:pPr>
              <w:rPr>
                <w:rFonts w:ascii="Arial"/>
                <w:color w:val="auto"/>
                <w:sz w:val="21"/>
                <w:highlight w:val="none"/>
              </w:rPr>
            </w:pPr>
          </w:p>
        </w:tc>
        <w:tc>
          <w:tcPr>
            <w:tcW w:w="348" w:type="dxa"/>
            <w:vAlign w:val="top"/>
          </w:tcPr>
          <w:p w14:paraId="4174E491">
            <w:pPr>
              <w:rPr>
                <w:rFonts w:ascii="Arial"/>
                <w:color w:val="auto"/>
                <w:sz w:val="21"/>
                <w:highlight w:val="none"/>
              </w:rPr>
            </w:pPr>
          </w:p>
        </w:tc>
        <w:tc>
          <w:tcPr>
            <w:tcW w:w="350" w:type="dxa"/>
            <w:vAlign w:val="top"/>
          </w:tcPr>
          <w:p w14:paraId="62A74194">
            <w:pPr>
              <w:rPr>
                <w:rFonts w:ascii="Arial"/>
                <w:color w:val="auto"/>
                <w:sz w:val="21"/>
                <w:highlight w:val="none"/>
              </w:rPr>
            </w:pPr>
          </w:p>
        </w:tc>
        <w:tc>
          <w:tcPr>
            <w:tcW w:w="348" w:type="dxa"/>
            <w:vAlign w:val="top"/>
          </w:tcPr>
          <w:p w14:paraId="5EB03E0E">
            <w:pPr>
              <w:rPr>
                <w:rFonts w:ascii="Arial"/>
                <w:color w:val="auto"/>
                <w:sz w:val="21"/>
                <w:highlight w:val="none"/>
              </w:rPr>
            </w:pPr>
          </w:p>
        </w:tc>
        <w:tc>
          <w:tcPr>
            <w:tcW w:w="349" w:type="dxa"/>
            <w:vAlign w:val="top"/>
          </w:tcPr>
          <w:p w14:paraId="58D78C90">
            <w:pPr>
              <w:rPr>
                <w:rFonts w:ascii="Arial"/>
                <w:color w:val="auto"/>
                <w:sz w:val="21"/>
                <w:highlight w:val="none"/>
              </w:rPr>
            </w:pPr>
          </w:p>
        </w:tc>
        <w:tc>
          <w:tcPr>
            <w:tcW w:w="351" w:type="dxa"/>
            <w:vAlign w:val="top"/>
          </w:tcPr>
          <w:p w14:paraId="50BF1D28">
            <w:pPr>
              <w:rPr>
                <w:rFonts w:ascii="Arial"/>
                <w:color w:val="auto"/>
                <w:sz w:val="21"/>
                <w:highlight w:val="none"/>
              </w:rPr>
            </w:pPr>
          </w:p>
        </w:tc>
        <w:tc>
          <w:tcPr>
            <w:tcW w:w="349" w:type="dxa"/>
            <w:vAlign w:val="top"/>
          </w:tcPr>
          <w:p w14:paraId="60199C13">
            <w:pPr>
              <w:rPr>
                <w:rFonts w:ascii="Arial"/>
                <w:color w:val="auto"/>
                <w:sz w:val="21"/>
                <w:highlight w:val="none"/>
              </w:rPr>
            </w:pPr>
          </w:p>
        </w:tc>
        <w:tc>
          <w:tcPr>
            <w:tcW w:w="349" w:type="dxa"/>
            <w:vAlign w:val="top"/>
          </w:tcPr>
          <w:p w14:paraId="41C74A00">
            <w:pPr>
              <w:rPr>
                <w:rFonts w:ascii="Arial"/>
                <w:color w:val="auto"/>
                <w:sz w:val="21"/>
                <w:highlight w:val="none"/>
              </w:rPr>
            </w:pPr>
          </w:p>
        </w:tc>
        <w:tc>
          <w:tcPr>
            <w:tcW w:w="426" w:type="dxa"/>
            <w:vAlign w:val="top"/>
          </w:tcPr>
          <w:p w14:paraId="435F7B1B">
            <w:pPr>
              <w:rPr>
                <w:rFonts w:ascii="Arial"/>
                <w:color w:val="auto"/>
                <w:sz w:val="21"/>
                <w:highlight w:val="none"/>
              </w:rPr>
            </w:pPr>
          </w:p>
        </w:tc>
        <w:tc>
          <w:tcPr>
            <w:tcW w:w="426" w:type="dxa"/>
            <w:vAlign w:val="top"/>
          </w:tcPr>
          <w:p w14:paraId="52278334">
            <w:pPr>
              <w:rPr>
                <w:rFonts w:ascii="Arial"/>
                <w:color w:val="auto"/>
                <w:sz w:val="21"/>
                <w:highlight w:val="none"/>
              </w:rPr>
            </w:pPr>
          </w:p>
        </w:tc>
        <w:tc>
          <w:tcPr>
            <w:tcW w:w="426" w:type="dxa"/>
            <w:vAlign w:val="top"/>
          </w:tcPr>
          <w:p w14:paraId="49FF739E">
            <w:pPr>
              <w:rPr>
                <w:rFonts w:ascii="Arial"/>
                <w:color w:val="auto"/>
                <w:sz w:val="21"/>
                <w:highlight w:val="none"/>
              </w:rPr>
            </w:pPr>
          </w:p>
        </w:tc>
        <w:tc>
          <w:tcPr>
            <w:tcW w:w="429" w:type="dxa"/>
            <w:vAlign w:val="top"/>
          </w:tcPr>
          <w:p w14:paraId="7DF638EC">
            <w:pPr>
              <w:rPr>
                <w:rFonts w:ascii="Arial"/>
                <w:color w:val="auto"/>
                <w:sz w:val="21"/>
                <w:highlight w:val="none"/>
              </w:rPr>
            </w:pPr>
          </w:p>
        </w:tc>
        <w:tc>
          <w:tcPr>
            <w:tcW w:w="526" w:type="dxa"/>
            <w:vAlign w:val="top"/>
          </w:tcPr>
          <w:p w14:paraId="63424D19">
            <w:pPr>
              <w:rPr>
                <w:rFonts w:ascii="Arial"/>
                <w:color w:val="auto"/>
                <w:sz w:val="21"/>
                <w:highlight w:val="none"/>
              </w:rPr>
            </w:pPr>
          </w:p>
        </w:tc>
        <w:tc>
          <w:tcPr>
            <w:tcW w:w="735" w:type="dxa"/>
            <w:vAlign w:val="top"/>
          </w:tcPr>
          <w:p w14:paraId="7BF3D87F">
            <w:pPr>
              <w:rPr>
                <w:rFonts w:ascii="Arial"/>
                <w:color w:val="auto"/>
                <w:sz w:val="21"/>
                <w:highlight w:val="none"/>
              </w:rPr>
            </w:pPr>
          </w:p>
        </w:tc>
      </w:tr>
      <w:tr w14:paraId="3CFFA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239B9375">
            <w:pPr>
              <w:pStyle w:val="17"/>
              <w:spacing w:before="168" w:line="269" w:lineRule="exact"/>
              <w:ind w:left="144"/>
              <w:rPr>
                <w:color w:val="auto"/>
                <w:highlight w:val="none"/>
              </w:rPr>
            </w:pPr>
            <w:r>
              <w:rPr>
                <w:color w:val="auto"/>
                <w:spacing w:val="-7"/>
                <w:position w:val="1"/>
                <w:highlight w:val="none"/>
              </w:rPr>
              <w:t>10</w:t>
            </w:r>
          </w:p>
        </w:tc>
        <w:tc>
          <w:tcPr>
            <w:tcW w:w="1628" w:type="dxa"/>
            <w:vAlign w:val="top"/>
          </w:tcPr>
          <w:p w14:paraId="0189A97C">
            <w:pPr>
              <w:pStyle w:val="17"/>
              <w:spacing w:before="168" w:line="324" w:lineRule="exact"/>
              <w:ind w:left="619"/>
              <w:rPr>
                <w:color w:val="auto"/>
                <w:highlight w:val="none"/>
              </w:rPr>
            </w:pPr>
            <w:r>
              <w:rPr>
                <w:color w:val="auto"/>
                <w:spacing w:val="-2"/>
                <w:position w:val="2"/>
                <w:highlight w:val="none"/>
              </w:rPr>
              <w:t>……</w:t>
            </w:r>
          </w:p>
        </w:tc>
        <w:tc>
          <w:tcPr>
            <w:tcW w:w="805" w:type="dxa"/>
            <w:vAlign w:val="top"/>
          </w:tcPr>
          <w:p w14:paraId="6047546A">
            <w:pPr>
              <w:rPr>
                <w:rFonts w:ascii="Arial"/>
                <w:color w:val="auto"/>
                <w:sz w:val="21"/>
                <w:highlight w:val="none"/>
              </w:rPr>
            </w:pPr>
          </w:p>
        </w:tc>
        <w:tc>
          <w:tcPr>
            <w:tcW w:w="635" w:type="dxa"/>
            <w:vAlign w:val="top"/>
          </w:tcPr>
          <w:p w14:paraId="49841C56">
            <w:pPr>
              <w:rPr>
                <w:rFonts w:ascii="Arial"/>
                <w:color w:val="auto"/>
                <w:sz w:val="21"/>
                <w:highlight w:val="none"/>
              </w:rPr>
            </w:pPr>
          </w:p>
        </w:tc>
        <w:tc>
          <w:tcPr>
            <w:tcW w:w="348" w:type="dxa"/>
            <w:vAlign w:val="top"/>
          </w:tcPr>
          <w:p w14:paraId="263E1193">
            <w:pPr>
              <w:rPr>
                <w:rFonts w:ascii="Arial"/>
                <w:color w:val="auto"/>
                <w:sz w:val="21"/>
                <w:highlight w:val="none"/>
              </w:rPr>
            </w:pPr>
          </w:p>
        </w:tc>
        <w:tc>
          <w:tcPr>
            <w:tcW w:w="348" w:type="dxa"/>
            <w:vAlign w:val="top"/>
          </w:tcPr>
          <w:p w14:paraId="74C24D86">
            <w:pPr>
              <w:rPr>
                <w:rFonts w:ascii="Arial"/>
                <w:color w:val="auto"/>
                <w:sz w:val="21"/>
                <w:highlight w:val="none"/>
              </w:rPr>
            </w:pPr>
          </w:p>
        </w:tc>
        <w:tc>
          <w:tcPr>
            <w:tcW w:w="350" w:type="dxa"/>
            <w:vAlign w:val="top"/>
          </w:tcPr>
          <w:p w14:paraId="2A5F5CE7">
            <w:pPr>
              <w:rPr>
                <w:rFonts w:ascii="Arial"/>
                <w:color w:val="auto"/>
                <w:sz w:val="21"/>
                <w:highlight w:val="none"/>
              </w:rPr>
            </w:pPr>
          </w:p>
        </w:tc>
        <w:tc>
          <w:tcPr>
            <w:tcW w:w="348" w:type="dxa"/>
            <w:vAlign w:val="top"/>
          </w:tcPr>
          <w:p w14:paraId="4BE6BBB3">
            <w:pPr>
              <w:rPr>
                <w:rFonts w:ascii="Arial"/>
                <w:color w:val="auto"/>
                <w:sz w:val="21"/>
                <w:highlight w:val="none"/>
              </w:rPr>
            </w:pPr>
          </w:p>
        </w:tc>
        <w:tc>
          <w:tcPr>
            <w:tcW w:w="349" w:type="dxa"/>
            <w:vAlign w:val="top"/>
          </w:tcPr>
          <w:p w14:paraId="15E97858">
            <w:pPr>
              <w:rPr>
                <w:rFonts w:ascii="Arial"/>
                <w:color w:val="auto"/>
                <w:sz w:val="21"/>
                <w:highlight w:val="none"/>
              </w:rPr>
            </w:pPr>
          </w:p>
        </w:tc>
        <w:tc>
          <w:tcPr>
            <w:tcW w:w="351" w:type="dxa"/>
            <w:vAlign w:val="top"/>
          </w:tcPr>
          <w:p w14:paraId="721D0758">
            <w:pPr>
              <w:rPr>
                <w:rFonts w:ascii="Arial"/>
                <w:color w:val="auto"/>
                <w:sz w:val="21"/>
                <w:highlight w:val="none"/>
              </w:rPr>
            </w:pPr>
          </w:p>
        </w:tc>
        <w:tc>
          <w:tcPr>
            <w:tcW w:w="349" w:type="dxa"/>
            <w:vAlign w:val="top"/>
          </w:tcPr>
          <w:p w14:paraId="5AC3E697">
            <w:pPr>
              <w:rPr>
                <w:rFonts w:ascii="Arial"/>
                <w:color w:val="auto"/>
                <w:sz w:val="21"/>
                <w:highlight w:val="none"/>
              </w:rPr>
            </w:pPr>
          </w:p>
        </w:tc>
        <w:tc>
          <w:tcPr>
            <w:tcW w:w="349" w:type="dxa"/>
            <w:vAlign w:val="top"/>
          </w:tcPr>
          <w:p w14:paraId="0A58B5C2">
            <w:pPr>
              <w:rPr>
                <w:rFonts w:ascii="Arial"/>
                <w:color w:val="auto"/>
                <w:sz w:val="21"/>
                <w:highlight w:val="none"/>
              </w:rPr>
            </w:pPr>
          </w:p>
        </w:tc>
        <w:tc>
          <w:tcPr>
            <w:tcW w:w="426" w:type="dxa"/>
            <w:vAlign w:val="top"/>
          </w:tcPr>
          <w:p w14:paraId="4527B6BC">
            <w:pPr>
              <w:rPr>
                <w:rFonts w:ascii="Arial"/>
                <w:color w:val="auto"/>
                <w:sz w:val="21"/>
                <w:highlight w:val="none"/>
              </w:rPr>
            </w:pPr>
          </w:p>
        </w:tc>
        <w:tc>
          <w:tcPr>
            <w:tcW w:w="426" w:type="dxa"/>
            <w:vAlign w:val="top"/>
          </w:tcPr>
          <w:p w14:paraId="26AC9AB7">
            <w:pPr>
              <w:rPr>
                <w:rFonts w:ascii="Arial"/>
                <w:color w:val="auto"/>
                <w:sz w:val="21"/>
                <w:highlight w:val="none"/>
              </w:rPr>
            </w:pPr>
          </w:p>
        </w:tc>
        <w:tc>
          <w:tcPr>
            <w:tcW w:w="426" w:type="dxa"/>
            <w:vAlign w:val="top"/>
          </w:tcPr>
          <w:p w14:paraId="5A9B4E05">
            <w:pPr>
              <w:rPr>
                <w:rFonts w:ascii="Arial"/>
                <w:color w:val="auto"/>
                <w:sz w:val="21"/>
                <w:highlight w:val="none"/>
              </w:rPr>
            </w:pPr>
          </w:p>
        </w:tc>
        <w:tc>
          <w:tcPr>
            <w:tcW w:w="429" w:type="dxa"/>
            <w:vAlign w:val="top"/>
          </w:tcPr>
          <w:p w14:paraId="49631B98">
            <w:pPr>
              <w:rPr>
                <w:rFonts w:ascii="Arial"/>
                <w:color w:val="auto"/>
                <w:sz w:val="21"/>
                <w:highlight w:val="none"/>
              </w:rPr>
            </w:pPr>
          </w:p>
        </w:tc>
        <w:tc>
          <w:tcPr>
            <w:tcW w:w="526" w:type="dxa"/>
            <w:vAlign w:val="top"/>
          </w:tcPr>
          <w:p w14:paraId="5916542E">
            <w:pPr>
              <w:rPr>
                <w:rFonts w:ascii="Arial"/>
                <w:color w:val="auto"/>
                <w:sz w:val="21"/>
                <w:highlight w:val="none"/>
              </w:rPr>
            </w:pPr>
          </w:p>
        </w:tc>
        <w:tc>
          <w:tcPr>
            <w:tcW w:w="735" w:type="dxa"/>
            <w:vAlign w:val="top"/>
          </w:tcPr>
          <w:p w14:paraId="6C7200A9">
            <w:pPr>
              <w:rPr>
                <w:rFonts w:ascii="Arial"/>
                <w:color w:val="auto"/>
                <w:sz w:val="21"/>
                <w:highlight w:val="none"/>
              </w:rPr>
            </w:pPr>
          </w:p>
        </w:tc>
      </w:tr>
      <w:tr w14:paraId="4C9A2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1DD97B52">
            <w:pPr>
              <w:pStyle w:val="17"/>
              <w:spacing w:before="168" w:line="270" w:lineRule="exact"/>
              <w:ind w:left="144"/>
              <w:rPr>
                <w:color w:val="auto"/>
                <w:highlight w:val="none"/>
              </w:rPr>
            </w:pPr>
            <w:r>
              <w:rPr>
                <w:color w:val="auto"/>
                <w:spacing w:val="-7"/>
                <w:position w:val="1"/>
                <w:highlight w:val="none"/>
              </w:rPr>
              <w:t>11</w:t>
            </w:r>
          </w:p>
        </w:tc>
        <w:tc>
          <w:tcPr>
            <w:tcW w:w="1628" w:type="dxa"/>
            <w:vAlign w:val="top"/>
          </w:tcPr>
          <w:p w14:paraId="37C0409B">
            <w:pPr>
              <w:pStyle w:val="17"/>
              <w:spacing w:before="168" w:line="324" w:lineRule="exact"/>
              <w:ind w:left="619"/>
              <w:rPr>
                <w:color w:val="auto"/>
                <w:highlight w:val="none"/>
              </w:rPr>
            </w:pPr>
            <w:r>
              <w:rPr>
                <w:color w:val="auto"/>
                <w:spacing w:val="-2"/>
                <w:position w:val="2"/>
                <w:highlight w:val="none"/>
              </w:rPr>
              <w:t>……</w:t>
            </w:r>
          </w:p>
        </w:tc>
        <w:tc>
          <w:tcPr>
            <w:tcW w:w="805" w:type="dxa"/>
            <w:vAlign w:val="top"/>
          </w:tcPr>
          <w:p w14:paraId="163E3226">
            <w:pPr>
              <w:rPr>
                <w:rFonts w:ascii="Arial"/>
                <w:color w:val="auto"/>
                <w:sz w:val="21"/>
                <w:highlight w:val="none"/>
              </w:rPr>
            </w:pPr>
          </w:p>
        </w:tc>
        <w:tc>
          <w:tcPr>
            <w:tcW w:w="635" w:type="dxa"/>
            <w:vAlign w:val="top"/>
          </w:tcPr>
          <w:p w14:paraId="5DA8C438">
            <w:pPr>
              <w:rPr>
                <w:rFonts w:ascii="Arial"/>
                <w:color w:val="auto"/>
                <w:sz w:val="21"/>
                <w:highlight w:val="none"/>
              </w:rPr>
            </w:pPr>
          </w:p>
        </w:tc>
        <w:tc>
          <w:tcPr>
            <w:tcW w:w="348" w:type="dxa"/>
            <w:vAlign w:val="top"/>
          </w:tcPr>
          <w:p w14:paraId="3C26B391">
            <w:pPr>
              <w:rPr>
                <w:rFonts w:ascii="Arial"/>
                <w:color w:val="auto"/>
                <w:sz w:val="21"/>
                <w:highlight w:val="none"/>
              </w:rPr>
            </w:pPr>
          </w:p>
        </w:tc>
        <w:tc>
          <w:tcPr>
            <w:tcW w:w="348" w:type="dxa"/>
            <w:vAlign w:val="top"/>
          </w:tcPr>
          <w:p w14:paraId="7F031695">
            <w:pPr>
              <w:rPr>
                <w:rFonts w:ascii="Arial"/>
                <w:color w:val="auto"/>
                <w:sz w:val="21"/>
                <w:highlight w:val="none"/>
              </w:rPr>
            </w:pPr>
          </w:p>
        </w:tc>
        <w:tc>
          <w:tcPr>
            <w:tcW w:w="350" w:type="dxa"/>
            <w:vAlign w:val="top"/>
          </w:tcPr>
          <w:p w14:paraId="6B089529">
            <w:pPr>
              <w:rPr>
                <w:rFonts w:ascii="Arial"/>
                <w:color w:val="auto"/>
                <w:sz w:val="21"/>
                <w:highlight w:val="none"/>
              </w:rPr>
            </w:pPr>
          </w:p>
        </w:tc>
        <w:tc>
          <w:tcPr>
            <w:tcW w:w="348" w:type="dxa"/>
            <w:vAlign w:val="top"/>
          </w:tcPr>
          <w:p w14:paraId="0F7F7953">
            <w:pPr>
              <w:rPr>
                <w:rFonts w:ascii="Arial"/>
                <w:color w:val="auto"/>
                <w:sz w:val="21"/>
                <w:highlight w:val="none"/>
              </w:rPr>
            </w:pPr>
          </w:p>
        </w:tc>
        <w:tc>
          <w:tcPr>
            <w:tcW w:w="349" w:type="dxa"/>
            <w:vAlign w:val="top"/>
          </w:tcPr>
          <w:p w14:paraId="4654D879">
            <w:pPr>
              <w:rPr>
                <w:rFonts w:ascii="Arial"/>
                <w:color w:val="auto"/>
                <w:sz w:val="21"/>
                <w:highlight w:val="none"/>
              </w:rPr>
            </w:pPr>
          </w:p>
        </w:tc>
        <w:tc>
          <w:tcPr>
            <w:tcW w:w="351" w:type="dxa"/>
            <w:vAlign w:val="top"/>
          </w:tcPr>
          <w:p w14:paraId="4E47C4C4">
            <w:pPr>
              <w:rPr>
                <w:rFonts w:ascii="Arial"/>
                <w:color w:val="auto"/>
                <w:sz w:val="21"/>
                <w:highlight w:val="none"/>
              </w:rPr>
            </w:pPr>
          </w:p>
        </w:tc>
        <w:tc>
          <w:tcPr>
            <w:tcW w:w="349" w:type="dxa"/>
            <w:vAlign w:val="top"/>
          </w:tcPr>
          <w:p w14:paraId="4E43919B">
            <w:pPr>
              <w:rPr>
                <w:rFonts w:ascii="Arial"/>
                <w:color w:val="auto"/>
                <w:sz w:val="21"/>
                <w:highlight w:val="none"/>
              </w:rPr>
            </w:pPr>
          </w:p>
        </w:tc>
        <w:tc>
          <w:tcPr>
            <w:tcW w:w="349" w:type="dxa"/>
            <w:vAlign w:val="top"/>
          </w:tcPr>
          <w:p w14:paraId="691FC976">
            <w:pPr>
              <w:rPr>
                <w:rFonts w:ascii="Arial"/>
                <w:color w:val="auto"/>
                <w:sz w:val="21"/>
                <w:highlight w:val="none"/>
              </w:rPr>
            </w:pPr>
          </w:p>
        </w:tc>
        <w:tc>
          <w:tcPr>
            <w:tcW w:w="426" w:type="dxa"/>
            <w:vAlign w:val="top"/>
          </w:tcPr>
          <w:p w14:paraId="52736688">
            <w:pPr>
              <w:rPr>
                <w:rFonts w:ascii="Arial"/>
                <w:color w:val="auto"/>
                <w:sz w:val="21"/>
                <w:highlight w:val="none"/>
              </w:rPr>
            </w:pPr>
          </w:p>
        </w:tc>
        <w:tc>
          <w:tcPr>
            <w:tcW w:w="426" w:type="dxa"/>
            <w:vAlign w:val="top"/>
          </w:tcPr>
          <w:p w14:paraId="76E7F69B">
            <w:pPr>
              <w:rPr>
                <w:rFonts w:ascii="Arial"/>
                <w:color w:val="auto"/>
                <w:sz w:val="21"/>
                <w:highlight w:val="none"/>
              </w:rPr>
            </w:pPr>
          </w:p>
        </w:tc>
        <w:tc>
          <w:tcPr>
            <w:tcW w:w="426" w:type="dxa"/>
            <w:vAlign w:val="top"/>
          </w:tcPr>
          <w:p w14:paraId="479B65EF">
            <w:pPr>
              <w:rPr>
                <w:rFonts w:ascii="Arial"/>
                <w:color w:val="auto"/>
                <w:sz w:val="21"/>
                <w:highlight w:val="none"/>
              </w:rPr>
            </w:pPr>
          </w:p>
        </w:tc>
        <w:tc>
          <w:tcPr>
            <w:tcW w:w="429" w:type="dxa"/>
            <w:vAlign w:val="top"/>
          </w:tcPr>
          <w:p w14:paraId="6F9BC38B">
            <w:pPr>
              <w:rPr>
                <w:rFonts w:ascii="Arial"/>
                <w:color w:val="auto"/>
                <w:sz w:val="21"/>
                <w:highlight w:val="none"/>
              </w:rPr>
            </w:pPr>
          </w:p>
        </w:tc>
        <w:tc>
          <w:tcPr>
            <w:tcW w:w="526" w:type="dxa"/>
            <w:vAlign w:val="top"/>
          </w:tcPr>
          <w:p w14:paraId="7D4C6BE7">
            <w:pPr>
              <w:rPr>
                <w:rFonts w:ascii="Arial"/>
                <w:color w:val="auto"/>
                <w:sz w:val="21"/>
                <w:highlight w:val="none"/>
              </w:rPr>
            </w:pPr>
          </w:p>
        </w:tc>
        <w:tc>
          <w:tcPr>
            <w:tcW w:w="735" w:type="dxa"/>
            <w:vAlign w:val="top"/>
          </w:tcPr>
          <w:p w14:paraId="7F96CA72">
            <w:pPr>
              <w:rPr>
                <w:rFonts w:ascii="Arial"/>
                <w:color w:val="auto"/>
                <w:sz w:val="21"/>
                <w:highlight w:val="none"/>
              </w:rPr>
            </w:pPr>
          </w:p>
        </w:tc>
      </w:tr>
      <w:tr w14:paraId="2B489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269D9BCF">
            <w:pPr>
              <w:pStyle w:val="17"/>
              <w:spacing w:before="167" w:line="270" w:lineRule="exact"/>
              <w:ind w:left="144"/>
              <w:rPr>
                <w:color w:val="auto"/>
                <w:highlight w:val="none"/>
              </w:rPr>
            </w:pPr>
            <w:r>
              <w:rPr>
                <w:color w:val="auto"/>
                <w:spacing w:val="-7"/>
                <w:position w:val="1"/>
                <w:highlight w:val="none"/>
              </w:rPr>
              <w:t>12</w:t>
            </w:r>
          </w:p>
        </w:tc>
        <w:tc>
          <w:tcPr>
            <w:tcW w:w="1628" w:type="dxa"/>
            <w:vAlign w:val="top"/>
          </w:tcPr>
          <w:p w14:paraId="0740D1A3">
            <w:pPr>
              <w:pStyle w:val="17"/>
              <w:spacing w:before="167" w:line="324" w:lineRule="exact"/>
              <w:ind w:left="619"/>
              <w:rPr>
                <w:color w:val="auto"/>
                <w:highlight w:val="none"/>
              </w:rPr>
            </w:pPr>
            <w:r>
              <w:rPr>
                <w:color w:val="auto"/>
                <w:spacing w:val="-2"/>
                <w:position w:val="2"/>
                <w:highlight w:val="none"/>
              </w:rPr>
              <w:t>……</w:t>
            </w:r>
          </w:p>
        </w:tc>
        <w:tc>
          <w:tcPr>
            <w:tcW w:w="805" w:type="dxa"/>
            <w:vAlign w:val="top"/>
          </w:tcPr>
          <w:p w14:paraId="28BB0F43">
            <w:pPr>
              <w:rPr>
                <w:rFonts w:ascii="Arial"/>
                <w:color w:val="auto"/>
                <w:sz w:val="21"/>
                <w:highlight w:val="none"/>
              </w:rPr>
            </w:pPr>
          </w:p>
        </w:tc>
        <w:tc>
          <w:tcPr>
            <w:tcW w:w="635" w:type="dxa"/>
            <w:vAlign w:val="top"/>
          </w:tcPr>
          <w:p w14:paraId="0E3E349E">
            <w:pPr>
              <w:rPr>
                <w:rFonts w:ascii="Arial"/>
                <w:color w:val="auto"/>
                <w:sz w:val="21"/>
                <w:highlight w:val="none"/>
              </w:rPr>
            </w:pPr>
          </w:p>
        </w:tc>
        <w:tc>
          <w:tcPr>
            <w:tcW w:w="348" w:type="dxa"/>
            <w:vAlign w:val="top"/>
          </w:tcPr>
          <w:p w14:paraId="34A7F64B">
            <w:pPr>
              <w:rPr>
                <w:rFonts w:ascii="Arial"/>
                <w:color w:val="auto"/>
                <w:sz w:val="21"/>
                <w:highlight w:val="none"/>
              </w:rPr>
            </w:pPr>
          </w:p>
        </w:tc>
        <w:tc>
          <w:tcPr>
            <w:tcW w:w="348" w:type="dxa"/>
            <w:vAlign w:val="top"/>
          </w:tcPr>
          <w:p w14:paraId="060DC23D">
            <w:pPr>
              <w:rPr>
                <w:rFonts w:ascii="Arial"/>
                <w:color w:val="auto"/>
                <w:sz w:val="21"/>
                <w:highlight w:val="none"/>
              </w:rPr>
            </w:pPr>
          </w:p>
        </w:tc>
        <w:tc>
          <w:tcPr>
            <w:tcW w:w="350" w:type="dxa"/>
            <w:vAlign w:val="top"/>
          </w:tcPr>
          <w:p w14:paraId="1DA4AB66">
            <w:pPr>
              <w:rPr>
                <w:rFonts w:ascii="Arial"/>
                <w:color w:val="auto"/>
                <w:sz w:val="21"/>
                <w:highlight w:val="none"/>
              </w:rPr>
            </w:pPr>
          </w:p>
        </w:tc>
        <w:tc>
          <w:tcPr>
            <w:tcW w:w="348" w:type="dxa"/>
            <w:vAlign w:val="top"/>
          </w:tcPr>
          <w:p w14:paraId="3EAA1E4B">
            <w:pPr>
              <w:rPr>
                <w:rFonts w:ascii="Arial"/>
                <w:color w:val="auto"/>
                <w:sz w:val="21"/>
                <w:highlight w:val="none"/>
              </w:rPr>
            </w:pPr>
          </w:p>
        </w:tc>
        <w:tc>
          <w:tcPr>
            <w:tcW w:w="349" w:type="dxa"/>
            <w:vAlign w:val="top"/>
          </w:tcPr>
          <w:p w14:paraId="612098FB">
            <w:pPr>
              <w:rPr>
                <w:rFonts w:ascii="Arial"/>
                <w:color w:val="auto"/>
                <w:sz w:val="21"/>
                <w:highlight w:val="none"/>
              </w:rPr>
            </w:pPr>
          </w:p>
        </w:tc>
        <w:tc>
          <w:tcPr>
            <w:tcW w:w="351" w:type="dxa"/>
            <w:vAlign w:val="top"/>
          </w:tcPr>
          <w:p w14:paraId="4A095899">
            <w:pPr>
              <w:rPr>
                <w:rFonts w:ascii="Arial"/>
                <w:color w:val="auto"/>
                <w:sz w:val="21"/>
                <w:highlight w:val="none"/>
              </w:rPr>
            </w:pPr>
          </w:p>
        </w:tc>
        <w:tc>
          <w:tcPr>
            <w:tcW w:w="349" w:type="dxa"/>
            <w:vAlign w:val="top"/>
          </w:tcPr>
          <w:p w14:paraId="497BA526">
            <w:pPr>
              <w:rPr>
                <w:rFonts w:ascii="Arial"/>
                <w:color w:val="auto"/>
                <w:sz w:val="21"/>
                <w:highlight w:val="none"/>
              </w:rPr>
            </w:pPr>
          </w:p>
        </w:tc>
        <w:tc>
          <w:tcPr>
            <w:tcW w:w="349" w:type="dxa"/>
            <w:vAlign w:val="top"/>
          </w:tcPr>
          <w:p w14:paraId="3B8F2320">
            <w:pPr>
              <w:rPr>
                <w:rFonts w:ascii="Arial"/>
                <w:color w:val="auto"/>
                <w:sz w:val="21"/>
                <w:highlight w:val="none"/>
              </w:rPr>
            </w:pPr>
          </w:p>
        </w:tc>
        <w:tc>
          <w:tcPr>
            <w:tcW w:w="426" w:type="dxa"/>
            <w:vAlign w:val="top"/>
          </w:tcPr>
          <w:p w14:paraId="3CC1791A">
            <w:pPr>
              <w:rPr>
                <w:rFonts w:ascii="Arial"/>
                <w:color w:val="auto"/>
                <w:sz w:val="21"/>
                <w:highlight w:val="none"/>
              </w:rPr>
            </w:pPr>
          </w:p>
        </w:tc>
        <w:tc>
          <w:tcPr>
            <w:tcW w:w="426" w:type="dxa"/>
            <w:vAlign w:val="top"/>
          </w:tcPr>
          <w:p w14:paraId="3C7C7E40">
            <w:pPr>
              <w:rPr>
                <w:rFonts w:ascii="Arial"/>
                <w:color w:val="auto"/>
                <w:sz w:val="21"/>
                <w:highlight w:val="none"/>
              </w:rPr>
            </w:pPr>
          </w:p>
        </w:tc>
        <w:tc>
          <w:tcPr>
            <w:tcW w:w="426" w:type="dxa"/>
            <w:vAlign w:val="top"/>
          </w:tcPr>
          <w:p w14:paraId="2F6CC2BF">
            <w:pPr>
              <w:rPr>
                <w:rFonts w:ascii="Arial"/>
                <w:color w:val="auto"/>
                <w:sz w:val="21"/>
                <w:highlight w:val="none"/>
              </w:rPr>
            </w:pPr>
          </w:p>
        </w:tc>
        <w:tc>
          <w:tcPr>
            <w:tcW w:w="429" w:type="dxa"/>
            <w:vAlign w:val="top"/>
          </w:tcPr>
          <w:p w14:paraId="2DE91CD1">
            <w:pPr>
              <w:rPr>
                <w:rFonts w:ascii="Arial"/>
                <w:color w:val="auto"/>
                <w:sz w:val="21"/>
                <w:highlight w:val="none"/>
              </w:rPr>
            </w:pPr>
          </w:p>
        </w:tc>
        <w:tc>
          <w:tcPr>
            <w:tcW w:w="526" w:type="dxa"/>
            <w:vAlign w:val="top"/>
          </w:tcPr>
          <w:p w14:paraId="6BFC449F">
            <w:pPr>
              <w:rPr>
                <w:rFonts w:ascii="Arial"/>
                <w:color w:val="auto"/>
                <w:sz w:val="21"/>
                <w:highlight w:val="none"/>
              </w:rPr>
            </w:pPr>
          </w:p>
        </w:tc>
        <w:tc>
          <w:tcPr>
            <w:tcW w:w="735" w:type="dxa"/>
            <w:vAlign w:val="top"/>
          </w:tcPr>
          <w:p w14:paraId="4FCD9CA8">
            <w:pPr>
              <w:rPr>
                <w:rFonts w:ascii="Arial"/>
                <w:color w:val="auto"/>
                <w:sz w:val="21"/>
                <w:highlight w:val="none"/>
              </w:rPr>
            </w:pPr>
          </w:p>
        </w:tc>
      </w:tr>
      <w:tr w14:paraId="4EF7C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2BD79474">
            <w:pPr>
              <w:pStyle w:val="17"/>
              <w:spacing w:before="167" w:line="268" w:lineRule="exact"/>
              <w:ind w:left="144"/>
              <w:rPr>
                <w:color w:val="auto"/>
                <w:highlight w:val="none"/>
              </w:rPr>
            </w:pPr>
            <w:r>
              <w:rPr>
                <w:color w:val="auto"/>
                <w:spacing w:val="-7"/>
                <w:position w:val="1"/>
                <w:highlight w:val="none"/>
              </w:rPr>
              <w:t>13</w:t>
            </w:r>
          </w:p>
        </w:tc>
        <w:tc>
          <w:tcPr>
            <w:tcW w:w="1628" w:type="dxa"/>
            <w:vAlign w:val="top"/>
          </w:tcPr>
          <w:p w14:paraId="4199FE4B">
            <w:pPr>
              <w:pStyle w:val="17"/>
              <w:spacing w:before="167" w:line="324" w:lineRule="exact"/>
              <w:ind w:left="619"/>
              <w:rPr>
                <w:color w:val="auto"/>
                <w:highlight w:val="none"/>
              </w:rPr>
            </w:pPr>
            <w:r>
              <w:rPr>
                <w:color w:val="auto"/>
                <w:spacing w:val="-2"/>
                <w:position w:val="2"/>
                <w:highlight w:val="none"/>
              </w:rPr>
              <w:t>……</w:t>
            </w:r>
          </w:p>
        </w:tc>
        <w:tc>
          <w:tcPr>
            <w:tcW w:w="805" w:type="dxa"/>
            <w:vAlign w:val="top"/>
          </w:tcPr>
          <w:p w14:paraId="35278C8C">
            <w:pPr>
              <w:rPr>
                <w:rFonts w:ascii="Arial"/>
                <w:color w:val="auto"/>
                <w:sz w:val="21"/>
                <w:highlight w:val="none"/>
              </w:rPr>
            </w:pPr>
          </w:p>
        </w:tc>
        <w:tc>
          <w:tcPr>
            <w:tcW w:w="635" w:type="dxa"/>
            <w:vAlign w:val="top"/>
          </w:tcPr>
          <w:p w14:paraId="0B1270FE">
            <w:pPr>
              <w:rPr>
                <w:rFonts w:ascii="Arial"/>
                <w:color w:val="auto"/>
                <w:sz w:val="21"/>
                <w:highlight w:val="none"/>
              </w:rPr>
            </w:pPr>
          </w:p>
        </w:tc>
        <w:tc>
          <w:tcPr>
            <w:tcW w:w="348" w:type="dxa"/>
            <w:vAlign w:val="top"/>
          </w:tcPr>
          <w:p w14:paraId="096889E6">
            <w:pPr>
              <w:rPr>
                <w:rFonts w:ascii="Arial"/>
                <w:color w:val="auto"/>
                <w:sz w:val="21"/>
                <w:highlight w:val="none"/>
              </w:rPr>
            </w:pPr>
          </w:p>
        </w:tc>
        <w:tc>
          <w:tcPr>
            <w:tcW w:w="348" w:type="dxa"/>
            <w:vAlign w:val="top"/>
          </w:tcPr>
          <w:p w14:paraId="636E5A49">
            <w:pPr>
              <w:rPr>
                <w:rFonts w:ascii="Arial"/>
                <w:color w:val="auto"/>
                <w:sz w:val="21"/>
                <w:highlight w:val="none"/>
              </w:rPr>
            </w:pPr>
          </w:p>
        </w:tc>
        <w:tc>
          <w:tcPr>
            <w:tcW w:w="350" w:type="dxa"/>
            <w:vAlign w:val="top"/>
          </w:tcPr>
          <w:p w14:paraId="057C9E42">
            <w:pPr>
              <w:rPr>
                <w:rFonts w:ascii="Arial"/>
                <w:color w:val="auto"/>
                <w:sz w:val="21"/>
                <w:highlight w:val="none"/>
              </w:rPr>
            </w:pPr>
          </w:p>
        </w:tc>
        <w:tc>
          <w:tcPr>
            <w:tcW w:w="348" w:type="dxa"/>
            <w:vAlign w:val="top"/>
          </w:tcPr>
          <w:p w14:paraId="74915F0E">
            <w:pPr>
              <w:rPr>
                <w:rFonts w:ascii="Arial"/>
                <w:color w:val="auto"/>
                <w:sz w:val="21"/>
                <w:highlight w:val="none"/>
              </w:rPr>
            </w:pPr>
          </w:p>
        </w:tc>
        <w:tc>
          <w:tcPr>
            <w:tcW w:w="349" w:type="dxa"/>
            <w:vAlign w:val="top"/>
          </w:tcPr>
          <w:p w14:paraId="4B02BDA9">
            <w:pPr>
              <w:rPr>
                <w:rFonts w:ascii="Arial"/>
                <w:color w:val="auto"/>
                <w:sz w:val="21"/>
                <w:highlight w:val="none"/>
              </w:rPr>
            </w:pPr>
          </w:p>
        </w:tc>
        <w:tc>
          <w:tcPr>
            <w:tcW w:w="351" w:type="dxa"/>
            <w:vAlign w:val="top"/>
          </w:tcPr>
          <w:p w14:paraId="02E5A781">
            <w:pPr>
              <w:rPr>
                <w:rFonts w:ascii="Arial"/>
                <w:color w:val="auto"/>
                <w:sz w:val="21"/>
                <w:highlight w:val="none"/>
              </w:rPr>
            </w:pPr>
          </w:p>
        </w:tc>
        <w:tc>
          <w:tcPr>
            <w:tcW w:w="349" w:type="dxa"/>
            <w:vAlign w:val="top"/>
          </w:tcPr>
          <w:p w14:paraId="24C5A8EE">
            <w:pPr>
              <w:rPr>
                <w:rFonts w:ascii="Arial"/>
                <w:color w:val="auto"/>
                <w:sz w:val="21"/>
                <w:highlight w:val="none"/>
              </w:rPr>
            </w:pPr>
          </w:p>
        </w:tc>
        <w:tc>
          <w:tcPr>
            <w:tcW w:w="349" w:type="dxa"/>
            <w:vAlign w:val="top"/>
          </w:tcPr>
          <w:p w14:paraId="79801D7E">
            <w:pPr>
              <w:rPr>
                <w:rFonts w:ascii="Arial"/>
                <w:color w:val="auto"/>
                <w:sz w:val="21"/>
                <w:highlight w:val="none"/>
              </w:rPr>
            </w:pPr>
          </w:p>
        </w:tc>
        <w:tc>
          <w:tcPr>
            <w:tcW w:w="426" w:type="dxa"/>
            <w:vAlign w:val="top"/>
          </w:tcPr>
          <w:p w14:paraId="69C791EF">
            <w:pPr>
              <w:rPr>
                <w:rFonts w:ascii="Arial"/>
                <w:color w:val="auto"/>
                <w:sz w:val="21"/>
                <w:highlight w:val="none"/>
              </w:rPr>
            </w:pPr>
          </w:p>
        </w:tc>
        <w:tc>
          <w:tcPr>
            <w:tcW w:w="426" w:type="dxa"/>
            <w:vAlign w:val="top"/>
          </w:tcPr>
          <w:p w14:paraId="3FD1B94D">
            <w:pPr>
              <w:rPr>
                <w:rFonts w:ascii="Arial"/>
                <w:color w:val="auto"/>
                <w:sz w:val="21"/>
                <w:highlight w:val="none"/>
              </w:rPr>
            </w:pPr>
          </w:p>
        </w:tc>
        <w:tc>
          <w:tcPr>
            <w:tcW w:w="426" w:type="dxa"/>
            <w:vAlign w:val="top"/>
          </w:tcPr>
          <w:p w14:paraId="2F933883">
            <w:pPr>
              <w:rPr>
                <w:rFonts w:ascii="Arial"/>
                <w:color w:val="auto"/>
                <w:sz w:val="21"/>
                <w:highlight w:val="none"/>
              </w:rPr>
            </w:pPr>
          </w:p>
        </w:tc>
        <w:tc>
          <w:tcPr>
            <w:tcW w:w="429" w:type="dxa"/>
            <w:vAlign w:val="top"/>
          </w:tcPr>
          <w:p w14:paraId="18AD1499">
            <w:pPr>
              <w:rPr>
                <w:rFonts w:ascii="Arial"/>
                <w:color w:val="auto"/>
                <w:sz w:val="21"/>
                <w:highlight w:val="none"/>
              </w:rPr>
            </w:pPr>
          </w:p>
        </w:tc>
        <w:tc>
          <w:tcPr>
            <w:tcW w:w="526" w:type="dxa"/>
            <w:vAlign w:val="top"/>
          </w:tcPr>
          <w:p w14:paraId="377065DE">
            <w:pPr>
              <w:rPr>
                <w:rFonts w:ascii="Arial"/>
                <w:color w:val="auto"/>
                <w:sz w:val="21"/>
                <w:highlight w:val="none"/>
              </w:rPr>
            </w:pPr>
          </w:p>
        </w:tc>
        <w:tc>
          <w:tcPr>
            <w:tcW w:w="735" w:type="dxa"/>
            <w:vAlign w:val="top"/>
          </w:tcPr>
          <w:p w14:paraId="16D899D9">
            <w:pPr>
              <w:rPr>
                <w:rFonts w:ascii="Arial"/>
                <w:color w:val="auto"/>
                <w:sz w:val="21"/>
                <w:highlight w:val="none"/>
              </w:rPr>
            </w:pPr>
          </w:p>
        </w:tc>
      </w:tr>
      <w:tr w14:paraId="08280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14FABAFB">
            <w:pPr>
              <w:pStyle w:val="17"/>
              <w:spacing w:before="169" w:line="270" w:lineRule="exact"/>
              <w:ind w:left="144"/>
              <w:rPr>
                <w:color w:val="auto"/>
                <w:highlight w:val="none"/>
              </w:rPr>
            </w:pPr>
            <w:r>
              <w:rPr>
                <w:color w:val="auto"/>
                <w:spacing w:val="-7"/>
                <w:position w:val="1"/>
                <w:highlight w:val="none"/>
              </w:rPr>
              <w:t>14</w:t>
            </w:r>
          </w:p>
        </w:tc>
        <w:tc>
          <w:tcPr>
            <w:tcW w:w="1628" w:type="dxa"/>
            <w:vAlign w:val="top"/>
          </w:tcPr>
          <w:p w14:paraId="748ECFF8">
            <w:pPr>
              <w:pStyle w:val="17"/>
              <w:spacing w:before="169" w:line="324" w:lineRule="exact"/>
              <w:ind w:left="619"/>
              <w:rPr>
                <w:color w:val="auto"/>
                <w:highlight w:val="none"/>
              </w:rPr>
            </w:pPr>
            <w:r>
              <w:rPr>
                <w:color w:val="auto"/>
                <w:spacing w:val="-2"/>
                <w:position w:val="2"/>
                <w:highlight w:val="none"/>
              </w:rPr>
              <w:t>……</w:t>
            </w:r>
          </w:p>
        </w:tc>
        <w:tc>
          <w:tcPr>
            <w:tcW w:w="805" w:type="dxa"/>
            <w:vAlign w:val="top"/>
          </w:tcPr>
          <w:p w14:paraId="37A1B209">
            <w:pPr>
              <w:rPr>
                <w:rFonts w:ascii="Arial"/>
                <w:color w:val="auto"/>
                <w:sz w:val="21"/>
                <w:highlight w:val="none"/>
              </w:rPr>
            </w:pPr>
          </w:p>
        </w:tc>
        <w:tc>
          <w:tcPr>
            <w:tcW w:w="635" w:type="dxa"/>
            <w:vAlign w:val="top"/>
          </w:tcPr>
          <w:p w14:paraId="55A382B5">
            <w:pPr>
              <w:rPr>
                <w:rFonts w:ascii="Arial"/>
                <w:color w:val="auto"/>
                <w:sz w:val="21"/>
                <w:highlight w:val="none"/>
              </w:rPr>
            </w:pPr>
          </w:p>
        </w:tc>
        <w:tc>
          <w:tcPr>
            <w:tcW w:w="348" w:type="dxa"/>
            <w:vAlign w:val="top"/>
          </w:tcPr>
          <w:p w14:paraId="3D68649D">
            <w:pPr>
              <w:rPr>
                <w:rFonts w:ascii="Arial"/>
                <w:color w:val="auto"/>
                <w:sz w:val="21"/>
                <w:highlight w:val="none"/>
              </w:rPr>
            </w:pPr>
          </w:p>
        </w:tc>
        <w:tc>
          <w:tcPr>
            <w:tcW w:w="348" w:type="dxa"/>
            <w:vAlign w:val="top"/>
          </w:tcPr>
          <w:p w14:paraId="6C095CC2">
            <w:pPr>
              <w:rPr>
                <w:rFonts w:ascii="Arial"/>
                <w:color w:val="auto"/>
                <w:sz w:val="21"/>
                <w:highlight w:val="none"/>
              </w:rPr>
            </w:pPr>
          </w:p>
        </w:tc>
        <w:tc>
          <w:tcPr>
            <w:tcW w:w="350" w:type="dxa"/>
            <w:vAlign w:val="top"/>
          </w:tcPr>
          <w:p w14:paraId="18EA6525">
            <w:pPr>
              <w:rPr>
                <w:rFonts w:ascii="Arial"/>
                <w:color w:val="auto"/>
                <w:sz w:val="21"/>
                <w:highlight w:val="none"/>
              </w:rPr>
            </w:pPr>
          </w:p>
        </w:tc>
        <w:tc>
          <w:tcPr>
            <w:tcW w:w="348" w:type="dxa"/>
            <w:vAlign w:val="top"/>
          </w:tcPr>
          <w:p w14:paraId="6849A3A3">
            <w:pPr>
              <w:rPr>
                <w:rFonts w:ascii="Arial"/>
                <w:color w:val="auto"/>
                <w:sz w:val="21"/>
                <w:highlight w:val="none"/>
              </w:rPr>
            </w:pPr>
          </w:p>
        </w:tc>
        <w:tc>
          <w:tcPr>
            <w:tcW w:w="349" w:type="dxa"/>
            <w:vAlign w:val="top"/>
          </w:tcPr>
          <w:p w14:paraId="2000E577">
            <w:pPr>
              <w:rPr>
                <w:rFonts w:ascii="Arial"/>
                <w:color w:val="auto"/>
                <w:sz w:val="21"/>
                <w:highlight w:val="none"/>
              </w:rPr>
            </w:pPr>
          </w:p>
        </w:tc>
        <w:tc>
          <w:tcPr>
            <w:tcW w:w="351" w:type="dxa"/>
            <w:vAlign w:val="top"/>
          </w:tcPr>
          <w:p w14:paraId="4B3DA146">
            <w:pPr>
              <w:rPr>
                <w:rFonts w:ascii="Arial"/>
                <w:color w:val="auto"/>
                <w:sz w:val="21"/>
                <w:highlight w:val="none"/>
              </w:rPr>
            </w:pPr>
          </w:p>
        </w:tc>
        <w:tc>
          <w:tcPr>
            <w:tcW w:w="349" w:type="dxa"/>
            <w:vAlign w:val="top"/>
          </w:tcPr>
          <w:p w14:paraId="000C1321">
            <w:pPr>
              <w:rPr>
                <w:rFonts w:ascii="Arial"/>
                <w:color w:val="auto"/>
                <w:sz w:val="21"/>
                <w:highlight w:val="none"/>
              </w:rPr>
            </w:pPr>
          </w:p>
        </w:tc>
        <w:tc>
          <w:tcPr>
            <w:tcW w:w="349" w:type="dxa"/>
            <w:vAlign w:val="top"/>
          </w:tcPr>
          <w:p w14:paraId="62F1A6D1">
            <w:pPr>
              <w:rPr>
                <w:rFonts w:ascii="Arial"/>
                <w:color w:val="auto"/>
                <w:sz w:val="21"/>
                <w:highlight w:val="none"/>
              </w:rPr>
            </w:pPr>
          </w:p>
        </w:tc>
        <w:tc>
          <w:tcPr>
            <w:tcW w:w="426" w:type="dxa"/>
            <w:vAlign w:val="top"/>
          </w:tcPr>
          <w:p w14:paraId="300AD97C">
            <w:pPr>
              <w:rPr>
                <w:rFonts w:ascii="Arial"/>
                <w:color w:val="auto"/>
                <w:sz w:val="21"/>
                <w:highlight w:val="none"/>
              </w:rPr>
            </w:pPr>
          </w:p>
        </w:tc>
        <w:tc>
          <w:tcPr>
            <w:tcW w:w="426" w:type="dxa"/>
            <w:vAlign w:val="top"/>
          </w:tcPr>
          <w:p w14:paraId="61AB6E1B">
            <w:pPr>
              <w:rPr>
                <w:rFonts w:ascii="Arial"/>
                <w:color w:val="auto"/>
                <w:sz w:val="21"/>
                <w:highlight w:val="none"/>
              </w:rPr>
            </w:pPr>
          </w:p>
        </w:tc>
        <w:tc>
          <w:tcPr>
            <w:tcW w:w="426" w:type="dxa"/>
            <w:vAlign w:val="top"/>
          </w:tcPr>
          <w:p w14:paraId="4457868C">
            <w:pPr>
              <w:rPr>
                <w:rFonts w:ascii="Arial"/>
                <w:color w:val="auto"/>
                <w:sz w:val="21"/>
                <w:highlight w:val="none"/>
              </w:rPr>
            </w:pPr>
          </w:p>
        </w:tc>
        <w:tc>
          <w:tcPr>
            <w:tcW w:w="429" w:type="dxa"/>
            <w:vAlign w:val="top"/>
          </w:tcPr>
          <w:p w14:paraId="3FBCF8A1">
            <w:pPr>
              <w:rPr>
                <w:rFonts w:ascii="Arial"/>
                <w:color w:val="auto"/>
                <w:sz w:val="21"/>
                <w:highlight w:val="none"/>
              </w:rPr>
            </w:pPr>
          </w:p>
        </w:tc>
        <w:tc>
          <w:tcPr>
            <w:tcW w:w="526" w:type="dxa"/>
            <w:vAlign w:val="top"/>
          </w:tcPr>
          <w:p w14:paraId="4F20E0EB">
            <w:pPr>
              <w:rPr>
                <w:rFonts w:ascii="Arial"/>
                <w:color w:val="auto"/>
                <w:sz w:val="21"/>
                <w:highlight w:val="none"/>
              </w:rPr>
            </w:pPr>
          </w:p>
        </w:tc>
        <w:tc>
          <w:tcPr>
            <w:tcW w:w="735" w:type="dxa"/>
            <w:vAlign w:val="top"/>
          </w:tcPr>
          <w:p w14:paraId="6ED3CF3B">
            <w:pPr>
              <w:rPr>
                <w:rFonts w:ascii="Arial"/>
                <w:color w:val="auto"/>
                <w:sz w:val="21"/>
                <w:highlight w:val="none"/>
              </w:rPr>
            </w:pPr>
          </w:p>
        </w:tc>
      </w:tr>
      <w:tr w14:paraId="3DF31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0455288F">
            <w:pPr>
              <w:pStyle w:val="17"/>
              <w:spacing w:before="169" w:line="268" w:lineRule="exact"/>
              <w:ind w:left="144"/>
              <w:rPr>
                <w:color w:val="auto"/>
                <w:highlight w:val="none"/>
              </w:rPr>
            </w:pPr>
            <w:r>
              <w:rPr>
                <w:color w:val="auto"/>
                <w:spacing w:val="-7"/>
                <w:position w:val="1"/>
                <w:highlight w:val="none"/>
              </w:rPr>
              <w:t>15</w:t>
            </w:r>
          </w:p>
        </w:tc>
        <w:tc>
          <w:tcPr>
            <w:tcW w:w="1628" w:type="dxa"/>
            <w:vAlign w:val="top"/>
          </w:tcPr>
          <w:p w14:paraId="54D62EF0">
            <w:pPr>
              <w:pStyle w:val="17"/>
              <w:spacing w:before="169" w:line="324" w:lineRule="exact"/>
              <w:ind w:left="619"/>
              <w:rPr>
                <w:color w:val="auto"/>
                <w:highlight w:val="none"/>
              </w:rPr>
            </w:pPr>
            <w:r>
              <w:rPr>
                <w:color w:val="auto"/>
                <w:spacing w:val="-2"/>
                <w:position w:val="2"/>
                <w:highlight w:val="none"/>
              </w:rPr>
              <w:t>……</w:t>
            </w:r>
          </w:p>
        </w:tc>
        <w:tc>
          <w:tcPr>
            <w:tcW w:w="805" w:type="dxa"/>
            <w:vAlign w:val="top"/>
          </w:tcPr>
          <w:p w14:paraId="62B25E2B">
            <w:pPr>
              <w:rPr>
                <w:rFonts w:ascii="Arial"/>
                <w:color w:val="auto"/>
                <w:sz w:val="21"/>
                <w:highlight w:val="none"/>
              </w:rPr>
            </w:pPr>
          </w:p>
        </w:tc>
        <w:tc>
          <w:tcPr>
            <w:tcW w:w="635" w:type="dxa"/>
            <w:vAlign w:val="top"/>
          </w:tcPr>
          <w:p w14:paraId="6FA35E5E">
            <w:pPr>
              <w:rPr>
                <w:rFonts w:ascii="Arial"/>
                <w:color w:val="auto"/>
                <w:sz w:val="21"/>
                <w:highlight w:val="none"/>
              </w:rPr>
            </w:pPr>
          </w:p>
        </w:tc>
        <w:tc>
          <w:tcPr>
            <w:tcW w:w="348" w:type="dxa"/>
            <w:vAlign w:val="top"/>
          </w:tcPr>
          <w:p w14:paraId="32961B0B">
            <w:pPr>
              <w:rPr>
                <w:rFonts w:ascii="Arial"/>
                <w:color w:val="auto"/>
                <w:sz w:val="21"/>
                <w:highlight w:val="none"/>
              </w:rPr>
            </w:pPr>
          </w:p>
        </w:tc>
        <w:tc>
          <w:tcPr>
            <w:tcW w:w="348" w:type="dxa"/>
            <w:vAlign w:val="top"/>
          </w:tcPr>
          <w:p w14:paraId="668E7E2A">
            <w:pPr>
              <w:rPr>
                <w:rFonts w:ascii="Arial"/>
                <w:color w:val="auto"/>
                <w:sz w:val="21"/>
                <w:highlight w:val="none"/>
              </w:rPr>
            </w:pPr>
          </w:p>
        </w:tc>
        <w:tc>
          <w:tcPr>
            <w:tcW w:w="350" w:type="dxa"/>
            <w:vAlign w:val="top"/>
          </w:tcPr>
          <w:p w14:paraId="0541A8B2">
            <w:pPr>
              <w:rPr>
                <w:rFonts w:ascii="Arial"/>
                <w:color w:val="auto"/>
                <w:sz w:val="21"/>
                <w:highlight w:val="none"/>
              </w:rPr>
            </w:pPr>
          </w:p>
        </w:tc>
        <w:tc>
          <w:tcPr>
            <w:tcW w:w="348" w:type="dxa"/>
            <w:vAlign w:val="top"/>
          </w:tcPr>
          <w:p w14:paraId="5A3DC32F">
            <w:pPr>
              <w:rPr>
                <w:rFonts w:ascii="Arial"/>
                <w:color w:val="auto"/>
                <w:sz w:val="21"/>
                <w:highlight w:val="none"/>
              </w:rPr>
            </w:pPr>
          </w:p>
        </w:tc>
        <w:tc>
          <w:tcPr>
            <w:tcW w:w="349" w:type="dxa"/>
            <w:vAlign w:val="top"/>
          </w:tcPr>
          <w:p w14:paraId="05B19D43">
            <w:pPr>
              <w:rPr>
                <w:rFonts w:ascii="Arial"/>
                <w:color w:val="auto"/>
                <w:sz w:val="21"/>
                <w:highlight w:val="none"/>
              </w:rPr>
            </w:pPr>
          </w:p>
        </w:tc>
        <w:tc>
          <w:tcPr>
            <w:tcW w:w="351" w:type="dxa"/>
            <w:vAlign w:val="top"/>
          </w:tcPr>
          <w:p w14:paraId="6285A0D5">
            <w:pPr>
              <w:rPr>
                <w:rFonts w:ascii="Arial"/>
                <w:color w:val="auto"/>
                <w:sz w:val="21"/>
                <w:highlight w:val="none"/>
              </w:rPr>
            </w:pPr>
          </w:p>
        </w:tc>
        <w:tc>
          <w:tcPr>
            <w:tcW w:w="349" w:type="dxa"/>
            <w:vAlign w:val="top"/>
          </w:tcPr>
          <w:p w14:paraId="4C151906">
            <w:pPr>
              <w:rPr>
                <w:rFonts w:ascii="Arial"/>
                <w:color w:val="auto"/>
                <w:sz w:val="21"/>
                <w:highlight w:val="none"/>
              </w:rPr>
            </w:pPr>
          </w:p>
        </w:tc>
        <w:tc>
          <w:tcPr>
            <w:tcW w:w="349" w:type="dxa"/>
            <w:vAlign w:val="top"/>
          </w:tcPr>
          <w:p w14:paraId="602A59F0">
            <w:pPr>
              <w:rPr>
                <w:rFonts w:ascii="Arial"/>
                <w:color w:val="auto"/>
                <w:sz w:val="21"/>
                <w:highlight w:val="none"/>
              </w:rPr>
            </w:pPr>
          </w:p>
        </w:tc>
        <w:tc>
          <w:tcPr>
            <w:tcW w:w="426" w:type="dxa"/>
            <w:vAlign w:val="top"/>
          </w:tcPr>
          <w:p w14:paraId="31D1A7B0">
            <w:pPr>
              <w:rPr>
                <w:rFonts w:ascii="Arial"/>
                <w:color w:val="auto"/>
                <w:sz w:val="21"/>
                <w:highlight w:val="none"/>
              </w:rPr>
            </w:pPr>
          </w:p>
        </w:tc>
        <w:tc>
          <w:tcPr>
            <w:tcW w:w="426" w:type="dxa"/>
            <w:vAlign w:val="top"/>
          </w:tcPr>
          <w:p w14:paraId="6F9C5BFA">
            <w:pPr>
              <w:rPr>
                <w:rFonts w:ascii="Arial"/>
                <w:color w:val="auto"/>
                <w:sz w:val="21"/>
                <w:highlight w:val="none"/>
              </w:rPr>
            </w:pPr>
          </w:p>
        </w:tc>
        <w:tc>
          <w:tcPr>
            <w:tcW w:w="426" w:type="dxa"/>
            <w:vAlign w:val="top"/>
          </w:tcPr>
          <w:p w14:paraId="20E36BA4">
            <w:pPr>
              <w:rPr>
                <w:rFonts w:ascii="Arial"/>
                <w:color w:val="auto"/>
                <w:sz w:val="21"/>
                <w:highlight w:val="none"/>
              </w:rPr>
            </w:pPr>
          </w:p>
        </w:tc>
        <w:tc>
          <w:tcPr>
            <w:tcW w:w="429" w:type="dxa"/>
            <w:vAlign w:val="top"/>
          </w:tcPr>
          <w:p w14:paraId="0002DCB8">
            <w:pPr>
              <w:rPr>
                <w:rFonts w:ascii="Arial"/>
                <w:color w:val="auto"/>
                <w:sz w:val="21"/>
                <w:highlight w:val="none"/>
              </w:rPr>
            </w:pPr>
          </w:p>
        </w:tc>
        <w:tc>
          <w:tcPr>
            <w:tcW w:w="526" w:type="dxa"/>
            <w:vAlign w:val="top"/>
          </w:tcPr>
          <w:p w14:paraId="76326F3F">
            <w:pPr>
              <w:rPr>
                <w:rFonts w:ascii="Arial"/>
                <w:color w:val="auto"/>
                <w:sz w:val="21"/>
                <w:highlight w:val="none"/>
              </w:rPr>
            </w:pPr>
          </w:p>
        </w:tc>
        <w:tc>
          <w:tcPr>
            <w:tcW w:w="735" w:type="dxa"/>
            <w:vAlign w:val="top"/>
          </w:tcPr>
          <w:p w14:paraId="1547F884">
            <w:pPr>
              <w:rPr>
                <w:rFonts w:ascii="Arial"/>
                <w:color w:val="auto"/>
                <w:sz w:val="21"/>
                <w:highlight w:val="none"/>
              </w:rPr>
            </w:pPr>
          </w:p>
        </w:tc>
      </w:tr>
      <w:tr w14:paraId="144A5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8" w:type="dxa"/>
            <w:vAlign w:val="top"/>
          </w:tcPr>
          <w:p w14:paraId="43A2AA27">
            <w:pPr>
              <w:pStyle w:val="17"/>
              <w:spacing w:before="168" w:line="324" w:lineRule="exact"/>
              <w:ind w:left="141"/>
              <w:rPr>
                <w:color w:val="auto"/>
                <w:highlight w:val="none"/>
              </w:rPr>
            </w:pPr>
            <w:r>
              <w:rPr>
                <w:color w:val="auto"/>
                <w:position w:val="2"/>
                <w:highlight w:val="none"/>
              </w:rPr>
              <w:t>…</w:t>
            </w:r>
          </w:p>
        </w:tc>
        <w:tc>
          <w:tcPr>
            <w:tcW w:w="1628" w:type="dxa"/>
            <w:vAlign w:val="top"/>
          </w:tcPr>
          <w:p w14:paraId="4A4CE7D3">
            <w:pPr>
              <w:pStyle w:val="17"/>
              <w:spacing w:before="168" w:line="324" w:lineRule="exact"/>
              <w:ind w:left="619"/>
              <w:rPr>
                <w:color w:val="auto"/>
                <w:highlight w:val="none"/>
              </w:rPr>
            </w:pPr>
            <w:r>
              <w:rPr>
                <w:color w:val="auto"/>
                <w:spacing w:val="-2"/>
                <w:position w:val="2"/>
                <w:highlight w:val="none"/>
              </w:rPr>
              <w:t>……</w:t>
            </w:r>
          </w:p>
        </w:tc>
        <w:tc>
          <w:tcPr>
            <w:tcW w:w="805" w:type="dxa"/>
            <w:vAlign w:val="top"/>
          </w:tcPr>
          <w:p w14:paraId="65CEEB0D">
            <w:pPr>
              <w:rPr>
                <w:rFonts w:ascii="Arial"/>
                <w:color w:val="auto"/>
                <w:sz w:val="21"/>
                <w:highlight w:val="none"/>
              </w:rPr>
            </w:pPr>
          </w:p>
        </w:tc>
        <w:tc>
          <w:tcPr>
            <w:tcW w:w="635" w:type="dxa"/>
            <w:vAlign w:val="top"/>
          </w:tcPr>
          <w:p w14:paraId="31B9A2D4">
            <w:pPr>
              <w:rPr>
                <w:rFonts w:ascii="Arial"/>
                <w:color w:val="auto"/>
                <w:sz w:val="21"/>
                <w:highlight w:val="none"/>
              </w:rPr>
            </w:pPr>
          </w:p>
        </w:tc>
        <w:tc>
          <w:tcPr>
            <w:tcW w:w="348" w:type="dxa"/>
            <w:vAlign w:val="top"/>
          </w:tcPr>
          <w:p w14:paraId="178EDC33">
            <w:pPr>
              <w:rPr>
                <w:rFonts w:ascii="Arial"/>
                <w:color w:val="auto"/>
                <w:sz w:val="21"/>
                <w:highlight w:val="none"/>
              </w:rPr>
            </w:pPr>
          </w:p>
        </w:tc>
        <w:tc>
          <w:tcPr>
            <w:tcW w:w="348" w:type="dxa"/>
            <w:vAlign w:val="top"/>
          </w:tcPr>
          <w:p w14:paraId="28555611">
            <w:pPr>
              <w:rPr>
                <w:rFonts w:ascii="Arial"/>
                <w:color w:val="auto"/>
                <w:sz w:val="21"/>
                <w:highlight w:val="none"/>
              </w:rPr>
            </w:pPr>
          </w:p>
        </w:tc>
        <w:tc>
          <w:tcPr>
            <w:tcW w:w="350" w:type="dxa"/>
            <w:vAlign w:val="top"/>
          </w:tcPr>
          <w:p w14:paraId="19A08F28">
            <w:pPr>
              <w:rPr>
                <w:rFonts w:ascii="Arial"/>
                <w:color w:val="auto"/>
                <w:sz w:val="21"/>
                <w:highlight w:val="none"/>
              </w:rPr>
            </w:pPr>
          </w:p>
        </w:tc>
        <w:tc>
          <w:tcPr>
            <w:tcW w:w="348" w:type="dxa"/>
            <w:vAlign w:val="top"/>
          </w:tcPr>
          <w:p w14:paraId="4E85E05E">
            <w:pPr>
              <w:rPr>
                <w:rFonts w:ascii="Arial"/>
                <w:color w:val="auto"/>
                <w:sz w:val="21"/>
                <w:highlight w:val="none"/>
              </w:rPr>
            </w:pPr>
          </w:p>
        </w:tc>
        <w:tc>
          <w:tcPr>
            <w:tcW w:w="349" w:type="dxa"/>
            <w:vAlign w:val="top"/>
          </w:tcPr>
          <w:p w14:paraId="7FE78436">
            <w:pPr>
              <w:rPr>
                <w:rFonts w:ascii="Arial"/>
                <w:color w:val="auto"/>
                <w:sz w:val="21"/>
                <w:highlight w:val="none"/>
              </w:rPr>
            </w:pPr>
          </w:p>
        </w:tc>
        <w:tc>
          <w:tcPr>
            <w:tcW w:w="351" w:type="dxa"/>
            <w:vAlign w:val="top"/>
          </w:tcPr>
          <w:p w14:paraId="7EFBA9AD">
            <w:pPr>
              <w:rPr>
                <w:rFonts w:ascii="Arial"/>
                <w:color w:val="auto"/>
                <w:sz w:val="21"/>
                <w:highlight w:val="none"/>
              </w:rPr>
            </w:pPr>
          </w:p>
        </w:tc>
        <w:tc>
          <w:tcPr>
            <w:tcW w:w="349" w:type="dxa"/>
            <w:vAlign w:val="top"/>
          </w:tcPr>
          <w:p w14:paraId="2A8EF355">
            <w:pPr>
              <w:rPr>
                <w:rFonts w:ascii="Arial"/>
                <w:color w:val="auto"/>
                <w:sz w:val="21"/>
                <w:highlight w:val="none"/>
              </w:rPr>
            </w:pPr>
          </w:p>
        </w:tc>
        <w:tc>
          <w:tcPr>
            <w:tcW w:w="349" w:type="dxa"/>
            <w:vAlign w:val="top"/>
          </w:tcPr>
          <w:p w14:paraId="64B973F6">
            <w:pPr>
              <w:rPr>
                <w:rFonts w:ascii="Arial"/>
                <w:color w:val="auto"/>
                <w:sz w:val="21"/>
                <w:highlight w:val="none"/>
              </w:rPr>
            </w:pPr>
          </w:p>
        </w:tc>
        <w:tc>
          <w:tcPr>
            <w:tcW w:w="426" w:type="dxa"/>
            <w:vAlign w:val="top"/>
          </w:tcPr>
          <w:p w14:paraId="6601436C">
            <w:pPr>
              <w:rPr>
                <w:rFonts w:ascii="Arial"/>
                <w:color w:val="auto"/>
                <w:sz w:val="21"/>
                <w:highlight w:val="none"/>
              </w:rPr>
            </w:pPr>
          </w:p>
        </w:tc>
        <w:tc>
          <w:tcPr>
            <w:tcW w:w="426" w:type="dxa"/>
            <w:vAlign w:val="top"/>
          </w:tcPr>
          <w:p w14:paraId="002A2E75">
            <w:pPr>
              <w:rPr>
                <w:rFonts w:ascii="Arial"/>
                <w:color w:val="auto"/>
                <w:sz w:val="21"/>
                <w:highlight w:val="none"/>
              </w:rPr>
            </w:pPr>
          </w:p>
        </w:tc>
        <w:tc>
          <w:tcPr>
            <w:tcW w:w="426" w:type="dxa"/>
            <w:vAlign w:val="top"/>
          </w:tcPr>
          <w:p w14:paraId="1D36B3A6">
            <w:pPr>
              <w:rPr>
                <w:rFonts w:ascii="Arial"/>
                <w:color w:val="auto"/>
                <w:sz w:val="21"/>
                <w:highlight w:val="none"/>
              </w:rPr>
            </w:pPr>
          </w:p>
        </w:tc>
        <w:tc>
          <w:tcPr>
            <w:tcW w:w="429" w:type="dxa"/>
            <w:vAlign w:val="top"/>
          </w:tcPr>
          <w:p w14:paraId="65B212F5">
            <w:pPr>
              <w:rPr>
                <w:rFonts w:ascii="Arial"/>
                <w:color w:val="auto"/>
                <w:sz w:val="21"/>
                <w:highlight w:val="none"/>
              </w:rPr>
            </w:pPr>
          </w:p>
        </w:tc>
        <w:tc>
          <w:tcPr>
            <w:tcW w:w="526" w:type="dxa"/>
            <w:vAlign w:val="top"/>
          </w:tcPr>
          <w:p w14:paraId="41998900">
            <w:pPr>
              <w:rPr>
                <w:rFonts w:ascii="Arial"/>
                <w:color w:val="auto"/>
                <w:sz w:val="21"/>
                <w:highlight w:val="none"/>
              </w:rPr>
            </w:pPr>
          </w:p>
        </w:tc>
        <w:tc>
          <w:tcPr>
            <w:tcW w:w="735" w:type="dxa"/>
            <w:vAlign w:val="top"/>
          </w:tcPr>
          <w:p w14:paraId="10E01D96">
            <w:pPr>
              <w:rPr>
                <w:rFonts w:ascii="Arial"/>
                <w:color w:val="auto"/>
                <w:sz w:val="21"/>
                <w:highlight w:val="none"/>
              </w:rPr>
            </w:pPr>
          </w:p>
        </w:tc>
      </w:tr>
      <w:tr w14:paraId="2B224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891" w:type="dxa"/>
            <w:gridSpan w:val="3"/>
            <w:vAlign w:val="top"/>
          </w:tcPr>
          <w:p w14:paraId="155E30EC">
            <w:pPr>
              <w:pStyle w:val="17"/>
              <w:spacing w:before="95" w:line="228" w:lineRule="auto"/>
              <w:ind w:left="716"/>
              <w:rPr>
                <w:color w:val="auto"/>
                <w:highlight w:val="none"/>
              </w:rPr>
            </w:pPr>
            <w:r>
              <w:rPr>
                <w:color w:val="auto"/>
                <w:spacing w:val="8"/>
                <w:highlight w:val="none"/>
              </w:rPr>
              <w:t>每月应在工地的</w:t>
            </w:r>
          </w:p>
          <w:p w14:paraId="24443FED">
            <w:pPr>
              <w:pStyle w:val="17"/>
              <w:spacing w:before="24" w:line="228" w:lineRule="auto"/>
              <w:ind w:left="403"/>
              <w:rPr>
                <w:color w:val="auto"/>
                <w:highlight w:val="none"/>
              </w:rPr>
            </w:pPr>
            <w:r>
              <w:rPr>
                <w:color w:val="auto"/>
                <w:spacing w:val="7"/>
                <w:highlight w:val="none"/>
              </w:rPr>
              <w:t>监理人员合计（人数）</w:t>
            </w:r>
          </w:p>
        </w:tc>
        <w:tc>
          <w:tcPr>
            <w:tcW w:w="635" w:type="dxa"/>
            <w:vAlign w:val="top"/>
          </w:tcPr>
          <w:p w14:paraId="4B19CD20">
            <w:pPr>
              <w:pStyle w:val="17"/>
              <w:spacing w:before="36" w:line="324" w:lineRule="exact"/>
              <w:ind w:left="126"/>
              <w:rPr>
                <w:color w:val="auto"/>
                <w:highlight w:val="none"/>
              </w:rPr>
            </w:pPr>
            <w:r>
              <w:rPr>
                <w:color w:val="auto"/>
                <w:spacing w:val="-2"/>
                <w:position w:val="2"/>
                <w:highlight w:val="none"/>
              </w:rPr>
              <w:t>……</w:t>
            </w:r>
          </w:p>
        </w:tc>
        <w:tc>
          <w:tcPr>
            <w:tcW w:w="348" w:type="dxa"/>
            <w:vAlign w:val="top"/>
          </w:tcPr>
          <w:p w14:paraId="78DF6F54">
            <w:pPr>
              <w:rPr>
                <w:rFonts w:ascii="Arial"/>
                <w:color w:val="auto"/>
                <w:sz w:val="21"/>
                <w:highlight w:val="none"/>
              </w:rPr>
            </w:pPr>
          </w:p>
        </w:tc>
        <w:tc>
          <w:tcPr>
            <w:tcW w:w="348" w:type="dxa"/>
            <w:vAlign w:val="top"/>
          </w:tcPr>
          <w:p w14:paraId="6B7C1876">
            <w:pPr>
              <w:rPr>
                <w:rFonts w:ascii="Arial"/>
                <w:color w:val="auto"/>
                <w:sz w:val="21"/>
                <w:highlight w:val="none"/>
              </w:rPr>
            </w:pPr>
          </w:p>
        </w:tc>
        <w:tc>
          <w:tcPr>
            <w:tcW w:w="350" w:type="dxa"/>
            <w:vAlign w:val="top"/>
          </w:tcPr>
          <w:p w14:paraId="1BD5DD9C">
            <w:pPr>
              <w:rPr>
                <w:rFonts w:ascii="Arial"/>
                <w:color w:val="auto"/>
                <w:sz w:val="21"/>
                <w:highlight w:val="none"/>
              </w:rPr>
            </w:pPr>
          </w:p>
        </w:tc>
        <w:tc>
          <w:tcPr>
            <w:tcW w:w="348" w:type="dxa"/>
            <w:vAlign w:val="top"/>
          </w:tcPr>
          <w:p w14:paraId="329C4C9F">
            <w:pPr>
              <w:rPr>
                <w:rFonts w:ascii="Arial"/>
                <w:color w:val="auto"/>
                <w:sz w:val="21"/>
                <w:highlight w:val="none"/>
              </w:rPr>
            </w:pPr>
          </w:p>
        </w:tc>
        <w:tc>
          <w:tcPr>
            <w:tcW w:w="349" w:type="dxa"/>
            <w:vAlign w:val="top"/>
          </w:tcPr>
          <w:p w14:paraId="398FB42D">
            <w:pPr>
              <w:rPr>
                <w:rFonts w:ascii="Arial"/>
                <w:color w:val="auto"/>
                <w:sz w:val="21"/>
                <w:highlight w:val="none"/>
              </w:rPr>
            </w:pPr>
          </w:p>
        </w:tc>
        <w:tc>
          <w:tcPr>
            <w:tcW w:w="351" w:type="dxa"/>
            <w:vAlign w:val="top"/>
          </w:tcPr>
          <w:p w14:paraId="0833D254">
            <w:pPr>
              <w:rPr>
                <w:rFonts w:ascii="Arial"/>
                <w:color w:val="auto"/>
                <w:sz w:val="21"/>
                <w:highlight w:val="none"/>
              </w:rPr>
            </w:pPr>
          </w:p>
        </w:tc>
        <w:tc>
          <w:tcPr>
            <w:tcW w:w="349" w:type="dxa"/>
            <w:vAlign w:val="top"/>
          </w:tcPr>
          <w:p w14:paraId="4D015E03">
            <w:pPr>
              <w:rPr>
                <w:rFonts w:ascii="Arial"/>
                <w:color w:val="auto"/>
                <w:sz w:val="21"/>
                <w:highlight w:val="none"/>
              </w:rPr>
            </w:pPr>
          </w:p>
        </w:tc>
        <w:tc>
          <w:tcPr>
            <w:tcW w:w="349" w:type="dxa"/>
            <w:vAlign w:val="top"/>
          </w:tcPr>
          <w:p w14:paraId="5242BDCE">
            <w:pPr>
              <w:rPr>
                <w:rFonts w:ascii="Arial"/>
                <w:color w:val="auto"/>
                <w:sz w:val="21"/>
                <w:highlight w:val="none"/>
              </w:rPr>
            </w:pPr>
          </w:p>
        </w:tc>
        <w:tc>
          <w:tcPr>
            <w:tcW w:w="426" w:type="dxa"/>
            <w:vAlign w:val="top"/>
          </w:tcPr>
          <w:p w14:paraId="31C1374C">
            <w:pPr>
              <w:rPr>
                <w:rFonts w:ascii="Arial"/>
                <w:color w:val="auto"/>
                <w:sz w:val="21"/>
                <w:highlight w:val="none"/>
              </w:rPr>
            </w:pPr>
          </w:p>
        </w:tc>
        <w:tc>
          <w:tcPr>
            <w:tcW w:w="426" w:type="dxa"/>
            <w:vAlign w:val="top"/>
          </w:tcPr>
          <w:p w14:paraId="776B0DE3">
            <w:pPr>
              <w:rPr>
                <w:rFonts w:ascii="Arial"/>
                <w:color w:val="auto"/>
                <w:sz w:val="21"/>
                <w:highlight w:val="none"/>
              </w:rPr>
            </w:pPr>
          </w:p>
        </w:tc>
        <w:tc>
          <w:tcPr>
            <w:tcW w:w="426" w:type="dxa"/>
            <w:vAlign w:val="top"/>
          </w:tcPr>
          <w:p w14:paraId="5FFE34F7">
            <w:pPr>
              <w:rPr>
                <w:rFonts w:ascii="Arial"/>
                <w:color w:val="auto"/>
                <w:sz w:val="21"/>
                <w:highlight w:val="none"/>
              </w:rPr>
            </w:pPr>
          </w:p>
        </w:tc>
        <w:tc>
          <w:tcPr>
            <w:tcW w:w="429" w:type="dxa"/>
            <w:vAlign w:val="top"/>
          </w:tcPr>
          <w:p w14:paraId="4329FA58">
            <w:pPr>
              <w:rPr>
                <w:rFonts w:ascii="Arial"/>
                <w:color w:val="auto"/>
                <w:sz w:val="21"/>
                <w:highlight w:val="none"/>
              </w:rPr>
            </w:pPr>
          </w:p>
        </w:tc>
        <w:tc>
          <w:tcPr>
            <w:tcW w:w="526" w:type="dxa"/>
            <w:vAlign w:val="top"/>
          </w:tcPr>
          <w:p w14:paraId="00177B02">
            <w:pPr>
              <w:rPr>
                <w:rFonts w:ascii="Arial"/>
                <w:color w:val="auto"/>
                <w:sz w:val="21"/>
                <w:highlight w:val="none"/>
              </w:rPr>
            </w:pPr>
          </w:p>
        </w:tc>
        <w:tc>
          <w:tcPr>
            <w:tcW w:w="735" w:type="dxa"/>
            <w:vAlign w:val="top"/>
          </w:tcPr>
          <w:p w14:paraId="135AD29D">
            <w:pPr>
              <w:rPr>
                <w:rFonts w:ascii="Arial"/>
                <w:color w:val="auto"/>
                <w:sz w:val="21"/>
                <w:highlight w:val="none"/>
              </w:rPr>
            </w:pPr>
          </w:p>
        </w:tc>
      </w:tr>
    </w:tbl>
    <w:p w14:paraId="37E5867F">
      <w:pPr>
        <w:spacing w:before="304" w:line="378" w:lineRule="auto"/>
        <w:ind w:left="11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注:按照拟投入本工程现场监理人员的计划在岗安排据实填报。在岗时间为:进场时间为当月第一日；</w:t>
      </w:r>
      <w:r>
        <w:rPr>
          <w:rFonts w:ascii="宋体" w:hAnsi="宋体" w:eastAsia="宋体" w:cs="宋体"/>
          <w:color w:val="auto"/>
          <w:spacing w:val="7"/>
          <w:sz w:val="20"/>
          <w:szCs w:val="20"/>
          <w:highlight w:val="none"/>
        </w:rPr>
        <w:t>在岗表示为“-</w:t>
      </w:r>
      <w:r>
        <w:rPr>
          <w:rFonts w:ascii="宋体" w:hAnsi="宋体" w:eastAsia="宋体" w:cs="宋体"/>
          <w:color w:val="auto"/>
          <w:spacing w:val="-66"/>
          <w:sz w:val="20"/>
          <w:szCs w:val="20"/>
          <w:highlight w:val="none"/>
        </w:rPr>
        <w:t xml:space="preserve"> </w:t>
      </w:r>
      <w:r>
        <w:rPr>
          <w:rFonts w:ascii="宋体" w:hAnsi="宋体" w:eastAsia="宋体" w:cs="宋体"/>
          <w:color w:val="auto"/>
          <w:spacing w:val="7"/>
          <w:sz w:val="20"/>
          <w:szCs w:val="20"/>
          <w:highlight w:val="none"/>
        </w:rPr>
        <w:t>”。</w:t>
      </w:r>
    </w:p>
    <w:p w14:paraId="6660F934">
      <w:pPr>
        <w:spacing w:line="378" w:lineRule="auto"/>
        <w:rPr>
          <w:rFonts w:ascii="宋体" w:hAnsi="宋体" w:eastAsia="宋体" w:cs="宋体"/>
          <w:color w:val="auto"/>
          <w:sz w:val="20"/>
          <w:szCs w:val="20"/>
          <w:highlight w:val="none"/>
        </w:rPr>
        <w:sectPr>
          <w:footerReference r:id="rId122" w:type="default"/>
          <w:pgSz w:w="11906" w:h="16839"/>
          <w:pgMar w:top="1402" w:right="1303" w:bottom="1297" w:left="1307" w:header="0" w:footer="1067" w:gutter="0"/>
          <w:pgNumType w:fmt="decimal"/>
          <w:cols w:space="720" w:num="1"/>
        </w:sectPr>
      </w:pPr>
    </w:p>
    <w:p w14:paraId="30EFBFE2">
      <w:pPr>
        <w:spacing w:before="56" w:line="219" w:lineRule="auto"/>
        <w:ind w:left="2679"/>
        <w:rPr>
          <w:rFonts w:ascii="宋体" w:hAnsi="宋体" w:eastAsia="宋体" w:cs="宋体"/>
          <w:color w:val="auto"/>
          <w:sz w:val="28"/>
          <w:szCs w:val="28"/>
          <w:highlight w:val="none"/>
        </w:rPr>
      </w:pPr>
      <w:r>
        <w:rPr>
          <w:rFonts w:ascii="宋体" w:hAnsi="宋体" w:eastAsia="宋体" w:cs="宋体"/>
          <w:b/>
          <w:bCs/>
          <w:color w:val="auto"/>
          <w:sz w:val="28"/>
          <w:szCs w:val="28"/>
          <w:highlight w:val="none"/>
        </w:rPr>
        <w:t>附件2</w:t>
      </w:r>
      <w:r>
        <w:rPr>
          <w:rFonts w:ascii="宋体" w:hAnsi="宋体" w:eastAsia="宋体" w:cs="宋体"/>
          <w:color w:val="auto"/>
          <w:sz w:val="28"/>
          <w:szCs w:val="28"/>
          <w:highlight w:val="none"/>
        </w:rPr>
        <w:t xml:space="preserve">   </w:t>
      </w:r>
      <w:r>
        <w:rPr>
          <w:rFonts w:ascii="宋体" w:hAnsi="宋体" w:eastAsia="宋体" w:cs="宋体"/>
          <w:b/>
          <w:bCs/>
          <w:color w:val="auto"/>
          <w:sz w:val="28"/>
          <w:szCs w:val="28"/>
          <w:highlight w:val="none"/>
        </w:rPr>
        <w:t>监理设施进出场时间表</w:t>
      </w:r>
    </w:p>
    <w:p w14:paraId="2659B267">
      <w:pPr>
        <w:spacing w:before="147"/>
        <w:rPr>
          <w:color w:val="auto"/>
          <w:highlight w:val="none"/>
        </w:rPr>
      </w:pPr>
    </w:p>
    <w:tbl>
      <w:tblPr>
        <w:tblStyle w:val="16"/>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6"/>
        <w:gridCol w:w="1396"/>
        <w:gridCol w:w="1381"/>
        <w:gridCol w:w="1394"/>
        <w:gridCol w:w="2061"/>
        <w:gridCol w:w="1042"/>
      </w:tblGrid>
      <w:tr w14:paraId="021E9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016" w:type="dxa"/>
            <w:vMerge w:val="restart"/>
            <w:tcBorders>
              <w:bottom w:val="nil"/>
            </w:tcBorders>
            <w:vAlign w:val="top"/>
          </w:tcPr>
          <w:p w14:paraId="1AE628FD">
            <w:pPr>
              <w:spacing w:line="303" w:lineRule="auto"/>
              <w:rPr>
                <w:rFonts w:ascii="Arial"/>
                <w:color w:val="auto"/>
                <w:sz w:val="21"/>
                <w:highlight w:val="none"/>
              </w:rPr>
            </w:pPr>
          </w:p>
          <w:p w14:paraId="7CCC4477">
            <w:pPr>
              <w:pStyle w:val="17"/>
              <w:spacing w:before="65" w:line="229" w:lineRule="auto"/>
              <w:ind w:left="813"/>
              <w:rPr>
                <w:color w:val="auto"/>
                <w:highlight w:val="none"/>
              </w:rPr>
            </w:pPr>
            <w:r>
              <w:rPr>
                <w:color w:val="auto"/>
                <w:spacing w:val="-1"/>
                <w:highlight w:val="none"/>
              </w:rPr>
              <w:t>时段</w:t>
            </w:r>
          </w:p>
        </w:tc>
        <w:tc>
          <w:tcPr>
            <w:tcW w:w="7274" w:type="dxa"/>
            <w:gridSpan w:val="5"/>
            <w:vAlign w:val="top"/>
          </w:tcPr>
          <w:p w14:paraId="3A7B2286">
            <w:pPr>
              <w:pStyle w:val="17"/>
              <w:spacing w:before="163" w:line="217" w:lineRule="auto"/>
              <w:ind w:left="3221"/>
              <w:rPr>
                <w:color w:val="auto"/>
                <w:highlight w:val="none"/>
              </w:rPr>
            </w:pPr>
            <w:r>
              <w:rPr>
                <w:color w:val="auto"/>
                <w:spacing w:val="7"/>
                <w:highlight w:val="none"/>
              </w:rPr>
              <w:t>监理设施</w:t>
            </w:r>
          </w:p>
        </w:tc>
      </w:tr>
      <w:tr w14:paraId="1E39A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16" w:type="dxa"/>
            <w:vMerge w:val="continue"/>
            <w:tcBorders>
              <w:top w:val="nil"/>
            </w:tcBorders>
            <w:vAlign w:val="top"/>
          </w:tcPr>
          <w:p w14:paraId="3938A80C">
            <w:pPr>
              <w:rPr>
                <w:rFonts w:ascii="Arial"/>
                <w:color w:val="auto"/>
                <w:sz w:val="21"/>
                <w:highlight w:val="none"/>
              </w:rPr>
            </w:pPr>
          </w:p>
        </w:tc>
        <w:tc>
          <w:tcPr>
            <w:tcW w:w="1396" w:type="dxa"/>
            <w:vAlign w:val="top"/>
          </w:tcPr>
          <w:p w14:paraId="7756F7C8">
            <w:pPr>
              <w:pStyle w:val="17"/>
              <w:spacing w:before="160" w:line="216" w:lineRule="auto"/>
              <w:ind w:left="287"/>
              <w:rPr>
                <w:color w:val="auto"/>
                <w:highlight w:val="none"/>
              </w:rPr>
            </w:pPr>
            <w:r>
              <w:rPr>
                <w:color w:val="auto"/>
                <w:spacing w:val="6"/>
                <w:highlight w:val="none"/>
              </w:rPr>
              <w:t>交通设施</w:t>
            </w:r>
          </w:p>
        </w:tc>
        <w:tc>
          <w:tcPr>
            <w:tcW w:w="1381" w:type="dxa"/>
            <w:vAlign w:val="top"/>
          </w:tcPr>
          <w:p w14:paraId="7B45B2F8">
            <w:pPr>
              <w:pStyle w:val="17"/>
              <w:spacing w:before="160" w:line="216" w:lineRule="auto"/>
              <w:ind w:left="280"/>
              <w:rPr>
                <w:color w:val="auto"/>
                <w:highlight w:val="none"/>
              </w:rPr>
            </w:pPr>
            <w:r>
              <w:rPr>
                <w:color w:val="auto"/>
                <w:spacing w:val="6"/>
                <w:highlight w:val="none"/>
              </w:rPr>
              <w:t>办公设施</w:t>
            </w:r>
          </w:p>
        </w:tc>
        <w:tc>
          <w:tcPr>
            <w:tcW w:w="1394" w:type="dxa"/>
            <w:vAlign w:val="top"/>
          </w:tcPr>
          <w:p w14:paraId="124BE70D">
            <w:pPr>
              <w:pStyle w:val="17"/>
              <w:spacing w:before="160" w:line="216" w:lineRule="auto"/>
              <w:ind w:left="284"/>
              <w:rPr>
                <w:color w:val="auto"/>
                <w:highlight w:val="none"/>
              </w:rPr>
            </w:pPr>
            <w:r>
              <w:rPr>
                <w:color w:val="auto"/>
                <w:spacing w:val="6"/>
                <w:highlight w:val="none"/>
              </w:rPr>
              <w:t>生活设施</w:t>
            </w:r>
          </w:p>
        </w:tc>
        <w:tc>
          <w:tcPr>
            <w:tcW w:w="2061" w:type="dxa"/>
            <w:vAlign w:val="top"/>
          </w:tcPr>
          <w:p w14:paraId="5BCB4B6B">
            <w:pPr>
              <w:pStyle w:val="17"/>
              <w:spacing w:before="160" w:line="216" w:lineRule="auto"/>
              <w:ind w:left="302"/>
              <w:rPr>
                <w:color w:val="auto"/>
                <w:highlight w:val="none"/>
              </w:rPr>
            </w:pPr>
            <w:r>
              <w:rPr>
                <w:color w:val="auto"/>
                <w:spacing w:val="8"/>
                <w:highlight w:val="none"/>
              </w:rPr>
              <w:t>试验、检测仪器</w:t>
            </w:r>
          </w:p>
        </w:tc>
        <w:tc>
          <w:tcPr>
            <w:tcW w:w="1042" w:type="dxa"/>
            <w:vAlign w:val="top"/>
          </w:tcPr>
          <w:p w14:paraId="003D2960">
            <w:pPr>
              <w:pStyle w:val="17"/>
              <w:spacing w:before="160" w:line="216" w:lineRule="auto"/>
              <w:ind w:left="318"/>
              <w:rPr>
                <w:color w:val="auto"/>
                <w:highlight w:val="none"/>
              </w:rPr>
            </w:pPr>
            <w:r>
              <w:rPr>
                <w:color w:val="auto"/>
                <w:spacing w:val="4"/>
                <w:highlight w:val="none"/>
              </w:rPr>
              <w:t>其他</w:t>
            </w:r>
          </w:p>
        </w:tc>
      </w:tr>
      <w:tr w14:paraId="0AC45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16" w:type="dxa"/>
            <w:vAlign w:val="top"/>
          </w:tcPr>
          <w:p w14:paraId="60140236">
            <w:pPr>
              <w:pStyle w:val="17"/>
              <w:spacing w:before="161" w:line="215"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646F4834">
            <w:pPr>
              <w:rPr>
                <w:rFonts w:ascii="Arial"/>
                <w:color w:val="auto"/>
                <w:sz w:val="21"/>
                <w:highlight w:val="none"/>
              </w:rPr>
            </w:pPr>
          </w:p>
        </w:tc>
        <w:tc>
          <w:tcPr>
            <w:tcW w:w="1381" w:type="dxa"/>
            <w:vAlign w:val="top"/>
          </w:tcPr>
          <w:p w14:paraId="47D86A09">
            <w:pPr>
              <w:rPr>
                <w:rFonts w:ascii="Arial"/>
                <w:color w:val="auto"/>
                <w:sz w:val="21"/>
                <w:highlight w:val="none"/>
              </w:rPr>
            </w:pPr>
          </w:p>
        </w:tc>
        <w:tc>
          <w:tcPr>
            <w:tcW w:w="1394" w:type="dxa"/>
            <w:vAlign w:val="top"/>
          </w:tcPr>
          <w:p w14:paraId="353DAABF">
            <w:pPr>
              <w:rPr>
                <w:rFonts w:ascii="Arial"/>
                <w:color w:val="auto"/>
                <w:sz w:val="21"/>
                <w:highlight w:val="none"/>
              </w:rPr>
            </w:pPr>
          </w:p>
        </w:tc>
        <w:tc>
          <w:tcPr>
            <w:tcW w:w="2061" w:type="dxa"/>
            <w:vAlign w:val="top"/>
          </w:tcPr>
          <w:p w14:paraId="11DAAFC2">
            <w:pPr>
              <w:rPr>
                <w:rFonts w:ascii="Arial"/>
                <w:color w:val="auto"/>
                <w:sz w:val="21"/>
                <w:highlight w:val="none"/>
              </w:rPr>
            </w:pPr>
          </w:p>
        </w:tc>
        <w:tc>
          <w:tcPr>
            <w:tcW w:w="1042" w:type="dxa"/>
            <w:vAlign w:val="top"/>
          </w:tcPr>
          <w:p w14:paraId="12C8ACFE">
            <w:pPr>
              <w:rPr>
                <w:rFonts w:ascii="Arial"/>
                <w:color w:val="auto"/>
                <w:sz w:val="21"/>
                <w:highlight w:val="none"/>
              </w:rPr>
            </w:pPr>
          </w:p>
        </w:tc>
      </w:tr>
      <w:tr w14:paraId="15ADC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16" w:type="dxa"/>
            <w:vAlign w:val="top"/>
          </w:tcPr>
          <w:p w14:paraId="0B0D3E74">
            <w:pPr>
              <w:pStyle w:val="17"/>
              <w:spacing w:before="163" w:line="213"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46CF9611">
            <w:pPr>
              <w:rPr>
                <w:rFonts w:ascii="Arial"/>
                <w:color w:val="auto"/>
                <w:sz w:val="21"/>
                <w:highlight w:val="none"/>
              </w:rPr>
            </w:pPr>
          </w:p>
        </w:tc>
        <w:tc>
          <w:tcPr>
            <w:tcW w:w="1381" w:type="dxa"/>
            <w:vAlign w:val="top"/>
          </w:tcPr>
          <w:p w14:paraId="38D802AD">
            <w:pPr>
              <w:rPr>
                <w:rFonts w:ascii="Arial"/>
                <w:color w:val="auto"/>
                <w:sz w:val="21"/>
                <w:highlight w:val="none"/>
              </w:rPr>
            </w:pPr>
          </w:p>
        </w:tc>
        <w:tc>
          <w:tcPr>
            <w:tcW w:w="1394" w:type="dxa"/>
            <w:vAlign w:val="top"/>
          </w:tcPr>
          <w:p w14:paraId="4808679C">
            <w:pPr>
              <w:rPr>
                <w:rFonts w:ascii="Arial"/>
                <w:color w:val="auto"/>
                <w:sz w:val="21"/>
                <w:highlight w:val="none"/>
              </w:rPr>
            </w:pPr>
          </w:p>
        </w:tc>
        <w:tc>
          <w:tcPr>
            <w:tcW w:w="2061" w:type="dxa"/>
            <w:vAlign w:val="top"/>
          </w:tcPr>
          <w:p w14:paraId="74C51967">
            <w:pPr>
              <w:rPr>
                <w:rFonts w:ascii="Arial"/>
                <w:color w:val="auto"/>
                <w:sz w:val="21"/>
                <w:highlight w:val="none"/>
              </w:rPr>
            </w:pPr>
          </w:p>
        </w:tc>
        <w:tc>
          <w:tcPr>
            <w:tcW w:w="1042" w:type="dxa"/>
            <w:vAlign w:val="top"/>
          </w:tcPr>
          <w:p w14:paraId="4A5C3092">
            <w:pPr>
              <w:rPr>
                <w:rFonts w:ascii="Arial"/>
                <w:color w:val="auto"/>
                <w:sz w:val="21"/>
                <w:highlight w:val="none"/>
              </w:rPr>
            </w:pPr>
          </w:p>
        </w:tc>
      </w:tr>
      <w:tr w14:paraId="7DA5D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016" w:type="dxa"/>
            <w:vAlign w:val="top"/>
          </w:tcPr>
          <w:p w14:paraId="6A51A088">
            <w:pPr>
              <w:pStyle w:val="17"/>
              <w:spacing w:before="164" w:line="212"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48A6C0B1">
            <w:pPr>
              <w:rPr>
                <w:rFonts w:ascii="Arial"/>
                <w:color w:val="auto"/>
                <w:sz w:val="21"/>
                <w:highlight w:val="none"/>
              </w:rPr>
            </w:pPr>
          </w:p>
        </w:tc>
        <w:tc>
          <w:tcPr>
            <w:tcW w:w="1381" w:type="dxa"/>
            <w:vAlign w:val="top"/>
          </w:tcPr>
          <w:p w14:paraId="1FBF7AAA">
            <w:pPr>
              <w:rPr>
                <w:rFonts w:ascii="Arial"/>
                <w:color w:val="auto"/>
                <w:sz w:val="21"/>
                <w:highlight w:val="none"/>
              </w:rPr>
            </w:pPr>
          </w:p>
        </w:tc>
        <w:tc>
          <w:tcPr>
            <w:tcW w:w="1394" w:type="dxa"/>
            <w:vAlign w:val="top"/>
          </w:tcPr>
          <w:p w14:paraId="6DD3A25B">
            <w:pPr>
              <w:rPr>
                <w:rFonts w:ascii="Arial"/>
                <w:color w:val="auto"/>
                <w:sz w:val="21"/>
                <w:highlight w:val="none"/>
              </w:rPr>
            </w:pPr>
          </w:p>
        </w:tc>
        <w:tc>
          <w:tcPr>
            <w:tcW w:w="2061" w:type="dxa"/>
            <w:vAlign w:val="top"/>
          </w:tcPr>
          <w:p w14:paraId="0992D6DF">
            <w:pPr>
              <w:rPr>
                <w:rFonts w:ascii="Arial"/>
                <w:color w:val="auto"/>
                <w:sz w:val="21"/>
                <w:highlight w:val="none"/>
              </w:rPr>
            </w:pPr>
          </w:p>
        </w:tc>
        <w:tc>
          <w:tcPr>
            <w:tcW w:w="1042" w:type="dxa"/>
            <w:vAlign w:val="top"/>
          </w:tcPr>
          <w:p w14:paraId="416D67BB">
            <w:pPr>
              <w:rPr>
                <w:rFonts w:ascii="Arial"/>
                <w:color w:val="auto"/>
                <w:sz w:val="21"/>
                <w:highlight w:val="none"/>
              </w:rPr>
            </w:pPr>
          </w:p>
        </w:tc>
      </w:tr>
      <w:tr w14:paraId="55E90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247136B1">
            <w:pPr>
              <w:pStyle w:val="17"/>
              <w:spacing w:before="163" w:line="214"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2D27C604">
            <w:pPr>
              <w:rPr>
                <w:rFonts w:ascii="Arial"/>
                <w:color w:val="auto"/>
                <w:sz w:val="21"/>
                <w:highlight w:val="none"/>
              </w:rPr>
            </w:pPr>
          </w:p>
        </w:tc>
        <w:tc>
          <w:tcPr>
            <w:tcW w:w="1381" w:type="dxa"/>
            <w:vAlign w:val="top"/>
          </w:tcPr>
          <w:p w14:paraId="2EDA42C7">
            <w:pPr>
              <w:rPr>
                <w:rFonts w:ascii="Arial"/>
                <w:color w:val="auto"/>
                <w:sz w:val="21"/>
                <w:highlight w:val="none"/>
              </w:rPr>
            </w:pPr>
          </w:p>
        </w:tc>
        <w:tc>
          <w:tcPr>
            <w:tcW w:w="1394" w:type="dxa"/>
            <w:vAlign w:val="top"/>
          </w:tcPr>
          <w:p w14:paraId="109A7815">
            <w:pPr>
              <w:rPr>
                <w:rFonts w:ascii="Arial"/>
                <w:color w:val="auto"/>
                <w:sz w:val="21"/>
                <w:highlight w:val="none"/>
              </w:rPr>
            </w:pPr>
          </w:p>
        </w:tc>
        <w:tc>
          <w:tcPr>
            <w:tcW w:w="2061" w:type="dxa"/>
            <w:vAlign w:val="top"/>
          </w:tcPr>
          <w:p w14:paraId="7977F979">
            <w:pPr>
              <w:rPr>
                <w:rFonts w:ascii="Arial"/>
                <w:color w:val="auto"/>
                <w:sz w:val="21"/>
                <w:highlight w:val="none"/>
              </w:rPr>
            </w:pPr>
          </w:p>
        </w:tc>
        <w:tc>
          <w:tcPr>
            <w:tcW w:w="1042" w:type="dxa"/>
            <w:vAlign w:val="top"/>
          </w:tcPr>
          <w:p w14:paraId="28DE664D">
            <w:pPr>
              <w:rPr>
                <w:rFonts w:ascii="Arial"/>
                <w:color w:val="auto"/>
                <w:sz w:val="21"/>
                <w:highlight w:val="none"/>
              </w:rPr>
            </w:pPr>
          </w:p>
        </w:tc>
      </w:tr>
      <w:tr w14:paraId="6BF88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3FCB405F">
            <w:pPr>
              <w:pStyle w:val="17"/>
              <w:spacing w:before="163" w:line="214"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30D9DCDC">
            <w:pPr>
              <w:rPr>
                <w:rFonts w:ascii="Arial"/>
                <w:color w:val="auto"/>
                <w:sz w:val="21"/>
                <w:highlight w:val="none"/>
              </w:rPr>
            </w:pPr>
          </w:p>
        </w:tc>
        <w:tc>
          <w:tcPr>
            <w:tcW w:w="1381" w:type="dxa"/>
            <w:vAlign w:val="top"/>
          </w:tcPr>
          <w:p w14:paraId="033D312E">
            <w:pPr>
              <w:rPr>
                <w:rFonts w:ascii="Arial"/>
                <w:color w:val="auto"/>
                <w:sz w:val="21"/>
                <w:highlight w:val="none"/>
              </w:rPr>
            </w:pPr>
          </w:p>
        </w:tc>
        <w:tc>
          <w:tcPr>
            <w:tcW w:w="1394" w:type="dxa"/>
            <w:vAlign w:val="top"/>
          </w:tcPr>
          <w:p w14:paraId="5D353D34">
            <w:pPr>
              <w:rPr>
                <w:rFonts w:ascii="Arial"/>
                <w:color w:val="auto"/>
                <w:sz w:val="21"/>
                <w:highlight w:val="none"/>
              </w:rPr>
            </w:pPr>
          </w:p>
        </w:tc>
        <w:tc>
          <w:tcPr>
            <w:tcW w:w="2061" w:type="dxa"/>
            <w:vAlign w:val="top"/>
          </w:tcPr>
          <w:p w14:paraId="72345069">
            <w:pPr>
              <w:rPr>
                <w:rFonts w:ascii="Arial"/>
                <w:color w:val="auto"/>
                <w:sz w:val="21"/>
                <w:highlight w:val="none"/>
              </w:rPr>
            </w:pPr>
          </w:p>
        </w:tc>
        <w:tc>
          <w:tcPr>
            <w:tcW w:w="1042" w:type="dxa"/>
            <w:vAlign w:val="top"/>
          </w:tcPr>
          <w:p w14:paraId="5574C856">
            <w:pPr>
              <w:rPr>
                <w:rFonts w:ascii="Arial"/>
                <w:color w:val="auto"/>
                <w:sz w:val="21"/>
                <w:highlight w:val="none"/>
              </w:rPr>
            </w:pPr>
          </w:p>
        </w:tc>
      </w:tr>
      <w:tr w14:paraId="7B8D3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154EDE19">
            <w:pPr>
              <w:pStyle w:val="17"/>
              <w:spacing w:before="164" w:line="213"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3BEB30D2">
            <w:pPr>
              <w:rPr>
                <w:rFonts w:ascii="Arial"/>
                <w:color w:val="auto"/>
                <w:sz w:val="21"/>
                <w:highlight w:val="none"/>
              </w:rPr>
            </w:pPr>
          </w:p>
        </w:tc>
        <w:tc>
          <w:tcPr>
            <w:tcW w:w="1381" w:type="dxa"/>
            <w:vAlign w:val="top"/>
          </w:tcPr>
          <w:p w14:paraId="52514485">
            <w:pPr>
              <w:rPr>
                <w:rFonts w:ascii="Arial"/>
                <w:color w:val="auto"/>
                <w:sz w:val="21"/>
                <w:highlight w:val="none"/>
              </w:rPr>
            </w:pPr>
          </w:p>
        </w:tc>
        <w:tc>
          <w:tcPr>
            <w:tcW w:w="1394" w:type="dxa"/>
            <w:vAlign w:val="top"/>
          </w:tcPr>
          <w:p w14:paraId="10FCE069">
            <w:pPr>
              <w:rPr>
                <w:rFonts w:ascii="Arial"/>
                <w:color w:val="auto"/>
                <w:sz w:val="21"/>
                <w:highlight w:val="none"/>
              </w:rPr>
            </w:pPr>
          </w:p>
        </w:tc>
        <w:tc>
          <w:tcPr>
            <w:tcW w:w="2061" w:type="dxa"/>
            <w:vAlign w:val="top"/>
          </w:tcPr>
          <w:p w14:paraId="38D37FF2">
            <w:pPr>
              <w:rPr>
                <w:rFonts w:ascii="Arial"/>
                <w:color w:val="auto"/>
                <w:sz w:val="21"/>
                <w:highlight w:val="none"/>
              </w:rPr>
            </w:pPr>
          </w:p>
        </w:tc>
        <w:tc>
          <w:tcPr>
            <w:tcW w:w="1042" w:type="dxa"/>
            <w:vAlign w:val="top"/>
          </w:tcPr>
          <w:p w14:paraId="4B437D2F">
            <w:pPr>
              <w:rPr>
                <w:rFonts w:ascii="Arial"/>
                <w:color w:val="auto"/>
                <w:sz w:val="21"/>
                <w:highlight w:val="none"/>
              </w:rPr>
            </w:pPr>
          </w:p>
        </w:tc>
      </w:tr>
      <w:tr w14:paraId="3D3AC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4C3A109A">
            <w:pPr>
              <w:pStyle w:val="17"/>
              <w:spacing w:before="164" w:line="213"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10591F20">
            <w:pPr>
              <w:rPr>
                <w:rFonts w:ascii="Arial"/>
                <w:color w:val="auto"/>
                <w:sz w:val="21"/>
                <w:highlight w:val="none"/>
              </w:rPr>
            </w:pPr>
          </w:p>
        </w:tc>
        <w:tc>
          <w:tcPr>
            <w:tcW w:w="1381" w:type="dxa"/>
            <w:vAlign w:val="top"/>
          </w:tcPr>
          <w:p w14:paraId="794C58EC">
            <w:pPr>
              <w:rPr>
                <w:rFonts w:ascii="Arial"/>
                <w:color w:val="auto"/>
                <w:sz w:val="21"/>
                <w:highlight w:val="none"/>
              </w:rPr>
            </w:pPr>
          </w:p>
        </w:tc>
        <w:tc>
          <w:tcPr>
            <w:tcW w:w="1394" w:type="dxa"/>
            <w:vAlign w:val="top"/>
          </w:tcPr>
          <w:p w14:paraId="0D96A5A7">
            <w:pPr>
              <w:rPr>
                <w:rFonts w:ascii="Arial"/>
                <w:color w:val="auto"/>
                <w:sz w:val="21"/>
                <w:highlight w:val="none"/>
              </w:rPr>
            </w:pPr>
          </w:p>
        </w:tc>
        <w:tc>
          <w:tcPr>
            <w:tcW w:w="2061" w:type="dxa"/>
            <w:vAlign w:val="top"/>
          </w:tcPr>
          <w:p w14:paraId="154F5436">
            <w:pPr>
              <w:rPr>
                <w:rFonts w:ascii="Arial"/>
                <w:color w:val="auto"/>
                <w:sz w:val="21"/>
                <w:highlight w:val="none"/>
              </w:rPr>
            </w:pPr>
          </w:p>
        </w:tc>
        <w:tc>
          <w:tcPr>
            <w:tcW w:w="1042" w:type="dxa"/>
            <w:vAlign w:val="top"/>
          </w:tcPr>
          <w:p w14:paraId="7500EB47">
            <w:pPr>
              <w:rPr>
                <w:rFonts w:ascii="Arial"/>
                <w:color w:val="auto"/>
                <w:sz w:val="21"/>
                <w:highlight w:val="none"/>
              </w:rPr>
            </w:pPr>
          </w:p>
        </w:tc>
      </w:tr>
      <w:tr w14:paraId="2E2A4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1F479A9C">
            <w:pPr>
              <w:pStyle w:val="17"/>
              <w:spacing w:before="165" w:line="212"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341CB56C">
            <w:pPr>
              <w:rPr>
                <w:rFonts w:ascii="Arial"/>
                <w:color w:val="auto"/>
                <w:sz w:val="21"/>
                <w:highlight w:val="none"/>
              </w:rPr>
            </w:pPr>
          </w:p>
        </w:tc>
        <w:tc>
          <w:tcPr>
            <w:tcW w:w="1381" w:type="dxa"/>
            <w:vAlign w:val="top"/>
          </w:tcPr>
          <w:p w14:paraId="7F89D257">
            <w:pPr>
              <w:rPr>
                <w:rFonts w:ascii="Arial"/>
                <w:color w:val="auto"/>
                <w:sz w:val="21"/>
                <w:highlight w:val="none"/>
              </w:rPr>
            </w:pPr>
          </w:p>
        </w:tc>
        <w:tc>
          <w:tcPr>
            <w:tcW w:w="1394" w:type="dxa"/>
            <w:vAlign w:val="top"/>
          </w:tcPr>
          <w:p w14:paraId="745AAEDD">
            <w:pPr>
              <w:rPr>
                <w:rFonts w:ascii="Arial"/>
                <w:color w:val="auto"/>
                <w:sz w:val="21"/>
                <w:highlight w:val="none"/>
              </w:rPr>
            </w:pPr>
          </w:p>
        </w:tc>
        <w:tc>
          <w:tcPr>
            <w:tcW w:w="2061" w:type="dxa"/>
            <w:vAlign w:val="top"/>
          </w:tcPr>
          <w:p w14:paraId="6F44E6F2">
            <w:pPr>
              <w:rPr>
                <w:rFonts w:ascii="Arial"/>
                <w:color w:val="auto"/>
                <w:sz w:val="21"/>
                <w:highlight w:val="none"/>
              </w:rPr>
            </w:pPr>
          </w:p>
        </w:tc>
        <w:tc>
          <w:tcPr>
            <w:tcW w:w="1042" w:type="dxa"/>
            <w:vAlign w:val="top"/>
          </w:tcPr>
          <w:p w14:paraId="1655AECB">
            <w:pPr>
              <w:rPr>
                <w:rFonts w:ascii="Arial"/>
                <w:color w:val="auto"/>
                <w:sz w:val="21"/>
                <w:highlight w:val="none"/>
              </w:rPr>
            </w:pPr>
          </w:p>
        </w:tc>
      </w:tr>
      <w:tr w14:paraId="24F73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716C9CB9">
            <w:pPr>
              <w:pStyle w:val="17"/>
              <w:spacing w:before="165" w:line="212"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1EDF104D">
            <w:pPr>
              <w:rPr>
                <w:rFonts w:ascii="Arial"/>
                <w:color w:val="auto"/>
                <w:sz w:val="21"/>
                <w:highlight w:val="none"/>
              </w:rPr>
            </w:pPr>
          </w:p>
        </w:tc>
        <w:tc>
          <w:tcPr>
            <w:tcW w:w="1381" w:type="dxa"/>
            <w:vAlign w:val="top"/>
          </w:tcPr>
          <w:p w14:paraId="26FF68E5">
            <w:pPr>
              <w:rPr>
                <w:rFonts w:ascii="Arial"/>
                <w:color w:val="auto"/>
                <w:sz w:val="21"/>
                <w:highlight w:val="none"/>
              </w:rPr>
            </w:pPr>
          </w:p>
        </w:tc>
        <w:tc>
          <w:tcPr>
            <w:tcW w:w="1394" w:type="dxa"/>
            <w:vAlign w:val="top"/>
          </w:tcPr>
          <w:p w14:paraId="036DC96A">
            <w:pPr>
              <w:rPr>
                <w:rFonts w:ascii="Arial"/>
                <w:color w:val="auto"/>
                <w:sz w:val="21"/>
                <w:highlight w:val="none"/>
              </w:rPr>
            </w:pPr>
          </w:p>
        </w:tc>
        <w:tc>
          <w:tcPr>
            <w:tcW w:w="2061" w:type="dxa"/>
            <w:vAlign w:val="top"/>
          </w:tcPr>
          <w:p w14:paraId="1ED10E32">
            <w:pPr>
              <w:rPr>
                <w:rFonts w:ascii="Arial"/>
                <w:color w:val="auto"/>
                <w:sz w:val="21"/>
                <w:highlight w:val="none"/>
              </w:rPr>
            </w:pPr>
          </w:p>
        </w:tc>
        <w:tc>
          <w:tcPr>
            <w:tcW w:w="1042" w:type="dxa"/>
            <w:vAlign w:val="top"/>
          </w:tcPr>
          <w:p w14:paraId="10DAB971">
            <w:pPr>
              <w:rPr>
                <w:rFonts w:ascii="Arial"/>
                <w:color w:val="auto"/>
                <w:sz w:val="21"/>
                <w:highlight w:val="none"/>
              </w:rPr>
            </w:pPr>
          </w:p>
        </w:tc>
      </w:tr>
      <w:tr w14:paraId="66887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58FA4546">
            <w:pPr>
              <w:pStyle w:val="17"/>
              <w:spacing w:before="163" w:line="214"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2072F1E4">
            <w:pPr>
              <w:rPr>
                <w:rFonts w:ascii="Arial"/>
                <w:color w:val="auto"/>
                <w:sz w:val="21"/>
                <w:highlight w:val="none"/>
              </w:rPr>
            </w:pPr>
          </w:p>
        </w:tc>
        <w:tc>
          <w:tcPr>
            <w:tcW w:w="1381" w:type="dxa"/>
            <w:vAlign w:val="top"/>
          </w:tcPr>
          <w:p w14:paraId="5477B440">
            <w:pPr>
              <w:rPr>
                <w:rFonts w:ascii="Arial"/>
                <w:color w:val="auto"/>
                <w:sz w:val="21"/>
                <w:highlight w:val="none"/>
              </w:rPr>
            </w:pPr>
          </w:p>
        </w:tc>
        <w:tc>
          <w:tcPr>
            <w:tcW w:w="1394" w:type="dxa"/>
            <w:vAlign w:val="top"/>
          </w:tcPr>
          <w:p w14:paraId="17C2F0EC">
            <w:pPr>
              <w:rPr>
                <w:rFonts w:ascii="Arial"/>
                <w:color w:val="auto"/>
                <w:sz w:val="21"/>
                <w:highlight w:val="none"/>
              </w:rPr>
            </w:pPr>
          </w:p>
        </w:tc>
        <w:tc>
          <w:tcPr>
            <w:tcW w:w="2061" w:type="dxa"/>
            <w:vAlign w:val="top"/>
          </w:tcPr>
          <w:p w14:paraId="54F6FA49">
            <w:pPr>
              <w:rPr>
                <w:rFonts w:ascii="Arial"/>
                <w:color w:val="auto"/>
                <w:sz w:val="21"/>
                <w:highlight w:val="none"/>
              </w:rPr>
            </w:pPr>
          </w:p>
        </w:tc>
        <w:tc>
          <w:tcPr>
            <w:tcW w:w="1042" w:type="dxa"/>
            <w:vAlign w:val="top"/>
          </w:tcPr>
          <w:p w14:paraId="3D928D86">
            <w:pPr>
              <w:rPr>
                <w:rFonts w:ascii="Arial"/>
                <w:color w:val="auto"/>
                <w:sz w:val="21"/>
                <w:highlight w:val="none"/>
              </w:rPr>
            </w:pPr>
          </w:p>
        </w:tc>
      </w:tr>
      <w:tr w14:paraId="2EE14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673B4857">
            <w:pPr>
              <w:pStyle w:val="17"/>
              <w:spacing w:before="163" w:line="214"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45206B6D">
            <w:pPr>
              <w:rPr>
                <w:rFonts w:ascii="Arial"/>
                <w:color w:val="auto"/>
                <w:sz w:val="21"/>
                <w:highlight w:val="none"/>
              </w:rPr>
            </w:pPr>
          </w:p>
        </w:tc>
        <w:tc>
          <w:tcPr>
            <w:tcW w:w="1381" w:type="dxa"/>
            <w:vAlign w:val="top"/>
          </w:tcPr>
          <w:p w14:paraId="7F041C45">
            <w:pPr>
              <w:rPr>
                <w:rFonts w:ascii="Arial"/>
                <w:color w:val="auto"/>
                <w:sz w:val="21"/>
                <w:highlight w:val="none"/>
              </w:rPr>
            </w:pPr>
          </w:p>
        </w:tc>
        <w:tc>
          <w:tcPr>
            <w:tcW w:w="1394" w:type="dxa"/>
            <w:vAlign w:val="top"/>
          </w:tcPr>
          <w:p w14:paraId="1AA2E386">
            <w:pPr>
              <w:rPr>
                <w:rFonts w:ascii="Arial"/>
                <w:color w:val="auto"/>
                <w:sz w:val="21"/>
                <w:highlight w:val="none"/>
              </w:rPr>
            </w:pPr>
          </w:p>
        </w:tc>
        <w:tc>
          <w:tcPr>
            <w:tcW w:w="2061" w:type="dxa"/>
            <w:vAlign w:val="top"/>
          </w:tcPr>
          <w:p w14:paraId="7E297969">
            <w:pPr>
              <w:rPr>
                <w:rFonts w:ascii="Arial"/>
                <w:color w:val="auto"/>
                <w:sz w:val="21"/>
                <w:highlight w:val="none"/>
              </w:rPr>
            </w:pPr>
          </w:p>
        </w:tc>
        <w:tc>
          <w:tcPr>
            <w:tcW w:w="1042" w:type="dxa"/>
            <w:vAlign w:val="top"/>
          </w:tcPr>
          <w:p w14:paraId="4CB392DA">
            <w:pPr>
              <w:rPr>
                <w:rFonts w:ascii="Arial"/>
                <w:color w:val="auto"/>
                <w:sz w:val="21"/>
                <w:highlight w:val="none"/>
              </w:rPr>
            </w:pPr>
          </w:p>
        </w:tc>
      </w:tr>
      <w:tr w14:paraId="3129F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16" w:type="dxa"/>
            <w:vAlign w:val="top"/>
          </w:tcPr>
          <w:p w14:paraId="06D2DE55">
            <w:pPr>
              <w:pStyle w:val="17"/>
              <w:spacing w:before="164" w:line="213" w:lineRule="auto"/>
              <w:ind w:left="490"/>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2"/>
                <w:highlight w:val="none"/>
              </w:rPr>
              <w:t xml:space="preserve">  </w:t>
            </w:r>
            <w:r>
              <w:rPr>
                <w:color w:val="auto"/>
                <w:spacing w:val="1"/>
                <w:highlight w:val="none"/>
              </w:rPr>
              <w:t>月</w:t>
            </w:r>
          </w:p>
        </w:tc>
        <w:tc>
          <w:tcPr>
            <w:tcW w:w="1396" w:type="dxa"/>
            <w:vAlign w:val="top"/>
          </w:tcPr>
          <w:p w14:paraId="3BD9E532">
            <w:pPr>
              <w:rPr>
                <w:rFonts w:ascii="Arial"/>
                <w:color w:val="auto"/>
                <w:sz w:val="21"/>
                <w:highlight w:val="none"/>
              </w:rPr>
            </w:pPr>
          </w:p>
        </w:tc>
        <w:tc>
          <w:tcPr>
            <w:tcW w:w="1381" w:type="dxa"/>
            <w:vAlign w:val="top"/>
          </w:tcPr>
          <w:p w14:paraId="10FE40AC">
            <w:pPr>
              <w:rPr>
                <w:rFonts w:ascii="Arial"/>
                <w:color w:val="auto"/>
                <w:sz w:val="21"/>
                <w:highlight w:val="none"/>
              </w:rPr>
            </w:pPr>
          </w:p>
        </w:tc>
        <w:tc>
          <w:tcPr>
            <w:tcW w:w="1394" w:type="dxa"/>
            <w:vAlign w:val="top"/>
          </w:tcPr>
          <w:p w14:paraId="49226A7A">
            <w:pPr>
              <w:rPr>
                <w:rFonts w:ascii="Arial"/>
                <w:color w:val="auto"/>
                <w:sz w:val="21"/>
                <w:highlight w:val="none"/>
              </w:rPr>
            </w:pPr>
          </w:p>
        </w:tc>
        <w:tc>
          <w:tcPr>
            <w:tcW w:w="2061" w:type="dxa"/>
            <w:vAlign w:val="top"/>
          </w:tcPr>
          <w:p w14:paraId="18469036">
            <w:pPr>
              <w:rPr>
                <w:rFonts w:ascii="Arial"/>
                <w:color w:val="auto"/>
                <w:sz w:val="21"/>
                <w:highlight w:val="none"/>
              </w:rPr>
            </w:pPr>
          </w:p>
        </w:tc>
        <w:tc>
          <w:tcPr>
            <w:tcW w:w="1042" w:type="dxa"/>
            <w:vAlign w:val="top"/>
          </w:tcPr>
          <w:p w14:paraId="06F736A7">
            <w:pPr>
              <w:rPr>
                <w:rFonts w:ascii="Arial"/>
                <w:color w:val="auto"/>
                <w:sz w:val="21"/>
                <w:highlight w:val="none"/>
              </w:rPr>
            </w:pPr>
          </w:p>
        </w:tc>
      </w:tr>
      <w:tr w14:paraId="60A74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016" w:type="dxa"/>
            <w:vAlign w:val="top"/>
          </w:tcPr>
          <w:p w14:paraId="07C0D88F">
            <w:pPr>
              <w:pStyle w:val="17"/>
              <w:spacing w:before="165" w:line="216" w:lineRule="auto"/>
              <w:ind w:left="489"/>
              <w:rPr>
                <w:color w:val="auto"/>
                <w:highlight w:val="none"/>
              </w:rPr>
            </w:pPr>
            <w:r>
              <w:rPr>
                <w:color w:val="auto"/>
                <w:spacing w:val="8"/>
                <w:highlight w:val="none"/>
              </w:rPr>
              <w:t>缺陷责任期</w:t>
            </w:r>
          </w:p>
        </w:tc>
        <w:tc>
          <w:tcPr>
            <w:tcW w:w="1396" w:type="dxa"/>
            <w:vAlign w:val="top"/>
          </w:tcPr>
          <w:p w14:paraId="5525D6BB">
            <w:pPr>
              <w:rPr>
                <w:rFonts w:ascii="Arial"/>
                <w:color w:val="auto"/>
                <w:sz w:val="21"/>
                <w:highlight w:val="none"/>
              </w:rPr>
            </w:pPr>
          </w:p>
        </w:tc>
        <w:tc>
          <w:tcPr>
            <w:tcW w:w="1381" w:type="dxa"/>
            <w:vAlign w:val="top"/>
          </w:tcPr>
          <w:p w14:paraId="47ECB7D8">
            <w:pPr>
              <w:rPr>
                <w:rFonts w:ascii="Arial"/>
                <w:color w:val="auto"/>
                <w:sz w:val="21"/>
                <w:highlight w:val="none"/>
              </w:rPr>
            </w:pPr>
          </w:p>
        </w:tc>
        <w:tc>
          <w:tcPr>
            <w:tcW w:w="1394" w:type="dxa"/>
            <w:vAlign w:val="top"/>
          </w:tcPr>
          <w:p w14:paraId="01BB04B8">
            <w:pPr>
              <w:rPr>
                <w:rFonts w:ascii="Arial"/>
                <w:color w:val="auto"/>
                <w:sz w:val="21"/>
                <w:highlight w:val="none"/>
              </w:rPr>
            </w:pPr>
          </w:p>
        </w:tc>
        <w:tc>
          <w:tcPr>
            <w:tcW w:w="2061" w:type="dxa"/>
            <w:vAlign w:val="top"/>
          </w:tcPr>
          <w:p w14:paraId="33C8B721">
            <w:pPr>
              <w:rPr>
                <w:rFonts w:ascii="Arial"/>
                <w:color w:val="auto"/>
                <w:sz w:val="21"/>
                <w:highlight w:val="none"/>
              </w:rPr>
            </w:pPr>
          </w:p>
        </w:tc>
        <w:tc>
          <w:tcPr>
            <w:tcW w:w="1042" w:type="dxa"/>
            <w:vAlign w:val="top"/>
          </w:tcPr>
          <w:p w14:paraId="3A32D32F">
            <w:pPr>
              <w:rPr>
                <w:rFonts w:ascii="Arial"/>
                <w:color w:val="auto"/>
                <w:sz w:val="21"/>
                <w:highlight w:val="none"/>
              </w:rPr>
            </w:pPr>
          </w:p>
        </w:tc>
      </w:tr>
    </w:tbl>
    <w:p w14:paraId="580A1856">
      <w:pPr>
        <w:rPr>
          <w:rFonts w:ascii="Arial"/>
          <w:color w:val="auto"/>
          <w:sz w:val="21"/>
          <w:highlight w:val="none"/>
        </w:rPr>
      </w:pPr>
    </w:p>
    <w:bookmarkEnd w:id="363"/>
    <w:sectPr>
      <w:footerReference r:id="rId123" w:type="default"/>
      <w:pgSz w:w="11906" w:h="16839"/>
      <w:pgMar w:top="1402" w:right="1306" w:bottom="1297" w:left="1304" w:header="0" w:footer="106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ExtB">
    <w:panose1 w:val="02020500000000000000"/>
    <w:charset w:val="86"/>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3CA49">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605F2">
    <w:pPr>
      <w:spacing w:line="225" w:lineRule="auto"/>
      <w:ind w:left="4578"/>
      <w:rPr>
        <w:rFonts w:ascii="MingLiU-ExtB" w:hAnsi="MingLiU-ExtB" w:eastAsia="MingLiU-ExtB" w:cs="MingLiU-ExtB"/>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BECC4">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44BECC4">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7A01">
    <w:pPr>
      <w:spacing w:line="225" w:lineRule="auto"/>
      <w:ind w:left="4521"/>
      <w:rPr>
        <w:rFonts w:ascii="MingLiU-ExtB" w:hAnsi="MingLiU-ExtB" w:eastAsia="MingLiU-ExtB" w:cs="MingLiU-ExtB"/>
        <w:sz w:val="18"/>
        <w:szCs w:val="18"/>
      </w:rPr>
    </w:pPr>
    <w:r>
      <w:rPr>
        <w:sz w:val="18"/>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B19F1">
                          <w:pPr>
                            <w:pStyle w:val="7"/>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63AB19F1">
                    <w:pPr>
                      <w:pStyle w:val="7"/>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B6E84">
    <w:pPr>
      <w:spacing w:line="227" w:lineRule="auto"/>
      <w:ind w:left="4533"/>
      <w:rPr>
        <w:rFonts w:ascii="MingLiU-ExtB" w:hAnsi="MingLiU-ExtB" w:eastAsia="MingLiU-ExtB" w:cs="MingLiU-ExtB"/>
        <w:sz w:val="18"/>
        <w:szCs w:val="18"/>
      </w:rPr>
    </w:pPr>
    <w:r>
      <w:rPr>
        <w:sz w:val="18"/>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49B24">
                          <w:pPr>
                            <w:pStyle w:val="7"/>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53A49B24">
                    <w:pPr>
                      <w:pStyle w:val="7"/>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D026">
    <w:pPr>
      <w:spacing w:line="225" w:lineRule="auto"/>
      <w:ind w:left="4420"/>
      <w:rPr>
        <w:rFonts w:ascii="MingLiU-ExtB" w:hAnsi="MingLiU-ExtB" w:eastAsia="MingLiU-ExtB" w:cs="MingLiU-ExtB"/>
        <w:sz w:val="18"/>
        <w:szCs w:val="18"/>
      </w:rPr>
    </w:pPr>
    <w:r>
      <w:rPr>
        <w:sz w:val="18"/>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D39F4">
                          <w:pPr>
                            <w:pStyle w:val="7"/>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732D39F4">
                    <w:pPr>
                      <w:pStyle w:val="7"/>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EB6B8">
    <w:pPr>
      <w:spacing w:line="225" w:lineRule="auto"/>
      <w:ind w:left="4360"/>
      <w:rPr>
        <w:rFonts w:ascii="MingLiU-ExtB" w:hAnsi="MingLiU-ExtB" w:eastAsia="MingLiU-ExtB" w:cs="MingLiU-ExtB"/>
        <w:sz w:val="18"/>
        <w:szCs w:val="18"/>
      </w:rPr>
    </w:pPr>
    <w:r>
      <w:rPr>
        <w:sz w:val="18"/>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7B4D6">
                          <w:pPr>
                            <w:pStyle w:val="7"/>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4B77B4D6">
                    <w:pPr>
                      <w:pStyle w:val="7"/>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42A9D">
    <w:pPr>
      <w:spacing w:line="226" w:lineRule="auto"/>
      <w:ind w:left="4414"/>
      <w:rPr>
        <w:rFonts w:ascii="MingLiU-ExtB" w:hAnsi="MingLiU-ExtB" w:eastAsia="MingLiU-ExtB" w:cs="MingLiU-ExtB"/>
        <w:sz w:val="18"/>
        <w:szCs w:val="18"/>
      </w:rPr>
    </w:pPr>
    <w:r>
      <w:rPr>
        <w:sz w:val="18"/>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43F76">
                          <w:pPr>
                            <w:pStyle w:val="7"/>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35843F76">
                    <w:pPr>
                      <w:pStyle w:val="7"/>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D41FA">
    <w:pPr>
      <w:spacing w:line="225"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549C0">
                          <w:pPr>
                            <w:pStyle w:val="7"/>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295549C0">
                    <w:pPr>
                      <w:pStyle w:val="7"/>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04DD4">
    <w:pPr>
      <w:spacing w:line="223"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46807">
                          <w:pPr>
                            <w:pStyle w:val="7"/>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53D46807">
                    <w:pPr>
                      <w:pStyle w:val="7"/>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D2E6">
    <w:pPr>
      <w:spacing w:line="225" w:lineRule="auto"/>
      <w:ind w:left="4420"/>
      <w:rPr>
        <w:rFonts w:ascii="MingLiU-ExtB" w:hAnsi="MingLiU-ExtB" w:eastAsia="MingLiU-ExtB" w:cs="MingLiU-ExtB"/>
        <w:sz w:val="18"/>
        <w:szCs w:val="18"/>
      </w:rPr>
    </w:pPr>
    <w:r>
      <w:rPr>
        <w:sz w:val="18"/>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82191">
                          <w:pPr>
                            <w:pStyle w:val="7"/>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63B82191">
                    <w:pPr>
                      <w:pStyle w:val="7"/>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0C29D">
    <w:pPr>
      <w:spacing w:line="225" w:lineRule="auto"/>
      <w:ind w:left="4414"/>
      <w:rPr>
        <w:rFonts w:ascii="MingLiU-ExtB" w:hAnsi="MingLiU-ExtB" w:eastAsia="MingLiU-ExtB" w:cs="MingLiU-ExtB"/>
        <w:sz w:val="18"/>
        <w:szCs w:val="18"/>
      </w:rPr>
    </w:pPr>
    <w:r>
      <w:rPr>
        <w:sz w:val="18"/>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4FA88">
                          <w:pPr>
                            <w:pStyle w:val="7"/>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6794FA88">
                    <w:pPr>
                      <w:pStyle w:val="7"/>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81C2">
    <w:pPr>
      <w:spacing w:line="225"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BE04B">
                          <w:pPr>
                            <w:pStyle w:val="7"/>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6FEBE04B">
                    <w:pPr>
                      <w:pStyle w:val="7"/>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ED25">
    <w:pPr>
      <w:spacing w:line="223" w:lineRule="auto"/>
      <w:ind w:left="4578"/>
      <w:rPr>
        <w:rFonts w:ascii="MingLiU-ExtB" w:hAnsi="MingLiU-ExtB" w:eastAsia="MingLiU-ExtB" w:cs="MingLiU-ExtB"/>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32557">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E032557">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C637D">
    <w:pPr>
      <w:spacing w:line="225" w:lineRule="auto"/>
      <w:ind w:left="6997"/>
      <w:rPr>
        <w:rFonts w:ascii="MingLiU-ExtB" w:hAnsi="MingLiU-ExtB" w:eastAsia="MingLiU-ExtB" w:cs="MingLiU-ExtB"/>
        <w:sz w:val="18"/>
        <w:szCs w:val="18"/>
      </w:rPr>
    </w:pPr>
    <w:r>
      <w:rPr>
        <w:sz w:val="18"/>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C7BB8">
                          <w:pPr>
                            <w:pStyle w:val="7"/>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141C7BB8">
                    <w:pPr>
                      <w:pStyle w:val="7"/>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C6315">
    <w:pPr>
      <w:spacing w:line="225" w:lineRule="auto"/>
      <w:ind w:left="7000"/>
      <w:rPr>
        <w:rFonts w:ascii="MingLiU-ExtB" w:hAnsi="MingLiU-ExtB" w:eastAsia="MingLiU-ExtB" w:cs="MingLiU-ExtB"/>
        <w:sz w:val="18"/>
        <w:szCs w:val="18"/>
      </w:rPr>
    </w:pPr>
    <w:r>
      <w:rPr>
        <w:sz w:val="18"/>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A8E91">
                          <w:pPr>
                            <w:pStyle w:val="7"/>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586A8E91">
                    <w:pPr>
                      <w:pStyle w:val="7"/>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8EED5">
    <w:pPr>
      <w:spacing w:line="225" w:lineRule="auto"/>
      <w:ind w:left="7004"/>
      <w:rPr>
        <w:rFonts w:ascii="MingLiU-ExtB" w:hAnsi="MingLiU-ExtB" w:eastAsia="MingLiU-ExtB" w:cs="MingLiU-ExtB"/>
        <w:sz w:val="18"/>
        <w:szCs w:val="18"/>
      </w:rPr>
    </w:pPr>
    <w:r>
      <w:rPr>
        <w:sz w:val="18"/>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DB85D">
                          <w:pPr>
                            <w:pStyle w:val="7"/>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7A9DB85D">
                    <w:pPr>
                      <w:pStyle w:val="7"/>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CAC5E">
    <w:pPr>
      <w:spacing w:line="225" w:lineRule="auto"/>
      <w:ind w:left="7004"/>
      <w:rPr>
        <w:rFonts w:ascii="MingLiU-ExtB" w:hAnsi="MingLiU-ExtB" w:eastAsia="MingLiU-ExtB" w:cs="MingLiU-ExtB"/>
        <w:sz w:val="18"/>
        <w:szCs w:val="18"/>
      </w:rPr>
    </w:pPr>
    <w:r>
      <w:rPr>
        <w:sz w:val="18"/>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DAF60">
                          <w:pPr>
                            <w:pStyle w:val="7"/>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0E8DAF60">
                    <w:pPr>
                      <w:pStyle w:val="7"/>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FDB42">
    <w:pPr>
      <w:spacing w:line="225" w:lineRule="auto"/>
      <w:ind w:left="7004"/>
      <w:rPr>
        <w:rFonts w:ascii="MingLiU-ExtB" w:hAnsi="MingLiU-ExtB" w:eastAsia="MingLiU-ExtB" w:cs="MingLiU-ExtB"/>
        <w:sz w:val="18"/>
        <w:szCs w:val="18"/>
      </w:rPr>
    </w:pPr>
    <w:r>
      <w:rPr>
        <w:sz w:val="18"/>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76CBF">
                          <w:pPr>
                            <w:pStyle w:val="7"/>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08576CBF">
                    <w:pPr>
                      <w:pStyle w:val="7"/>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7E14">
    <w:pPr>
      <w:spacing w:line="225" w:lineRule="auto"/>
      <w:ind w:left="7004"/>
      <w:rPr>
        <w:rFonts w:ascii="MingLiU-ExtB" w:hAnsi="MingLiU-ExtB" w:eastAsia="MingLiU-ExtB" w:cs="MingLiU-ExtB"/>
        <w:sz w:val="18"/>
        <w:szCs w:val="18"/>
      </w:rPr>
    </w:pPr>
    <w:r>
      <w:rPr>
        <w:sz w:val="18"/>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96F4F">
                          <w:pPr>
                            <w:pStyle w:val="7"/>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58896F4F">
                    <w:pPr>
                      <w:pStyle w:val="7"/>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EDEB4">
    <w:pPr>
      <w:spacing w:line="223" w:lineRule="auto"/>
      <w:ind w:left="6997"/>
      <w:rPr>
        <w:rFonts w:ascii="MingLiU-ExtB" w:hAnsi="MingLiU-ExtB" w:eastAsia="MingLiU-ExtB" w:cs="MingLiU-ExtB"/>
        <w:sz w:val="18"/>
        <w:szCs w:val="18"/>
      </w:rPr>
    </w:pPr>
    <w:r>
      <w:rPr>
        <w:sz w:val="18"/>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3F1B0">
                          <w:pPr>
                            <w:pStyle w:val="7"/>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6513F1B0">
                    <w:pPr>
                      <w:pStyle w:val="7"/>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5F299">
    <w:pPr>
      <w:spacing w:line="225" w:lineRule="auto"/>
      <w:ind w:left="4533"/>
      <w:rPr>
        <w:rFonts w:ascii="MingLiU-ExtB" w:hAnsi="MingLiU-ExtB" w:eastAsia="MingLiU-ExtB" w:cs="MingLiU-ExtB"/>
        <w:sz w:val="18"/>
        <w:szCs w:val="18"/>
      </w:rPr>
    </w:pPr>
    <w:r>
      <w:rPr>
        <w:sz w:val="18"/>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5E5C6">
                          <w:pPr>
                            <w:pStyle w:val="7"/>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0BF5E5C6">
                    <w:pPr>
                      <w:pStyle w:val="7"/>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E372">
    <w:pPr>
      <w:spacing w:line="225" w:lineRule="auto"/>
      <w:ind w:left="4530"/>
      <w:rPr>
        <w:rFonts w:ascii="MingLiU-ExtB" w:hAnsi="MingLiU-ExtB" w:eastAsia="MingLiU-ExtB" w:cs="MingLiU-ExtB"/>
        <w:sz w:val="18"/>
        <w:szCs w:val="18"/>
      </w:rPr>
    </w:pPr>
    <w:r>
      <w:rPr>
        <w:sz w:val="18"/>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0EE71">
                          <w:pPr>
                            <w:pStyle w:val="7"/>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34E0EE71">
                    <w:pPr>
                      <w:pStyle w:val="7"/>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B0AAE">
    <w:pPr>
      <w:spacing w:line="225" w:lineRule="auto"/>
      <w:ind w:left="4533"/>
      <w:rPr>
        <w:rFonts w:ascii="MingLiU-ExtB" w:hAnsi="MingLiU-ExtB" w:eastAsia="MingLiU-ExtB" w:cs="MingLiU-ExtB"/>
        <w:sz w:val="18"/>
        <w:szCs w:val="18"/>
      </w:rPr>
    </w:pPr>
    <w:r>
      <w:rPr>
        <w:sz w:val="18"/>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7B4DF">
                          <w:pPr>
                            <w:pStyle w:val="7"/>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2E37B4DF">
                    <w:pPr>
                      <w:pStyle w:val="7"/>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E00F">
    <w:pPr>
      <w:spacing w:line="227"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3F5BE">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3F3F5BE">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CD2F">
    <w:pPr>
      <w:spacing w:line="225"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22706">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CA22706">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B051D">
    <w:pPr>
      <w:spacing w:line="227"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07901">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3B07901">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552D">
    <w:pPr>
      <w:spacing w:line="225"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065E6">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3F065E6">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487A2">
    <w:pPr>
      <w:spacing w:line="225"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1DBB5">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1F1DBB5">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7BE3E">
    <w:pPr>
      <w:spacing w:line="226"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AC2A0">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44AC2A0">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77CDA">
    <w:pPr>
      <w:spacing w:line="225" w:lineRule="auto"/>
      <w:ind w:left="4566"/>
      <w:rPr>
        <w:rFonts w:ascii="MingLiU-ExtB" w:hAnsi="MingLiU-ExtB" w:eastAsia="MingLiU-ExtB" w:cs="MingLiU-ExtB"/>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DBE83">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9BDBE83">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3215E">
    <w:pPr>
      <w:spacing w:line="223" w:lineRule="auto"/>
      <w:ind w:left="4565"/>
      <w:rPr>
        <w:rFonts w:ascii="MingLiU-ExtB" w:hAnsi="MingLiU-ExtB" w:eastAsia="MingLiU-ExtB" w:cs="MingLiU-ExtB"/>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01F3F">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2901F3F">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1BB7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150C4">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D150C4">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5EA2A">
    <w:pPr>
      <w:spacing w:line="225" w:lineRule="auto"/>
      <w:ind w:left="4568"/>
      <w:rPr>
        <w:rFonts w:ascii="MingLiU-ExtB" w:hAnsi="MingLiU-ExtB" w:eastAsia="MingLiU-ExtB" w:cs="MingLiU-ExtB"/>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8CF93">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558CF93">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D9D7">
    <w:pPr>
      <w:spacing w:line="225" w:lineRule="auto"/>
      <w:ind w:left="4570"/>
      <w:rPr>
        <w:rFonts w:ascii="MingLiU-ExtB" w:hAnsi="MingLiU-ExtB" w:eastAsia="MingLiU-ExtB" w:cs="MingLiU-ExtB"/>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95752">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8995752">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ED04C">
    <w:pPr>
      <w:spacing w:line="225" w:lineRule="auto"/>
      <w:ind w:left="4568"/>
      <w:rPr>
        <w:rFonts w:ascii="MingLiU-ExtB" w:hAnsi="MingLiU-ExtB" w:eastAsia="MingLiU-ExtB" w:cs="MingLiU-ExtB"/>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51C9C">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DE51C9C">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198CB">
    <w:pPr>
      <w:spacing w:line="225" w:lineRule="auto"/>
      <w:ind w:left="4457"/>
      <w:rPr>
        <w:rFonts w:ascii="MingLiU-ExtB" w:hAnsi="MingLiU-ExtB" w:eastAsia="MingLiU-ExtB" w:cs="MingLiU-ExtB"/>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E6C08">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39E6C08">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8205">
    <w:pPr>
      <w:spacing w:line="225" w:lineRule="auto"/>
      <w:ind w:left="4713"/>
      <w:rPr>
        <w:rFonts w:ascii="MingLiU-ExtB" w:hAnsi="MingLiU-ExtB" w:eastAsia="MingLiU-ExtB" w:cs="MingLiU-ExtB"/>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A6D2A">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DEA6D2A">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A6DC">
    <w:pPr>
      <w:spacing w:line="225" w:lineRule="auto"/>
      <w:ind w:left="4713"/>
      <w:rPr>
        <w:rFonts w:ascii="MingLiU-ExtB" w:hAnsi="MingLiU-ExtB" w:eastAsia="MingLiU-ExtB" w:cs="MingLiU-ExtB"/>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FD8A">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B13FD8A">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A20F">
    <w:pPr>
      <w:spacing w:line="225" w:lineRule="auto"/>
      <w:ind w:left="4449"/>
      <w:rPr>
        <w:rFonts w:ascii="MingLiU-ExtB" w:hAnsi="MingLiU-ExtB" w:eastAsia="MingLiU-ExtB" w:cs="MingLiU-ExtB"/>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3D31F">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583D31F">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A573">
    <w:pPr>
      <w:spacing w:line="225" w:lineRule="auto"/>
      <w:ind w:left="4450"/>
      <w:rPr>
        <w:rFonts w:ascii="MingLiU-ExtB" w:hAnsi="MingLiU-ExtB" w:eastAsia="MingLiU-ExtB" w:cs="MingLiU-ExtB"/>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79AFB">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9279AFB">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E6738">
    <w:pPr>
      <w:spacing w:line="225" w:lineRule="auto"/>
      <w:ind w:left="4457"/>
      <w:rPr>
        <w:rFonts w:ascii="MingLiU-ExtB" w:hAnsi="MingLiU-ExtB" w:eastAsia="MingLiU-ExtB" w:cs="MingLiU-ExtB"/>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9AD52">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DE9AD52">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96982">
    <w:pPr>
      <w:spacing w:line="223" w:lineRule="auto"/>
      <w:ind w:left="4449"/>
      <w:rPr>
        <w:rFonts w:ascii="MingLiU-ExtB" w:hAnsi="MingLiU-ExtB" w:eastAsia="MingLiU-ExtB" w:cs="MingLiU-ExtB"/>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8AB29">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9C8AB29">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A547">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5BD08">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05BD08">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1C47C">
    <w:pPr>
      <w:spacing w:line="225" w:lineRule="auto"/>
      <w:ind w:left="4446"/>
      <w:rPr>
        <w:rFonts w:ascii="MingLiU-ExtB" w:hAnsi="MingLiU-ExtB" w:eastAsia="MingLiU-ExtB" w:cs="MingLiU-ExtB"/>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09C17">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EE09C17">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EA546">
    <w:pPr>
      <w:spacing w:line="227" w:lineRule="auto"/>
      <w:ind w:left="4443"/>
      <w:rPr>
        <w:rFonts w:ascii="MingLiU-ExtB" w:hAnsi="MingLiU-ExtB" w:eastAsia="MingLiU-ExtB" w:cs="MingLiU-ExtB"/>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6BAA2">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F56BAA2">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9B271">
    <w:pPr>
      <w:spacing w:line="227" w:lineRule="auto"/>
      <w:ind w:left="4446"/>
      <w:rPr>
        <w:rFonts w:ascii="MingLiU-ExtB" w:hAnsi="MingLiU-ExtB" w:eastAsia="MingLiU-ExtB" w:cs="MingLiU-ExtB"/>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06D20">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1A06D20">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632F4">
    <w:pPr>
      <w:spacing w:line="225" w:lineRule="auto"/>
      <w:ind w:left="4452"/>
      <w:rPr>
        <w:rFonts w:ascii="MingLiU-ExtB" w:hAnsi="MingLiU-ExtB" w:eastAsia="MingLiU-ExtB" w:cs="MingLiU-ExtB"/>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79657">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4879657">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56DC">
    <w:pPr>
      <w:spacing w:line="227" w:lineRule="auto"/>
      <w:ind w:left="4452"/>
      <w:rPr>
        <w:rFonts w:ascii="MingLiU-ExtB" w:hAnsi="MingLiU-ExtB" w:eastAsia="MingLiU-ExtB" w:cs="MingLiU-ExtB"/>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5A875">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B35A875">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F777C">
    <w:pPr>
      <w:spacing w:line="225" w:lineRule="auto"/>
      <w:ind w:left="4455"/>
      <w:rPr>
        <w:rFonts w:ascii="MingLiU-ExtB" w:hAnsi="MingLiU-ExtB" w:eastAsia="MingLiU-ExtB" w:cs="MingLiU-ExtB"/>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2EEE7">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462EEE7">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EF6C4">
    <w:pPr>
      <w:spacing w:line="225" w:lineRule="auto"/>
      <w:ind w:left="4452"/>
      <w:rPr>
        <w:rFonts w:ascii="MingLiU-ExtB" w:hAnsi="MingLiU-ExtB" w:eastAsia="MingLiU-ExtB" w:cs="MingLiU-ExtB"/>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111BC">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24111BC">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CBCD1">
    <w:pPr>
      <w:spacing w:line="226" w:lineRule="auto"/>
      <w:ind w:left="4452"/>
      <w:rPr>
        <w:rFonts w:ascii="MingLiU-ExtB" w:hAnsi="MingLiU-ExtB" w:eastAsia="MingLiU-ExtB" w:cs="MingLiU-ExtB"/>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4AA4B">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1E4AA4B">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3EF9">
    <w:pPr>
      <w:spacing w:line="225" w:lineRule="auto"/>
      <w:ind w:left="4452"/>
      <w:rPr>
        <w:rFonts w:ascii="MingLiU-ExtB" w:hAnsi="MingLiU-ExtB" w:eastAsia="MingLiU-ExtB" w:cs="MingLiU-ExtB"/>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CD537">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C0CD537">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FD067">
    <w:pPr>
      <w:spacing w:line="225" w:lineRule="auto"/>
      <w:ind w:left="4451"/>
      <w:rPr>
        <w:rFonts w:ascii="MingLiU-ExtB" w:hAnsi="MingLiU-ExtB" w:eastAsia="MingLiU-ExtB" w:cs="MingLiU-ExtB"/>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BB716">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51BB716">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45CBE">
    <w:pPr>
      <w:spacing w:line="227" w:lineRule="auto"/>
      <w:ind w:left="4812"/>
      <w:rPr>
        <w:rFonts w:ascii="MingLiU-ExtB" w:hAnsi="MingLiU-ExtB" w:eastAsia="MingLiU-ExtB" w:cs="MingLiU-ExtB"/>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AB2F4">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4AB2F4">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A2046">
    <w:pPr>
      <w:spacing w:line="225" w:lineRule="auto"/>
      <w:ind w:left="4088"/>
      <w:rPr>
        <w:rFonts w:ascii="MingLiU-ExtB" w:hAnsi="MingLiU-ExtB" w:eastAsia="MingLiU-ExtB" w:cs="MingLiU-ExtB"/>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E8238">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A2E8238">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FE82">
    <w:pPr>
      <w:spacing w:line="223" w:lineRule="auto"/>
      <w:ind w:left="4570"/>
      <w:rPr>
        <w:rFonts w:ascii="MingLiU-ExtB" w:hAnsi="MingLiU-ExtB" w:eastAsia="MingLiU-ExtB" w:cs="MingLiU-ExtB"/>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D350F">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26D350F">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150C9">
    <w:pPr>
      <w:spacing w:line="225"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85AD2">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A585AD2">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80ABF">
    <w:pPr>
      <w:spacing w:line="225"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BF551">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2EBF551">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3C937">
    <w:pPr>
      <w:spacing w:line="225"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DF3A6">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CEDF3A6">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F7D94">
    <w:pPr>
      <w:spacing w:line="225"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EC7D5">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09EC7D5">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2CC7A">
    <w:pPr>
      <w:spacing w:line="225"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A155C">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F6A155C">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375CB">
    <w:pPr>
      <w:spacing w:line="225"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6DDE8">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5C6DDE8">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6828">
    <w:pPr>
      <w:spacing w:line="225"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BCB5A">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25ABCB5A">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8385">
    <w:pPr>
      <w:spacing w:line="225"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3730A">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56F3730A">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56E">
    <w:pPr>
      <w:spacing w:line="225" w:lineRule="auto"/>
      <w:ind w:left="4818"/>
      <w:rPr>
        <w:rFonts w:ascii="MingLiU-ExtB" w:hAnsi="MingLiU-ExtB" w:eastAsia="MingLiU-ExtB" w:cs="MingLiU-ExtB"/>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507B1">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2507B1">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CCB0B">
    <w:pPr>
      <w:spacing w:line="226" w:lineRule="auto"/>
      <w:ind w:left="4455"/>
      <w:rPr>
        <w:rFonts w:ascii="MingLiU-ExtB" w:hAnsi="MingLiU-ExtB" w:eastAsia="MingLiU-ExtB" w:cs="MingLiU-ExtB"/>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A2925">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ECA2925">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02B98">
    <w:pPr>
      <w:spacing w:line="226" w:lineRule="auto"/>
      <w:ind w:left="4447"/>
      <w:rPr>
        <w:rFonts w:ascii="MingLiU-ExtB" w:hAnsi="MingLiU-ExtB" w:eastAsia="MingLiU-ExtB" w:cs="MingLiU-ExtB"/>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8FA42">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F18FA42">
                    <w:pPr>
                      <w:pStyle w:val="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2E1A3">
    <w:pPr>
      <w:spacing w:line="225" w:lineRule="auto"/>
      <w:ind w:left="4458"/>
      <w:rPr>
        <w:rFonts w:ascii="MingLiU-ExtB" w:hAnsi="MingLiU-ExtB" w:eastAsia="MingLiU-ExtB" w:cs="MingLiU-ExtB"/>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D79C6">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FDD79C6">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CF53F">
    <w:pPr>
      <w:spacing w:line="226" w:lineRule="auto"/>
      <w:ind w:left="4458"/>
      <w:rPr>
        <w:rFonts w:ascii="MingLiU-ExtB" w:hAnsi="MingLiU-ExtB" w:eastAsia="MingLiU-ExtB" w:cs="MingLiU-ExtB"/>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4F377">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CB4F377">
                    <w:pPr>
                      <w:pStyle w:val="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F22EE">
    <w:pPr>
      <w:spacing w:line="225" w:lineRule="auto"/>
      <w:ind w:left="4455"/>
      <w:rPr>
        <w:rFonts w:ascii="MingLiU-ExtB" w:hAnsi="MingLiU-ExtB" w:eastAsia="MingLiU-ExtB" w:cs="MingLiU-ExtB"/>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1495F">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B51495F">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5575A">
    <w:pPr>
      <w:spacing w:line="225" w:lineRule="auto"/>
      <w:ind w:left="4447"/>
      <w:rPr>
        <w:rFonts w:ascii="MingLiU-ExtB" w:hAnsi="MingLiU-ExtB" w:eastAsia="MingLiU-ExtB" w:cs="MingLiU-ExtB"/>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6711F">
                          <w:pPr>
                            <w:pStyle w:val="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0C16711F">
                    <w:pPr>
                      <w:pStyle w:val="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9EDA">
    <w:pPr>
      <w:spacing w:line="226" w:lineRule="auto"/>
      <w:ind w:left="4447"/>
      <w:rPr>
        <w:rFonts w:ascii="MingLiU-ExtB" w:hAnsi="MingLiU-ExtB" w:eastAsia="MingLiU-ExtB" w:cs="MingLiU-ExtB"/>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71091">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5BE71091">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0E9B">
    <w:pPr>
      <w:spacing w:line="225" w:lineRule="auto"/>
      <w:ind w:left="4447"/>
      <w:rPr>
        <w:rFonts w:ascii="MingLiU-ExtB" w:hAnsi="MingLiU-ExtB" w:eastAsia="MingLiU-ExtB" w:cs="MingLiU-ExtB"/>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0FB1F">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E60FB1F">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7D573">
    <w:pPr>
      <w:spacing w:line="223" w:lineRule="auto"/>
      <w:ind w:left="4086"/>
      <w:rPr>
        <w:rFonts w:ascii="MingLiU-ExtB" w:hAnsi="MingLiU-ExtB" w:eastAsia="MingLiU-ExtB" w:cs="MingLiU-ExtB"/>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53615">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1B53615">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A4D7">
    <w:pPr>
      <w:spacing w:line="225" w:lineRule="auto"/>
      <w:ind w:left="4444"/>
      <w:rPr>
        <w:rFonts w:ascii="MingLiU-ExtB" w:hAnsi="MingLiU-ExtB" w:eastAsia="MingLiU-ExtB" w:cs="MingLiU-ExtB"/>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4D484">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2B4D484">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D582">
    <w:pPr>
      <w:spacing w:line="225" w:lineRule="auto"/>
      <w:ind w:left="4814"/>
      <w:rPr>
        <w:rFonts w:ascii="MingLiU-ExtB" w:hAnsi="MingLiU-ExtB" w:eastAsia="MingLiU-ExtB" w:cs="MingLiU-ExtB"/>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B10C4">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24B10C4">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D8F18">
    <w:pPr>
      <w:spacing w:line="225" w:lineRule="auto"/>
      <w:ind w:left="4445"/>
      <w:rPr>
        <w:rFonts w:ascii="MingLiU-ExtB" w:hAnsi="MingLiU-ExtB" w:eastAsia="MingLiU-ExtB" w:cs="MingLiU-ExtB"/>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1354A">
                          <w:pPr>
                            <w:pStyle w:val="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1ED1354A">
                    <w:pPr>
                      <w:pStyle w:val="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D662">
    <w:pPr>
      <w:spacing w:line="225" w:lineRule="auto"/>
      <w:ind w:left="4458"/>
      <w:rPr>
        <w:rFonts w:ascii="MingLiU-ExtB" w:hAnsi="MingLiU-ExtB" w:eastAsia="MingLiU-ExtB" w:cs="MingLiU-ExtB"/>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DD284">
                          <w:pPr>
                            <w:pStyle w:val="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4DDD284">
                    <w:pPr>
                      <w:pStyle w:val="7"/>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C53E2">
    <w:pPr>
      <w:spacing w:line="223" w:lineRule="auto"/>
      <w:ind w:left="4454"/>
      <w:rPr>
        <w:rFonts w:hint="default" w:ascii="MingLiU-ExtB" w:hAnsi="MingLiU-ExtB" w:eastAsia="宋体" w:cs="MingLiU-ExtB"/>
        <w:sz w:val="18"/>
        <w:szCs w:val="18"/>
        <w:lang w:val="en-US" w:eastAsia="zh-CN"/>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421CD">
                          <w:pPr>
                            <w:pStyle w:val="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408421CD">
                    <w:pPr>
                      <w:pStyle w:val="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BF651">
    <w:pPr>
      <w:spacing w:line="223" w:lineRule="auto"/>
      <w:ind w:left="4369"/>
      <w:rPr>
        <w:rFonts w:ascii="MingLiU-ExtB" w:hAnsi="MingLiU-ExtB" w:eastAsia="MingLiU-ExtB" w:cs="MingLiU-ExtB"/>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D56EB">
                          <w:pPr>
                            <w:pStyle w:val="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7D1D56EB">
                    <w:pPr>
                      <w:pStyle w:val="7"/>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BBF5">
    <w:pPr>
      <w:spacing w:line="223" w:lineRule="auto"/>
      <w:ind w:left="4369"/>
      <w:rPr>
        <w:rFonts w:ascii="MingLiU-ExtB" w:hAnsi="MingLiU-ExtB" w:eastAsia="MingLiU-ExtB" w:cs="MingLiU-ExtB"/>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D81A6">
                          <w:pPr>
                            <w:pStyle w:val="7"/>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523D81A6">
                    <w:pPr>
                      <w:pStyle w:val="7"/>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06EB">
    <w:pPr>
      <w:spacing w:line="223" w:lineRule="auto"/>
      <w:ind w:left="4369"/>
      <w:rPr>
        <w:rFonts w:ascii="MingLiU-ExtB" w:hAnsi="MingLiU-ExtB" w:eastAsia="MingLiU-ExtB" w:cs="MingLiU-ExtB"/>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63369">
                          <w:pPr>
                            <w:pStyle w:val="7"/>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41763369">
                    <w:pPr>
                      <w:pStyle w:val="7"/>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52DC4">
    <w:pPr>
      <w:spacing w:line="223" w:lineRule="auto"/>
      <w:ind w:left="4567"/>
      <w:rPr>
        <w:rFonts w:ascii="MingLiU-ExtB" w:hAnsi="MingLiU-ExtB" w:eastAsia="MingLiU-ExtB" w:cs="MingLiU-ExtB"/>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6D050">
                          <w:pPr>
                            <w:pStyle w:val="7"/>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3A56D050">
                    <w:pPr>
                      <w:pStyle w:val="7"/>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9535C">
    <w:pPr>
      <w:spacing w:line="223" w:lineRule="auto"/>
      <w:ind w:left="4447"/>
      <w:rPr>
        <w:rFonts w:ascii="MingLiU-ExtB" w:hAnsi="MingLiU-ExtB" w:eastAsia="MingLiU-ExtB" w:cs="MingLiU-ExtB"/>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4050A">
                          <w:pPr>
                            <w:pStyle w:val="7"/>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65E4050A">
                    <w:pPr>
                      <w:pStyle w:val="7"/>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36FF">
    <w:pPr>
      <w:spacing w:line="223" w:lineRule="auto"/>
      <w:ind w:left="4447"/>
      <w:rPr>
        <w:rFonts w:ascii="MingLiU-ExtB" w:hAnsi="MingLiU-ExtB" w:eastAsia="MingLiU-ExtB" w:cs="MingLiU-ExtB"/>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31888">
                          <w:pPr>
                            <w:pStyle w:val="7"/>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19B31888">
                    <w:pPr>
                      <w:pStyle w:val="7"/>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4DF30">
    <w:pPr>
      <w:spacing w:line="225" w:lineRule="auto"/>
      <w:ind w:left="4413"/>
      <w:rPr>
        <w:rFonts w:ascii="MingLiU-ExtB" w:hAnsi="MingLiU-ExtB" w:eastAsia="MingLiU-ExtB" w:cs="MingLiU-ExtB"/>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2DF51">
                          <w:pPr>
                            <w:pStyle w:val="7"/>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5B92DF51">
                    <w:pPr>
                      <w:pStyle w:val="7"/>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178D1">
    <w:pPr>
      <w:spacing w:line="223" w:lineRule="auto"/>
      <w:ind w:left="4612"/>
      <w:rPr>
        <w:rFonts w:ascii="MingLiU-ExtB" w:hAnsi="MingLiU-ExtB" w:eastAsia="MingLiU-ExtB" w:cs="MingLiU-ExtB"/>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3A6EA">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23A6EA">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6B087">
    <w:pPr>
      <w:spacing w:line="225" w:lineRule="auto"/>
      <w:ind w:left="4413"/>
      <w:rPr>
        <w:rFonts w:ascii="MingLiU-ExtB" w:hAnsi="MingLiU-ExtB" w:eastAsia="MingLiU-ExtB" w:cs="MingLiU-ExtB"/>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4205B">
                          <w:pPr>
                            <w:pStyle w:val="7"/>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2CB4205B">
                    <w:pPr>
                      <w:pStyle w:val="7"/>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A77B7">
    <w:pPr>
      <w:spacing w:line="225" w:lineRule="auto"/>
      <w:ind w:left="4413"/>
      <w:rPr>
        <w:rFonts w:ascii="MingLiU-ExtB" w:hAnsi="MingLiU-ExtB" w:eastAsia="MingLiU-ExtB" w:cs="MingLiU-ExtB"/>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53D89">
                          <w:pPr>
                            <w:pStyle w:val="7"/>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3A953D89">
                    <w:pPr>
                      <w:pStyle w:val="7"/>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00ED8">
    <w:pPr>
      <w:spacing w:line="227" w:lineRule="auto"/>
      <w:ind w:left="4414"/>
      <w:rPr>
        <w:rFonts w:ascii="MingLiU-ExtB" w:hAnsi="MingLiU-ExtB" w:eastAsia="MingLiU-ExtB" w:cs="MingLiU-ExtB"/>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FD5A2">
                          <w:pPr>
                            <w:pStyle w:val="7"/>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011FD5A2">
                    <w:pPr>
                      <w:pStyle w:val="7"/>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2E86">
    <w:pPr>
      <w:spacing w:line="227" w:lineRule="auto"/>
      <w:ind w:left="4397"/>
      <w:rPr>
        <w:rFonts w:ascii="MingLiU-ExtB" w:hAnsi="MingLiU-ExtB" w:eastAsia="MingLiU-ExtB" w:cs="MingLiU-ExtB"/>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DF090">
                          <w:pPr>
                            <w:pStyle w:val="7"/>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578DF090">
                    <w:pPr>
                      <w:pStyle w:val="7"/>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96E5C">
    <w:pPr>
      <w:spacing w:line="225" w:lineRule="auto"/>
      <w:ind w:left="4420"/>
      <w:rPr>
        <w:rFonts w:ascii="MingLiU-ExtB" w:hAnsi="MingLiU-ExtB" w:eastAsia="MingLiU-ExtB" w:cs="MingLiU-ExtB"/>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FEC74">
                          <w:pPr>
                            <w:pStyle w:val="7"/>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113FEC74">
                    <w:pPr>
                      <w:pStyle w:val="7"/>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D9FC1">
    <w:pPr>
      <w:spacing w:line="225" w:lineRule="auto"/>
      <w:ind w:left="4532"/>
      <w:rPr>
        <w:rFonts w:ascii="MingLiU-ExtB" w:hAnsi="MingLiU-ExtB" w:eastAsia="MingLiU-ExtB" w:cs="MingLiU-ExtB"/>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23E4E">
                          <w:pPr>
                            <w:pStyle w:val="7"/>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7C123E4E">
                    <w:pPr>
                      <w:pStyle w:val="7"/>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DC7C4">
    <w:pPr>
      <w:spacing w:line="225" w:lineRule="auto"/>
      <w:ind w:left="4397"/>
      <w:rPr>
        <w:rFonts w:ascii="MingLiU-ExtB" w:hAnsi="MingLiU-ExtB" w:eastAsia="MingLiU-ExtB" w:cs="MingLiU-ExtB"/>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5CF1D">
                          <w:pPr>
                            <w:pStyle w:val="7"/>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2345CF1D">
                    <w:pPr>
                      <w:pStyle w:val="7"/>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033B2">
    <w:pPr>
      <w:spacing w:line="226" w:lineRule="auto"/>
      <w:ind w:left="4412"/>
      <w:rPr>
        <w:rFonts w:ascii="MingLiU-ExtB" w:hAnsi="MingLiU-ExtB" w:eastAsia="MingLiU-ExtB" w:cs="MingLiU-ExtB"/>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C2066">
                          <w:pPr>
                            <w:pStyle w:val="7"/>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534C2066">
                    <w:pPr>
                      <w:pStyle w:val="7"/>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B9A6">
    <w:pPr>
      <w:spacing w:line="225" w:lineRule="auto"/>
      <w:ind w:left="4413"/>
      <w:rPr>
        <w:rFonts w:ascii="MingLiU-ExtB" w:hAnsi="MingLiU-ExtB" w:eastAsia="MingLiU-ExtB" w:cs="MingLiU-ExtB"/>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B19AF">
                          <w:pPr>
                            <w:pStyle w:val="7"/>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078B19AF">
                    <w:pPr>
                      <w:pStyle w:val="7"/>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AD15">
    <w:pPr>
      <w:spacing w:line="223"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FFFF2">
                          <w:pPr>
                            <w:pStyle w:val="7"/>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22BFFFF2">
                    <w:pPr>
                      <w:pStyle w:val="7"/>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CD54">
    <w:pPr>
      <w:spacing w:line="225" w:lineRule="auto"/>
      <w:ind w:left="4097"/>
      <w:rPr>
        <w:rFonts w:ascii="MingLiU-ExtB" w:hAnsi="MingLiU-ExtB" w:eastAsia="MingLiU-ExtB" w:cs="MingLiU-ExtB"/>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DBDEE">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19DBDEE">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39B6">
    <w:pPr>
      <w:spacing w:line="225"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AEB02">
                          <w:pPr>
                            <w:pStyle w:val="7"/>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72EAEB02">
                    <w:pPr>
                      <w:pStyle w:val="7"/>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CCFA6">
    <w:pPr>
      <w:spacing w:line="225" w:lineRule="auto"/>
      <w:ind w:left="4413"/>
      <w:rPr>
        <w:rFonts w:ascii="MingLiU-ExtB" w:hAnsi="MingLiU-ExtB" w:eastAsia="MingLiU-ExtB" w:cs="MingLiU-ExtB"/>
        <w:sz w:val="18"/>
        <w:szCs w:val="18"/>
      </w:rPr>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9335F">
                          <w:pPr>
                            <w:pStyle w:val="7"/>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6089335F">
                    <w:pPr>
                      <w:pStyle w:val="7"/>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22C47">
    <w:pPr>
      <w:spacing w:line="227"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805B5">
                          <w:pPr>
                            <w:pStyle w:val="7"/>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363805B5">
                    <w:pPr>
                      <w:pStyle w:val="7"/>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72BDE">
    <w:pPr>
      <w:spacing w:line="225"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09CD5">
                          <w:pPr>
                            <w:pStyle w:val="7"/>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46D09CD5">
                    <w:pPr>
                      <w:pStyle w:val="7"/>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2403E">
    <w:pPr>
      <w:spacing w:line="225" w:lineRule="auto"/>
      <w:ind w:left="4420"/>
      <w:rPr>
        <w:rFonts w:ascii="MingLiU-ExtB" w:hAnsi="MingLiU-ExtB" w:eastAsia="MingLiU-ExtB" w:cs="MingLiU-ExtB"/>
        <w:sz w:val="18"/>
        <w:szCs w:val="18"/>
      </w:rPr>
    </w:pPr>
    <w:r>
      <w:rPr>
        <w:sz w:val="1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DB8C1">
                          <w:pPr>
                            <w:pStyle w:val="7"/>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2E8DB8C1">
                    <w:pPr>
                      <w:pStyle w:val="7"/>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276A">
    <w:pPr>
      <w:spacing w:line="226"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28585">
                          <w:pPr>
                            <w:pStyle w:val="7"/>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7EB28585">
                    <w:pPr>
                      <w:pStyle w:val="7"/>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FA386">
    <w:pPr>
      <w:spacing w:line="225"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163B6">
                          <w:pPr>
                            <w:pStyle w:val="7"/>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5C9163B6">
                    <w:pPr>
                      <w:pStyle w:val="7"/>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AB948">
    <w:pPr>
      <w:spacing w:line="223" w:lineRule="auto"/>
      <w:ind w:left="4421"/>
      <w:rPr>
        <w:rFonts w:ascii="MingLiU-ExtB" w:hAnsi="MingLiU-ExtB" w:eastAsia="MingLiU-ExtB" w:cs="MingLiU-ExtB"/>
        <w:sz w:val="18"/>
        <w:szCs w:val="18"/>
      </w:rPr>
    </w:pPr>
    <w:r>
      <w:rPr>
        <w:sz w:val="18"/>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2A7B8">
                          <w:pPr>
                            <w:pStyle w:val="7"/>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5DA2A7B8">
                    <w:pPr>
                      <w:pStyle w:val="7"/>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F751">
    <w:pPr>
      <w:spacing w:line="225" w:lineRule="auto"/>
      <w:ind w:left="4051"/>
      <w:rPr>
        <w:rFonts w:ascii="MingLiU-ExtB" w:hAnsi="MingLiU-ExtB" w:eastAsia="MingLiU-ExtB" w:cs="MingLiU-ExtB"/>
        <w:sz w:val="18"/>
        <w:szCs w:val="18"/>
      </w:rPr>
    </w:pPr>
    <w:r>
      <w:rPr>
        <w:sz w:val="18"/>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8BF90">
                          <w:pPr>
                            <w:pStyle w:val="7"/>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77E8BF90">
                    <w:pPr>
                      <w:pStyle w:val="7"/>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56E41">
    <w:pPr>
      <w:spacing w:line="225" w:lineRule="auto"/>
      <w:ind w:left="4520"/>
      <w:rPr>
        <w:rFonts w:ascii="MingLiU-ExtB" w:hAnsi="MingLiU-ExtB" w:eastAsia="MingLiU-ExtB" w:cs="MingLiU-ExtB"/>
        <w:sz w:val="18"/>
        <w:szCs w:val="18"/>
      </w:rPr>
    </w:pPr>
    <w:r>
      <w:rPr>
        <w:sz w:val="18"/>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06AD3">
                          <w:pPr>
                            <w:pStyle w:val="7"/>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78506AD3">
                    <w:pPr>
                      <w:pStyle w:val="7"/>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CF10">
    <w:pPr>
      <w:spacing w:line="226" w:lineRule="auto"/>
      <w:ind w:left="4578"/>
      <w:rPr>
        <w:rFonts w:ascii="MingLiU-ExtB" w:hAnsi="MingLiU-ExtB" w:eastAsia="MingLiU-ExtB" w:cs="MingLiU-ExtB"/>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CFFDC">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A3CFFDC">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7FCF7">
    <w:pPr>
      <w:spacing w:line="225" w:lineRule="auto"/>
      <w:ind w:left="4412"/>
      <w:rPr>
        <w:rFonts w:ascii="MingLiU-ExtB" w:hAnsi="MingLiU-ExtB" w:eastAsia="MingLiU-ExtB" w:cs="MingLiU-ExtB"/>
        <w:sz w:val="18"/>
        <w:szCs w:val="18"/>
      </w:rPr>
    </w:pPr>
    <w:r>
      <w:rPr>
        <w:sz w:val="18"/>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D35FF">
                          <w:pPr>
                            <w:pStyle w:val="7"/>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13ED35FF">
                    <w:pPr>
                      <w:pStyle w:val="7"/>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9B54">
    <w:pPr>
      <w:spacing w:line="225" w:lineRule="auto"/>
      <w:ind w:left="4413"/>
      <w:rPr>
        <w:rFonts w:ascii="MingLiU-ExtB" w:hAnsi="MingLiU-ExtB" w:eastAsia="MingLiU-ExtB" w:cs="MingLiU-ExtB"/>
        <w:sz w:val="18"/>
        <w:szCs w:val="18"/>
      </w:rPr>
    </w:pPr>
    <w:r>
      <w:rPr>
        <w:sz w:val="18"/>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0243D">
                          <w:pPr>
                            <w:pStyle w:val="7"/>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2500243D">
                    <w:pPr>
                      <w:pStyle w:val="7"/>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29ED">
    <w:pPr>
      <w:spacing w:line="225" w:lineRule="auto"/>
      <w:ind w:left="4421"/>
      <w:rPr>
        <w:rFonts w:ascii="MingLiU-ExtB" w:hAnsi="MingLiU-ExtB" w:eastAsia="MingLiU-ExtB" w:cs="MingLiU-ExtB"/>
        <w:sz w:val="18"/>
        <w:szCs w:val="18"/>
      </w:rPr>
    </w:pPr>
    <w:r>
      <w:rPr>
        <w:sz w:val="18"/>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B2B47">
                          <w:pPr>
                            <w:pStyle w:val="7"/>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363B2B47">
                    <w:pPr>
                      <w:pStyle w:val="7"/>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FCE51">
    <w:pPr>
      <w:spacing w:line="225" w:lineRule="auto"/>
      <w:ind w:left="4413"/>
      <w:rPr>
        <w:rFonts w:ascii="MingLiU-ExtB" w:hAnsi="MingLiU-ExtB" w:eastAsia="MingLiU-ExtB" w:cs="MingLiU-ExtB"/>
        <w:sz w:val="18"/>
        <w:szCs w:val="18"/>
      </w:rPr>
    </w:pPr>
    <w:r>
      <w:rPr>
        <w:sz w:val="18"/>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F5ED5">
                          <w:pPr>
                            <w:pStyle w:val="7"/>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11EF5ED5">
                    <w:pPr>
                      <w:pStyle w:val="7"/>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A3358">
    <w:pPr>
      <w:spacing w:line="225" w:lineRule="auto"/>
      <w:ind w:left="4535"/>
      <w:rPr>
        <w:rFonts w:ascii="MingLiU-ExtB" w:hAnsi="MingLiU-ExtB" w:eastAsia="MingLiU-ExtB" w:cs="MingLiU-ExtB"/>
        <w:sz w:val="18"/>
        <w:szCs w:val="18"/>
      </w:rPr>
    </w:pPr>
    <w:r>
      <w:rPr>
        <w:sz w:val="18"/>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ABA9A">
                          <w:pPr>
                            <w:pStyle w:val="7"/>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1A6ABA9A">
                    <w:pPr>
                      <w:pStyle w:val="7"/>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5B4A">
    <w:pPr>
      <w:spacing w:line="225" w:lineRule="auto"/>
      <w:ind w:left="7000"/>
      <w:rPr>
        <w:rFonts w:ascii="MingLiU-ExtB" w:hAnsi="MingLiU-ExtB" w:eastAsia="MingLiU-ExtB" w:cs="MingLiU-ExtB"/>
        <w:sz w:val="18"/>
        <w:szCs w:val="18"/>
      </w:rPr>
    </w:pPr>
    <w:r>
      <w:rPr>
        <w:sz w:val="18"/>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8DEFC">
                          <w:pPr>
                            <w:pStyle w:val="7"/>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788DEFC">
                    <w:pPr>
                      <w:pStyle w:val="7"/>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B3C7">
    <w:pPr>
      <w:spacing w:line="225" w:lineRule="auto"/>
      <w:ind w:left="4533"/>
      <w:rPr>
        <w:rFonts w:ascii="MingLiU-ExtB" w:hAnsi="MingLiU-ExtB" w:eastAsia="MingLiU-ExtB" w:cs="MingLiU-ExtB"/>
        <w:sz w:val="18"/>
        <w:szCs w:val="18"/>
      </w:rPr>
    </w:pPr>
    <w:r>
      <w:rPr>
        <w:sz w:val="18"/>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AF827">
                          <w:pPr>
                            <w:pStyle w:val="7"/>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268AF827">
                    <w:pPr>
                      <w:pStyle w:val="7"/>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5B3BC">
    <w:pPr>
      <w:spacing w:line="223" w:lineRule="auto"/>
      <w:ind w:left="4533"/>
      <w:rPr>
        <w:rFonts w:ascii="MingLiU-ExtB" w:hAnsi="MingLiU-ExtB" w:eastAsia="MingLiU-ExtB" w:cs="MingLiU-ExtB"/>
        <w:sz w:val="18"/>
        <w:szCs w:val="18"/>
      </w:rPr>
    </w:pPr>
    <w:r>
      <w:rPr>
        <w:sz w:val="18"/>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3E2E3">
                          <w:pPr>
                            <w:pStyle w:val="7"/>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2C53E2E3">
                    <w:pPr>
                      <w:pStyle w:val="7"/>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54E22">
    <w:pPr>
      <w:spacing w:line="225" w:lineRule="auto"/>
      <w:ind w:left="4453"/>
      <w:rPr>
        <w:rFonts w:ascii="MingLiU-ExtB" w:hAnsi="MingLiU-ExtB" w:eastAsia="MingLiU-ExtB" w:cs="MingLiU-ExtB"/>
        <w:sz w:val="18"/>
        <w:szCs w:val="18"/>
      </w:rPr>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A2C71">
                          <w:pPr>
                            <w:pStyle w:val="7"/>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58DA2C71">
                    <w:pPr>
                      <w:pStyle w:val="7"/>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5B4CE">
    <w:pPr>
      <w:spacing w:line="227" w:lineRule="auto"/>
      <w:ind w:left="4453"/>
      <w:rPr>
        <w:rFonts w:ascii="MingLiU-ExtB" w:hAnsi="MingLiU-ExtB" w:eastAsia="MingLiU-ExtB" w:cs="MingLiU-ExtB"/>
        <w:sz w:val="18"/>
        <w:szCs w:val="18"/>
      </w:rPr>
    </w:pPr>
    <w:r>
      <w:rPr>
        <w:sz w:val="18"/>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83104">
                          <w:pPr>
                            <w:pStyle w:val="7"/>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23183104">
                    <w:pPr>
                      <w:pStyle w:val="7"/>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386300"/>
    <w:rsid w:val="004C0647"/>
    <w:rsid w:val="0090270C"/>
    <w:rsid w:val="00D36B69"/>
    <w:rsid w:val="01505F15"/>
    <w:rsid w:val="018067FB"/>
    <w:rsid w:val="0198556B"/>
    <w:rsid w:val="02101F44"/>
    <w:rsid w:val="0265517B"/>
    <w:rsid w:val="033E696D"/>
    <w:rsid w:val="04376843"/>
    <w:rsid w:val="04703D0A"/>
    <w:rsid w:val="04AC2FBA"/>
    <w:rsid w:val="04DF5F2E"/>
    <w:rsid w:val="05203B59"/>
    <w:rsid w:val="05375005"/>
    <w:rsid w:val="05914531"/>
    <w:rsid w:val="05E834AE"/>
    <w:rsid w:val="06033F82"/>
    <w:rsid w:val="067F1A0F"/>
    <w:rsid w:val="06CA61A3"/>
    <w:rsid w:val="071F4C46"/>
    <w:rsid w:val="07AE356D"/>
    <w:rsid w:val="07E5409F"/>
    <w:rsid w:val="081952B3"/>
    <w:rsid w:val="0822787F"/>
    <w:rsid w:val="08934557"/>
    <w:rsid w:val="08980E61"/>
    <w:rsid w:val="08DB6A0C"/>
    <w:rsid w:val="08FD32B2"/>
    <w:rsid w:val="09844198"/>
    <w:rsid w:val="09AB6350"/>
    <w:rsid w:val="0A075D0B"/>
    <w:rsid w:val="0A122902"/>
    <w:rsid w:val="0A6D0D3A"/>
    <w:rsid w:val="0BAA5B77"/>
    <w:rsid w:val="0C9327B6"/>
    <w:rsid w:val="0D256DDE"/>
    <w:rsid w:val="0D906017"/>
    <w:rsid w:val="0E163EA2"/>
    <w:rsid w:val="0E2C734E"/>
    <w:rsid w:val="0E4A266A"/>
    <w:rsid w:val="0E875E54"/>
    <w:rsid w:val="0EF95E3E"/>
    <w:rsid w:val="0FEF6A5D"/>
    <w:rsid w:val="1070093E"/>
    <w:rsid w:val="1074577C"/>
    <w:rsid w:val="11643A43"/>
    <w:rsid w:val="11CB2733"/>
    <w:rsid w:val="11F34DC7"/>
    <w:rsid w:val="12071A36"/>
    <w:rsid w:val="121A2A32"/>
    <w:rsid w:val="127C3C10"/>
    <w:rsid w:val="12B46AE6"/>
    <w:rsid w:val="12BA5C7D"/>
    <w:rsid w:val="12DE784D"/>
    <w:rsid w:val="134F427F"/>
    <w:rsid w:val="13E11AFB"/>
    <w:rsid w:val="13E42ED8"/>
    <w:rsid w:val="14400EA8"/>
    <w:rsid w:val="14877C8E"/>
    <w:rsid w:val="14943583"/>
    <w:rsid w:val="14EB7FD7"/>
    <w:rsid w:val="153C564B"/>
    <w:rsid w:val="15612B32"/>
    <w:rsid w:val="1571543C"/>
    <w:rsid w:val="15DD2016"/>
    <w:rsid w:val="15E21042"/>
    <w:rsid w:val="16665322"/>
    <w:rsid w:val="16C240F4"/>
    <w:rsid w:val="16CD4552"/>
    <w:rsid w:val="171D7580"/>
    <w:rsid w:val="174001C6"/>
    <w:rsid w:val="17400B06"/>
    <w:rsid w:val="184E796B"/>
    <w:rsid w:val="18532FFB"/>
    <w:rsid w:val="187B739F"/>
    <w:rsid w:val="191F7A9B"/>
    <w:rsid w:val="193208CA"/>
    <w:rsid w:val="195919B3"/>
    <w:rsid w:val="196035AE"/>
    <w:rsid w:val="19AD790D"/>
    <w:rsid w:val="19EA6CD0"/>
    <w:rsid w:val="1A24134C"/>
    <w:rsid w:val="1A257974"/>
    <w:rsid w:val="1A6A7BF0"/>
    <w:rsid w:val="1AD0229D"/>
    <w:rsid w:val="1B0167A6"/>
    <w:rsid w:val="1B421854"/>
    <w:rsid w:val="1B6D1746"/>
    <w:rsid w:val="1B9C027D"/>
    <w:rsid w:val="1C220434"/>
    <w:rsid w:val="1C420E24"/>
    <w:rsid w:val="1C521C7A"/>
    <w:rsid w:val="1C6B61C2"/>
    <w:rsid w:val="1D2E664B"/>
    <w:rsid w:val="1DA65E17"/>
    <w:rsid w:val="1DF36D83"/>
    <w:rsid w:val="1E366767"/>
    <w:rsid w:val="1E3D5039"/>
    <w:rsid w:val="1E4A3FC0"/>
    <w:rsid w:val="1EFA3E00"/>
    <w:rsid w:val="1F3A1996"/>
    <w:rsid w:val="1FC102B2"/>
    <w:rsid w:val="2117172D"/>
    <w:rsid w:val="21543588"/>
    <w:rsid w:val="221B313D"/>
    <w:rsid w:val="22553F99"/>
    <w:rsid w:val="23123443"/>
    <w:rsid w:val="235109AF"/>
    <w:rsid w:val="23994D98"/>
    <w:rsid w:val="23CF0E84"/>
    <w:rsid w:val="24433DED"/>
    <w:rsid w:val="247F027C"/>
    <w:rsid w:val="25495698"/>
    <w:rsid w:val="257356BC"/>
    <w:rsid w:val="26776E1F"/>
    <w:rsid w:val="26962499"/>
    <w:rsid w:val="275411F6"/>
    <w:rsid w:val="27766813"/>
    <w:rsid w:val="27E9484A"/>
    <w:rsid w:val="281C3EDC"/>
    <w:rsid w:val="283427BA"/>
    <w:rsid w:val="284460E4"/>
    <w:rsid w:val="28771E56"/>
    <w:rsid w:val="28A81A10"/>
    <w:rsid w:val="28BC3660"/>
    <w:rsid w:val="28FA4ACB"/>
    <w:rsid w:val="29A97CB7"/>
    <w:rsid w:val="29C273E5"/>
    <w:rsid w:val="29EF438A"/>
    <w:rsid w:val="2A1F61A6"/>
    <w:rsid w:val="2A491993"/>
    <w:rsid w:val="2ACB39C4"/>
    <w:rsid w:val="2BA32F62"/>
    <w:rsid w:val="2BB71FB5"/>
    <w:rsid w:val="2C0538E9"/>
    <w:rsid w:val="2C091017"/>
    <w:rsid w:val="2C2A4C66"/>
    <w:rsid w:val="2D094162"/>
    <w:rsid w:val="2D2968FF"/>
    <w:rsid w:val="2D2E0C20"/>
    <w:rsid w:val="2D9E60D7"/>
    <w:rsid w:val="2DE031F3"/>
    <w:rsid w:val="2E1843DC"/>
    <w:rsid w:val="2E67780F"/>
    <w:rsid w:val="2EAE5EA6"/>
    <w:rsid w:val="2EFE3FF7"/>
    <w:rsid w:val="2F3650DA"/>
    <w:rsid w:val="2F611EBB"/>
    <w:rsid w:val="2F9D7791"/>
    <w:rsid w:val="30247D84"/>
    <w:rsid w:val="30404B18"/>
    <w:rsid w:val="30C23098"/>
    <w:rsid w:val="31131651"/>
    <w:rsid w:val="316F4012"/>
    <w:rsid w:val="323260A9"/>
    <w:rsid w:val="32695BC1"/>
    <w:rsid w:val="32C4034C"/>
    <w:rsid w:val="34722CD4"/>
    <w:rsid w:val="34767465"/>
    <w:rsid w:val="34E1639F"/>
    <w:rsid w:val="35446E64"/>
    <w:rsid w:val="355F614C"/>
    <w:rsid w:val="35661288"/>
    <w:rsid w:val="356C50F7"/>
    <w:rsid w:val="35960261"/>
    <w:rsid w:val="35C236B1"/>
    <w:rsid w:val="369E0EF6"/>
    <w:rsid w:val="36AA4432"/>
    <w:rsid w:val="37215F74"/>
    <w:rsid w:val="37567327"/>
    <w:rsid w:val="37797999"/>
    <w:rsid w:val="378D5AE2"/>
    <w:rsid w:val="37B24C58"/>
    <w:rsid w:val="37C93D50"/>
    <w:rsid w:val="37EB72B3"/>
    <w:rsid w:val="38201673"/>
    <w:rsid w:val="382A2A41"/>
    <w:rsid w:val="388C0E59"/>
    <w:rsid w:val="389A29C0"/>
    <w:rsid w:val="38A52E99"/>
    <w:rsid w:val="38B82C06"/>
    <w:rsid w:val="38C70B1E"/>
    <w:rsid w:val="38CC1D4A"/>
    <w:rsid w:val="38D351C0"/>
    <w:rsid w:val="38E97FB1"/>
    <w:rsid w:val="39180AEB"/>
    <w:rsid w:val="39203CBF"/>
    <w:rsid w:val="39B575A2"/>
    <w:rsid w:val="3A030B34"/>
    <w:rsid w:val="3B2A2D58"/>
    <w:rsid w:val="3B895CD0"/>
    <w:rsid w:val="3B8F28D0"/>
    <w:rsid w:val="3BAA041B"/>
    <w:rsid w:val="3BD776DA"/>
    <w:rsid w:val="3CA20800"/>
    <w:rsid w:val="3CAD59EE"/>
    <w:rsid w:val="3D057829"/>
    <w:rsid w:val="3D124D7F"/>
    <w:rsid w:val="3DAF05AF"/>
    <w:rsid w:val="3DE02C57"/>
    <w:rsid w:val="3E23127F"/>
    <w:rsid w:val="3E490945"/>
    <w:rsid w:val="3E4D7489"/>
    <w:rsid w:val="3E555110"/>
    <w:rsid w:val="3E7E1019"/>
    <w:rsid w:val="3F235940"/>
    <w:rsid w:val="3FDD26ED"/>
    <w:rsid w:val="40050660"/>
    <w:rsid w:val="401B4FB0"/>
    <w:rsid w:val="402C30CE"/>
    <w:rsid w:val="407E6B3E"/>
    <w:rsid w:val="409B3729"/>
    <w:rsid w:val="40E7136E"/>
    <w:rsid w:val="40FE0030"/>
    <w:rsid w:val="41443B0A"/>
    <w:rsid w:val="41456B3D"/>
    <w:rsid w:val="418672B4"/>
    <w:rsid w:val="41B0188E"/>
    <w:rsid w:val="41BB295C"/>
    <w:rsid w:val="4205007B"/>
    <w:rsid w:val="427C77E8"/>
    <w:rsid w:val="427C7D09"/>
    <w:rsid w:val="43087A30"/>
    <w:rsid w:val="430D6B32"/>
    <w:rsid w:val="43176703"/>
    <w:rsid w:val="438F6794"/>
    <w:rsid w:val="4391369E"/>
    <w:rsid w:val="43D22786"/>
    <w:rsid w:val="43FB7987"/>
    <w:rsid w:val="44872FC9"/>
    <w:rsid w:val="44A4014A"/>
    <w:rsid w:val="45573759"/>
    <w:rsid w:val="45F2612A"/>
    <w:rsid w:val="460C5E7C"/>
    <w:rsid w:val="46DC1E07"/>
    <w:rsid w:val="46EA5546"/>
    <w:rsid w:val="47281C9C"/>
    <w:rsid w:val="47C56238"/>
    <w:rsid w:val="48007381"/>
    <w:rsid w:val="4910358D"/>
    <w:rsid w:val="49E427A6"/>
    <w:rsid w:val="4A187C57"/>
    <w:rsid w:val="4A362361"/>
    <w:rsid w:val="4A710F60"/>
    <w:rsid w:val="4A8741CA"/>
    <w:rsid w:val="4A8D1239"/>
    <w:rsid w:val="4AC109BF"/>
    <w:rsid w:val="4ACC6C2B"/>
    <w:rsid w:val="4AD122BB"/>
    <w:rsid w:val="4B310C69"/>
    <w:rsid w:val="4BB8645E"/>
    <w:rsid w:val="4BBA27A1"/>
    <w:rsid w:val="4BC82845"/>
    <w:rsid w:val="4BE3142D"/>
    <w:rsid w:val="4C48060D"/>
    <w:rsid w:val="4C4874E2"/>
    <w:rsid w:val="4CAE1754"/>
    <w:rsid w:val="4E7378F2"/>
    <w:rsid w:val="4EB330D2"/>
    <w:rsid w:val="4EE003B8"/>
    <w:rsid w:val="4F1862AA"/>
    <w:rsid w:val="4F2A2ECF"/>
    <w:rsid w:val="4F660CD1"/>
    <w:rsid w:val="4F822A97"/>
    <w:rsid w:val="4FE25169"/>
    <w:rsid w:val="508545E5"/>
    <w:rsid w:val="50CD6207"/>
    <w:rsid w:val="51255F55"/>
    <w:rsid w:val="512C3D35"/>
    <w:rsid w:val="5131125D"/>
    <w:rsid w:val="52007E97"/>
    <w:rsid w:val="525672E6"/>
    <w:rsid w:val="52705CA9"/>
    <w:rsid w:val="527F4518"/>
    <w:rsid w:val="529B6283"/>
    <w:rsid w:val="53235275"/>
    <w:rsid w:val="53242390"/>
    <w:rsid w:val="532A16EF"/>
    <w:rsid w:val="53D61877"/>
    <w:rsid w:val="54175631"/>
    <w:rsid w:val="54212AF2"/>
    <w:rsid w:val="548D462B"/>
    <w:rsid w:val="555467FF"/>
    <w:rsid w:val="55770A92"/>
    <w:rsid w:val="559A1FC3"/>
    <w:rsid w:val="55CC6FE2"/>
    <w:rsid w:val="55F906D3"/>
    <w:rsid w:val="562B5E8C"/>
    <w:rsid w:val="56697BB0"/>
    <w:rsid w:val="56D46032"/>
    <w:rsid w:val="56E56E54"/>
    <w:rsid w:val="571C1B8D"/>
    <w:rsid w:val="572B41B4"/>
    <w:rsid w:val="5751723E"/>
    <w:rsid w:val="57914481"/>
    <w:rsid w:val="57EC3BFE"/>
    <w:rsid w:val="58522703"/>
    <w:rsid w:val="58705F7F"/>
    <w:rsid w:val="589715D5"/>
    <w:rsid w:val="58BA4828"/>
    <w:rsid w:val="59305AC2"/>
    <w:rsid w:val="5AE92129"/>
    <w:rsid w:val="5B6339F0"/>
    <w:rsid w:val="5B982433"/>
    <w:rsid w:val="5B9F3060"/>
    <w:rsid w:val="5BD05F88"/>
    <w:rsid w:val="5C9E45E6"/>
    <w:rsid w:val="5CDB3A5A"/>
    <w:rsid w:val="5DAA7FFC"/>
    <w:rsid w:val="5E8E5228"/>
    <w:rsid w:val="5F881C77"/>
    <w:rsid w:val="5FB8795D"/>
    <w:rsid w:val="5FC37F08"/>
    <w:rsid w:val="5FEB19E8"/>
    <w:rsid w:val="6001125E"/>
    <w:rsid w:val="602838EF"/>
    <w:rsid w:val="604B0A34"/>
    <w:rsid w:val="608F2ABA"/>
    <w:rsid w:val="60A87A87"/>
    <w:rsid w:val="60B436AB"/>
    <w:rsid w:val="60DA339F"/>
    <w:rsid w:val="610A2B60"/>
    <w:rsid w:val="611F03B9"/>
    <w:rsid w:val="611F2AAF"/>
    <w:rsid w:val="614C4638"/>
    <w:rsid w:val="618D5C6B"/>
    <w:rsid w:val="61954B1F"/>
    <w:rsid w:val="619957F1"/>
    <w:rsid w:val="61E66498"/>
    <w:rsid w:val="61F7494E"/>
    <w:rsid w:val="62500A46"/>
    <w:rsid w:val="62600C89"/>
    <w:rsid w:val="63871BF1"/>
    <w:rsid w:val="639D1585"/>
    <w:rsid w:val="63A27E4A"/>
    <w:rsid w:val="63D71080"/>
    <w:rsid w:val="641A4BC0"/>
    <w:rsid w:val="64362F3E"/>
    <w:rsid w:val="647153D0"/>
    <w:rsid w:val="64982B6D"/>
    <w:rsid w:val="65562818"/>
    <w:rsid w:val="65965345"/>
    <w:rsid w:val="660E3AE9"/>
    <w:rsid w:val="66384800"/>
    <w:rsid w:val="66527BAE"/>
    <w:rsid w:val="666D7E19"/>
    <w:rsid w:val="667E2026"/>
    <w:rsid w:val="66C11F13"/>
    <w:rsid w:val="67184229"/>
    <w:rsid w:val="672E75A8"/>
    <w:rsid w:val="67630340"/>
    <w:rsid w:val="67A376E5"/>
    <w:rsid w:val="687B6CC4"/>
    <w:rsid w:val="68880F3A"/>
    <w:rsid w:val="68D423D1"/>
    <w:rsid w:val="692F7608"/>
    <w:rsid w:val="6A677B50"/>
    <w:rsid w:val="6A8A71EB"/>
    <w:rsid w:val="6AA22005"/>
    <w:rsid w:val="6B686E01"/>
    <w:rsid w:val="6BAE1C75"/>
    <w:rsid w:val="6BC229B5"/>
    <w:rsid w:val="6C040682"/>
    <w:rsid w:val="6C1763DF"/>
    <w:rsid w:val="6C354F35"/>
    <w:rsid w:val="6C9C1458"/>
    <w:rsid w:val="6CE23D5D"/>
    <w:rsid w:val="6D123218"/>
    <w:rsid w:val="6D725612"/>
    <w:rsid w:val="6DA63D6E"/>
    <w:rsid w:val="6DC96001"/>
    <w:rsid w:val="6DD62CAD"/>
    <w:rsid w:val="6E274D51"/>
    <w:rsid w:val="6E301E58"/>
    <w:rsid w:val="6E355449"/>
    <w:rsid w:val="6E6E1A43"/>
    <w:rsid w:val="6EBC10DE"/>
    <w:rsid w:val="6F132B65"/>
    <w:rsid w:val="6FB055DB"/>
    <w:rsid w:val="6FD601DD"/>
    <w:rsid w:val="6FF13F65"/>
    <w:rsid w:val="70AD3C34"/>
    <w:rsid w:val="712A45CE"/>
    <w:rsid w:val="71303888"/>
    <w:rsid w:val="71347EB1"/>
    <w:rsid w:val="713A2523"/>
    <w:rsid w:val="71E0253D"/>
    <w:rsid w:val="72184F34"/>
    <w:rsid w:val="7245773D"/>
    <w:rsid w:val="724C2FD8"/>
    <w:rsid w:val="72A0114E"/>
    <w:rsid w:val="72A83B07"/>
    <w:rsid w:val="72A95415"/>
    <w:rsid w:val="72B92358"/>
    <w:rsid w:val="72E27499"/>
    <w:rsid w:val="72F5541E"/>
    <w:rsid w:val="72F85D20"/>
    <w:rsid w:val="73101192"/>
    <w:rsid w:val="7343262D"/>
    <w:rsid w:val="73571C35"/>
    <w:rsid w:val="7415295F"/>
    <w:rsid w:val="74324AFF"/>
    <w:rsid w:val="74DE41A5"/>
    <w:rsid w:val="74F47C43"/>
    <w:rsid w:val="74FD06B6"/>
    <w:rsid w:val="750D1BC6"/>
    <w:rsid w:val="752B5547"/>
    <w:rsid w:val="75A4312B"/>
    <w:rsid w:val="75BC563D"/>
    <w:rsid w:val="75E021D2"/>
    <w:rsid w:val="76680B61"/>
    <w:rsid w:val="768858BC"/>
    <w:rsid w:val="76AA3EB5"/>
    <w:rsid w:val="76DB6026"/>
    <w:rsid w:val="7714467F"/>
    <w:rsid w:val="77452DDC"/>
    <w:rsid w:val="77613082"/>
    <w:rsid w:val="776A1499"/>
    <w:rsid w:val="77E23F4F"/>
    <w:rsid w:val="78B67C13"/>
    <w:rsid w:val="793236F3"/>
    <w:rsid w:val="79500F4C"/>
    <w:rsid w:val="79554FB7"/>
    <w:rsid w:val="797866AB"/>
    <w:rsid w:val="7979151E"/>
    <w:rsid w:val="79C3399F"/>
    <w:rsid w:val="79CD2C51"/>
    <w:rsid w:val="7A201EF3"/>
    <w:rsid w:val="7A635830"/>
    <w:rsid w:val="7A982578"/>
    <w:rsid w:val="7AB80698"/>
    <w:rsid w:val="7ACF47A6"/>
    <w:rsid w:val="7B024B7C"/>
    <w:rsid w:val="7B045B68"/>
    <w:rsid w:val="7B405AF6"/>
    <w:rsid w:val="7B5029EE"/>
    <w:rsid w:val="7B9A1258"/>
    <w:rsid w:val="7BEC31E9"/>
    <w:rsid w:val="7C95557C"/>
    <w:rsid w:val="7D902913"/>
    <w:rsid w:val="7D9F2B56"/>
    <w:rsid w:val="7E2A628E"/>
    <w:rsid w:val="7E3D5990"/>
    <w:rsid w:val="7E5D7F31"/>
    <w:rsid w:val="7E9D7358"/>
    <w:rsid w:val="7F0709B3"/>
    <w:rsid w:val="7F1E5CFC"/>
    <w:rsid w:val="7F337740"/>
    <w:rsid w:val="7F521573"/>
    <w:rsid w:val="7FA14865"/>
    <w:rsid w:val="7FC11F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line="416" w:lineRule="auto"/>
      <w:outlineLvl w:val="1"/>
    </w:pPr>
    <w:rPr>
      <w:rFonts w:ascii="Arial" w:hAnsi="Arial"/>
      <w:b/>
      <w:bCs/>
      <w:sz w:val="24"/>
      <w:szCs w:val="32"/>
    </w:rPr>
  </w:style>
  <w:style w:type="paragraph" w:styleId="3">
    <w:name w:val="heading 4"/>
    <w:basedOn w:val="1"/>
    <w:next w:val="1"/>
    <w:qFormat/>
    <w:uiPriority w:val="0"/>
    <w:pPr>
      <w:keepNext/>
      <w:keepLines/>
      <w:spacing w:line="374" w:lineRule="auto"/>
      <w:outlineLvl w:val="3"/>
    </w:pPr>
    <w:rPr>
      <w:rFonts w:ascii="Arial" w:hAnsi="Arial"/>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黑体" w:hAnsi="黑体" w:eastAsia="黑体" w:cs="黑体"/>
      <w:sz w:val="52"/>
      <w:szCs w:val="52"/>
      <w:lang w:val="en-US" w:eastAsia="en-US" w:bidi="ar-SA"/>
    </w:rPr>
  </w:style>
  <w:style w:type="paragraph" w:styleId="6">
    <w:name w:val="Body Text Indent"/>
    <w:basedOn w:val="1"/>
    <w:next w:val="1"/>
    <w:qFormat/>
    <w:uiPriority w:val="0"/>
    <w:pPr>
      <w:ind w:firstLine="480" w:firstLineChars="200"/>
    </w:pPr>
    <w:rPr>
      <w:rFonts w:ascii="宋体" w:hAnsi="宋体"/>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qFormat/>
    <w:uiPriority w:val="0"/>
    <w:pPr>
      <w:spacing w:line="500" w:lineRule="exact"/>
    </w:pPr>
    <w:rPr>
      <w:rFonts w:ascii="宋体"/>
      <w:sz w:val="24"/>
    </w:rPr>
  </w:style>
  <w:style w:type="paragraph" w:styleId="12">
    <w:name w:val="Body Text First Indent"/>
    <w:basedOn w:val="5"/>
    <w:next w:val="1"/>
    <w:qFormat/>
    <w:uiPriority w:val="0"/>
    <w:pPr>
      <w:widowControl/>
      <w:ind w:firstLine="420" w:firstLineChars="100"/>
      <w:jc w:val="left"/>
    </w:pPr>
  </w:style>
  <w:style w:type="character" w:styleId="15">
    <w:name w:val="Strong"/>
    <w:basedOn w:val="14"/>
    <w:qFormat/>
    <w:uiPriority w:val="0"/>
    <w:rPr>
      <w:b/>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0"/>
      <w:szCs w:val="20"/>
      <w:lang w:val="en-US" w:eastAsia="en-US" w:bidi="ar-SA"/>
    </w:rPr>
  </w:style>
  <w:style w:type="paragraph" w:customStyle="1" w:styleId="18">
    <w:name w:val="表格内容"/>
    <w:basedOn w:val="19"/>
    <w:unhideWhenUsed/>
    <w:qFormat/>
    <w:uiPriority w:val="99"/>
    <w:pPr>
      <w:ind w:firstLine="0" w:firstLineChars="0"/>
      <w:jc w:val="center"/>
    </w:pPr>
    <w:rPr>
      <w:rFonts w:hint="eastAsia"/>
      <w:sz w:val="24"/>
    </w:rPr>
  </w:style>
  <w:style w:type="paragraph" w:customStyle="1" w:styleId="19">
    <w:name w:val="招标正文"/>
    <w:basedOn w:val="1"/>
    <w:unhideWhenUsed/>
    <w:qFormat/>
    <w:uiPriority w:val="99"/>
    <w:pPr>
      <w:widowControl w:val="0"/>
      <w:autoSpaceDE w:val="0"/>
      <w:autoSpaceDN w:val="0"/>
      <w:adjustRightInd w:val="0"/>
      <w:ind w:firstLine="480" w:firstLineChars="200"/>
      <w:jc w:val="left"/>
    </w:pPr>
    <w:rPr>
      <w:rFonts w:hint="eastAsia"/>
      <w:sz w:val="24"/>
    </w:rPr>
  </w:style>
  <w:style w:type="paragraph" w:customStyle="1" w:styleId="20">
    <w:name w:val="正文正"/>
    <w:basedOn w:val="1"/>
    <w:unhideWhenUsed/>
    <w:qFormat/>
    <w:uiPriority w:val="99"/>
    <w:pPr>
      <w:widowControl w:val="0"/>
      <w:autoSpaceDE w:val="0"/>
      <w:autoSpaceDN w:val="0"/>
      <w:adjustRightInd w:val="0"/>
      <w:spacing w:line="560" w:lineRule="exact"/>
      <w:ind w:firstLine="561"/>
      <w:jc w:val="left"/>
    </w:pPr>
    <w:rPr>
      <w:rFonts w:hint="eastAsia" w:ascii="Calibri" w:hAnsi="Calibri"/>
      <w:sz w:val="28"/>
    </w:rPr>
  </w:style>
  <w:style w:type="paragraph" w:customStyle="1" w:styleId="21">
    <w:name w:val="正文 New New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8" Type="http://schemas.openxmlformats.org/officeDocument/2006/relationships/fontTable" Target="fontTable.xml"/><Relationship Id="rId127" Type="http://schemas.openxmlformats.org/officeDocument/2006/relationships/customXml" Target="../customXml/item1.xml"/><Relationship Id="rId126" Type="http://schemas.openxmlformats.org/officeDocument/2006/relationships/image" Target="media/image1.png"/><Relationship Id="rId125" Type="http://schemas.openxmlformats.org/officeDocument/2006/relationships/hyperlink" Target="#bookmark150"/><Relationship Id="rId124" Type="http://schemas.openxmlformats.org/officeDocument/2006/relationships/theme" Target="theme/theme1.xml"/><Relationship Id="rId123" Type="http://schemas.openxmlformats.org/officeDocument/2006/relationships/footer" Target="footer119.xml"/><Relationship Id="rId122" Type="http://schemas.openxmlformats.org/officeDocument/2006/relationships/footer" Target="footer118.xml"/><Relationship Id="rId121" Type="http://schemas.openxmlformats.org/officeDocument/2006/relationships/footer" Target="footer117.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59"/>
    <customShpInfo spid="_x0000_s1062"/>
    <customShpInfo spid="_x0000_s1063"/>
    <customShpInfo spid="_x0000_s1064"/>
    <customShpInfo spid="_x0000_s1065"/>
    <customShpInfo spid="_x0000_s1066"/>
    <customShpInfo spid="_x0000_s1067"/>
    <customShpInfo spid="_x0000_s1068"/>
    <customShpInfo spid="_x0000_s1069"/>
    <customShpInfo spid="_x0000_s1081"/>
    <customShpInfo spid="_x0000_s1082"/>
    <customShpInfo spid="_x0000_s1083"/>
    <customShpInfo spid="_x0000_s1090"/>
    <customShpInfo spid="_x0000_s1098"/>
    <customShpInfo spid="_x0000_s1099"/>
    <customShpInfo spid="_x0000_s1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160</Pages>
  <Words>3936</Words>
  <Characters>4379</Characters>
  <TotalTime>6</TotalTime>
  <ScaleCrop>false</ScaleCrop>
  <LinksUpToDate>false</LinksUpToDate>
  <CharactersWithSpaces>4745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2026-01-08T14:58:00Z</dcterms:created>
  <dc:creator>袁静</dc:creator>
  <cp:lastModifiedBy>Ling’記</cp:lastModifiedBy>
  <dcterms:modified xsi:type="dcterms:W3CDTF">2026-03-27T07:21:30Z</dcterms:modified>
  <dc:title>公路工程标准施工招标文件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2026-03-09T12:54:02Z</vt:filetime>
  </property>
  <property fmtid="{D5CDD505-2E9C-101B-9397-08002B2CF9AE}" pid="4" name="KSOTemplateDocerSaveRecord">
    <vt:lpwstr>eyJoZGlkIjoiMjRiMmNjYTM2MzU4MWFiOGUzMTdiOTM5YjdiNGUxYjQiLCJ1c2VySWQiOiIxMTc5NDg3MTQ4In0=</vt:lpwstr>
  </property>
  <property fmtid="{D5CDD505-2E9C-101B-9397-08002B2CF9AE}" pid="5" name="KSOProductBuildVer">
    <vt:lpwstr>2052-12.1.0.25225</vt:lpwstr>
  </property>
  <property fmtid="{D5CDD505-2E9C-101B-9397-08002B2CF9AE}" pid="6" name="ICV">
    <vt:lpwstr>CEF476CACF284C8AAECAD2D901F85BBE_13</vt:lpwstr>
  </property>
</Properties>
</file>