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4A10F9">
      <w:pPr>
        <w:pStyle w:val="2"/>
        <w:rPr>
          <w:rFonts w:hint="eastAsia" w:ascii="宋体" w:hAnsi="宋体" w:eastAsia="宋体" w:cs="宋体"/>
          <w:b/>
          <w:bCs/>
          <w:color w:val="auto"/>
          <w:kern w:val="2"/>
          <w:sz w:val="56"/>
          <w:szCs w:val="72"/>
          <w:highlight w:val="none"/>
          <w:u w:val="none"/>
          <w:lang w:val="en-US" w:eastAsia="zh-CN" w:bidi="ar-SA"/>
        </w:rPr>
      </w:pPr>
      <w:r>
        <w:rPr>
          <w:rFonts w:hint="eastAsia" w:ascii="宋体" w:hAnsi="宋体" w:eastAsia="宋体" w:cs="宋体"/>
          <w:b/>
          <w:bCs/>
          <w:color w:val="auto"/>
          <w:kern w:val="2"/>
          <w:sz w:val="52"/>
          <w:szCs w:val="52"/>
          <w:highlight w:val="none"/>
          <w:u w:val="none"/>
          <w:lang w:val="en-US" w:eastAsia="zh-CN" w:bidi="ar-SA"/>
        </w:rPr>
        <w:drawing>
          <wp:inline distT="0" distB="0" distL="114300" distR="114300">
            <wp:extent cx="6158865" cy="8714740"/>
            <wp:effectExtent l="0" t="0" r="13335" b="2540"/>
            <wp:docPr id="19" name="图片 19" descr="招标文件2026.3.6（封面）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招标文件2026.3.6（封面）_01"/>
                    <pic:cNvPicPr>
                      <a:picLocks noChangeAspect="1"/>
                    </pic:cNvPicPr>
                  </pic:nvPicPr>
                  <pic:blipFill>
                    <a:blip r:embed="rId27"/>
                    <a:stretch>
                      <a:fillRect/>
                    </a:stretch>
                  </pic:blipFill>
                  <pic:spPr>
                    <a:xfrm>
                      <a:off x="0" y="0"/>
                      <a:ext cx="6158865" cy="8714740"/>
                    </a:xfrm>
                    <a:prstGeom prst="rect">
                      <a:avLst/>
                    </a:prstGeom>
                  </pic:spPr>
                </pic:pic>
              </a:graphicData>
            </a:graphic>
          </wp:inline>
        </w:drawing>
      </w:r>
      <w:bookmarkStart w:id="280" w:name="_GoBack"/>
      <w:bookmarkEnd w:id="280"/>
    </w:p>
    <w:p w14:paraId="6E29DB7F">
      <w:pPr>
        <w:rPr>
          <w:rFonts w:hint="eastAsia" w:ascii="宋体" w:hAnsi="宋体" w:eastAsia="宋体" w:cs="宋体"/>
          <w:b/>
          <w:bCs/>
          <w:color w:val="auto"/>
          <w:kern w:val="2"/>
          <w:sz w:val="56"/>
          <w:szCs w:val="72"/>
          <w:highlight w:val="none"/>
          <w:u w:val="none"/>
          <w:lang w:val="en-US" w:eastAsia="zh-CN" w:bidi="ar-SA"/>
        </w:rPr>
      </w:pPr>
    </w:p>
    <w:p w14:paraId="7A96D5DD">
      <w:pPr>
        <w:rPr>
          <w:rFonts w:hint="eastAsia" w:ascii="宋体" w:hAnsi="宋体" w:eastAsia="宋体" w:cs="宋体"/>
          <w:b/>
          <w:bCs/>
          <w:color w:val="auto"/>
          <w:kern w:val="2"/>
          <w:sz w:val="56"/>
          <w:szCs w:val="72"/>
          <w:highlight w:val="none"/>
          <w:u w:val="none"/>
          <w:lang w:val="en-US" w:eastAsia="zh-CN" w:bidi="ar-SA"/>
        </w:rPr>
        <w:sectPr>
          <w:headerReference r:id="rId3"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p>
    <w:p w14:paraId="242E58A3">
      <w:pPr>
        <w:rPr>
          <w:rFonts w:hint="eastAsia" w:ascii="宋体" w:hAnsi="宋体" w:eastAsia="宋体" w:cs="宋体"/>
          <w:color w:val="auto"/>
          <w:highlight w:val="none"/>
        </w:rPr>
      </w:pPr>
    </w:p>
    <w:p w14:paraId="6EF33911">
      <w:pPr>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目录</w:t>
      </w:r>
    </w:p>
    <w:p w14:paraId="3B9CCDC2">
      <w:pPr>
        <w:pStyle w:val="9"/>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"1-3"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_Toc30584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第一章</w:t>
      </w:r>
      <w:r>
        <w:rPr>
          <w:rFonts w:hint="eastAsia" w:ascii="宋体" w:hAnsi="宋体" w:eastAsia="宋体" w:cs="宋体"/>
          <w:spacing w:val="-3"/>
          <w:sz w:val="24"/>
          <w:szCs w:val="24"/>
          <w:highlight w:val="none"/>
        </w:rPr>
        <w:t xml:space="preserve"> </w:t>
      </w:r>
      <w:r>
        <w:rPr>
          <w:rFonts w:hint="eastAsia" w:ascii="宋体" w:hAnsi="宋体" w:eastAsia="宋体" w:cs="宋体"/>
          <w:bCs/>
          <w:spacing w:val="-3"/>
          <w:sz w:val="24"/>
          <w:szCs w:val="24"/>
          <w:highlight w:val="none"/>
        </w:rPr>
        <w:t>投标人须知</w:t>
      </w:r>
      <w:r>
        <w:rPr>
          <w:sz w:val="24"/>
          <w:szCs w:val="24"/>
          <w:highlight w:val="none"/>
        </w:rPr>
        <w:tab/>
      </w:r>
      <w:r>
        <w:rPr>
          <w:sz w:val="24"/>
          <w:szCs w:val="24"/>
          <w:highlight w:val="none"/>
        </w:rPr>
        <w:fldChar w:fldCharType="begin"/>
      </w:r>
      <w:r>
        <w:rPr>
          <w:sz w:val="24"/>
          <w:szCs w:val="24"/>
          <w:highlight w:val="none"/>
        </w:rPr>
        <w:instrText xml:space="preserve"> PAGEREF _Toc30584 \h </w:instrText>
      </w:r>
      <w:r>
        <w:rPr>
          <w:sz w:val="24"/>
          <w:szCs w:val="24"/>
          <w:highlight w:val="none"/>
        </w:rPr>
        <w:fldChar w:fldCharType="separate"/>
      </w:r>
      <w:r>
        <w:rPr>
          <w:sz w:val="24"/>
          <w:szCs w:val="24"/>
          <w:highlight w:val="none"/>
        </w:rPr>
        <w:t>3</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6755E0D1">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_Toc1079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第一节</w:t>
      </w:r>
      <w:r>
        <w:rPr>
          <w:rFonts w:hint="eastAsia" w:ascii="宋体" w:hAnsi="宋体" w:eastAsia="宋体" w:cs="宋体"/>
          <w:spacing w:val="-3"/>
          <w:sz w:val="24"/>
          <w:szCs w:val="24"/>
          <w:highlight w:val="none"/>
        </w:rPr>
        <w:t xml:space="preserve"> </w:t>
      </w:r>
      <w:r>
        <w:rPr>
          <w:rFonts w:hint="eastAsia" w:ascii="宋体" w:hAnsi="宋体" w:eastAsia="宋体" w:cs="宋体"/>
          <w:bCs/>
          <w:spacing w:val="-3"/>
          <w:sz w:val="24"/>
          <w:szCs w:val="24"/>
          <w:highlight w:val="none"/>
        </w:rPr>
        <w:t>投标人须知前附表</w:t>
      </w:r>
      <w:r>
        <w:rPr>
          <w:sz w:val="24"/>
          <w:szCs w:val="24"/>
          <w:highlight w:val="none"/>
        </w:rPr>
        <w:tab/>
      </w:r>
      <w:r>
        <w:rPr>
          <w:sz w:val="24"/>
          <w:szCs w:val="24"/>
          <w:highlight w:val="none"/>
        </w:rPr>
        <w:fldChar w:fldCharType="begin"/>
      </w:r>
      <w:r>
        <w:rPr>
          <w:sz w:val="24"/>
          <w:szCs w:val="24"/>
          <w:highlight w:val="none"/>
        </w:rPr>
        <w:instrText xml:space="preserve"> PAGEREF _Toc1079 \h </w:instrText>
      </w:r>
      <w:r>
        <w:rPr>
          <w:sz w:val="24"/>
          <w:szCs w:val="24"/>
          <w:highlight w:val="none"/>
        </w:rPr>
        <w:fldChar w:fldCharType="separate"/>
      </w:r>
      <w:r>
        <w:rPr>
          <w:sz w:val="24"/>
          <w:szCs w:val="24"/>
          <w:highlight w:val="none"/>
        </w:rPr>
        <w:t>3</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442F6BD3">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_Toc14297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第二节 重要事项时间地点一览表</w:t>
      </w:r>
      <w:r>
        <w:rPr>
          <w:sz w:val="24"/>
          <w:szCs w:val="24"/>
          <w:highlight w:val="none"/>
        </w:rPr>
        <w:tab/>
      </w:r>
      <w:r>
        <w:rPr>
          <w:sz w:val="24"/>
          <w:szCs w:val="24"/>
          <w:highlight w:val="none"/>
        </w:rPr>
        <w:fldChar w:fldCharType="begin"/>
      </w:r>
      <w:r>
        <w:rPr>
          <w:sz w:val="24"/>
          <w:szCs w:val="24"/>
          <w:highlight w:val="none"/>
        </w:rPr>
        <w:instrText xml:space="preserve"> PAGEREF _Toc14297 \h </w:instrText>
      </w:r>
      <w:r>
        <w:rPr>
          <w:sz w:val="24"/>
          <w:szCs w:val="24"/>
          <w:highlight w:val="none"/>
        </w:rPr>
        <w:fldChar w:fldCharType="separate"/>
      </w:r>
      <w:r>
        <w:rPr>
          <w:sz w:val="24"/>
          <w:szCs w:val="24"/>
          <w:highlight w:val="none"/>
        </w:rPr>
        <w:t>11</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3E23004D">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_Toc9283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第三节</w:t>
      </w:r>
      <w:r>
        <w:rPr>
          <w:rFonts w:hint="eastAsia" w:ascii="宋体" w:hAnsi="宋体" w:eastAsia="宋体" w:cs="宋体"/>
          <w:spacing w:val="-3"/>
          <w:sz w:val="24"/>
          <w:szCs w:val="24"/>
          <w:highlight w:val="none"/>
        </w:rPr>
        <w:t xml:space="preserve"> </w:t>
      </w:r>
      <w:r>
        <w:rPr>
          <w:rFonts w:hint="eastAsia" w:ascii="宋体" w:hAnsi="宋体" w:eastAsia="宋体" w:cs="宋体"/>
          <w:bCs/>
          <w:spacing w:val="-3"/>
          <w:sz w:val="24"/>
          <w:szCs w:val="24"/>
          <w:highlight w:val="none"/>
        </w:rPr>
        <w:t>投标人须知正文</w:t>
      </w:r>
      <w:r>
        <w:rPr>
          <w:sz w:val="24"/>
          <w:szCs w:val="24"/>
          <w:highlight w:val="none"/>
        </w:rPr>
        <w:tab/>
      </w:r>
      <w:r>
        <w:rPr>
          <w:sz w:val="24"/>
          <w:szCs w:val="24"/>
          <w:highlight w:val="none"/>
        </w:rPr>
        <w:fldChar w:fldCharType="begin"/>
      </w:r>
      <w:r>
        <w:rPr>
          <w:sz w:val="24"/>
          <w:szCs w:val="24"/>
          <w:highlight w:val="none"/>
        </w:rPr>
        <w:instrText xml:space="preserve"> PAGEREF _Toc9283 \h </w:instrText>
      </w:r>
      <w:r>
        <w:rPr>
          <w:sz w:val="24"/>
          <w:szCs w:val="24"/>
          <w:highlight w:val="none"/>
        </w:rPr>
        <w:fldChar w:fldCharType="separate"/>
      </w:r>
      <w:r>
        <w:rPr>
          <w:sz w:val="24"/>
          <w:szCs w:val="24"/>
          <w:highlight w:val="none"/>
        </w:rPr>
        <w:t>12</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79E5003B">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_Toc19017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1</w:t>
      </w:r>
      <w:r>
        <w:rPr>
          <w:rFonts w:hint="eastAsia" w:ascii="宋体" w:hAnsi="宋体" w:eastAsia="宋体" w:cs="宋体"/>
          <w:bCs/>
          <w:spacing w:val="-23"/>
          <w:sz w:val="24"/>
          <w:szCs w:val="24"/>
          <w:highlight w:val="none"/>
        </w:rPr>
        <w:t xml:space="preserve"> </w:t>
      </w:r>
      <w:r>
        <w:rPr>
          <w:rFonts w:hint="eastAsia" w:ascii="宋体" w:hAnsi="宋体" w:eastAsia="宋体" w:cs="宋体"/>
          <w:bCs/>
          <w:spacing w:val="-4"/>
          <w:sz w:val="24"/>
          <w:szCs w:val="24"/>
          <w:highlight w:val="none"/>
        </w:rPr>
        <w:t>．项目概况、招标范围和标段划分、投标费用等</w:t>
      </w:r>
      <w:r>
        <w:rPr>
          <w:sz w:val="24"/>
          <w:szCs w:val="24"/>
          <w:highlight w:val="none"/>
        </w:rPr>
        <w:tab/>
      </w:r>
      <w:r>
        <w:rPr>
          <w:sz w:val="24"/>
          <w:szCs w:val="24"/>
          <w:highlight w:val="none"/>
        </w:rPr>
        <w:fldChar w:fldCharType="begin"/>
      </w:r>
      <w:r>
        <w:rPr>
          <w:sz w:val="24"/>
          <w:szCs w:val="24"/>
          <w:highlight w:val="none"/>
        </w:rPr>
        <w:instrText xml:space="preserve"> PAGEREF _Toc19017 \h </w:instrText>
      </w:r>
      <w:r>
        <w:rPr>
          <w:sz w:val="24"/>
          <w:szCs w:val="24"/>
          <w:highlight w:val="none"/>
        </w:rPr>
        <w:fldChar w:fldCharType="separate"/>
      </w:r>
      <w:r>
        <w:rPr>
          <w:sz w:val="24"/>
          <w:szCs w:val="24"/>
          <w:highlight w:val="none"/>
        </w:rPr>
        <w:t>12</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22DFBB9F">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_Toc21208 </w:instrText>
      </w:r>
      <w:r>
        <w:rPr>
          <w:rFonts w:hint="eastAsia" w:ascii="宋体" w:hAnsi="宋体" w:eastAsia="宋体" w:cs="宋体"/>
          <w:sz w:val="24"/>
          <w:szCs w:val="24"/>
          <w:highlight w:val="none"/>
        </w:rPr>
        <w:fldChar w:fldCharType="separate"/>
      </w:r>
      <w:r>
        <w:rPr>
          <w:rFonts w:hint="eastAsia" w:ascii="宋体" w:hAnsi="宋体" w:eastAsia="宋体" w:cs="宋体"/>
          <w:bCs/>
          <w:sz w:val="24"/>
          <w:szCs w:val="24"/>
          <w:highlight w:val="none"/>
        </w:rPr>
        <w:t>2．</w:t>
      </w:r>
      <w:r>
        <w:rPr>
          <w:rFonts w:hint="eastAsia" w:ascii="宋体" w:hAnsi="宋体" w:eastAsia="宋体" w:cs="宋体"/>
          <w:bCs w:val="0"/>
          <w:sz w:val="24"/>
          <w:szCs w:val="24"/>
          <w:highlight w:val="none"/>
          <w:lang w:eastAsia="zh-CN"/>
        </w:rPr>
        <w:t>投标人</w:t>
      </w:r>
      <w:r>
        <w:rPr>
          <w:rFonts w:hint="eastAsia" w:ascii="宋体" w:hAnsi="宋体" w:eastAsia="宋体" w:cs="宋体"/>
          <w:bCs w:val="0"/>
          <w:sz w:val="24"/>
          <w:szCs w:val="24"/>
          <w:highlight w:val="none"/>
        </w:rPr>
        <w:t>资质要求</w:t>
      </w:r>
      <w:r>
        <w:rPr>
          <w:sz w:val="24"/>
          <w:szCs w:val="24"/>
          <w:highlight w:val="none"/>
        </w:rPr>
        <w:tab/>
      </w:r>
      <w:r>
        <w:rPr>
          <w:sz w:val="24"/>
          <w:szCs w:val="24"/>
          <w:highlight w:val="none"/>
        </w:rPr>
        <w:fldChar w:fldCharType="begin"/>
      </w:r>
      <w:r>
        <w:rPr>
          <w:sz w:val="24"/>
          <w:szCs w:val="24"/>
          <w:highlight w:val="none"/>
        </w:rPr>
        <w:instrText xml:space="preserve"> PAGEREF _Toc21208 \h </w:instrText>
      </w:r>
      <w:r>
        <w:rPr>
          <w:sz w:val="24"/>
          <w:szCs w:val="24"/>
          <w:highlight w:val="none"/>
        </w:rPr>
        <w:fldChar w:fldCharType="separate"/>
      </w:r>
      <w:r>
        <w:rPr>
          <w:sz w:val="24"/>
          <w:szCs w:val="24"/>
          <w:highlight w:val="none"/>
        </w:rPr>
        <w:t>12</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1A8C265A">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_Toc21490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3．招标文件的获取</w:t>
      </w:r>
      <w:r>
        <w:rPr>
          <w:sz w:val="24"/>
          <w:szCs w:val="24"/>
          <w:highlight w:val="none"/>
        </w:rPr>
        <w:tab/>
      </w:r>
      <w:r>
        <w:rPr>
          <w:sz w:val="24"/>
          <w:szCs w:val="24"/>
          <w:highlight w:val="none"/>
        </w:rPr>
        <w:fldChar w:fldCharType="begin"/>
      </w:r>
      <w:r>
        <w:rPr>
          <w:sz w:val="24"/>
          <w:szCs w:val="24"/>
          <w:highlight w:val="none"/>
        </w:rPr>
        <w:instrText xml:space="preserve"> PAGEREF _Toc21490 \h </w:instrText>
      </w:r>
      <w:r>
        <w:rPr>
          <w:sz w:val="24"/>
          <w:szCs w:val="24"/>
          <w:highlight w:val="none"/>
        </w:rPr>
        <w:fldChar w:fldCharType="separate"/>
      </w:r>
      <w:r>
        <w:rPr>
          <w:sz w:val="24"/>
          <w:szCs w:val="24"/>
          <w:highlight w:val="none"/>
        </w:rPr>
        <w:t>14</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7AD98679">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_Toc8255 </w:instrText>
      </w:r>
      <w:r>
        <w:rPr>
          <w:rFonts w:hint="eastAsia" w:ascii="宋体" w:hAnsi="宋体" w:eastAsia="宋体" w:cs="宋体"/>
          <w:sz w:val="24"/>
          <w:szCs w:val="24"/>
          <w:highlight w:val="none"/>
        </w:rPr>
        <w:fldChar w:fldCharType="separate"/>
      </w:r>
      <w:r>
        <w:rPr>
          <w:rFonts w:hint="eastAsia" w:ascii="宋体" w:hAnsi="宋体" w:eastAsia="宋体" w:cs="宋体"/>
          <w:bCs/>
          <w:spacing w:val="-8"/>
          <w:sz w:val="24"/>
          <w:szCs w:val="24"/>
          <w:highlight w:val="none"/>
        </w:rPr>
        <w:t>4</w:t>
      </w:r>
      <w:r>
        <w:rPr>
          <w:rFonts w:hint="eastAsia" w:ascii="宋体" w:hAnsi="宋体" w:eastAsia="宋体" w:cs="宋体"/>
          <w:bCs/>
          <w:spacing w:val="-8"/>
          <w:sz w:val="24"/>
          <w:szCs w:val="24"/>
          <w:highlight w:val="none"/>
          <w:lang w:val="en-US" w:eastAsia="zh-CN"/>
        </w:rPr>
        <w:t xml:space="preserve"> </w:t>
      </w:r>
      <w:r>
        <w:rPr>
          <w:rFonts w:hint="eastAsia" w:ascii="宋体" w:hAnsi="宋体" w:eastAsia="宋体" w:cs="宋体"/>
          <w:bCs/>
          <w:spacing w:val="-8"/>
          <w:sz w:val="24"/>
          <w:szCs w:val="24"/>
          <w:highlight w:val="none"/>
        </w:rPr>
        <w:t>．工期要求</w:t>
      </w:r>
      <w:r>
        <w:rPr>
          <w:sz w:val="24"/>
          <w:szCs w:val="24"/>
          <w:highlight w:val="none"/>
        </w:rPr>
        <w:tab/>
      </w:r>
      <w:r>
        <w:rPr>
          <w:sz w:val="24"/>
          <w:szCs w:val="24"/>
          <w:highlight w:val="none"/>
        </w:rPr>
        <w:fldChar w:fldCharType="begin"/>
      </w:r>
      <w:r>
        <w:rPr>
          <w:sz w:val="24"/>
          <w:szCs w:val="24"/>
          <w:highlight w:val="none"/>
        </w:rPr>
        <w:instrText xml:space="preserve"> PAGEREF _Toc8255 \h </w:instrText>
      </w:r>
      <w:r>
        <w:rPr>
          <w:sz w:val="24"/>
          <w:szCs w:val="24"/>
          <w:highlight w:val="none"/>
        </w:rPr>
        <w:fldChar w:fldCharType="separate"/>
      </w:r>
      <w:r>
        <w:rPr>
          <w:sz w:val="24"/>
          <w:szCs w:val="24"/>
          <w:highlight w:val="none"/>
        </w:rPr>
        <w:t>16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78D76237">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_Toc11449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5"/>
          <w:sz w:val="24"/>
          <w:szCs w:val="24"/>
          <w:highlight w:val="none"/>
        </w:rPr>
        <w:t>5</w:t>
      </w:r>
      <w:r>
        <w:rPr>
          <w:rFonts w:hint="eastAsia" w:ascii="宋体" w:hAnsi="宋体" w:eastAsia="宋体" w:cs="宋体"/>
          <w:bCs/>
          <w:spacing w:val="-5"/>
          <w:sz w:val="24"/>
          <w:szCs w:val="24"/>
          <w:highlight w:val="none"/>
          <w:lang w:val="en-US" w:eastAsia="zh-CN"/>
        </w:rPr>
        <w:t xml:space="preserve"> </w:t>
      </w:r>
      <w:r>
        <w:rPr>
          <w:rFonts w:hint="eastAsia" w:ascii="宋体" w:hAnsi="宋体" w:eastAsia="宋体" w:cs="宋体"/>
          <w:bCs/>
          <w:spacing w:val="-5"/>
          <w:sz w:val="24"/>
          <w:szCs w:val="24"/>
          <w:highlight w:val="none"/>
        </w:rPr>
        <w:t>．质量标准和材料、机械要求</w:t>
      </w:r>
      <w:r>
        <w:rPr>
          <w:sz w:val="24"/>
          <w:szCs w:val="24"/>
          <w:highlight w:val="none"/>
        </w:rPr>
        <w:tab/>
      </w:r>
      <w:r>
        <w:rPr>
          <w:sz w:val="24"/>
          <w:szCs w:val="24"/>
          <w:highlight w:val="none"/>
        </w:rPr>
        <w:fldChar w:fldCharType="begin"/>
      </w:r>
      <w:r>
        <w:rPr>
          <w:sz w:val="24"/>
          <w:szCs w:val="24"/>
          <w:highlight w:val="none"/>
        </w:rPr>
        <w:instrText xml:space="preserve"> PAGEREF _Toc11449 \h </w:instrText>
      </w:r>
      <w:r>
        <w:rPr>
          <w:sz w:val="24"/>
          <w:szCs w:val="24"/>
          <w:highlight w:val="none"/>
        </w:rPr>
        <w:fldChar w:fldCharType="separate"/>
      </w:r>
      <w:r>
        <w:rPr>
          <w:sz w:val="24"/>
          <w:szCs w:val="24"/>
          <w:highlight w:val="none"/>
        </w:rPr>
        <w:t>16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6D3ADD19">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_Toc21146 </w:instrText>
      </w:r>
      <w:r>
        <w:rPr>
          <w:rFonts w:hint="eastAsia" w:ascii="宋体" w:hAnsi="宋体" w:eastAsia="宋体" w:cs="宋体"/>
          <w:sz w:val="24"/>
          <w:szCs w:val="24"/>
          <w:highlight w:val="none"/>
        </w:rPr>
        <w:fldChar w:fldCharType="separate"/>
      </w:r>
      <w:r>
        <w:rPr>
          <w:rFonts w:hint="eastAsia" w:ascii="宋体" w:hAnsi="宋体" w:eastAsia="宋体" w:cs="宋体"/>
          <w:bCs/>
          <w:spacing w:val="-6"/>
          <w:sz w:val="24"/>
          <w:szCs w:val="24"/>
          <w:highlight w:val="none"/>
        </w:rPr>
        <w:t>6</w:t>
      </w:r>
      <w:r>
        <w:rPr>
          <w:rFonts w:hint="eastAsia" w:ascii="宋体" w:hAnsi="宋体" w:eastAsia="宋体" w:cs="宋体"/>
          <w:bCs/>
          <w:spacing w:val="-20"/>
          <w:sz w:val="24"/>
          <w:szCs w:val="24"/>
          <w:highlight w:val="none"/>
        </w:rPr>
        <w:t xml:space="preserve"> </w:t>
      </w:r>
      <w:r>
        <w:rPr>
          <w:rFonts w:hint="eastAsia" w:ascii="宋体" w:hAnsi="宋体" w:eastAsia="宋体" w:cs="宋体"/>
          <w:bCs/>
          <w:spacing w:val="-6"/>
          <w:sz w:val="24"/>
          <w:szCs w:val="24"/>
          <w:highlight w:val="none"/>
        </w:rPr>
        <w:t>．施工条件及现场踏勘</w:t>
      </w:r>
      <w:r>
        <w:rPr>
          <w:sz w:val="24"/>
          <w:szCs w:val="24"/>
          <w:highlight w:val="none"/>
        </w:rPr>
        <w:tab/>
      </w:r>
      <w:r>
        <w:rPr>
          <w:sz w:val="24"/>
          <w:szCs w:val="24"/>
          <w:highlight w:val="none"/>
        </w:rPr>
        <w:fldChar w:fldCharType="begin"/>
      </w:r>
      <w:r>
        <w:rPr>
          <w:sz w:val="24"/>
          <w:szCs w:val="24"/>
          <w:highlight w:val="none"/>
        </w:rPr>
        <w:instrText xml:space="preserve"> PAGEREF _Toc21146 \h </w:instrText>
      </w:r>
      <w:r>
        <w:rPr>
          <w:sz w:val="24"/>
          <w:szCs w:val="24"/>
          <w:highlight w:val="none"/>
        </w:rPr>
        <w:fldChar w:fldCharType="separate"/>
      </w:r>
      <w:r>
        <w:rPr>
          <w:sz w:val="24"/>
          <w:szCs w:val="24"/>
          <w:highlight w:val="none"/>
        </w:rPr>
        <w:t>17</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71066524">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_Toc24768 </w:instrText>
      </w:r>
      <w:r>
        <w:rPr>
          <w:rFonts w:hint="eastAsia" w:ascii="宋体" w:hAnsi="宋体" w:eastAsia="宋体" w:cs="宋体"/>
          <w:sz w:val="24"/>
          <w:szCs w:val="24"/>
          <w:highlight w:val="none"/>
        </w:rPr>
        <w:fldChar w:fldCharType="separate"/>
      </w:r>
      <w:r>
        <w:rPr>
          <w:rFonts w:hint="eastAsia" w:ascii="宋体" w:hAnsi="宋体" w:eastAsia="宋体" w:cs="宋体"/>
          <w:bCs/>
          <w:spacing w:val="-5"/>
          <w:sz w:val="24"/>
          <w:szCs w:val="24"/>
          <w:highlight w:val="none"/>
        </w:rPr>
        <w:t>7</w:t>
      </w:r>
      <w:r>
        <w:rPr>
          <w:rFonts w:hint="eastAsia" w:ascii="宋体" w:hAnsi="宋体" w:eastAsia="宋体" w:cs="宋体"/>
          <w:bCs/>
          <w:spacing w:val="-28"/>
          <w:sz w:val="24"/>
          <w:szCs w:val="24"/>
          <w:highlight w:val="none"/>
        </w:rPr>
        <w:t xml:space="preserve"> </w:t>
      </w:r>
      <w:r>
        <w:rPr>
          <w:rFonts w:hint="eastAsia" w:ascii="宋体" w:hAnsi="宋体" w:eastAsia="宋体" w:cs="宋体"/>
          <w:bCs/>
          <w:spacing w:val="-5"/>
          <w:sz w:val="24"/>
          <w:szCs w:val="24"/>
          <w:highlight w:val="none"/>
        </w:rPr>
        <w:t>．招标文件的提问和答疑</w:t>
      </w:r>
      <w:r>
        <w:rPr>
          <w:sz w:val="24"/>
          <w:szCs w:val="24"/>
          <w:highlight w:val="none"/>
        </w:rPr>
        <w:tab/>
      </w:r>
      <w:r>
        <w:rPr>
          <w:sz w:val="24"/>
          <w:szCs w:val="24"/>
          <w:highlight w:val="none"/>
        </w:rPr>
        <w:fldChar w:fldCharType="begin"/>
      </w:r>
      <w:r>
        <w:rPr>
          <w:sz w:val="24"/>
          <w:szCs w:val="24"/>
          <w:highlight w:val="none"/>
        </w:rPr>
        <w:instrText xml:space="preserve"> PAGEREF _Toc24768 \h </w:instrText>
      </w:r>
      <w:r>
        <w:rPr>
          <w:sz w:val="24"/>
          <w:szCs w:val="24"/>
          <w:highlight w:val="none"/>
        </w:rPr>
        <w:fldChar w:fldCharType="separate"/>
      </w:r>
      <w:r>
        <w:rPr>
          <w:sz w:val="24"/>
          <w:szCs w:val="24"/>
          <w:highlight w:val="none"/>
        </w:rPr>
        <w:t>17</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69F7B6A3">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_Toc20958 </w:instrText>
      </w:r>
      <w:r>
        <w:rPr>
          <w:rFonts w:hint="eastAsia" w:ascii="宋体" w:hAnsi="宋体" w:eastAsia="宋体" w:cs="宋体"/>
          <w:sz w:val="24"/>
          <w:szCs w:val="24"/>
          <w:highlight w:val="none"/>
        </w:rPr>
        <w:fldChar w:fldCharType="separate"/>
      </w:r>
      <w:r>
        <w:rPr>
          <w:rFonts w:hint="eastAsia" w:ascii="宋体" w:hAnsi="宋体" w:eastAsia="宋体" w:cs="宋体"/>
          <w:bCs/>
          <w:spacing w:val="-5"/>
          <w:sz w:val="24"/>
          <w:szCs w:val="24"/>
          <w:highlight w:val="none"/>
        </w:rPr>
        <w:t>8</w:t>
      </w:r>
      <w:r>
        <w:rPr>
          <w:rFonts w:hint="eastAsia" w:ascii="宋体" w:hAnsi="宋体" w:eastAsia="宋体" w:cs="宋体"/>
          <w:bCs/>
          <w:spacing w:val="-23"/>
          <w:sz w:val="24"/>
          <w:szCs w:val="24"/>
          <w:highlight w:val="none"/>
        </w:rPr>
        <w:t xml:space="preserve"> </w:t>
      </w:r>
      <w:r>
        <w:rPr>
          <w:rFonts w:hint="eastAsia" w:ascii="宋体" w:hAnsi="宋体" w:eastAsia="宋体" w:cs="宋体"/>
          <w:bCs/>
          <w:spacing w:val="-5"/>
          <w:sz w:val="24"/>
          <w:szCs w:val="24"/>
          <w:highlight w:val="none"/>
        </w:rPr>
        <w:t>．</w:t>
      </w:r>
      <w:r>
        <w:rPr>
          <w:rFonts w:hint="eastAsia" w:ascii="宋体" w:hAnsi="宋体" w:eastAsia="宋体" w:cs="宋体"/>
          <w:bCs/>
          <w:spacing w:val="-1"/>
          <w:sz w:val="24"/>
          <w:szCs w:val="24"/>
          <w:highlight w:val="none"/>
          <w:lang w:eastAsia="zh-CN"/>
        </w:rPr>
        <w:t>最高投标限价</w:t>
      </w:r>
      <w:r>
        <w:rPr>
          <w:sz w:val="24"/>
          <w:szCs w:val="24"/>
          <w:highlight w:val="none"/>
        </w:rPr>
        <w:tab/>
      </w:r>
      <w:r>
        <w:rPr>
          <w:sz w:val="24"/>
          <w:szCs w:val="24"/>
          <w:highlight w:val="none"/>
        </w:rPr>
        <w:fldChar w:fldCharType="begin"/>
      </w:r>
      <w:r>
        <w:rPr>
          <w:sz w:val="24"/>
          <w:szCs w:val="24"/>
          <w:highlight w:val="none"/>
        </w:rPr>
        <w:instrText xml:space="preserve"> PAGEREF _Toc20958 \h </w:instrText>
      </w:r>
      <w:r>
        <w:rPr>
          <w:sz w:val="24"/>
          <w:szCs w:val="24"/>
          <w:highlight w:val="none"/>
        </w:rPr>
        <w:fldChar w:fldCharType="separate"/>
      </w:r>
      <w:r>
        <w:rPr>
          <w:sz w:val="24"/>
          <w:szCs w:val="24"/>
          <w:highlight w:val="none"/>
        </w:rPr>
        <w:t>17</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67F9B4D5">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_Toc6911 </w:instrText>
      </w:r>
      <w:r>
        <w:rPr>
          <w:rFonts w:hint="eastAsia" w:ascii="宋体" w:hAnsi="宋体" w:eastAsia="宋体" w:cs="宋体"/>
          <w:sz w:val="24"/>
          <w:szCs w:val="24"/>
          <w:highlight w:val="none"/>
        </w:rPr>
        <w:fldChar w:fldCharType="separate"/>
      </w:r>
      <w:r>
        <w:rPr>
          <w:rFonts w:hint="eastAsia" w:ascii="宋体" w:hAnsi="宋体" w:eastAsia="宋体" w:cs="宋体"/>
          <w:bCs/>
          <w:spacing w:val="-8"/>
          <w:sz w:val="24"/>
          <w:szCs w:val="24"/>
          <w:highlight w:val="none"/>
        </w:rPr>
        <w:t>9</w:t>
      </w:r>
      <w:r>
        <w:rPr>
          <w:rFonts w:hint="eastAsia" w:ascii="宋体" w:hAnsi="宋体" w:eastAsia="宋体" w:cs="宋体"/>
          <w:bCs/>
          <w:spacing w:val="-29"/>
          <w:sz w:val="24"/>
          <w:szCs w:val="24"/>
          <w:highlight w:val="none"/>
        </w:rPr>
        <w:t xml:space="preserve"> </w:t>
      </w:r>
      <w:r>
        <w:rPr>
          <w:rFonts w:hint="eastAsia" w:ascii="宋体" w:hAnsi="宋体" w:eastAsia="宋体" w:cs="宋体"/>
          <w:bCs/>
          <w:spacing w:val="-8"/>
          <w:sz w:val="24"/>
          <w:szCs w:val="24"/>
          <w:highlight w:val="none"/>
        </w:rPr>
        <w:t>．投标报价</w:t>
      </w:r>
      <w:r>
        <w:rPr>
          <w:sz w:val="24"/>
          <w:szCs w:val="24"/>
          <w:highlight w:val="none"/>
        </w:rPr>
        <w:tab/>
      </w:r>
      <w:r>
        <w:rPr>
          <w:sz w:val="24"/>
          <w:szCs w:val="24"/>
          <w:highlight w:val="none"/>
        </w:rPr>
        <w:fldChar w:fldCharType="begin"/>
      </w:r>
      <w:r>
        <w:rPr>
          <w:sz w:val="24"/>
          <w:szCs w:val="24"/>
          <w:highlight w:val="none"/>
        </w:rPr>
        <w:instrText xml:space="preserve"> PAGEREF _Toc6911 \h </w:instrText>
      </w:r>
      <w:r>
        <w:rPr>
          <w:sz w:val="24"/>
          <w:szCs w:val="24"/>
          <w:highlight w:val="none"/>
        </w:rPr>
        <w:fldChar w:fldCharType="separate"/>
      </w:r>
      <w:r>
        <w:rPr>
          <w:sz w:val="24"/>
          <w:szCs w:val="24"/>
          <w:highlight w:val="none"/>
        </w:rPr>
        <w:t>19</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1573E19F">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_Toc23711 </w:instrText>
      </w:r>
      <w:r>
        <w:rPr>
          <w:rFonts w:hint="eastAsia" w:ascii="宋体" w:hAnsi="宋体" w:eastAsia="宋体" w:cs="宋体"/>
          <w:sz w:val="24"/>
          <w:szCs w:val="24"/>
          <w:highlight w:val="none"/>
        </w:rPr>
        <w:fldChar w:fldCharType="separate"/>
      </w:r>
      <w:r>
        <w:rPr>
          <w:rFonts w:hint="eastAsia" w:ascii="宋体" w:hAnsi="宋体" w:eastAsia="宋体" w:cs="宋体"/>
          <w:bCs/>
          <w:spacing w:val="-6"/>
          <w:sz w:val="24"/>
          <w:szCs w:val="24"/>
          <w:highlight w:val="none"/>
        </w:rPr>
        <w:t>10</w:t>
      </w:r>
      <w:r>
        <w:rPr>
          <w:rFonts w:hint="eastAsia" w:ascii="宋体" w:hAnsi="宋体" w:eastAsia="宋体" w:cs="宋体"/>
          <w:bCs/>
          <w:spacing w:val="-21"/>
          <w:sz w:val="24"/>
          <w:szCs w:val="24"/>
          <w:highlight w:val="none"/>
        </w:rPr>
        <w:t xml:space="preserve"> </w:t>
      </w:r>
      <w:r>
        <w:rPr>
          <w:rFonts w:hint="eastAsia" w:ascii="宋体" w:hAnsi="宋体" w:eastAsia="宋体" w:cs="宋体"/>
          <w:bCs/>
          <w:spacing w:val="-6"/>
          <w:sz w:val="24"/>
          <w:szCs w:val="24"/>
          <w:highlight w:val="none"/>
        </w:rPr>
        <w:t>．投标文件的编制要求</w:t>
      </w:r>
      <w:r>
        <w:rPr>
          <w:sz w:val="24"/>
          <w:szCs w:val="24"/>
          <w:highlight w:val="none"/>
        </w:rPr>
        <w:tab/>
      </w:r>
      <w:r>
        <w:rPr>
          <w:sz w:val="24"/>
          <w:szCs w:val="24"/>
          <w:highlight w:val="none"/>
        </w:rPr>
        <w:fldChar w:fldCharType="begin"/>
      </w:r>
      <w:r>
        <w:rPr>
          <w:sz w:val="24"/>
          <w:szCs w:val="24"/>
          <w:highlight w:val="none"/>
        </w:rPr>
        <w:instrText xml:space="preserve"> PAGEREF _Toc23711 \h </w:instrText>
      </w:r>
      <w:r>
        <w:rPr>
          <w:sz w:val="24"/>
          <w:szCs w:val="24"/>
          <w:highlight w:val="none"/>
        </w:rPr>
        <w:fldChar w:fldCharType="separate"/>
      </w:r>
      <w:r>
        <w:rPr>
          <w:sz w:val="24"/>
          <w:szCs w:val="24"/>
          <w:highlight w:val="none"/>
        </w:rPr>
        <w:t>20</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6D48DC72">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_Toc10599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9"/>
          <w:sz w:val="24"/>
          <w:szCs w:val="24"/>
          <w:highlight w:val="none"/>
        </w:rPr>
        <w:t>11.</w:t>
      </w:r>
      <w:r>
        <w:rPr>
          <w:rFonts w:hint="eastAsia" w:ascii="宋体" w:hAnsi="宋体" w:eastAsia="宋体" w:cs="宋体"/>
          <w:bCs/>
          <w:spacing w:val="20"/>
          <w:sz w:val="24"/>
          <w:szCs w:val="24"/>
          <w:highlight w:val="none"/>
        </w:rPr>
        <w:t xml:space="preserve"> </w:t>
      </w:r>
      <w:r>
        <w:rPr>
          <w:rFonts w:hint="eastAsia" w:ascii="宋体" w:hAnsi="宋体" w:eastAsia="宋体" w:cs="宋体"/>
          <w:spacing w:val="-9"/>
          <w:sz w:val="24"/>
          <w:szCs w:val="24"/>
          <w:highlight w:val="none"/>
        </w:rPr>
        <w:t>电子投标：</w:t>
      </w:r>
      <w:r>
        <w:rPr>
          <w:sz w:val="24"/>
          <w:szCs w:val="24"/>
          <w:highlight w:val="none"/>
        </w:rPr>
        <w:tab/>
      </w:r>
      <w:r>
        <w:rPr>
          <w:sz w:val="24"/>
          <w:szCs w:val="24"/>
          <w:highlight w:val="none"/>
        </w:rPr>
        <w:fldChar w:fldCharType="begin"/>
      </w:r>
      <w:r>
        <w:rPr>
          <w:sz w:val="24"/>
          <w:szCs w:val="24"/>
          <w:highlight w:val="none"/>
        </w:rPr>
        <w:instrText xml:space="preserve"> PAGEREF _Toc10599 \h </w:instrText>
      </w:r>
      <w:r>
        <w:rPr>
          <w:sz w:val="24"/>
          <w:szCs w:val="24"/>
          <w:highlight w:val="none"/>
        </w:rPr>
        <w:fldChar w:fldCharType="separate"/>
      </w:r>
      <w:r>
        <w:rPr>
          <w:sz w:val="24"/>
          <w:szCs w:val="24"/>
          <w:highlight w:val="none"/>
        </w:rPr>
        <w:t>23</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BD3E4D0">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_Toc5126 </w:instrText>
      </w:r>
      <w:r>
        <w:rPr>
          <w:rFonts w:hint="eastAsia" w:ascii="宋体" w:hAnsi="宋体" w:eastAsia="宋体" w:cs="宋体"/>
          <w:sz w:val="24"/>
          <w:szCs w:val="24"/>
          <w:highlight w:val="none"/>
        </w:rPr>
        <w:fldChar w:fldCharType="separate"/>
      </w:r>
      <w:r>
        <w:rPr>
          <w:rFonts w:hint="eastAsia" w:ascii="宋体" w:hAnsi="宋体" w:eastAsia="宋体" w:cs="宋体"/>
          <w:bCs/>
          <w:spacing w:val="-9"/>
          <w:sz w:val="24"/>
          <w:szCs w:val="24"/>
          <w:highlight w:val="none"/>
          <w:lang w:val="en-US" w:eastAsia="zh-CN"/>
        </w:rPr>
        <w:t>12.</w:t>
      </w:r>
      <w:r>
        <w:rPr>
          <w:rFonts w:hint="eastAsia" w:ascii="宋体" w:hAnsi="宋体" w:eastAsia="宋体" w:cs="宋体"/>
          <w:bCs/>
          <w:spacing w:val="22"/>
          <w:w w:val="101"/>
          <w:sz w:val="24"/>
          <w:szCs w:val="24"/>
          <w:highlight w:val="none"/>
        </w:rPr>
        <w:t xml:space="preserve"> </w:t>
      </w:r>
      <w:r>
        <w:rPr>
          <w:rFonts w:hint="eastAsia" w:ascii="宋体" w:hAnsi="宋体" w:eastAsia="宋体" w:cs="宋体"/>
          <w:bCs/>
          <w:spacing w:val="-4"/>
          <w:sz w:val="24"/>
          <w:szCs w:val="24"/>
          <w:highlight w:val="none"/>
        </w:rPr>
        <w:t>电子投标及投标解密失败及突发情况的补救方案</w:t>
      </w:r>
      <w:r>
        <w:rPr>
          <w:sz w:val="24"/>
          <w:szCs w:val="24"/>
          <w:highlight w:val="none"/>
        </w:rPr>
        <w:tab/>
      </w:r>
      <w:r>
        <w:rPr>
          <w:sz w:val="24"/>
          <w:szCs w:val="24"/>
          <w:highlight w:val="none"/>
        </w:rPr>
        <w:fldChar w:fldCharType="begin"/>
      </w:r>
      <w:r>
        <w:rPr>
          <w:sz w:val="24"/>
          <w:szCs w:val="24"/>
          <w:highlight w:val="none"/>
        </w:rPr>
        <w:instrText xml:space="preserve"> PAGEREF _Toc5126 \h </w:instrText>
      </w:r>
      <w:r>
        <w:rPr>
          <w:sz w:val="24"/>
          <w:szCs w:val="24"/>
          <w:highlight w:val="none"/>
        </w:rPr>
        <w:fldChar w:fldCharType="separate"/>
      </w:r>
      <w:r>
        <w:rPr>
          <w:sz w:val="24"/>
          <w:szCs w:val="24"/>
          <w:highlight w:val="none"/>
        </w:rPr>
        <w:t>24</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547427C0">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_Toc3957 </w:instrText>
      </w:r>
      <w:r>
        <w:rPr>
          <w:rFonts w:hint="eastAsia" w:ascii="宋体" w:hAnsi="宋体" w:eastAsia="宋体" w:cs="宋体"/>
          <w:sz w:val="24"/>
          <w:szCs w:val="24"/>
          <w:highlight w:val="none"/>
        </w:rPr>
        <w:fldChar w:fldCharType="separate"/>
      </w:r>
      <w:r>
        <w:rPr>
          <w:rFonts w:hint="eastAsia" w:ascii="宋体" w:hAnsi="宋体" w:eastAsia="宋体" w:cs="宋体"/>
          <w:bCs/>
          <w:spacing w:val="-7"/>
          <w:sz w:val="24"/>
          <w:szCs w:val="24"/>
          <w:highlight w:val="none"/>
        </w:rPr>
        <w:t>13</w:t>
      </w:r>
      <w:r>
        <w:rPr>
          <w:rFonts w:hint="eastAsia" w:ascii="宋体" w:hAnsi="宋体" w:eastAsia="宋体" w:cs="宋体"/>
          <w:bCs/>
          <w:spacing w:val="-23"/>
          <w:sz w:val="24"/>
          <w:szCs w:val="24"/>
          <w:highlight w:val="none"/>
        </w:rPr>
        <w:t xml:space="preserve"> </w:t>
      </w:r>
      <w:r>
        <w:rPr>
          <w:rFonts w:hint="eastAsia" w:ascii="宋体" w:hAnsi="宋体" w:eastAsia="宋体" w:cs="宋体"/>
          <w:bCs/>
          <w:spacing w:val="-7"/>
          <w:sz w:val="24"/>
          <w:szCs w:val="24"/>
          <w:highlight w:val="none"/>
        </w:rPr>
        <w:t>．投标文件的提交</w:t>
      </w:r>
      <w:r>
        <w:rPr>
          <w:sz w:val="24"/>
          <w:szCs w:val="24"/>
          <w:highlight w:val="none"/>
        </w:rPr>
        <w:tab/>
      </w:r>
      <w:r>
        <w:rPr>
          <w:sz w:val="24"/>
          <w:szCs w:val="24"/>
          <w:highlight w:val="none"/>
        </w:rPr>
        <w:fldChar w:fldCharType="begin"/>
      </w:r>
      <w:r>
        <w:rPr>
          <w:sz w:val="24"/>
          <w:szCs w:val="24"/>
          <w:highlight w:val="none"/>
        </w:rPr>
        <w:instrText xml:space="preserve"> PAGEREF _Toc3957 \h </w:instrText>
      </w:r>
      <w:r>
        <w:rPr>
          <w:sz w:val="24"/>
          <w:szCs w:val="24"/>
          <w:highlight w:val="none"/>
        </w:rPr>
        <w:fldChar w:fldCharType="separate"/>
      </w:r>
      <w:r>
        <w:rPr>
          <w:sz w:val="24"/>
          <w:szCs w:val="24"/>
          <w:highlight w:val="none"/>
        </w:rPr>
        <w:t>24</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56683DDA">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_Toc8365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rPr>
        <w:t>14</w:t>
      </w:r>
      <w:r>
        <w:rPr>
          <w:rFonts w:hint="eastAsia" w:ascii="宋体" w:hAnsi="宋体" w:eastAsia="宋体" w:cs="宋体"/>
          <w:bCs/>
          <w:spacing w:val="-28"/>
          <w:sz w:val="24"/>
          <w:szCs w:val="24"/>
          <w:highlight w:val="none"/>
        </w:rPr>
        <w:t xml:space="preserve"> </w:t>
      </w:r>
      <w:r>
        <w:rPr>
          <w:rFonts w:hint="eastAsia" w:ascii="宋体" w:hAnsi="宋体" w:eastAsia="宋体" w:cs="宋体"/>
          <w:bCs/>
          <w:spacing w:val="-11"/>
          <w:sz w:val="24"/>
          <w:szCs w:val="24"/>
          <w:highlight w:val="none"/>
        </w:rPr>
        <w:t>．开标</w:t>
      </w:r>
      <w:r>
        <w:rPr>
          <w:sz w:val="24"/>
          <w:szCs w:val="24"/>
          <w:highlight w:val="none"/>
        </w:rPr>
        <w:tab/>
      </w:r>
      <w:r>
        <w:rPr>
          <w:sz w:val="24"/>
          <w:szCs w:val="24"/>
          <w:highlight w:val="none"/>
        </w:rPr>
        <w:fldChar w:fldCharType="begin"/>
      </w:r>
      <w:r>
        <w:rPr>
          <w:sz w:val="24"/>
          <w:szCs w:val="24"/>
          <w:highlight w:val="none"/>
        </w:rPr>
        <w:instrText xml:space="preserve"> PAGEREF _Toc8365 \h </w:instrText>
      </w:r>
      <w:r>
        <w:rPr>
          <w:sz w:val="24"/>
          <w:szCs w:val="24"/>
          <w:highlight w:val="none"/>
        </w:rPr>
        <w:fldChar w:fldCharType="separate"/>
      </w:r>
      <w:r>
        <w:rPr>
          <w:sz w:val="24"/>
          <w:szCs w:val="24"/>
          <w:highlight w:val="none"/>
        </w:rPr>
        <w:t>25</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6E81D098">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_Toc554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rPr>
        <w:t>15</w:t>
      </w:r>
      <w:r>
        <w:rPr>
          <w:rFonts w:hint="eastAsia" w:ascii="宋体" w:hAnsi="宋体" w:eastAsia="宋体" w:cs="宋体"/>
          <w:bCs/>
          <w:spacing w:val="-28"/>
          <w:sz w:val="24"/>
          <w:szCs w:val="24"/>
          <w:highlight w:val="none"/>
        </w:rPr>
        <w:t xml:space="preserve"> </w:t>
      </w:r>
      <w:r>
        <w:rPr>
          <w:rFonts w:hint="eastAsia" w:ascii="宋体" w:hAnsi="宋体" w:eastAsia="宋体" w:cs="宋体"/>
          <w:bCs/>
          <w:spacing w:val="-11"/>
          <w:sz w:val="24"/>
          <w:szCs w:val="24"/>
          <w:highlight w:val="none"/>
        </w:rPr>
        <w:t>．评标</w:t>
      </w:r>
      <w:r>
        <w:rPr>
          <w:sz w:val="24"/>
          <w:szCs w:val="24"/>
          <w:highlight w:val="none"/>
        </w:rPr>
        <w:tab/>
      </w:r>
      <w:r>
        <w:rPr>
          <w:sz w:val="24"/>
          <w:szCs w:val="24"/>
          <w:highlight w:val="none"/>
        </w:rPr>
        <w:fldChar w:fldCharType="begin"/>
      </w:r>
      <w:r>
        <w:rPr>
          <w:sz w:val="24"/>
          <w:szCs w:val="24"/>
          <w:highlight w:val="none"/>
        </w:rPr>
        <w:instrText xml:space="preserve"> PAGEREF _Toc554 \h </w:instrText>
      </w:r>
      <w:r>
        <w:rPr>
          <w:sz w:val="24"/>
          <w:szCs w:val="24"/>
          <w:highlight w:val="none"/>
        </w:rPr>
        <w:fldChar w:fldCharType="separate"/>
      </w:r>
      <w:r>
        <w:rPr>
          <w:sz w:val="24"/>
          <w:szCs w:val="24"/>
          <w:highlight w:val="none"/>
        </w:rPr>
        <w:t>26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6199EAB8">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ind w:firstLine="436" w:firstLineChars="200"/>
        <w:textAlignment w:val="baseline"/>
        <w:rPr>
          <w:sz w:val="24"/>
          <w:szCs w:val="24"/>
          <w:highlight w:val="none"/>
        </w:rPr>
      </w:pPr>
      <w:r>
        <w:rPr>
          <w:rFonts w:hint="eastAsia" w:ascii="宋体" w:hAnsi="宋体" w:eastAsia="宋体" w:cs="宋体"/>
          <w:bCs/>
          <w:snapToGrid w:val="0"/>
          <w:color w:val="000000"/>
          <w:spacing w:val="-11"/>
          <w:sz w:val="24"/>
          <w:szCs w:val="24"/>
          <w:highlight w:val="none"/>
          <w:lang w:val="en-US" w:eastAsia="en-US" w:bidi="ar-SA"/>
        </w:rPr>
        <w:t>16</w:t>
      </w:r>
      <w:r>
        <w:rPr>
          <w:rFonts w:hint="eastAsia" w:ascii="宋体" w:hAnsi="宋体" w:eastAsia="宋体" w:cs="宋体"/>
          <w:bCs/>
          <w:snapToGrid w:val="0"/>
          <w:color w:val="000000"/>
          <w:spacing w:val="-11"/>
          <w:sz w:val="24"/>
          <w:szCs w:val="24"/>
          <w:highlight w:val="none"/>
          <w:lang w:val="en-US" w:eastAsia="zh-CN" w:bidi="ar-SA"/>
        </w:rPr>
        <w:t>.  评标结果公示</w:t>
      </w: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_Toc32569 </w:instrText>
      </w:r>
      <w:r>
        <w:rPr>
          <w:rFonts w:hint="eastAsia" w:ascii="宋体" w:hAnsi="宋体" w:eastAsia="宋体" w:cs="宋体"/>
          <w:sz w:val="24"/>
          <w:szCs w:val="24"/>
          <w:highlight w:val="none"/>
        </w:rPr>
        <w:fldChar w:fldCharType="separate"/>
      </w:r>
      <w:r>
        <w:rPr>
          <w:sz w:val="24"/>
          <w:szCs w:val="24"/>
          <w:highlight w:val="none"/>
        </w:rPr>
        <w:tab/>
      </w:r>
      <w:r>
        <w:rPr>
          <w:sz w:val="24"/>
          <w:szCs w:val="24"/>
          <w:highlight w:val="none"/>
        </w:rPr>
        <w:fldChar w:fldCharType="begin"/>
      </w:r>
      <w:r>
        <w:rPr>
          <w:sz w:val="24"/>
          <w:szCs w:val="24"/>
          <w:highlight w:val="none"/>
        </w:rPr>
        <w:instrText xml:space="preserve"> PAGEREF _Toc32569 \h </w:instrText>
      </w:r>
      <w:r>
        <w:rPr>
          <w:sz w:val="24"/>
          <w:szCs w:val="24"/>
          <w:highlight w:val="none"/>
        </w:rPr>
        <w:fldChar w:fldCharType="separate"/>
      </w:r>
      <w:r>
        <w:rPr>
          <w:sz w:val="24"/>
          <w:szCs w:val="24"/>
          <w:highlight w:val="none"/>
        </w:rPr>
        <w:t>36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E411346">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_Toc16554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第四节</w:t>
      </w:r>
      <w:r>
        <w:rPr>
          <w:rFonts w:hint="eastAsia" w:ascii="宋体" w:hAnsi="宋体" w:eastAsia="宋体" w:cs="宋体"/>
          <w:spacing w:val="-3"/>
          <w:sz w:val="24"/>
          <w:szCs w:val="24"/>
          <w:highlight w:val="none"/>
        </w:rPr>
        <w:t xml:space="preserve"> </w:t>
      </w:r>
      <w:r>
        <w:rPr>
          <w:rFonts w:hint="eastAsia" w:ascii="宋体" w:hAnsi="宋体" w:eastAsia="宋体" w:cs="宋体"/>
          <w:bCs/>
          <w:spacing w:val="-3"/>
          <w:sz w:val="24"/>
          <w:szCs w:val="24"/>
          <w:highlight w:val="none"/>
        </w:rPr>
        <w:t>否决投标条件</w:t>
      </w:r>
      <w:r>
        <w:rPr>
          <w:sz w:val="24"/>
          <w:szCs w:val="24"/>
          <w:highlight w:val="none"/>
        </w:rPr>
        <w:tab/>
      </w:r>
      <w:r>
        <w:rPr>
          <w:sz w:val="24"/>
          <w:szCs w:val="24"/>
          <w:highlight w:val="none"/>
        </w:rPr>
        <w:fldChar w:fldCharType="begin"/>
      </w:r>
      <w:r>
        <w:rPr>
          <w:sz w:val="24"/>
          <w:szCs w:val="24"/>
          <w:highlight w:val="none"/>
        </w:rPr>
        <w:instrText xml:space="preserve"> PAGEREF _Toc16554 \h </w:instrText>
      </w:r>
      <w:r>
        <w:rPr>
          <w:sz w:val="24"/>
          <w:szCs w:val="24"/>
          <w:highlight w:val="none"/>
        </w:rPr>
        <w:fldChar w:fldCharType="separate"/>
      </w:r>
      <w:r>
        <w:rPr>
          <w:sz w:val="24"/>
          <w:szCs w:val="24"/>
          <w:highlight w:val="none"/>
        </w:rPr>
        <w:t>38</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7C34CC32">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_Toc15082 </w:instrText>
      </w:r>
      <w:r>
        <w:rPr>
          <w:rFonts w:hint="eastAsia" w:ascii="宋体" w:hAnsi="宋体" w:eastAsia="宋体" w:cs="宋体"/>
          <w:sz w:val="24"/>
          <w:szCs w:val="24"/>
          <w:highlight w:val="none"/>
        </w:rPr>
        <w:fldChar w:fldCharType="separate"/>
      </w:r>
      <w:r>
        <w:rPr>
          <w:rFonts w:hint="eastAsia" w:ascii="宋体" w:hAnsi="宋体" w:eastAsia="宋体" w:cs="宋体"/>
          <w:bCs/>
          <w:spacing w:val="-8"/>
          <w:sz w:val="24"/>
          <w:szCs w:val="24"/>
          <w:highlight w:val="none"/>
        </w:rPr>
        <w:t>1</w:t>
      </w:r>
      <w:r>
        <w:rPr>
          <w:rFonts w:hint="eastAsia" w:ascii="宋体" w:hAnsi="宋体" w:eastAsia="宋体" w:cs="宋体"/>
          <w:bCs/>
          <w:spacing w:val="-26"/>
          <w:sz w:val="24"/>
          <w:szCs w:val="24"/>
          <w:highlight w:val="none"/>
        </w:rPr>
        <w:t xml:space="preserve"> </w:t>
      </w:r>
      <w:r>
        <w:rPr>
          <w:rFonts w:hint="eastAsia" w:ascii="宋体" w:hAnsi="宋体" w:eastAsia="宋体" w:cs="宋体"/>
          <w:bCs/>
          <w:spacing w:val="-8"/>
          <w:sz w:val="24"/>
          <w:szCs w:val="24"/>
          <w:highlight w:val="none"/>
        </w:rPr>
        <w:t>．资格评审环节</w:t>
      </w:r>
      <w:r>
        <w:rPr>
          <w:sz w:val="24"/>
          <w:szCs w:val="24"/>
          <w:highlight w:val="none"/>
        </w:rPr>
        <w:tab/>
      </w:r>
      <w:r>
        <w:rPr>
          <w:sz w:val="24"/>
          <w:szCs w:val="24"/>
          <w:highlight w:val="none"/>
        </w:rPr>
        <w:fldChar w:fldCharType="begin"/>
      </w:r>
      <w:r>
        <w:rPr>
          <w:sz w:val="24"/>
          <w:szCs w:val="24"/>
          <w:highlight w:val="none"/>
        </w:rPr>
        <w:instrText xml:space="preserve"> PAGEREF _Toc15082 \h </w:instrText>
      </w:r>
      <w:r>
        <w:rPr>
          <w:sz w:val="24"/>
          <w:szCs w:val="24"/>
          <w:highlight w:val="none"/>
        </w:rPr>
        <w:fldChar w:fldCharType="separate"/>
      </w:r>
      <w:r>
        <w:rPr>
          <w:sz w:val="24"/>
          <w:szCs w:val="24"/>
          <w:highlight w:val="none"/>
        </w:rPr>
        <w:t>38</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7C8592D7">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_Toc5925 </w:instrText>
      </w:r>
      <w:r>
        <w:rPr>
          <w:rFonts w:hint="eastAsia" w:ascii="宋体" w:hAnsi="宋体" w:eastAsia="宋体" w:cs="宋体"/>
          <w:sz w:val="24"/>
          <w:szCs w:val="24"/>
          <w:highlight w:val="none"/>
        </w:rPr>
        <w:fldChar w:fldCharType="separate"/>
      </w:r>
      <w:r>
        <w:rPr>
          <w:rFonts w:hint="eastAsia" w:ascii="宋体" w:hAnsi="宋体" w:eastAsia="宋体" w:cs="宋体"/>
          <w:bCs/>
          <w:spacing w:val="-7"/>
          <w:sz w:val="24"/>
          <w:szCs w:val="24"/>
          <w:highlight w:val="none"/>
        </w:rPr>
        <w:t>2</w:t>
      </w:r>
      <w:r>
        <w:rPr>
          <w:rFonts w:hint="eastAsia" w:ascii="宋体" w:hAnsi="宋体" w:eastAsia="宋体" w:cs="宋体"/>
          <w:bCs/>
          <w:spacing w:val="-24"/>
          <w:sz w:val="24"/>
          <w:szCs w:val="24"/>
          <w:highlight w:val="none"/>
        </w:rPr>
        <w:t xml:space="preserve"> </w:t>
      </w:r>
      <w:r>
        <w:rPr>
          <w:rFonts w:hint="eastAsia" w:ascii="宋体" w:hAnsi="宋体" w:eastAsia="宋体" w:cs="宋体"/>
          <w:bCs/>
          <w:spacing w:val="-7"/>
          <w:sz w:val="24"/>
          <w:szCs w:val="24"/>
          <w:highlight w:val="none"/>
        </w:rPr>
        <w:t>．形式评审环节</w:t>
      </w:r>
      <w:r>
        <w:rPr>
          <w:sz w:val="24"/>
          <w:szCs w:val="24"/>
          <w:highlight w:val="none"/>
        </w:rPr>
        <w:tab/>
      </w:r>
      <w:r>
        <w:rPr>
          <w:sz w:val="24"/>
          <w:szCs w:val="24"/>
          <w:highlight w:val="none"/>
        </w:rPr>
        <w:fldChar w:fldCharType="begin"/>
      </w:r>
      <w:r>
        <w:rPr>
          <w:sz w:val="24"/>
          <w:szCs w:val="24"/>
          <w:highlight w:val="none"/>
        </w:rPr>
        <w:instrText xml:space="preserve"> PAGEREF _Toc5925 \h </w:instrText>
      </w:r>
      <w:r>
        <w:rPr>
          <w:sz w:val="24"/>
          <w:szCs w:val="24"/>
          <w:highlight w:val="none"/>
        </w:rPr>
        <w:fldChar w:fldCharType="separate"/>
      </w:r>
      <w:r>
        <w:rPr>
          <w:sz w:val="24"/>
          <w:szCs w:val="24"/>
          <w:highlight w:val="none"/>
        </w:rPr>
        <w:t>39</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1F84F8B0">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_Toc19828 </w:instrText>
      </w:r>
      <w:r>
        <w:rPr>
          <w:rFonts w:hint="eastAsia" w:ascii="宋体" w:hAnsi="宋体" w:eastAsia="宋体" w:cs="宋体"/>
          <w:sz w:val="24"/>
          <w:szCs w:val="24"/>
          <w:highlight w:val="none"/>
        </w:rPr>
        <w:fldChar w:fldCharType="separate"/>
      </w:r>
      <w:r>
        <w:rPr>
          <w:rFonts w:hint="eastAsia" w:ascii="宋体" w:hAnsi="宋体" w:eastAsia="宋体" w:cs="宋体"/>
          <w:bCs/>
          <w:spacing w:val="-6"/>
          <w:sz w:val="24"/>
          <w:szCs w:val="24"/>
          <w:highlight w:val="none"/>
        </w:rPr>
        <w:t>3</w:t>
      </w:r>
      <w:r>
        <w:rPr>
          <w:rFonts w:hint="eastAsia" w:ascii="宋体" w:hAnsi="宋体" w:eastAsia="宋体" w:cs="宋体"/>
          <w:bCs/>
          <w:spacing w:val="-24"/>
          <w:sz w:val="24"/>
          <w:szCs w:val="24"/>
          <w:highlight w:val="none"/>
        </w:rPr>
        <w:t xml:space="preserve"> </w:t>
      </w:r>
      <w:r>
        <w:rPr>
          <w:rFonts w:hint="eastAsia" w:ascii="宋体" w:hAnsi="宋体" w:eastAsia="宋体" w:cs="宋体"/>
          <w:bCs/>
          <w:spacing w:val="-6"/>
          <w:sz w:val="24"/>
          <w:szCs w:val="24"/>
          <w:highlight w:val="none"/>
        </w:rPr>
        <w:t>．响应性评审环节</w:t>
      </w:r>
      <w:r>
        <w:rPr>
          <w:sz w:val="24"/>
          <w:szCs w:val="24"/>
          <w:highlight w:val="none"/>
        </w:rPr>
        <w:tab/>
      </w:r>
      <w:r>
        <w:rPr>
          <w:sz w:val="24"/>
          <w:szCs w:val="24"/>
          <w:highlight w:val="none"/>
        </w:rPr>
        <w:fldChar w:fldCharType="begin"/>
      </w:r>
      <w:r>
        <w:rPr>
          <w:sz w:val="24"/>
          <w:szCs w:val="24"/>
          <w:highlight w:val="none"/>
        </w:rPr>
        <w:instrText xml:space="preserve"> PAGEREF _Toc19828 \h </w:instrText>
      </w:r>
      <w:r>
        <w:rPr>
          <w:sz w:val="24"/>
          <w:szCs w:val="24"/>
          <w:highlight w:val="none"/>
        </w:rPr>
        <w:fldChar w:fldCharType="separate"/>
      </w:r>
      <w:r>
        <w:rPr>
          <w:sz w:val="24"/>
          <w:szCs w:val="24"/>
          <w:highlight w:val="none"/>
        </w:rPr>
        <w:t>39</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16972F3E">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_Toc1458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rPr>
        <w:t>4</w:t>
      </w:r>
      <w:r>
        <w:rPr>
          <w:rFonts w:hint="eastAsia" w:ascii="宋体" w:hAnsi="宋体" w:eastAsia="宋体" w:cs="宋体"/>
          <w:bCs/>
          <w:spacing w:val="-29"/>
          <w:sz w:val="24"/>
          <w:szCs w:val="24"/>
          <w:highlight w:val="none"/>
        </w:rPr>
        <w:t xml:space="preserve"> </w:t>
      </w:r>
      <w:r>
        <w:rPr>
          <w:rFonts w:hint="eastAsia" w:ascii="宋体" w:hAnsi="宋体" w:eastAsia="宋体" w:cs="宋体"/>
          <w:bCs/>
          <w:spacing w:val="-11"/>
          <w:sz w:val="24"/>
          <w:szCs w:val="24"/>
          <w:highlight w:val="none"/>
        </w:rPr>
        <w:t>．其他</w:t>
      </w:r>
      <w:r>
        <w:rPr>
          <w:sz w:val="24"/>
          <w:szCs w:val="24"/>
          <w:highlight w:val="none"/>
        </w:rPr>
        <w:tab/>
      </w:r>
      <w:r>
        <w:rPr>
          <w:sz w:val="24"/>
          <w:szCs w:val="24"/>
          <w:highlight w:val="none"/>
        </w:rPr>
        <w:fldChar w:fldCharType="begin"/>
      </w:r>
      <w:r>
        <w:rPr>
          <w:sz w:val="24"/>
          <w:szCs w:val="24"/>
          <w:highlight w:val="none"/>
        </w:rPr>
        <w:instrText xml:space="preserve"> PAGEREF _Toc1458 \h </w:instrText>
      </w:r>
      <w:r>
        <w:rPr>
          <w:sz w:val="24"/>
          <w:szCs w:val="24"/>
          <w:highlight w:val="none"/>
        </w:rPr>
        <w:fldChar w:fldCharType="separate"/>
      </w:r>
      <w:r>
        <w:rPr>
          <w:sz w:val="24"/>
          <w:szCs w:val="24"/>
          <w:highlight w:val="none"/>
        </w:rPr>
        <w:t>40</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35354E14">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_Toc22243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w:t>
      </w:r>
      <w:r>
        <w:rPr>
          <w:rFonts w:hint="eastAsia" w:ascii="宋体" w:hAnsi="宋体" w:eastAsia="宋体" w:cs="宋体"/>
          <w:bCs/>
          <w:spacing w:val="-3"/>
          <w:sz w:val="24"/>
          <w:szCs w:val="24"/>
          <w:highlight w:val="none"/>
          <w:lang w:val="en-US" w:eastAsia="zh-CN"/>
        </w:rPr>
        <w:t>五</w:t>
      </w:r>
      <w:r>
        <w:rPr>
          <w:rFonts w:hint="eastAsia" w:ascii="宋体" w:hAnsi="宋体" w:eastAsia="宋体" w:cs="宋体"/>
          <w:bCs/>
          <w:spacing w:val="-3"/>
          <w:sz w:val="24"/>
          <w:szCs w:val="24"/>
          <w:highlight w:val="none"/>
        </w:rPr>
        <w:t>节</w:t>
      </w:r>
      <w:r>
        <w:rPr>
          <w:rFonts w:hint="eastAsia" w:ascii="宋体" w:hAnsi="宋体" w:eastAsia="宋体" w:cs="宋体"/>
          <w:spacing w:val="-3"/>
          <w:sz w:val="24"/>
          <w:szCs w:val="24"/>
          <w:highlight w:val="none"/>
        </w:rPr>
        <w:t xml:space="preserve"> </w:t>
      </w:r>
      <w:r>
        <w:rPr>
          <w:rFonts w:hint="eastAsia" w:ascii="宋体" w:hAnsi="宋体" w:eastAsia="宋体" w:cs="宋体"/>
          <w:bCs/>
          <w:spacing w:val="-3"/>
          <w:sz w:val="24"/>
          <w:szCs w:val="24"/>
          <w:highlight w:val="none"/>
        </w:rPr>
        <w:t>定标规定及细则（本项目采用票决数量法定标）</w:t>
      </w:r>
      <w:r>
        <w:rPr>
          <w:sz w:val="24"/>
          <w:szCs w:val="24"/>
          <w:highlight w:val="none"/>
        </w:rPr>
        <w:tab/>
      </w:r>
      <w:r>
        <w:rPr>
          <w:sz w:val="24"/>
          <w:szCs w:val="24"/>
          <w:highlight w:val="none"/>
        </w:rPr>
        <w:fldChar w:fldCharType="begin"/>
      </w:r>
      <w:r>
        <w:rPr>
          <w:sz w:val="24"/>
          <w:szCs w:val="24"/>
          <w:highlight w:val="none"/>
        </w:rPr>
        <w:instrText xml:space="preserve"> PAGEREF _Toc22243 \h </w:instrText>
      </w:r>
      <w:r>
        <w:rPr>
          <w:sz w:val="24"/>
          <w:szCs w:val="24"/>
          <w:highlight w:val="none"/>
        </w:rPr>
        <w:fldChar w:fldCharType="separate"/>
      </w:r>
      <w:r>
        <w:rPr>
          <w:sz w:val="24"/>
          <w:szCs w:val="24"/>
          <w:highlight w:val="none"/>
        </w:rPr>
        <w:t>41</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72AC5C81">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_Toc4926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w:t>
      </w:r>
      <w:r>
        <w:rPr>
          <w:rFonts w:hint="eastAsia" w:ascii="宋体" w:hAnsi="宋体" w:eastAsia="宋体" w:cs="宋体"/>
          <w:bCs/>
          <w:spacing w:val="-3"/>
          <w:sz w:val="24"/>
          <w:szCs w:val="24"/>
          <w:highlight w:val="none"/>
          <w:lang w:val="en-US" w:eastAsia="zh-CN"/>
        </w:rPr>
        <w:t>六</w:t>
      </w:r>
      <w:r>
        <w:rPr>
          <w:rFonts w:hint="eastAsia" w:ascii="宋体" w:hAnsi="宋体" w:eastAsia="宋体" w:cs="宋体"/>
          <w:bCs/>
          <w:spacing w:val="-3"/>
          <w:sz w:val="24"/>
          <w:szCs w:val="24"/>
          <w:highlight w:val="none"/>
        </w:rPr>
        <w:t>节 中标确认</w:t>
      </w:r>
      <w:r>
        <w:rPr>
          <w:sz w:val="24"/>
          <w:szCs w:val="24"/>
          <w:highlight w:val="none"/>
        </w:rPr>
        <w:tab/>
      </w:r>
      <w:r>
        <w:rPr>
          <w:sz w:val="24"/>
          <w:szCs w:val="24"/>
          <w:highlight w:val="none"/>
        </w:rPr>
        <w:fldChar w:fldCharType="begin"/>
      </w:r>
      <w:r>
        <w:rPr>
          <w:sz w:val="24"/>
          <w:szCs w:val="24"/>
          <w:highlight w:val="none"/>
        </w:rPr>
        <w:instrText xml:space="preserve"> PAGEREF _Toc4926 \h </w:instrText>
      </w:r>
      <w:r>
        <w:rPr>
          <w:sz w:val="24"/>
          <w:szCs w:val="24"/>
          <w:highlight w:val="none"/>
        </w:rPr>
        <w:fldChar w:fldCharType="separate"/>
      </w:r>
      <w:r>
        <w:rPr>
          <w:sz w:val="24"/>
          <w:szCs w:val="24"/>
          <w:highlight w:val="none"/>
        </w:rPr>
        <w:t>44</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5E46E0E0">
      <w:pPr>
        <w:pStyle w:val="9"/>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_Toc13655 </w:instrText>
      </w:r>
      <w:r>
        <w:rPr>
          <w:rFonts w:hint="eastAsia" w:ascii="宋体" w:hAnsi="宋体" w:eastAsia="宋体" w:cs="宋体"/>
          <w:sz w:val="24"/>
          <w:szCs w:val="24"/>
          <w:highlight w:val="none"/>
        </w:rPr>
        <w:fldChar w:fldCharType="separate"/>
      </w:r>
      <w:r>
        <w:rPr>
          <w:rFonts w:hint="eastAsia" w:ascii="宋体" w:hAnsi="宋体" w:eastAsia="宋体" w:cs="宋体"/>
          <w:bCs/>
          <w:spacing w:val="-7"/>
          <w:sz w:val="24"/>
          <w:szCs w:val="24"/>
          <w:highlight w:val="none"/>
        </w:rPr>
        <w:t>第二章</w:t>
      </w:r>
      <w:r>
        <w:rPr>
          <w:rFonts w:hint="eastAsia" w:ascii="宋体" w:hAnsi="宋体" w:eastAsia="宋体" w:cs="宋体"/>
          <w:spacing w:val="32"/>
          <w:sz w:val="24"/>
          <w:szCs w:val="24"/>
          <w:highlight w:val="none"/>
        </w:rPr>
        <w:t xml:space="preserve"> </w:t>
      </w:r>
      <w:r>
        <w:rPr>
          <w:rFonts w:hint="eastAsia" w:ascii="宋体" w:hAnsi="宋体" w:eastAsia="宋体" w:cs="宋体"/>
          <w:bCs/>
          <w:spacing w:val="-7"/>
          <w:sz w:val="24"/>
          <w:szCs w:val="24"/>
          <w:highlight w:val="none"/>
        </w:rPr>
        <w:t>中标人须知</w:t>
      </w:r>
      <w:r>
        <w:rPr>
          <w:sz w:val="24"/>
          <w:szCs w:val="24"/>
          <w:highlight w:val="none"/>
        </w:rPr>
        <w:tab/>
      </w:r>
      <w:r>
        <w:rPr>
          <w:sz w:val="24"/>
          <w:szCs w:val="24"/>
          <w:highlight w:val="none"/>
        </w:rPr>
        <w:fldChar w:fldCharType="begin"/>
      </w:r>
      <w:r>
        <w:rPr>
          <w:sz w:val="24"/>
          <w:szCs w:val="24"/>
          <w:highlight w:val="none"/>
        </w:rPr>
        <w:instrText xml:space="preserve"> PAGEREF _Toc13655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68B1A00D">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_Toc21697 </w:instrText>
      </w:r>
      <w:r>
        <w:rPr>
          <w:rFonts w:hint="eastAsia" w:ascii="宋体" w:hAnsi="宋体" w:eastAsia="宋体" w:cs="宋体"/>
          <w:sz w:val="24"/>
          <w:szCs w:val="24"/>
          <w:highlight w:val="none"/>
        </w:rPr>
        <w:fldChar w:fldCharType="separate"/>
      </w:r>
      <w:r>
        <w:rPr>
          <w:rFonts w:hint="eastAsia" w:ascii="宋体" w:hAnsi="宋体" w:eastAsia="宋体" w:cs="宋体"/>
          <w:bCs/>
          <w:spacing w:val="-9"/>
          <w:sz w:val="24"/>
          <w:szCs w:val="24"/>
          <w:highlight w:val="none"/>
        </w:rPr>
        <w:t>1</w:t>
      </w:r>
      <w:r>
        <w:rPr>
          <w:rFonts w:hint="eastAsia" w:ascii="宋体" w:hAnsi="宋体" w:eastAsia="宋体" w:cs="宋体"/>
          <w:bCs/>
          <w:spacing w:val="-25"/>
          <w:sz w:val="24"/>
          <w:szCs w:val="24"/>
          <w:highlight w:val="none"/>
        </w:rPr>
        <w:t xml:space="preserve"> </w:t>
      </w:r>
      <w:r>
        <w:rPr>
          <w:rFonts w:hint="eastAsia" w:ascii="宋体" w:hAnsi="宋体" w:eastAsia="宋体" w:cs="宋体"/>
          <w:bCs/>
          <w:spacing w:val="-9"/>
          <w:sz w:val="24"/>
          <w:szCs w:val="24"/>
          <w:highlight w:val="none"/>
        </w:rPr>
        <w:t>．中标通知书</w:t>
      </w:r>
      <w:r>
        <w:rPr>
          <w:sz w:val="24"/>
          <w:szCs w:val="24"/>
          <w:highlight w:val="none"/>
        </w:rPr>
        <w:tab/>
      </w:r>
      <w:r>
        <w:rPr>
          <w:sz w:val="24"/>
          <w:szCs w:val="24"/>
          <w:highlight w:val="none"/>
        </w:rPr>
        <w:fldChar w:fldCharType="begin"/>
      </w:r>
      <w:r>
        <w:rPr>
          <w:sz w:val="24"/>
          <w:szCs w:val="24"/>
          <w:highlight w:val="none"/>
        </w:rPr>
        <w:instrText xml:space="preserve"> PAGEREF _Toc21697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504134A8">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_Toc979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7"/>
          <w:sz w:val="24"/>
          <w:szCs w:val="24"/>
          <w:highlight w:val="none"/>
        </w:rPr>
        <w:t>2</w:t>
      </w:r>
      <w:r>
        <w:rPr>
          <w:rFonts w:hint="eastAsia" w:ascii="宋体" w:hAnsi="宋体" w:eastAsia="宋体" w:cs="宋体"/>
          <w:bCs/>
          <w:spacing w:val="-24"/>
          <w:sz w:val="24"/>
          <w:szCs w:val="24"/>
          <w:highlight w:val="none"/>
        </w:rPr>
        <w:t xml:space="preserve"> </w:t>
      </w:r>
      <w:r>
        <w:rPr>
          <w:rFonts w:hint="eastAsia" w:ascii="宋体" w:hAnsi="宋体" w:eastAsia="宋体" w:cs="宋体"/>
          <w:bCs/>
          <w:spacing w:val="-7"/>
          <w:sz w:val="24"/>
          <w:szCs w:val="24"/>
          <w:highlight w:val="none"/>
        </w:rPr>
        <w:t>．中标结果公示</w:t>
      </w:r>
      <w:r>
        <w:rPr>
          <w:sz w:val="24"/>
          <w:szCs w:val="24"/>
          <w:highlight w:val="none"/>
        </w:rPr>
        <w:tab/>
      </w:r>
      <w:r>
        <w:rPr>
          <w:sz w:val="24"/>
          <w:szCs w:val="24"/>
          <w:highlight w:val="none"/>
        </w:rPr>
        <w:fldChar w:fldCharType="begin"/>
      </w:r>
      <w:r>
        <w:rPr>
          <w:sz w:val="24"/>
          <w:szCs w:val="24"/>
          <w:highlight w:val="none"/>
        </w:rPr>
        <w:instrText xml:space="preserve"> PAGEREF _Toc979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4FE0B95">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_Toc13145 </w:instrText>
      </w:r>
      <w:r>
        <w:rPr>
          <w:rFonts w:hint="eastAsia" w:ascii="宋体" w:hAnsi="宋体" w:eastAsia="宋体" w:cs="宋体"/>
          <w:sz w:val="24"/>
          <w:szCs w:val="24"/>
          <w:highlight w:val="none"/>
        </w:rPr>
        <w:fldChar w:fldCharType="separate"/>
      </w:r>
      <w:r>
        <w:rPr>
          <w:rFonts w:hint="eastAsia" w:ascii="宋体" w:hAnsi="宋体" w:eastAsia="宋体" w:cs="宋体"/>
          <w:bCs/>
          <w:spacing w:val="-8"/>
          <w:sz w:val="24"/>
          <w:szCs w:val="24"/>
          <w:highlight w:val="none"/>
        </w:rPr>
        <w:t>3</w:t>
      </w:r>
      <w:r>
        <w:rPr>
          <w:rFonts w:hint="eastAsia" w:ascii="宋体" w:hAnsi="宋体" w:eastAsia="宋体" w:cs="宋体"/>
          <w:bCs/>
          <w:spacing w:val="-25"/>
          <w:sz w:val="24"/>
          <w:szCs w:val="24"/>
          <w:highlight w:val="none"/>
        </w:rPr>
        <w:t xml:space="preserve"> </w:t>
      </w:r>
      <w:r>
        <w:rPr>
          <w:rFonts w:hint="eastAsia" w:ascii="宋体" w:hAnsi="宋体" w:eastAsia="宋体" w:cs="宋体"/>
          <w:bCs/>
          <w:spacing w:val="-8"/>
          <w:sz w:val="24"/>
          <w:szCs w:val="24"/>
          <w:highlight w:val="none"/>
        </w:rPr>
        <w:t>．履约保证</w:t>
      </w:r>
      <w:r>
        <w:rPr>
          <w:sz w:val="24"/>
          <w:szCs w:val="24"/>
          <w:highlight w:val="none"/>
        </w:rPr>
        <w:tab/>
      </w:r>
      <w:r>
        <w:rPr>
          <w:sz w:val="24"/>
          <w:szCs w:val="24"/>
          <w:highlight w:val="none"/>
        </w:rPr>
        <w:fldChar w:fldCharType="begin"/>
      </w:r>
      <w:r>
        <w:rPr>
          <w:sz w:val="24"/>
          <w:szCs w:val="24"/>
          <w:highlight w:val="none"/>
        </w:rPr>
        <w:instrText xml:space="preserve"> PAGEREF _Toc13145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30A90044">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_Toc133 </w:instrText>
      </w:r>
      <w:r>
        <w:rPr>
          <w:rFonts w:hint="eastAsia" w:ascii="宋体" w:hAnsi="宋体" w:eastAsia="宋体" w:cs="宋体"/>
          <w:sz w:val="24"/>
          <w:szCs w:val="24"/>
          <w:highlight w:val="none"/>
        </w:rPr>
        <w:fldChar w:fldCharType="separate"/>
      </w:r>
      <w:r>
        <w:rPr>
          <w:rFonts w:hint="eastAsia" w:ascii="宋体" w:hAnsi="宋体" w:eastAsia="宋体" w:cs="宋体"/>
          <w:bCs/>
          <w:spacing w:val="-8"/>
          <w:sz w:val="24"/>
          <w:szCs w:val="24"/>
          <w:highlight w:val="none"/>
        </w:rPr>
        <w:t>4</w:t>
      </w:r>
      <w:r>
        <w:rPr>
          <w:rFonts w:hint="eastAsia" w:ascii="宋体" w:hAnsi="宋体" w:eastAsia="宋体" w:cs="宋体"/>
          <w:bCs/>
          <w:spacing w:val="-27"/>
          <w:sz w:val="24"/>
          <w:szCs w:val="24"/>
          <w:highlight w:val="none"/>
        </w:rPr>
        <w:t xml:space="preserve"> </w:t>
      </w:r>
      <w:r>
        <w:rPr>
          <w:rFonts w:hint="eastAsia" w:ascii="宋体" w:hAnsi="宋体" w:eastAsia="宋体" w:cs="宋体"/>
          <w:bCs/>
          <w:spacing w:val="-8"/>
          <w:sz w:val="24"/>
          <w:szCs w:val="24"/>
          <w:highlight w:val="none"/>
        </w:rPr>
        <w:t>．合同订立</w:t>
      </w:r>
      <w:r>
        <w:rPr>
          <w:sz w:val="24"/>
          <w:szCs w:val="24"/>
          <w:highlight w:val="none"/>
        </w:rPr>
        <w:tab/>
      </w:r>
      <w:r>
        <w:rPr>
          <w:sz w:val="24"/>
          <w:szCs w:val="24"/>
          <w:highlight w:val="none"/>
        </w:rPr>
        <w:fldChar w:fldCharType="begin"/>
      </w:r>
      <w:r>
        <w:rPr>
          <w:sz w:val="24"/>
          <w:szCs w:val="24"/>
          <w:highlight w:val="none"/>
        </w:rPr>
        <w:instrText xml:space="preserve"> PAGEREF _Toc133 \h </w:instrText>
      </w:r>
      <w:r>
        <w:rPr>
          <w:sz w:val="24"/>
          <w:szCs w:val="24"/>
          <w:highlight w:val="none"/>
        </w:rPr>
        <w:fldChar w:fldCharType="separate"/>
      </w:r>
      <w:r>
        <w:rPr>
          <w:sz w:val="24"/>
          <w:szCs w:val="24"/>
          <w:highlight w:val="none"/>
        </w:rPr>
        <w:t>47</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1F48F344">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_Toc4089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6"/>
          <w:sz w:val="24"/>
          <w:szCs w:val="24"/>
          <w:highlight w:val="none"/>
        </w:rPr>
        <w:t>5</w:t>
      </w:r>
      <w:r>
        <w:rPr>
          <w:rFonts w:hint="eastAsia" w:ascii="宋体" w:hAnsi="宋体" w:eastAsia="宋体" w:cs="宋体"/>
          <w:bCs/>
          <w:spacing w:val="-29"/>
          <w:sz w:val="24"/>
          <w:szCs w:val="24"/>
          <w:highlight w:val="none"/>
        </w:rPr>
        <w:t xml:space="preserve"> </w:t>
      </w:r>
      <w:r>
        <w:rPr>
          <w:rFonts w:hint="eastAsia" w:ascii="宋体" w:hAnsi="宋体" w:eastAsia="宋体" w:cs="宋体"/>
          <w:bCs/>
          <w:spacing w:val="-6"/>
          <w:sz w:val="24"/>
          <w:szCs w:val="24"/>
          <w:highlight w:val="none"/>
        </w:rPr>
        <w:t>．放弃中标的处理</w:t>
      </w:r>
      <w:r>
        <w:rPr>
          <w:sz w:val="24"/>
          <w:szCs w:val="24"/>
          <w:highlight w:val="none"/>
        </w:rPr>
        <w:tab/>
      </w:r>
      <w:r>
        <w:rPr>
          <w:sz w:val="24"/>
          <w:szCs w:val="24"/>
          <w:highlight w:val="none"/>
        </w:rPr>
        <w:fldChar w:fldCharType="begin"/>
      </w:r>
      <w:r>
        <w:rPr>
          <w:sz w:val="24"/>
          <w:szCs w:val="24"/>
          <w:highlight w:val="none"/>
        </w:rPr>
        <w:instrText xml:space="preserve"> PAGEREF _Toc4089 \h </w:instrText>
      </w:r>
      <w:r>
        <w:rPr>
          <w:sz w:val="24"/>
          <w:szCs w:val="24"/>
          <w:highlight w:val="none"/>
        </w:rPr>
        <w:fldChar w:fldCharType="separate"/>
      </w:r>
      <w:r>
        <w:rPr>
          <w:sz w:val="24"/>
          <w:szCs w:val="24"/>
          <w:highlight w:val="none"/>
        </w:rPr>
        <w:t>48</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35DBD987">
      <w:pPr>
        <w:pStyle w:val="9"/>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_Toc7715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第三章</w:t>
      </w:r>
      <w:r>
        <w:rPr>
          <w:rFonts w:hint="eastAsia" w:ascii="宋体" w:hAnsi="宋体" w:eastAsia="宋体" w:cs="宋体"/>
          <w:spacing w:val="-3"/>
          <w:sz w:val="24"/>
          <w:szCs w:val="24"/>
          <w:highlight w:val="none"/>
        </w:rPr>
        <w:t xml:space="preserve"> </w:t>
      </w:r>
      <w:r>
        <w:rPr>
          <w:rFonts w:hint="eastAsia" w:ascii="宋体" w:hAnsi="宋体" w:eastAsia="宋体" w:cs="宋体"/>
          <w:bCs/>
          <w:spacing w:val="-3"/>
          <w:sz w:val="24"/>
          <w:szCs w:val="24"/>
          <w:highlight w:val="none"/>
        </w:rPr>
        <w:t>拟签订合同的主要条款</w:t>
      </w:r>
      <w:r>
        <w:rPr>
          <w:sz w:val="24"/>
          <w:szCs w:val="24"/>
          <w:highlight w:val="none"/>
        </w:rPr>
        <w:tab/>
      </w:r>
      <w:r>
        <w:rPr>
          <w:sz w:val="24"/>
          <w:szCs w:val="24"/>
          <w:highlight w:val="none"/>
        </w:rPr>
        <w:fldChar w:fldCharType="begin"/>
      </w:r>
      <w:r>
        <w:rPr>
          <w:sz w:val="24"/>
          <w:szCs w:val="24"/>
          <w:highlight w:val="none"/>
        </w:rPr>
        <w:instrText xml:space="preserve"> PAGEREF _Toc7715 \h </w:instrText>
      </w:r>
      <w:r>
        <w:rPr>
          <w:sz w:val="24"/>
          <w:szCs w:val="24"/>
          <w:highlight w:val="none"/>
        </w:rPr>
        <w:fldChar w:fldCharType="separate"/>
      </w:r>
      <w:r>
        <w:rPr>
          <w:sz w:val="24"/>
          <w:szCs w:val="24"/>
          <w:highlight w:val="none"/>
        </w:rPr>
        <w:t>49</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BE2FC71">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_Toc6603 </w:instrText>
      </w:r>
      <w:r>
        <w:rPr>
          <w:rFonts w:hint="eastAsia" w:ascii="宋体" w:hAnsi="宋体" w:eastAsia="宋体" w:cs="宋体"/>
          <w:sz w:val="24"/>
          <w:szCs w:val="24"/>
          <w:highlight w:val="none"/>
        </w:rPr>
        <w:fldChar w:fldCharType="separate"/>
      </w:r>
      <w:r>
        <w:rPr>
          <w:rFonts w:hint="eastAsia" w:ascii="宋体" w:hAnsi="宋体" w:eastAsia="宋体" w:cs="宋体"/>
          <w:bCs/>
          <w:spacing w:val="-8"/>
          <w:sz w:val="24"/>
          <w:szCs w:val="24"/>
          <w:highlight w:val="none"/>
        </w:rPr>
        <w:t>1</w:t>
      </w:r>
      <w:r>
        <w:rPr>
          <w:rFonts w:hint="eastAsia" w:ascii="宋体" w:hAnsi="宋体" w:eastAsia="宋体" w:cs="宋体"/>
          <w:bCs/>
          <w:spacing w:val="-26"/>
          <w:sz w:val="24"/>
          <w:szCs w:val="24"/>
          <w:highlight w:val="none"/>
        </w:rPr>
        <w:t xml:space="preserve"> </w:t>
      </w:r>
      <w:r>
        <w:rPr>
          <w:rFonts w:hint="eastAsia" w:ascii="宋体" w:hAnsi="宋体" w:eastAsia="宋体" w:cs="宋体"/>
          <w:bCs/>
          <w:spacing w:val="-8"/>
          <w:sz w:val="24"/>
          <w:szCs w:val="24"/>
          <w:highlight w:val="none"/>
        </w:rPr>
        <w:t>．工程承包方式</w:t>
      </w:r>
      <w:r>
        <w:rPr>
          <w:sz w:val="24"/>
          <w:szCs w:val="24"/>
          <w:highlight w:val="none"/>
        </w:rPr>
        <w:tab/>
      </w:r>
      <w:r>
        <w:rPr>
          <w:sz w:val="24"/>
          <w:szCs w:val="24"/>
          <w:highlight w:val="none"/>
        </w:rPr>
        <w:fldChar w:fldCharType="begin"/>
      </w:r>
      <w:r>
        <w:rPr>
          <w:sz w:val="24"/>
          <w:szCs w:val="24"/>
          <w:highlight w:val="none"/>
        </w:rPr>
        <w:instrText xml:space="preserve"> PAGEREF _Toc6603 \h </w:instrText>
      </w:r>
      <w:r>
        <w:rPr>
          <w:sz w:val="24"/>
          <w:szCs w:val="24"/>
          <w:highlight w:val="none"/>
        </w:rPr>
        <w:fldChar w:fldCharType="separate"/>
      </w:r>
      <w:r>
        <w:rPr>
          <w:sz w:val="24"/>
          <w:szCs w:val="24"/>
          <w:highlight w:val="none"/>
        </w:rPr>
        <w:t>49</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7CD3982B">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_Toc24910 </w:instrText>
      </w:r>
      <w:r>
        <w:rPr>
          <w:rFonts w:hint="eastAsia" w:ascii="宋体" w:hAnsi="宋体" w:eastAsia="宋体" w:cs="宋体"/>
          <w:sz w:val="24"/>
          <w:szCs w:val="24"/>
          <w:highlight w:val="none"/>
        </w:rPr>
        <w:fldChar w:fldCharType="separate"/>
      </w:r>
      <w:r>
        <w:rPr>
          <w:rFonts w:hint="eastAsia" w:ascii="宋体" w:hAnsi="宋体" w:eastAsia="宋体" w:cs="宋体"/>
          <w:bCs/>
          <w:spacing w:val="-7"/>
          <w:sz w:val="24"/>
          <w:szCs w:val="24"/>
          <w:highlight w:val="none"/>
        </w:rPr>
        <w:t>2</w:t>
      </w:r>
      <w:r>
        <w:rPr>
          <w:rFonts w:hint="eastAsia" w:ascii="宋体" w:hAnsi="宋体" w:eastAsia="宋体" w:cs="宋体"/>
          <w:bCs/>
          <w:spacing w:val="-24"/>
          <w:sz w:val="24"/>
          <w:szCs w:val="24"/>
          <w:highlight w:val="none"/>
        </w:rPr>
        <w:t xml:space="preserve"> </w:t>
      </w:r>
      <w:r>
        <w:rPr>
          <w:rFonts w:hint="eastAsia" w:ascii="宋体" w:hAnsi="宋体" w:eastAsia="宋体" w:cs="宋体"/>
          <w:bCs/>
          <w:spacing w:val="-7"/>
          <w:sz w:val="24"/>
          <w:szCs w:val="24"/>
          <w:highlight w:val="none"/>
        </w:rPr>
        <w:t>．工程结算原则</w:t>
      </w:r>
      <w:r>
        <w:rPr>
          <w:sz w:val="24"/>
          <w:szCs w:val="24"/>
          <w:highlight w:val="none"/>
        </w:rPr>
        <w:tab/>
      </w:r>
      <w:r>
        <w:rPr>
          <w:sz w:val="24"/>
          <w:szCs w:val="24"/>
          <w:highlight w:val="none"/>
        </w:rPr>
        <w:fldChar w:fldCharType="begin"/>
      </w:r>
      <w:r>
        <w:rPr>
          <w:sz w:val="24"/>
          <w:szCs w:val="24"/>
          <w:highlight w:val="none"/>
        </w:rPr>
        <w:instrText xml:space="preserve"> PAGEREF _Toc24910 \h </w:instrText>
      </w:r>
      <w:r>
        <w:rPr>
          <w:sz w:val="24"/>
          <w:szCs w:val="24"/>
          <w:highlight w:val="none"/>
        </w:rPr>
        <w:fldChar w:fldCharType="separate"/>
      </w:r>
      <w:r>
        <w:rPr>
          <w:sz w:val="24"/>
          <w:szCs w:val="24"/>
          <w:highlight w:val="none"/>
        </w:rPr>
        <w:t>49</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2BAFD596">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_Toc5247 </w:instrText>
      </w:r>
      <w:r>
        <w:rPr>
          <w:rFonts w:hint="eastAsia" w:ascii="宋体" w:hAnsi="宋体" w:eastAsia="宋体" w:cs="宋体"/>
          <w:sz w:val="24"/>
          <w:szCs w:val="24"/>
          <w:highlight w:val="none"/>
        </w:rPr>
        <w:fldChar w:fldCharType="separate"/>
      </w:r>
      <w:r>
        <w:rPr>
          <w:rFonts w:hint="eastAsia" w:ascii="宋体" w:hAnsi="宋体" w:eastAsia="宋体" w:cs="宋体"/>
          <w:bCs/>
          <w:sz w:val="24"/>
          <w:szCs w:val="24"/>
          <w:highlight w:val="none"/>
        </w:rPr>
        <w:t>3. 工程付款办法</w:t>
      </w:r>
      <w:r>
        <w:rPr>
          <w:sz w:val="24"/>
          <w:szCs w:val="24"/>
          <w:highlight w:val="none"/>
        </w:rPr>
        <w:tab/>
      </w:r>
      <w:r>
        <w:rPr>
          <w:sz w:val="24"/>
          <w:szCs w:val="24"/>
          <w:highlight w:val="none"/>
        </w:rPr>
        <w:fldChar w:fldCharType="begin"/>
      </w:r>
      <w:r>
        <w:rPr>
          <w:sz w:val="24"/>
          <w:szCs w:val="24"/>
          <w:highlight w:val="none"/>
        </w:rPr>
        <w:instrText xml:space="preserve"> PAGEREF _Toc5247 \h </w:instrText>
      </w:r>
      <w:r>
        <w:rPr>
          <w:sz w:val="24"/>
          <w:szCs w:val="24"/>
          <w:highlight w:val="none"/>
        </w:rPr>
        <w:fldChar w:fldCharType="separate"/>
      </w:r>
      <w:r>
        <w:rPr>
          <w:sz w:val="24"/>
          <w:szCs w:val="24"/>
          <w:highlight w:val="none"/>
        </w:rPr>
        <w:t>55</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1E1CFE8F">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_Toc29229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7"/>
          <w:sz w:val="24"/>
          <w:szCs w:val="24"/>
          <w:highlight w:val="none"/>
        </w:rPr>
        <w:t>4</w:t>
      </w:r>
      <w:r>
        <w:rPr>
          <w:rFonts w:hint="eastAsia" w:ascii="宋体" w:hAnsi="宋体" w:eastAsia="宋体" w:cs="宋体"/>
          <w:bCs/>
          <w:spacing w:val="-25"/>
          <w:sz w:val="24"/>
          <w:szCs w:val="24"/>
          <w:highlight w:val="none"/>
        </w:rPr>
        <w:t xml:space="preserve"> </w:t>
      </w:r>
      <w:r>
        <w:rPr>
          <w:rFonts w:hint="eastAsia" w:ascii="宋体" w:hAnsi="宋体" w:eastAsia="宋体" w:cs="宋体"/>
          <w:bCs/>
          <w:spacing w:val="-7"/>
          <w:sz w:val="24"/>
          <w:szCs w:val="24"/>
          <w:highlight w:val="none"/>
        </w:rPr>
        <w:t>．其他专用合同条款</w:t>
      </w:r>
      <w:r>
        <w:rPr>
          <w:sz w:val="24"/>
          <w:szCs w:val="24"/>
          <w:highlight w:val="none"/>
        </w:rPr>
        <w:tab/>
      </w:r>
      <w:r>
        <w:rPr>
          <w:sz w:val="24"/>
          <w:szCs w:val="24"/>
          <w:highlight w:val="none"/>
        </w:rPr>
        <w:fldChar w:fldCharType="begin"/>
      </w:r>
      <w:r>
        <w:rPr>
          <w:sz w:val="24"/>
          <w:szCs w:val="24"/>
          <w:highlight w:val="none"/>
        </w:rPr>
        <w:instrText xml:space="preserve"> PAGEREF _Toc29229 \h </w:instrText>
      </w:r>
      <w:r>
        <w:rPr>
          <w:sz w:val="24"/>
          <w:szCs w:val="24"/>
          <w:highlight w:val="none"/>
        </w:rPr>
        <w:fldChar w:fldCharType="separate"/>
      </w:r>
      <w:r>
        <w:rPr>
          <w:sz w:val="24"/>
          <w:szCs w:val="24"/>
          <w:highlight w:val="none"/>
        </w:rPr>
        <w:t>56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13FEDCD">
      <w:pPr>
        <w:pStyle w:val="9"/>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_Toc30225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第四章</w:t>
      </w:r>
      <w:r>
        <w:rPr>
          <w:rFonts w:hint="eastAsia" w:ascii="宋体" w:hAnsi="宋体" w:eastAsia="宋体" w:cs="宋体"/>
          <w:spacing w:val="-3"/>
          <w:sz w:val="24"/>
          <w:szCs w:val="24"/>
          <w:highlight w:val="none"/>
        </w:rPr>
        <w:t xml:space="preserve"> </w:t>
      </w:r>
      <w:r>
        <w:rPr>
          <w:rFonts w:hint="eastAsia" w:ascii="宋体" w:hAnsi="宋体" w:eastAsia="宋体" w:cs="宋体"/>
          <w:bCs/>
          <w:spacing w:val="-3"/>
          <w:sz w:val="24"/>
          <w:szCs w:val="24"/>
          <w:highlight w:val="none"/>
        </w:rPr>
        <w:t>技术要求</w:t>
      </w:r>
      <w:r>
        <w:rPr>
          <w:sz w:val="24"/>
          <w:szCs w:val="24"/>
          <w:highlight w:val="none"/>
        </w:rPr>
        <w:tab/>
      </w:r>
      <w:r>
        <w:rPr>
          <w:sz w:val="24"/>
          <w:szCs w:val="24"/>
          <w:highlight w:val="none"/>
        </w:rPr>
        <w:fldChar w:fldCharType="begin"/>
      </w:r>
      <w:r>
        <w:rPr>
          <w:sz w:val="24"/>
          <w:szCs w:val="24"/>
          <w:highlight w:val="none"/>
        </w:rPr>
        <w:instrText xml:space="preserve"> PAGEREF _Toc30225 \h </w:instrText>
      </w:r>
      <w:r>
        <w:rPr>
          <w:sz w:val="24"/>
          <w:szCs w:val="24"/>
          <w:highlight w:val="none"/>
        </w:rPr>
        <w:fldChar w:fldCharType="separate"/>
      </w:r>
      <w:r>
        <w:rPr>
          <w:sz w:val="24"/>
          <w:szCs w:val="24"/>
          <w:highlight w:val="none"/>
        </w:rPr>
        <w:t>64</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7E6C3CEA">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_Toc19340 </w:instrText>
      </w:r>
      <w:r>
        <w:rPr>
          <w:rFonts w:hint="eastAsia" w:ascii="宋体" w:hAnsi="宋体" w:eastAsia="宋体" w:cs="宋体"/>
          <w:sz w:val="24"/>
          <w:szCs w:val="24"/>
          <w:highlight w:val="none"/>
        </w:rPr>
        <w:fldChar w:fldCharType="separate"/>
      </w:r>
      <w:r>
        <w:rPr>
          <w:rFonts w:hint="eastAsia" w:ascii="宋体" w:hAnsi="宋体" w:eastAsia="宋体" w:cs="宋体"/>
          <w:bCs/>
          <w:spacing w:val="-6"/>
          <w:sz w:val="24"/>
          <w:szCs w:val="24"/>
          <w:highlight w:val="none"/>
        </w:rPr>
        <w:t>1</w:t>
      </w:r>
      <w:r>
        <w:rPr>
          <w:rFonts w:hint="eastAsia" w:ascii="宋体" w:hAnsi="宋体" w:eastAsia="宋体" w:cs="宋体"/>
          <w:bCs/>
          <w:spacing w:val="-23"/>
          <w:sz w:val="24"/>
          <w:szCs w:val="24"/>
          <w:highlight w:val="none"/>
        </w:rPr>
        <w:t xml:space="preserve"> </w:t>
      </w:r>
      <w:r>
        <w:rPr>
          <w:rFonts w:hint="eastAsia" w:ascii="宋体" w:hAnsi="宋体" w:eastAsia="宋体" w:cs="宋体"/>
          <w:bCs/>
          <w:spacing w:val="-6"/>
          <w:sz w:val="24"/>
          <w:szCs w:val="24"/>
          <w:highlight w:val="none"/>
        </w:rPr>
        <w:t>．</w:t>
      </w:r>
      <w:r>
        <w:rPr>
          <w:rFonts w:hint="eastAsia" w:ascii="宋体" w:hAnsi="宋体" w:eastAsia="宋体" w:cs="宋体"/>
          <w:bCs/>
          <w:spacing w:val="-1"/>
          <w:sz w:val="24"/>
          <w:szCs w:val="24"/>
          <w:highlight w:val="none"/>
        </w:rPr>
        <w:t>房屋建筑工程建设项目</w:t>
      </w:r>
      <w:r>
        <w:rPr>
          <w:sz w:val="24"/>
          <w:szCs w:val="24"/>
          <w:highlight w:val="none"/>
        </w:rPr>
        <w:tab/>
      </w:r>
      <w:r>
        <w:rPr>
          <w:sz w:val="24"/>
          <w:szCs w:val="24"/>
          <w:highlight w:val="none"/>
        </w:rPr>
        <w:fldChar w:fldCharType="begin"/>
      </w:r>
      <w:r>
        <w:rPr>
          <w:sz w:val="24"/>
          <w:szCs w:val="24"/>
          <w:highlight w:val="none"/>
        </w:rPr>
        <w:instrText xml:space="preserve"> PAGEREF _Toc19340 \h </w:instrText>
      </w:r>
      <w:r>
        <w:rPr>
          <w:sz w:val="24"/>
          <w:szCs w:val="24"/>
          <w:highlight w:val="none"/>
        </w:rPr>
        <w:fldChar w:fldCharType="separate"/>
      </w:r>
      <w:r>
        <w:rPr>
          <w:sz w:val="24"/>
          <w:szCs w:val="24"/>
          <w:highlight w:val="none"/>
        </w:rPr>
        <w:t>64</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437607A4">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_Toc16340 </w:instrText>
      </w:r>
      <w:r>
        <w:rPr>
          <w:rFonts w:hint="eastAsia" w:ascii="宋体" w:hAnsi="宋体" w:eastAsia="宋体" w:cs="宋体"/>
          <w:sz w:val="24"/>
          <w:szCs w:val="24"/>
          <w:highlight w:val="none"/>
        </w:rPr>
        <w:fldChar w:fldCharType="separate"/>
      </w:r>
      <w:r>
        <w:rPr>
          <w:rFonts w:hint="eastAsia" w:ascii="宋体" w:hAnsi="宋体" w:eastAsia="宋体" w:cs="宋体"/>
          <w:bCs/>
          <w:spacing w:val="-5"/>
          <w:sz w:val="24"/>
          <w:szCs w:val="24"/>
          <w:highlight w:val="none"/>
        </w:rPr>
        <w:t>2</w:t>
      </w:r>
      <w:r>
        <w:rPr>
          <w:rFonts w:hint="eastAsia" w:ascii="宋体" w:hAnsi="宋体" w:eastAsia="宋体" w:cs="宋体"/>
          <w:bCs/>
          <w:spacing w:val="-18"/>
          <w:sz w:val="24"/>
          <w:szCs w:val="24"/>
          <w:highlight w:val="none"/>
        </w:rPr>
        <w:t xml:space="preserve"> </w:t>
      </w:r>
      <w:r>
        <w:rPr>
          <w:rFonts w:hint="eastAsia" w:ascii="宋体" w:hAnsi="宋体" w:eastAsia="宋体" w:cs="宋体"/>
          <w:bCs/>
          <w:spacing w:val="-5"/>
          <w:sz w:val="24"/>
          <w:szCs w:val="24"/>
          <w:highlight w:val="none"/>
        </w:rPr>
        <w:t>．市政基础设施工程建设项目</w:t>
      </w:r>
      <w:r>
        <w:rPr>
          <w:sz w:val="24"/>
          <w:szCs w:val="24"/>
          <w:highlight w:val="none"/>
        </w:rPr>
        <w:tab/>
      </w:r>
      <w:r>
        <w:rPr>
          <w:sz w:val="24"/>
          <w:szCs w:val="24"/>
          <w:highlight w:val="none"/>
        </w:rPr>
        <w:fldChar w:fldCharType="begin"/>
      </w:r>
      <w:r>
        <w:rPr>
          <w:sz w:val="24"/>
          <w:szCs w:val="24"/>
          <w:highlight w:val="none"/>
        </w:rPr>
        <w:instrText xml:space="preserve"> PAGEREF _Toc16340 \h </w:instrText>
      </w:r>
      <w:r>
        <w:rPr>
          <w:sz w:val="24"/>
          <w:szCs w:val="24"/>
          <w:highlight w:val="none"/>
        </w:rPr>
        <w:fldChar w:fldCharType="separate"/>
      </w:r>
      <w:r>
        <w:rPr>
          <w:sz w:val="24"/>
          <w:szCs w:val="24"/>
          <w:highlight w:val="none"/>
        </w:rPr>
        <w:t>64</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8A29D98">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_Toc31813 </w:instrText>
      </w:r>
      <w:r>
        <w:rPr>
          <w:rFonts w:hint="eastAsia" w:ascii="宋体" w:hAnsi="宋体" w:eastAsia="宋体" w:cs="宋体"/>
          <w:sz w:val="24"/>
          <w:szCs w:val="24"/>
          <w:highlight w:val="none"/>
        </w:rPr>
        <w:fldChar w:fldCharType="separate"/>
      </w:r>
      <w:r>
        <w:rPr>
          <w:rFonts w:hint="eastAsia" w:ascii="宋体" w:hAnsi="宋体" w:eastAsia="宋体" w:cs="宋体"/>
          <w:bCs/>
          <w:spacing w:val="-8"/>
          <w:sz w:val="24"/>
          <w:szCs w:val="24"/>
          <w:highlight w:val="none"/>
        </w:rPr>
        <w:t>3</w:t>
      </w:r>
      <w:r>
        <w:rPr>
          <w:rFonts w:hint="eastAsia" w:ascii="宋体" w:hAnsi="宋体" w:eastAsia="宋体" w:cs="宋体"/>
          <w:bCs/>
          <w:spacing w:val="-25"/>
          <w:sz w:val="24"/>
          <w:szCs w:val="24"/>
          <w:highlight w:val="none"/>
        </w:rPr>
        <w:t xml:space="preserve"> </w:t>
      </w:r>
      <w:r>
        <w:rPr>
          <w:rFonts w:hint="eastAsia" w:ascii="宋体" w:hAnsi="宋体" w:eastAsia="宋体" w:cs="宋体"/>
          <w:bCs/>
          <w:spacing w:val="-8"/>
          <w:sz w:val="24"/>
          <w:szCs w:val="24"/>
          <w:highlight w:val="none"/>
        </w:rPr>
        <w:t>．备查要求</w:t>
      </w:r>
      <w:r>
        <w:rPr>
          <w:sz w:val="24"/>
          <w:szCs w:val="24"/>
          <w:highlight w:val="none"/>
        </w:rPr>
        <w:tab/>
      </w:r>
      <w:r>
        <w:rPr>
          <w:sz w:val="24"/>
          <w:szCs w:val="24"/>
          <w:highlight w:val="none"/>
        </w:rPr>
        <w:fldChar w:fldCharType="begin"/>
      </w:r>
      <w:r>
        <w:rPr>
          <w:sz w:val="24"/>
          <w:szCs w:val="24"/>
          <w:highlight w:val="none"/>
        </w:rPr>
        <w:instrText xml:space="preserve"> PAGEREF _Toc31813 \h </w:instrText>
      </w:r>
      <w:r>
        <w:rPr>
          <w:sz w:val="24"/>
          <w:szCs w:val="24"/>
          <w:highlight w:val="none"/>
        </w:rPr>
        <w:fldChar w:fldCharType="separate"/>
      </w:r>
      <w:r>
        <w:rPr>
          <w:sz w:val="24"/>
          <w:szCs w:val="24"/>
          <w:highlight w:val="none"/>
        </w:rPr>
        <w:t>65</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55F70DBB">
      <w:pPr>
        <w:pStyle w:val="9"/>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_Toc21699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5"/>
          <w:sz w:val="24"/>
          <w:szCs w:val="24"/>
          <w:highlight w:val="none"/>
        </w:rPr>
        <w:t>第五章</w:t>
      </w:r>
      <w:r>
        <w:rPr>
          <w:rFonts w:hint="eastAsia" w:ascii="宋体" w:hAnsi="宋体" w:eastAsia="宋体" w:cs="宋体"/>
          <w:spacing w:val="33"/>
          <w:sz w:val="24"/>
          <w:szCs w:val="24"/>
          <w:highlight w:val="none"/>
        </w:rPr>
        <w:t xml:space="preserve"> </w:t>
      </w:r>
      <w:r>
        <w:rPr>
          <w:rFonts w:hint="eastAsia" w:ascii="宋体" w:hAnsi="宋体" w:eastAsia="宋体" w:cs="宋体"/>
          <w:bCs/>
          <w:spacing w:val="-5"/>
          <w:sz w:val="24"/>
          <w:szCs w:val="24"/>
          <w:highlight w:val="none"/>
        </w:rPr>
        <w:t>图纸和招标工程量清单</w:t>
      </w:r>
      <w:r>
        <w:rPr>
          <w:sz w:val="24"/>
          <w:szCs w:val="24"/>
          <w:highlight w:val="none"/>
        </w:rPr>
        <w:tab/>
      </w:r>
      <w:r>
        <w:rPr>
          <w:sz w:val="24"/>
          <w:szCs w:val="24"/>
          <w:highlight w:val="none"/>
        </w:rPr>
        <w:fldChar w:fldCharType="begin"/>
      </w:r>
      <w:r>
        <w:rPr>
          <w:sz w:val="24"/>
          <w:szCs w:val="24"/>
          <w:highlight w:val="none"/>
        </w:rPr>
        <w:instrText xml:space="preserve"> PAGEREF _Toc21699 \h </w:instrText>
      </w:r>
      <w:r>
        <w:rPr>
          <w:sz w:val="24"/>
          <w:szCs w:val="24"/>
          <w:highlight w:val="none"/>
        </w:rPr>
        <w:fldChar w:fldCharType="separate"/>
      </w:r>
      <w:r>
        <w:rPr>
          <w:sz w:val="24"/>
          <w:szCs w:val="24"/>
          <w:highlight w:val="none"/>
        </w:rPr>
        <w:t>66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3DD6788F">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_Toc21706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4"/>
          <w:sz w:val="24"/>
          <w:szCs w:val="24"/>
          <w:highlight w:val="none"/>
        </w:rPr>
        <w:t>1</w:t>
      </w:r>
      <w:r>
        <w:rPr>
          <w:rFonts w:hint="eastAsia" w:ascii="宋体" w:hAnsi="宋体" w:eastAsia="宋体" w:cs="宋体"/>
          <w:bCs/>
          <w:spacing w:val="-27"/>
          <w:sz w:val="24"/>
          <w:szCs w:val="24"/>
          <w:highlight w:val="none"/>
        </w:rPr>
        <w:t xml:space="preserve"> </w:t>
      </w:r>
      <w:r>
        <w:rPr>
          <w:rFonts w:hint="eastAsia" w:ascii="宋体" w:hAnsi="宋体" w:eastAsia="宋体" w:cs="宋体"/>
          <w:bCs/>
          <w:spacing w:val="-14"/>
          <w:sz w:val="24"/>
          <w:szCs w:val="24"/>
          <w:highlight w:val="none"/>
        </w:rPr>
        <w:t>．图纸</w:t>
      </w:r>
      <w:r>
        <w:rPr>
          <w:sz w:val="24"/>
          <w:szCs w:val="24"/>
          <w:highlight w:val="none"/>
        </w:rPr>
        <w:tab/>
      </w:r>
      <w:r>
        <w:rPr>
          <w:sz w:val="24"/>
          <w:szCs w:val="24"/>
          <w:highlight w:val="none"/>
        </w:rPr>
        <w:fldChar w:fldCharType="begin"/>
      </w:r>
      <w:r>
        <w:rPr>
          <w:sz w:val="24"/>
          <w:szCs w:val="24"/>
          <w:highlight w:val="none"/>
        </w:rPr>
        <w:instrText xml:space="preserve"> PAGEREF _Toc21706 \h </w:instrText>
      </w:r>
      <w:r>
        <w:rPr>
          <w:sz w:val="24"/>
          <w:szCs w:val="24"/>
          <w:highlight w:val="none"/>
        </w:rPr>
        <w:fldChar w:fldCharType="separate"/>
      </w:r>
      <w:r>
        <w:rPr>
          <w:sz w:val="24"/>
          <w:szCs w:val="24"/>
          <w:highlight w:val="none"/>
        </w:rPr>
        <w:t>66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3CF21CB">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_Toc24419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6"/>
          <w:sz w:val="24"/>
          <w:szCs w:val="24"/>
          <w:highlight w:val="none"/>
        </w:rPr>
        <w:t>2</w:t>
      </w:r>
      <w:r>
        <w:rPr>
          <w:rFonts w:hint="eastAsia" w:ascii="宋体" w:hAnsi="宋体" w:eastAsia="宋体" w:cs="宋体"/>
          <w:bCs/>
          <w:spacing w:val="-26"/>
          <w:sz w:val="24"/>
          <w:szCs w:val="24"/>
          <w:highlight w:val="none"/>
        </w:rPr>
        <w:t xml:space="preserve"> </w:t>
      </w:r>
      <w:r>
        <w:rPr>
          <w:rFonts w:hint="eastAsia" w:ascii="宋体" w:hAnsi="宋体" w:eastAsia="宋体" w:cs="宋体"/>
          <w:bCs/>
          <w:spacing w:val="-6"/>
          <w:sz w:val="24"/>
          <w:szCs w:val="24"/>
          <w:highlight w:val="none"/>
        </w:rPr>
        <w:t>．招标工程量清单</w:t>
      </w:r>
      <w:r>
        <w:rPr>
          <w:sz w:val="24"/>
          <w:szCs w:val="24"/>
          <w:highlight w:val="none"/>
        </w:rPr>
        <w:tab/>
      </w:r>
      <w:r>
        <w:rPr>
          <w:sz w:val="24"/>
          <w:szCs w:val="24"/>
          <w:highlight w:val="none"/>
        </w:rPr>
        <w:fldChar w:fldCharType="begin"/>
      </w:r>
      <w:r>
        <w:rPr>
          <w:sz w:val="24"/>
          <w:szCs w:val="24"/>
          <w:highlight w:val="none"/>
        </w:rPr>
        <w:instrText xml:space="preserve"> PAGEREF _Toc24419 \h </w:instrText>
      </w:r>
      <w:r>
        <w:rPr>
          <w:sz w:val="24"/>
          <w:szCs w:val="24"/>
          <w:highlight w:val="none"/>
        </w:rPr>
        <w:fldChar w:fldCharType="separate"/>
      </w:r>
      <w:r>
        <w:rPr>
          <w:sz w:val="24"/>
          <w:szCs w:val="24"/>
          <w:highlight w:val="none"/>
        </w:rPr>
        <w:t>66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4E0BD2F">
      <w:pPr>
        <w:pStyle w:val="9"/>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_Toc27130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第六章</w:t>
      </w:r>
      <w:r>
        <w:rPr>
          <w:rFonts w:hint="eastAsia" w:ascii="宋体" w:hAnsi="宋体" w:eastAsia="宋体" w:cs="宋体"/>
          <w:spacing w:val="-3"/>
          <w:sz w:val="24"/>
          <w:szCs w:val="24"/>
          <w:highlight w:val="none"/>
        </w:rPr>
        <w:t xml:space="preserve"> </w:t>
      </w:r>
      <w:r>
        <w:rPr>
          <w:rFonts w:hint="eastAsia" w:ascii="宋体" w:hAnsi="宋体" w:eastAsia="宋体" w:cs="宋体"/>
          <w:bCs/>
          <w:spacing w:val="-3"/>
          <w:sz w:val="24"/>
          <w:szCs w:val="24"/>
          <w:highlight w:val="none"/>
        </w:rPr>
        <w:t>投标文件格式</w:t>
      </w:r>
      <w:r>
        <w:rPr>
          <w:sz w:val="24"/>
          <w:szCs w:val="24"/>
          <w:highlight w:val="none"/>
        </w:rPr>
        <w:tab/>
      </w:r>
      <w:r>
        <w:rPr>
          <w:sz w:val="24"/>
          <w:szCs w:val="24"/>
          <w:highlight w:val="none"/>
        </w:rPr>
        <w:fldChar w:fldCharType="begin"/>
      </w:r>
      <w:r>
        <w:rPr>
          <w:sz w:val="24"/>
          <w:szCs w:val="24"/>
          <w:highlight w:val="none"/>
        </w:rPr>
        <w:instrText xml:space="preserve"> PAGEREF _Toc27130 \h </w:instrText>
      </w:r>
      <w:r>
        <w:rPr>
          <w:sz w:val="24"/>
          <w:szCs w:val="24"/>
          <w:highlight w:val="none"/>
        </w:rPr>
        <w:fldChar w:fldCharType="separate"/>
      </w:r>
      <w:r>
        <w:rPr>
          <w:sz w:val="24"/>
          <w:szCs w:val="24"/>
          <w:highlight w:val="none"/>
        </w:rPr>
        <w:t>67</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6025A8F">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_Toc11203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格式一</w:t>
      </w:r>
      <w:r>
        <w:rPr>
          <w:rFonts w:hint="eastAsia" w:ascii="宋体" w:hAnsi="宋体" w:eastAsia="宋体" w:cs="宋体"/>
          <w:spacing w:val="-4"/>
          <w:sz w:val="24"/>
          <w:szCs w:val="24"/>
          <w:highlight w:val="none"/>
        </w:rPr>
        <w:t xml:space="preserve"> </w:t>
      </w:r>
      <w:r>
        <w:rPr>
          <w:rFonts w:hint="eastAsia" w:ascii="宋体" w:hAnsi="宋体" w:eastAsia="宋体" w:cs="宋体"/>
          <w:bCs/>
          <w:spacing w:val="-4"/>
          <w:sz w:val="24"/>
          <w:szCs w:val="24"/>
          <w:highlight w:val="none"/>
        </w:rPr>
        <w:t>封面</w:t>
      </w:r>
      <w:r>
        <w:rPr>
          <w:sz w:val="24"/>
          <w:szCs w:val="24"/>
          <w:highlight w:val="none"/>
        </w:rPr>
        <w:tab/>
      </w:r>
      <w:r>
        <w:rPr>
          <w:sz w:val="24"/>
          <w:szCs w:val="24"/>
          <w:highlight w:val="none"/>
        </w:rPr>
        <w:fldChar w:fldCharType="begin"/>
      </w:r>
      <w:r>
        <w:rPr>
          <w:sz w:val="24"/>
          <w:szCs w:val="24"/>
          <w:highlight w:val="none"/>
        </w:rPr>
        <w:instrText xml:space="preserve"> PAGEREF _Toc11203 \h </w:instrText>
      </w:r>
      <w:r>
        <w:rPr>
          <w:sz w:val="24"/>
          <w:szCs w:val="24"/>
          <w:highlight w:val="none"/>
        </w:rPr>
        <w:fldChar w:fldCharType="separate"/>
      </w:r>
      <w:r>
        <w:rPr>
          <w:sz w:val="24"/>
          <w:szCs w:val="24"/>
          <w:highlight w:val="none"/>
        </w:rPr>
        <w:t>67</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239B5A9A">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_Toc24492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格式二 投标函</w:t>
      </w:r>
      <w:r>
        <w:rPr>
          <w:sz w:val="24"/>
          <w:szCs w:val="24"/>
          <w:highlight w:val="none"/>
        </w:rPr>
        <w:tab/>
      </w:r>
      <w:r>
        <w:rPr>
          <w:sz w:val="24"/>
          <w:szCs w:val="24"/>
          <w:highlight w:val="none"/>
        </w:rPr>
        <w:fldChar w:fldCharType="begin"/>
      </w:r>
      <w:r>
        <w:rPr>
          <w:sz w:val="24"/>
          <w:szCs w:val="24"/>
          <w:highlight w:val="none"/>
        </w:rPr>
        <w:instrText xml:space="preserve"> PAGEREF _Toc24492 \h </w:instrText>
      </w:r>
      <w:r>
        <w:rPr>
          <w:sz w:val="24"/>
          <w:szCs w:val="24"/>
          <w:highlight w:val="none"/>
        </w:rPr>
        <w:fldChar w:fldCharType="separate"/>
      </w:r>
      <w:r>
        <w:rPr>
          <w:sz w:val="24"/>
          <w:szCs w:val="24"/>
          <w:highlight w:val="none"/>
        </w:rPr>
        <w:t>68</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6CADD78B">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_Toc15958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格式三 各项承诺一览表</w:t>
      </w:r>
      <w:r>
        <w:rPr>
          <w:sz w:val="24"/>
          <w:szCs w:val="24"/>
          <w:highlight w:val="none"/>
        </w:rPr>
        <w:tab/>
      </w:r>
      <w:r>
        <w:rPr>
          <w:sz w:val="24"/>
          <w:szCs w:val="24"/>
          <w:highlight w:val="none"/>
        </w:rPr>
        <w:fldChar w:fldCharType="begin"/>
      </w:r>
      <w:r>
        <w:rPr>
          <w:sz w:val="24"/>
          <w:szCs w:val="24"/>
          <w:highlight w:val="none"/>
        </w:rPr>
        <w:instrText xml:space="preserve"> PAGEREF _Toc15958 \h </w:instrText>
      </w:r>
      <w:r>
        <w:rPr>
          <w:sz w:val="24"/>
          <w:szCs w:val="24"/>
          <w:highlight w:val="none"/>
        </w:rPr>
        <w:fldChar w:fldCharType="separate"/>
      </w:r>
      <w:r>
        <w:rPr>
          <w:sz w:val="24"/>
          <w:szCs w:val="24"/>
          <w:highlight w:val="none"/>
        </w:rPr>
        <w:t>69</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3558C449">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_Toc16537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格式四 授权委托书</w:t>
      </w:r>
      <w:r>
        <w:rPr>
          <w:sz w:val="24"/>
          <w:szCs w:val="24"/>
          <w:highlight w:val="none"/>
        </w:rPr>
        <w:tab/>
      </w:r>
      <w:r>
        <w:rPr>
          <w:sz w:val="24"/>
          <w:szCs w:val="24"/>
          <w:highlight w:val="none"/>
        </w:rPr>
        <w:fldChar w:fldCharType="begin"/>
      </w:r>
      <w:r>
        <w:rPr>
          <w:sz w:val="24"/>
          <w:szCs w:val="24"/>
          <w:highlight w:val="none"/>
        </w:rPr>
        <w:instrText xml:space="preserve"> PAGEREF _Toc16537 \h </w:instrText>
      </w:r>
      <w:r>
        <w:rPr>
          <w:sz w:val="24"/>
          <w:szCs w:val="24"/>
          <w:highlight w:val="none"/>
        </w:rPr>
        <w:fldChar w:fldCharType="separate"/>
      </w:r>
      <w:r>
        <w:rPr>
          <w:sz w:val="24"/>
          <w:szCs w:val="24"/>
          <w:highlight w:val="none"/>
        </w:rPr>
        <w:t>71</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2CFB5262">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_Toc30394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格式五 法定代表人身份证明</w:t>
      </w:r>
      <w:r>
        <w:rPr>
          <w:sz w:val="24"/>
          <w:szCs w:val="24"/>
          <w:highlight w:val="none"/>
        </w:rPr>
        <w:tab/>
      </w:r>
      <w:r>
        <w:rPr>
          <w:sz w:val="24"/>
          <w:szCs w:val="24"/>
          <w:highlight w:val="none"/>
        </w:rPr>
        <w:fldChar w:fldCharType="begin"/>
      </w:r>
      <w:r>
        <w:rPr>
          <w:sz w:val="24"/>
          <w:szCs w:val="24"/>
          <w:highlight w:val="none"/>
        </w:rPr>
        <w:instrText xml:space="preserve"> PAGEREF _Toc30394 \h </w:instrText>
      </w:r>
      <w:r>
        <w:rPr>
          <w:sz w:val="24"/>
          <w:szCs w:val="24"/>
          <w:highlight w:val="none"/>
        </w:rPr>
        <w:fldChar w:fldCharType="separate"/>
      </w:r>
      <w:r>
        <w:rPr>
          <w:sz w:val="24"/>
          <w:szCs w:val="24"/>
          <w:highlight w:val="none"/>
        </w:rPr>
        <w:t>72</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31353593">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_Toc5771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格式六 联合体协议书</w:t>
      </w:r>
      <w:r>
        <w:rPr>
          <w:sz w:val="24"/>
          <w:szCs w:val="24"/>
          <w:highlight w:val="none"/>
        </w:rPr>
        <w:tab/>
      </w:r>
      <w:r>
        <w:rPr>
          <w:sz w:val="24"/>
          <w:szCs w:val="24"/>
          <w:highlight w:val="none"/>
        </w:rPr>
        <w:fldChar w:fldCharType="begin"/>
      </w:r>
      <w:r>
        <w:rPr>
          <w:sz w:val="24"/>
          <w:szCs w:val="24"/>
          <w:highlight w:val="none"/>
        </w:rPr>
        <w:instrText xml:space="preserve"> PAGEREF _Toc5771 \h </w:instrText>
      </w:r>
      <w:r>
        <w:rPr>
          <w:sz w:val="24"/>
          <w:szCs w:val="24"/>
          <w:highlight w:val="none"/>
        </w:rPr>
        <w:fldChar w:fldCharType="separate"/>
      </w:r>
      <w:r>
        <w:rPr>
          <w:sz w:val="24"/>
          <w:szCs w:val="24"/>
          <w:highlight w:val="none"/>
        </w:rPr>
        <w:t>73</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54236CB1">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_Toc17838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格式七 投标人基本情况表</w:t>
      </w:r>
      <w:r>
        <w:rPr>
          <w:sz w:val="24"/>
          <w:szCs w:val="24"/>
          <w:highlight w:val="none"/>
        </w:rPr>
        <w:tab/>
      </w:r>
      <w:r>
        <w:rPr>
          <w:sz w:val="24"/>
          <w:szCs w:val="24"/>
          <w:highlight w:val="none"/>
        </w:rPr>
        <w:fldChar w:fldCharType="begin"/>
      </w:r>
      <w:r>
        <w:rPr>
          <w:sz w:val="24"/>
          <w:szCs w:val="24"/>
          <w:highlight w:val="none"/>
        </w:rPr>
        <w:instrText xml:space="preserve"> PAGEREF _Toc17838 \h </w:instrText>
      </w:r>
      <w:r>
        <w:rPr>
          <w:sz w:val="24"/>
          <w:szCs w:val="24"/>
          <w:highlight w:val="none"/>
        </w:rPr>
        <w:fldChar w:fldCharType="separate"/>
      </w:r>
      <w:r>
        <w:rPr>
          <w:sz w:val="24"/>
          <w:szCs w:val="24"/>
          <w:highlight w:val="none"/>
        </w:rPr>
        <w:t>74</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1C1E61C5">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_Toc19699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格式八 项目经理简历表</w:t>
      </w:r>
      <w:r>
        <w:rPr>
          <w:sz w:val="24"/>
          <w:szCs w:val="24"/>
          <w:highlight w:val="none"/>
        </w:rPr>
        <w:tab/>
      </w:r>
      <w:r>
        <w:rPr>
          <w:sz w:val="24"/>
          <w:szCs w:val="24"/>
          <w:highlight w:val="none"/>
        </w:rPr>
        <w:fldChar w:fldCharType="begin"/>
      </w:r>
      <w:r>
        <w:rPr>
          <w:sz w:val="24"/>
          <w:szCs w:val="24"/>
          <w:highlight w:val="none"/>
        </w:rPr>
        <w:instrText xml:space="preserve"> PAGEREF _Toc19699 \h </w:instrText>
      </w:r>
      <w:r>
        <w:rPr>
          <w:sz w:val="24"/>
          <w:szCs w:val="24"/>
          <w:highlight w:val="none"/>
        </w:rPr>
        <w:fldChar w:fldCharType="separate"/>
      </w:r>
      <w:r>
        <w:rPr>
          <w:sz w:val="24"/>
          <w:szCs w:val="24"/>
          <w:highlight w:val="none"/>
        </w:rPr>
        <w:t>75</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5F78039F">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_Toc30661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格式九 项目经理任职声明</w:t>
      </w:r>
      <w:r>
        <w:rPr>
          <w:sz w:val="24"/>
          <w:szCs w:val="24"/>
          <w:highlight w:val="none"/>
        </w:rPr>
        <w:tab/>
      </w:r>
      <w:r>
        <w:rPr>
          <w:sz w:val="24"/>
          <w:szCs w:val="24"/>
          <w:highlight w:val="none"/>
        </w:rPr>
        <w:fldChar w:fldCharType="begin"/>
      </w:r>
      <w:r>
        <w:rPr>
          <w:sz w:val="24"/>
          <w:szCs w:val="24"/>
          <w:highlight w:val="none"/>
        </w:rPr>
        <w:instrText xml:space="preserve"> PAGEREF _Toc30661 \h </w:instrText>
      </w:r>
      <w:r>
        <w:rPr>
          <w:sz w:val="24"/>
          <w:szCs w:val="24"/>
          <w:highlight w:val="none"/>
        </w:rPr>
        <w:fldChar w:fldCharType="separate"/>
      </w:r>
      <w:r>
        <w:rPr>
          <w:sz w:val="24"/>
          <w:szCs w:val="24"/>
          <w:highlight w:val="none"/>
        </w:rPr>
        <w:t>76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22DBA081">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_Toc31071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格式十 项目技术负责人简历表</w:t>
      </w:r>
      <w:r>
        <w:rPr>
          <w:sz w:val="24"/>
          <w:szCs w:val="24"/>
          <w:highlight w:val="none"/>
        </w:rPr>
        <w:tab/>
      </w:r>
      <w:r>
        <w:rPr>
          <w:sz w:val="24"/>
          <w:szCs w:val="24"/>
          <w:highlight w:val="none"/>
        </w:rPr>
        <w:fldChar w:fldCharType="begin"/>
      </w:r>
      <w:r>
        <w:rPr>
          <w:sz w:val="24"/>
          <w:szCs w:val="24"/>
          <w:highlight w:val="none"/>
        </w:rPr>
        <w:instrText xml:space="preserve"> PAGEREF _Toc31071 \h </w:instrText>
      </w:r>
      <w:r>
        <w:rPr>
          <w:sz w:val="24"/>
          <w:szCs w:val="24"/>
          <w:highlight w:val="none"/>
        </w:rPr>
        <w:fldChar w:fldCharType="separate"/>
      </w:r>
      <w:r>
        <w:rPr>
          <w:sz w:val="24"/>
          <w:szCs w:val="24"/>
          <w:highlight w:val="none"/>
        </w:rPr>
        <w:t>77</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5EECC155">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_Toc25235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格式十一 项目管理机构组成表</w:t>
      </w:r>
      <w:r>
        <w:rPr>
          <w:sz w:val="24"/>
          <w:szCs w:val="24"/>
          <w:highlight w:val="none"/>
        </w:rPr>
        <w:tab/>
      </w:r>
      <w:r>
        <w:rPr>
          <w:sz w:val="24"/>
          <w:szCs w:val="24"/>
          <w:highlight w:val="none"/>
        </w:rPr>
        <w:fldChar w:fldCharType="begin"/>
      </w:r>
      <w:r>
        <w:rPr>
          <w:sz w:val="24"/>
          <w:szCs w:val="24"/>
          <w:highlight w:val="none"/>
        </w:rPr>
        <w:instrText xml:space="preserve"> PAGEREF _Toc25235 \h </w:instrText>
      </w:r>
      <w:r>
        <w:rPr>
          <w:sz w:val="24"/>
          <w:szCs w:val="24"/>
          <w:highlight w:val="none"/>
        </w:rPr>
        <w:fldChar w:fldCharType="separate"/>
      </w:r>
      <w:r>
        <w:rPr>
          <w:sz w:val="24"/>
          <w:szCs w:val="24"/>
          <w:highlight w:val="none"/>
        </w:rPr>
        <w:t>78</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22F8F691">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_Toc16480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格式十二 建造师查询页（有效期+建造师签字）</w:t>
      </w:r>
      <w:r>
        <w:rPr>
          <w:sz w:val="24"/>
          <w:szCs w:val="24"/>
          <w:highlight w:val="none"/>
        </w:rPr>
        <w:tab/>
      </w:r>
      <w:r>
        <w:rPr>
          <w:sz w:val="24"/>
          <w:szCs w:val="24"/>
          <w:highlight w:val="none"/>
        </w:rPr>
        <w:fldChar w:fldCharType="begin"/>
      </w:r>
      <w:r>
        <w:rPr>
          <w:sz w:val="24"/>
          <w:szCs w:val="24"/>
          <w:highlight w:val="none"/>
        </w:rPr>
        <w:instrText xml:space="preserve"> PAGEREF _Toc16480 \h </w:instrText>
      </w:r>
      <w:r>
        <w:rPr>
          <w:sz w:val="24"/>
          <w:szCs w:val="24"/>
          <w:highlight w:val="none"/>
        </w:rPr>
        <w:fldChar w:fldCharType="separate"/>
      </w:r>
      <w:r>
        <w:rPr>
          <w:sz w:val="24"/>
          <w:szCs w:val="24"/>
          <w:highlight w:val="none"/>
        </w:rPr>
        <w:t>79</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3777ED22">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_Toc28779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格式十三：</w:t>
      </w:r>
      <w:r>
        <w:rPr>
          <w:rFonts w:hint="eastAsia" w:ascii="宋体" w:hAnsi="宋体" w:eastAsia="宋体" w:cs="宋体"/>
          <w:bCs/>
          <w:spacing w:val="7"/>
          <w:sz w:val="24"/>
          <w:szCs w:val="24"/>
          <w:highlight w:val="none"/>
        </w:rPr>
        <w:t>危险性较大的分部分项工程清单及超过一定规模的危险性较大的</w:t>
      </w:r>
      <w:r>
        <w:rPr>
          <w:rFonts w:hint="eastAsia" w:ascii="宋体" w:hAnsi="宋体" w:eastAsia="宋体" w:cs="宋体"/>
          <w:bCs/>
          <w:spacing w:val="5"/>
          <w:sz w:val="24"/>
          <w:szCs w:val="24"/>
          <w:highlight w:val="none"/>
        </w:rPr>
        <w:t>分部分项工程清单</w:t>
      </w:r>
      <w:r>
        <w:rPr>
          <w:sz w:val="24"/>
          <w:szCs w:val="24"/>
          <w:highlight w:val="none"/>
        </w:rPr>
        <w:tab/>
      </w:r>
      <w:r>
        <w:rPr>
          <w:sz w:val="24"/>
          <w:szCs w:val="24"/>
          <w:highlight w:val="none"/>
        </w:rPr>
        <w:fldChar w:fldCharType="begin"/>
      </w:r>
      <w:r>
        <w:rPr>
          <w:sz w:val="24"/>
          <w:szCs w:val="24"/>
          <w:highlight w:val="none"/>
        </w:rPr>
        <w:instrText xml:space="preserve"> PAGEREF _Toc28779 \h </w:instrText>
      </w:r>
      <w:r>
        <w:rPr>
          <w:sz w:val="24"/>
          <w:szCs w:val="24"/>
          <w:highlight w:val="none"/>
        </w:rPr>
        <w:fldChar w:fldCharType="separate"/>
      </w:r>
      <w:r>
        <w:rPr>
          <w:sz w:val="24"/>
          <w:szCs w:val="24"/>
          <w:highlight w:val="none"/>
        </w:rPr>
        <w:t>81</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F2B0A9A">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_Toc738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格式十四</w:t>
      </w:r>
      <w:r>
        <w:rPr>
          <w:rFonts w:hint="eastAsia" w:ascii="宋体" w:hAnsi="宋体" w:eastAsia="宋体" w:cs="宋体"/>
          <w:bCs/>
          <w:spacing w:val="-4"/>
          <w:sz w:val="24"/>
          <w:szCs w:val="24"/>
          <w:highlight w:val="none"/>
          <w:lang w:val="en-US" w:eastAsia="zh-CN"/>
        </w:rPr>
        <w:t xml:space="preserve">  </w:t>
      </w:r>
      <w:r>
        <w:rPr>
          <w:rFonts w:hint="eastAsia" w:ascii="宋体" w:hAnsi="宋体" w:eastAsia="宋体" w:cs="宋体"/>
          <w:bCs/>
          <w:spacing w:val="4"/>
          <w:position w:val="3"/>
          <w:sz w:val="24"/>
          <w:szCs w:val="24"/>
          <w:highlight w:val="none"/>
        </w:rPr>
        <w:t>投标保证金信用承诺函</w:t>
      </w:r>
      <w:r>
        <w:rPr>
          <w:sz w:val="24"/>
          <w:szCs w:val="24"/>
          <w:highlight w:val="none"/>
        </w:rPr>
        <w:tab/>
      </w:r>
      <w:r>
        <w:rPr>
          <w:sz w:val="24"/>
          <w:szCs w:val="24"/>
          <w:highlight w:val="none"/>
        </w:rPr>
        <w:fldChar w:fldCharType="begin"/>
      </w:r>
      <w:r>
        <w:rPr>
          <w:sz w:val="24"/>
          <w:szCs w:val="24"/>
          <w:highlight w:val="none"/>
        </w:rPr>
        <w:instrText xml:space="preserve"> PAGEREF _Toc738 \h </w:instrText>
      </w:r>
      <w:r>
        <w:rPr>
          <w:sz w:val="24"/>
          <w:szCs w:val="24"/>
          <w:highlight w:val="none"/>
        </w:rPr>
        <w:fldChar w:fldCharType="separate"/>
      </w:r>
      <w:r>
        <w:rPr>
          <w:sz w:val="24"/>
          <w:szCs w:val="24"/>
          <w:highlight w:val="none"/>
        </w:rPr>
        <w:t>86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423AC7AB">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_Toc9960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格式十</w:t>
      </w:r>
      <w:r>
        <w:rPr>
          <w:rFonts w:hint="eastAsia" w:ascii="宋体" w:hAnsi="宋体" w:eastAsia="宋体" w:cs="宋体"/>
          <w:bCs/>
          <w:spacing w:val="-4"/>
          <w:sz w:val="24"/>
          <w:szCs w:val="24"/>
          <w:highlight w:val="none"/>
          <w:lang w:eastAsia="zh-CN"/>
        </w:rPr>
        <w:t>五</w:t>
      </w:r>
      <w:r>
        <w:rPr>
          <w:rFonts w:hint="eastAsia" w:ascii="宋体" w:hAnsi="宋体" w:eastAsia="宋体" w:cs="宋体"/>
          <w:bCs/>
          <w:spacing w:val="-4"/>
          <w:sz w:val="24"/>
          <w:szCs w:val="24"/>
          <w:highlight w:val="none"/>
        </w:rPr>
        <w:t xml:space="preserve">  原件一览表</w:t>
      </w:r>
      <w:r>
        <w:rPr>
          <w:sz w:val="24"/>
          <w:szCs w:val="24"/>
          <w:highlight w:val="none"/>
        </w:rPr>
        <w:tab/>
      </w:r>
      <w:r>
        <w:rPr>
          <w:sz w:val="24"/>
          <w:szCs w:val="24"/>
          <w:highlight w:val="none"/>
        </w:rPr>
        <w:fldChar w:fldCharType="begin"/>
      </w:r>
      <w:r>
        <w:rPr>
          <w:sz w:val="24"/>
          <w:szCs w:val="24"/>
          <w:highlight w:val="none"/>
        </w:rPr>
        <w:instrText xml:space="preserve"> PAGEREF _Toc9960 \h </w:instrText>
      </w:r>
      <w:r>
        <w:rPr>
          <w:sz w:val="24"/>
          <w:szCs w:val="24"/>
          <w:highlight w:val="none"/>
        </w:rPr>
        <w:fldChar w:fldCharType="separate"/>
      </w:r>
      <w:r>
        <w:rPr>
          <w:sz w:val="24"/>
          <w:szCs w:val="24"/>
          <w:highlight w:val="none"/>
        </w:rPr>
        <w:t>87</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76A7CCA">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bCs/>
          <w:spacing w:val="-4"/>
          <w:sz w:val="24"/>
          <w:szCs w:val="24"/>
          <w:highlight w:val="none"/>
        </w:rPr>
      </w:pPr>
      <w:r>
        <w:rPr>
          <w:rFonts w:hint="eastAsia" w:ascii="宋体" w:hAnsi="宋体" w:eastAsia="宋体" w:cs="宋体"/>
          <w:bCs/>
          <w:spacing w:val="-4"/>
          <w:sz w:val="24"/>
          <w:szCs w:val="24"/>
          <w:highlight w:val="none"/>
        </w:rPr>
        <w:fldChar w:fldCharType="begin"/>
      </w:r>
      <w:r>
        <w:rPr>
          <w:rFonts w:hint="eastAsia" w:ascii="宋体" w:hAnsi="宋体" w:eastAsia="宋体" w:cs="宋体"/>
          <w:bCs/>
          <w:spacing w:val="-4"/>
          <w:sz w:val="24"/>
          <w:szCs w:val="24"/>
          <w:highlight w:val="none"/>
        </w:rPr>
        <w:instrText xml:space="preserve"> HYPERLINK \l _Toc7940 </w:instrText>
      </w:r>
      <w:r>
        <w:rPr>
          <w:rFonts w:hint="eastAsia" w:ascii="宋体" w:hAnsi="宋体" w:eastAsia="宋体" w:cs="宋体"/>
          <w:bCs/>
          <w:spacing w:val="-4"/>
          <w:sz w:val="24"/>
          <w:szCs w:val="24"/>
          <w:highlight w:val="none"/>
        </w:rPr>
        <w:fldChar w:fldCharType="separate"/>
      </w:r>
      <w:r>
        <w:rPr>
          <w:rFonts w:hint="eastAsia" w:ascii="宋体" w:hAnsi="宋体" w:eastAsia="宋体" w:cs="宋体"/>
          <w:bCs/>
          <w:spacing w:val="-4"/>
          <w:sz w:val="24"/>
          <w:szCs w:val="24"/>
          <w:highlight w:val="none"/>
          <w:lang w:val="en-US" w:eastAsia="zh-CN"/>
        </w:rPr>
        <w:t>格式十六 助力项目承诺书</w:t>
      </w:r>
      <w:r>
        <w:rPr>
          <w:rFonts w:hint="eastAsia" w:ascii="宋体" w:hAnsi="宋体" w:eastAsia="宋体" w:cs="宋体"/>
          <w:bCs/>
          <w:spacing w:val="-4"/>
          <w:sz w:val="24"/>
          <w:szCs w:val="24"/>
          <w:highlight w:val="none"/>
        </w:rPr>
        <w:tab/>
      </w:r>
      <w:r>
        <w:rPr>
          <w:rFonts w:hint="eastAsia" w:ascii="宋体" w:hAnsi="宋体" w:eastAsia="宋体" w:cs="宋体"/>
          <w:bCs/>
          <w:spacing w:val="-4"/>
          <w:sz w:val="24"/>
          <w:szCs w:val="24"/>
          <w:highlight w:val="none"/>
        </w:rPr>
        <w:fldChar w:fldCharType="begin"/>
      </w:r>
      <w:r>
        <w:rPr>
          <w:rFonts w:hint="eastAsia" w:ascii="宋体" w:hAnsi="宋体" w:eastAsia="宋体" w:cs="宋体"/>
          <w:bCs/>
          <w:spacing w:val="-4"/>
          <w:sz w:val="24"/>
          <w:szCs w:val="24"/>
          <w:highlight w:val="none"/>
        </w:rPr>
        <w:instrText xml:space="preserve"> PAGEREF _Toc7940 \h </w:instrText>
      </w:r>
      <w:r>
        <w:rPr>
          <w:rFonts w:hint="eastAsia" w:ascii="宋体" w:hAnsi="宋体" w:eastAsia="宋体" w:cs="宋体"/>
          <w:bCs/>
          <w:spacing w:val="-4"/>
          <w:sz w:val="24"/>
          <w:szCs w:val="24"/>
          <w:highlight w:val="none"/>
        </w:rPr>
        <w:fldChar w:fldCharType="separate"/>
      </w:r>
      <w:r>
        <w:rPr>
          <w:rFonts w:hint="eastAsia" w:ascii="宋体" w:hAnsi="宋体" w:eastAsia="宋体" w:cs="宋体"/>
          <w:bCs/>
          <w:spacing w:val="-4"/>
          <w:sz w:val="24"/>
          <w:szCs w:val="24"/>
          <w:highlight w:val="none"/>
        </w:rPr>
        <w:t>88</w:t>
      </w:r>
      <w:r>
        <w:rPr>
          <w:rFonts w:hint="eastAsia" w:ascii="宋体" w:hAnsi="宋体" w:eastAsia="宋体" w:cs="宋体"/>
          <w:bCs/>
          <w:spacing w:val="-4"/>
          <w:sz w:val="24"/>
          <w:szCs w:val="24"/>
          <w:highlight w:val="none"/>
        </w:rPr>
        <w:fldChar w:fldCharType="end"/>
      </w:r>
      <w:r>
        <w:rPr>
          <w:rFonts w:hint="eastAsia" w:ascii="宋体" w:hAnsi="宋体" w:eastAsia="宋体" w:cs="宋体"/>
          <w:bCs/>
          <w:spacing w:val="-4"/>
          <w:sz w:val="24"/>
          <w:szCs w:val="24"/>
          <w:highlight w:val="none"/>
        </w:rPr>
        <w:fldChar w:fldCharType="end"/>
      </w:r>
    </w:p>
    <w:p w14:paraId="336785D8">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bCs/>
          <w:spacing w:val="-4"/>
          <w:sz w:val="24"/>
          <w:szCs w:val="24"/>
          <w:highlight w:val="none"/>
        </w:rPr>
        <w:fldChar w:fldCharType="begin"/>
      </w:r>
      <w:r>
        <w:rPr>
          <w:rFonts w:hint="eastAsia" w:ascii="宋体" w:hAnsi="宋体" w:eastAsia="宋体" w:cs="宋体"/>
          <w:bCs/>
          <w:spacing w:val="-4"/>
          <w:sz w:val="24"/>
          <w:szCs w:val="24"/>
          <w:highlight w:val="none"/>
        </w:rPr>
        <w:instrText xml:space="preserve"> HYPERLINK \l _Toc26323 </w:instrText>
      </w:r>
      <w:r>
        <w:rPr>
          <w:rFonts w:hint="eastAsia" w:ascii="宋体" w:hAnsi="宋体" w:eastAsia="宋体" w:cs="宋体"/>
          <w:bCs/>
          <w:spacing w:val="-4"/>
          <w:sz w:val="24"/>
          <w:szCs w:val="24"/>
          <w:highlight w:val="none"/>
        </w:rPr>
        <w:fldChar w:fldCharType="separate"/>
      </w:r>
      <w:r>
        <w:rPr>
          <w:rFonts w:hint="eastAsia" w:ascii="宋体" w:hAnsi="宋体" w:eastAsia="宋体" w:cs="宋体"/>
          <w:bCs/>
          <w:spacing w:val="-4"/>
          <w:sz w:val="24"/>
          <w:szCs w:val="24"/>
          <w:highlight w:val="none"/>
          <w:lang w:eastAsia="zh-CN"/>
        </w:rPr>
        <w:t>格式十</w:t>
      </w:r>
      <w:r>
        <w:rPr>
          <w:rFonts w:hint="eastAsia" w:ascii="宋体" w:hAnsi="宋体" w:eastAsia="宋体" w:cs="宋体"/>
          <w:bCs/>
          <w:spacing w:val="-4"/>
          <w:sz w:val="24"/>
          <w:szCs w:val="24"/>
          <w:highlight w:val="none"/>
          <w:lang w:val="en-US" w:eastAsia="zh-CN"/>
        </w:rPr>
        <w:t>七 定标因素评审资料</w:t>
      </w:r>
      <w:r>
        <w:rPr>
          <w:rFonts w:hint="eastAsia" w:ascii="宋体" w:hAnsi="宋体" w:eastAsia="宋体" w:cs="宋体"/>
          <w:bCs/>
          <w:spacing w:val="-4"/>
          <w:sz w:val="24"/>
          <w:szCs w:val="24"/>
          <w:highlight w:val="none"/>
        </w:rPr>
        <w:tab/>
      </w:r>
      <w:r>
        <w:rPr>
          <w:rFonts w:hint="eastAsia" w:ascii="宋体" w:hAnsi="宋体" w:eastAsia="宋体" w:cs="宋体"/>
          <w:bCs/>
          <w:spacing w:val="-4"/>
          <w:sz w:val="24"/>
          <w:szCs w:val="24"/>
          <w:highlight w:val="none"/>
        </w:rPr>
        <w:fldChar w:fldCharType="begin"/>
      </w:r>
      <w:r>
        <w:rPr>
          <w:rFonts w:hint="eastAsia" w:ascii="宋体" w:hAnsi="宋体" w:eastAsia="宋体" w:cs="宋体"/>
          <w:bCs/>
          <w:spacing w:val="-4"/>
          <w:sz w:val="24"/>
          <w:szCs w:val="24"/>
          <w:highlight w:val="none"/>
        </w:rPr>
        <w:instrText xml:space="preserve"> PAGEREF _Toc26323 \h </w:instrText>
      </w:r>
      <w:r>
        <w:rPr>
          <w:rFonts w:hint="eastAsia" w:ascii="宋体" w:hAnsi="宋体" w:eastAsia="宋体" w:cs="宋体"/>
          <w:bCs/>
          <w:spacing w:val="-4"/>
          <w:sz w:val="24"/>
          <w:szCs w:val="24"/>
          <w:highlight w:val="none"/>
        </w:rPr>
        <w:fldChar w:fldCharType="separate"/>
      </w:r>
      <w:r>
        <w:rPr>
          <w:rFonts w:hint="eastAsia" w:ascii="宋体" w:hAnsi="宋体" w:eastAsia="宋体" w:cs="宋体"/>
          <w:bCs/>
          <w:spacing w:val="-4"/>
          <w:sz w:val="24"/>
          <w:szCs w:val="24"/>
          <w:highlight w:val="none"/>
        </w:rPr>
        <w:t>89</w:t>
      </w:r>
      <w:r>
        <w:rPr>
          <w:rFonts w:hint="eastAsia" w:ascii="宋体" w:hAnsi="宋体" w:eastAsia="宋体" w:cs="宋体"/>
          <w:bCs/>
          <w:spacing w:val="-4"/>
          <w:sz w:val="24"/>
          <w:szCs w:val="24"/>
          <w:highlight w:val="none"/>
        </w:rPr>
        <w:fldChar w:fldCharType="end"/>
      </w:r>
      <w:r>
        <w:rPr>
          <w:rFonts w:hint="eastAsia" w:ascii="宋体" w:hAnsi="宋体" w:eastAsia="宋体" w:cs="宋体"/>
          <w:bCs/>
          <w:spacing w:val="-4"/>
          <w:sz w:val="24"/>
          <w:szCs w:val="24"/>
          <w:highlight w:val="none"/>
        </w:rPr>
        <w:fldChar w:fldCharType="end"/>
      </w:r>
    </w:p>
    <w:p w14:paraId="620D3556">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_Toc10482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第七章</w:t>
      </w:r>
      <w:r>
        <w:rPr>
          <w:rFonts w:hint="eastAsia" w:ascii="宋体" w:hAnsi="宋体" w:eastAsia="宋体" w:cs="宋体"/>
          <w:spacing w:val="-3"/>
          <w:sz w:val="24"/>
          <w:szCs w:val="24"/>
          <w:highlight w:val="none"/>
        </w:rPr>
        <w:t xml:space="preserve"> </w:t>
      </w:r>
      <w:r>
        <w:rPr>
          <w:rFonts w:hint="eastAsia" w:ascii="宋体" w:hAnsi="宋体" w:eastAsia="宋体" w:cs="宋体"/>
          <w:bCs/>
          <w:spacing w:val="-3"/>
          <w:sz w:val="24"/>
          <w:szCs w:val="24"/>
          <w:highlight w:val="none"/>
        </w:rPr>
        <w:t>建设工程施工合同</w:t>
      </w:r>
      <w:r>
        <w:rPr>
          <w:sz w:val="24"/>
          <w:szCs w:val="24"/>
          <w:highlight w:val="none"/>
        </w:rPr>
        <w:tab/>
      </w:r>
      <w:r>
        <w:rPr>
          <w:sz w:val="24"/>
          <w:szCs w:val="24"/>
          <w:highlight w:val="none"/>
        </w:rPr>
        <w:fldChar w:fldCharType="begin"/>
      </w:r>
      <w:r>
        <w:rPr>
          <w:sz w:val="24"/>
          <w:szCs w:val="24"/>
          <w:highlight w:val="none"/>
        </w:rPr>
        <w:instrText xml:space="preserve"> PAGEREF _Toc10482 \h </w:instrText>
      </w:r>
      <w:r>
        <w:rPr>
          <w:sz w:val="24"/>
          <w:szCs w:val="24"/>
          <w:highlight w:val="none"/>
        </w:rPr>
        <w:fldChar w:fldCharType="separate"/>
      </w:r>
      <w:r>
        <w:rPr>
          <w:sz w:val="24"/>
          <w:szCs w:val="24"/>
          <w:highlight w:val="none"/>
        </w:rPr>
        <w:t>90</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7B91383">
      <w:pPr>
        <w:keepNext w:val="0"/>
        <w:keepLines w:val="0"/>
        <w:pageBreakBefore w:val="0"/>
        <w:widowControl/>
        <w:kinsoku w:val="0"/>
        <w:wordWrap/>
        <w:overflowPunct/>
        <w:topLinePunct w:val="0"/>
        <w:autoSpaceDE w:val="0"/>
        <w:autoSpaceDN w:val="0"/>
        <w:bidi w:val="0"/>
        <w:adjustRightInd w:val="0"/>
        <w:snapToGrid w:val="0"/>
        <w:spacing w:line="400" w:lineRule="exact"/>
        <w:jc w:val="center"/>
        <w:textAlignment w:val="baseline"/>
        <w:rPr>
          <w:rFonts w:hint="eastAsia" w:ascii="宋体" w:hAnsi="宋体" w:eastAsia="宋体" w:cs="宋体"/>
          <w:color w:val="auto"/>
          <w:sz w:val="24"/>
          <w:szCs w:val="24"/>
          <w:highlight w:val="none"/>
        </w:rPr>
        <w:sectPr>
          <w:headerReference r:id="rId4" w:type="default"/>
          <w:footerReference r:id="rId5"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r>
        <w:rPr>
          <w:rFonts w:hint="eastAsia" w:ascii="宋体" w:hAnsi="宋体" w:eastAsia="宋体" w:cs="宋体"/>
          <w:color w:val="auto"/>
          <w:sz w:val="24"/>
          <w:szCs w:val="24"/>
          <w:highlight w:val="none"/>
        </w:rPr>
        <w:fldChar w:fldCharType="end"/>
      </w:r>
    </w:p>
    <w:p w14:paraId="6FAD710A">
      <w:pPr>
        <w:pStyle w:val="5"/>
        <w:spacing w:line="272" w:lineRule="auto"/>
        <w:rPr>
          <w:rFonts w:hint="eastAsia" w:ascii="宋体" w:hAnsi="宋体" w:eastAsia="宋体" w:cs="宋体"/>
          <w:color w:val="auto"/>
          <w:highlight w:val="none"/>
        </w:rPr>
      </w:pPr>
    </w:p>
    <w:p w14:paraId="41787C92">
      <w:pPr>
        <w:spacing w:before="78" w:line="219" w:lineRule="auto"/>
        <w:ind w:left="3416"/>
        <w:outlineLvl w:val="0"/>
        <w:rPr>
          <w:rFonts w:hint="eastAsia" w:ascii="宋体" w:hAnsi="宋体" w:eastAsia="宋体" w:cs="宋体"/>
          <w:color w:val="auto"/>
          <w:sz w:val="24"/>
          <w:szCs w:val="24"/>
          <w:highlight w:val="none"/>
        </w:rPr>
      </w:pPr>
      <w:bookmarkStart w:id="0" w:name="bookmark1"/>
      <w:bookmarkEnd w:id="0"/>
      <w:bookmarkStart w:id="1" w:name="_Toc30584"/>
      <w:r>
        <w:rPr>
          <w:rFonts w:hint="eastAsia" w:ascii="宋体" w:hAnsi="宋体" w:eastAsia="宋体" w:cs="宋体"/>
          <w:b/>
          <w:bCs/>
          <w:color w:val="auto"/>
          <w:spacing w:val="-3"/>
          <w:sz w:val="24"/>
          <w:szCs w:val="24"/>
          <w:highlight w:val="none"/>
        </w:rPr>
        <w:t>第一章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w:t>
      </w:r>
      <w:bookmarkEnd w:id="1"/>
    </w:p>
    <w:p w14:paraId="225EA8A0">
      <w:pPr>
        <w:spacing w:before="156" w:line="219" w:lineRule="auto"/>
        <w:ind w:left="17"/>
        <w:outlineLvl w:val="1"/>
        <w:rPr>
          <w:rFonts w:hint="eastAsia" w:ascii="宋体" w:hAnsi="宋体" w:eastAsia="宋体" w:cs="宋体"/>
          <w:color w:val="auto"/>
          <w:sz w:val="24"/>
          <w:szCs w:val="24"/>
          <w:highlight w:val="none"/>
        </w:rPr>
      </w:pPr>
      <w:bookmarkStart w:id="2" w:name="bookmark3"/>
      <w:bookmarkEnd w:id="2"/>
      <w:bookmarkStart w:id="3" w:name="_Toc1079"/>
      <w:r>
        <w:rPr>
          <w:rFonts w:hint="eastAsia" w:ascii="宋体" w:hAnsi="宋体" w:eastAsia="宋体" w:cs="宋体"/>
          <w:b/>
          <w:bCs/>
          <w:color w:val="auto"/>
          <w:spacing w:val="-3"/>
          <w:sz w:val="24"/>
          <w:szCs w:val="24"/>
          <w:highlight w:val="none"/>
        </w:rPr>
        <w:t>第一节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投标人须知前附表</w:t>
      </w:r>
      <w:bookmarkEnd w:id="3"/>
    </w:p>
    <w:p w14:paraId="7D4C9041">
      <w:pPr>
        <w:spacing w:before="25"/>
        <w:rPr>
          <w:rFonts w:hint="eastAsia" w:ascii="宋体" w:hAnsi="宋体" w:eastAsia="宋体" w:cs="宋体"/>
          <w:color w:val="auto"/>
          <w:highlight w:val="none"/>
        </w:rPr>
      </w:pPr>
    </w:p>
    <w:tbl>
      <w:tblPr>
        <w:tblStyle w:val="14"/>
        <w:tblW w:w="998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2"/>
        <w:gridCol w:w="1860"/>
        <w:gridCol w:w="7544"/>
      </w:tblGrid>
      <w:tr w14:paraId="45388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8" w:hRule="atLeast"/>
        </w:trPr>
        <w:tc>
          <w:tcPr>
            <w:tcW w:w="582" w:type="dxa"/>
            <w:vAlign w:val="top"/>
          </w:tcPr>
          <w:p w14:paraId="6E71DC35">
            <w:pPr>
              <w:spacing w:before="203" w:line="209" w:lineRule="auto"/>
              <w:ind w:left="0" w:leftChars="0" w:firstLine="0" w:firstLineChars="0"/>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序号</w:t>
            </w:r>
          </w:p>
        </w:tc>
        <w:tc>
          <w:tcPr>
            <w:tcW w:w="1860" w:type="dxa"/>
            <w:vAlign w:val="center"/>
          </w:tcPr>
          <w:p w14:paraId="4C2E1B8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内容</w:t>
            </w:r>
          </w:p>
        </w:tc>
        <w:tc>
          <w:tcPr>
            <w:tcW w:w="7544" w:type="dxa"/>
            <w:vAlign w:val="center"/>
          </w:tcPr>
          <w:p w14:paraId="5AEE082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说明与要求</w:t>
            </w:r>
          </w:p>
        </w:tc>
      </w:tr>
      <w:tr w14:paraId="33E38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4" w:hRule="atLeast"/>
        </w:trPr>
        <w:tc>
          <w:tcPr>
            <w:tcW w:w="582" w:type="dxa"/>
            <w:vAlign w:val="center"/>
          </w:tcPr>
          <w:p w14:paraId="3743D7C8">
            <w:pPr>
              <w:spacing w:before="223" w:line="195" w:lineRule="auto"/>
              <w:jc w:val="center"/>
              <w:rPr>
                <w:rFonts w:hint="eastAsia" w:asciiTheme="minorEastAsia" w:hAnsiTheme="minorEastAsia" w:eastAsiaTheme="minorEastAsia" w:cstheme="minorEastAsia"/>
                <w:color w:val="auto"/>
                <w:sz w:val="21"/>
                <w:szCs w:val="21"/>
                <w:highlight w:val="none"/>
              </w:rPr>
            </w:pPr>
            <w:bookmarkStart w:id="4" w:name="OLE_LINK2" w:colFirst="2" w:colLast="2"/>
            <w:r>
              <w:rPr>
                <w:rFonts w:hint="eastAsia" w:asciiTheme="minorEastAsia" w:hAnsiTheme="minorEastAsia" w:eastAsiaTheme="minorEastAsia" w:cstheme="minorEastAsia"/>
                <w:color w:val="auto"/>
                <w:sz w:val="21"/>
                <w:szCs w:val="21"/>
                <w:highlight w:val="none"/>
              </w:rPr>
              <w:t>1</w:t>
            </w:r>
          </w:p>
        </w:tc>
        <w:tc>
          <w:tcPr>
            <w:tcW w:w="1860" w:type="dxa"/>
            <w:vAlign w:val="center"/>
          </w:tcPr>
          <w:p w14:paraId="2DAD04F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项目名称</w:t>
            </w:r>
          </w:p>
        </w:tc>
        <w:tc>
          <w:tcPr>
            <w:tcW w:w="7544" w:type="dxa"/>
            <w:vAlign w:val="center"/>
          </w:tcPr>
          <w:p w14:paraId="495090BD">
            <w:pPr>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仁化产业转移工业园区基础建设（二期）-煜坤环保项目用地基础设施建设项目施工</w:t>
            </w:r>
          </w:p>
        </w:tc>
      </w:tr>
      <w:tr w14:paraId="443D2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8" w:hRule="atLeast"/>
        </w:trPr>
        <w:tc>
          <w:tcPr>
            <w:tcW w:w="582" w:type="dxa"/>
            <w:vAlign w:val="center"/>
          </w:tcPr>
          <w:p w14:paraId="6B02EA2B">
            <w:pPr>
              <w:spacing w:before="222"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p>
        </w:tc>
        <w:tc>
          <w:tcPr>
            <w:tcW w:w="1860" w:type="dxa"/>
            <w:vAlign w:val="center"/>
          </w:tcPr>
          <w:p w14:paraId="4498F624">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项目业主</w:t>
            </w:r>
          </w:p>
        </w:tc>
        <w:tc>
          <w:tcPr>
            <w:tcW w:w="7544" w:type="dxa"/>
            <w:vAlign w:val="center"/>
          </w:tcPr>
          <w:p w14:paraId="0533DE1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仁化县丹霞旅游经济开发试验区管理委员会</w:t>
            </w:r>
          </w:p>
        </w:tc>
      </w:tr>
      <w:tr w14:paraId="5E88E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5" w:hRule="atLeast"/>
        </w:trPr>
        <w:tc>
          <w:tcPr>
            <w:tcW w:w="582" w:type="dxa"/>
            <w:vAlign w:val="center"/>
          </w:tcPr>
          <w:p w14:paraId="3A5F6D9F">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w:t>
            </w:r>
          </w:p>
        </w:tc>
        <w:tc>
          <w:tcPr>
            <w:tcW w:w="1860" w:type="dxa"/>
            <w:vAlign w:val="center"/>
          </w:tcPr>
          <w:p w14:paraId="157B504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项目批准部门及项目批准文号</w:t>
            </w:r>
          </w:p>
        </w:tc>
        <w:tc>
          <w:tcPr>
            <w:tcW w:w="7544" w:type="dxa"/>
            <w:vAlign w:val="center"/>
          </w:tcPr>
          <w:p w14:paraId="2C0F6B5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仁化县发展改革和政务数据局</w:t>
            </w:r>
          </w:p>
          <w:p w14:paraId="667F29C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仁发改和政数投审〔2026〕27号</w:t>
            </w:r>
          </w:p>
        </w:tc>
      </w:tr>
      <w:tr w14:paraId="2C58B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1" w:hRule="atLeast"/>
        </w:trPr>
        <w:tc>
          <w:tcPr>
            <w:tcW w:w="582" w:type="dxa"/>
            <w:vAlign w:val="center"/>
          </w:tcPr>
          <w:p w14:paraId="7E34B725">
            <w:pPr>
              <w:spacing w:before="225"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4</w:t>
            </w:r>
          </w:p>
        </w:tc>
        <w:tc>
          <w:tcPr>
            <w:tcW w:w="1860" w:type="dxa"/>
            <w:vAlign w:val="center"/>
          </w:tcPr>
          <w:p w14:paraId="1DD2D51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建设地点</w:t>
            </w:r>
          </w:p>
        </w:tc>
        <w:tc>
          <w:tcPr>
            <w:tcW w:w="7544" w:type="dxa"/>
            <w:tcMar>
              <w:top w:w="0" w:type="dxa"/>
              <w:left w:w="0" w:type="dxa"/>
              <w:bottom w:w="0" w:type="dxa"/>
              <w:right w:w="0" w:type="dxa"/>
            </w:tcMar>
            <w:vAlign w:val="center"/>
          </w:tcPr>
          <w:p w14:paraId="35204136">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hAnsi="宋体" w:eastAsia="宋体" w:cs="Calibri"/>
                <w:bCs/>
                <w:color w:val="auto"/>
                <w:sz w:val="21"/>
                <w:szCs w:val="21"/>
                <w:highlight w:val="none"/>
                <w:lang w:val="en-US" w:eastAsia="zh-CN"/>
              </w:rPr>
              <w:t>韶关仁化产业园区</w:t>
            </w:r>
          </w:p>
        </w:tc>
      </w:tr>
      <w:tr w14:paraId="565EE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3" w:hRule="atLeast"/>
        </w:trPr>
        <w:tc>
          <w:tcPr>
            <w:tcW w:w="582" w:type="dxa"/>
            <w:vAlign w:val="center"/>
          </w:tcPr>
          <w:p w14:paraId="318E89F5">
            <w:pPr>
              <w:spacing w:before="226" w:line="192"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w:t>
            </w:r>
          </w:p>
        </w:tc>
        <w:tc>
          <w:tcPr>
            <w:tcW w:w="1860" w:type="dxa"/>
            <w:vAlign w:val="center"/>
          </w:tcPr>
          <w:p w14:paraId="66CCEB4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项目代码</w:t>
            </w:r>
          </w:p>
        </w:tc>
        <w:tc>
          <w:tcPr>
            <w:tcW w:w="7544" w:type="dxa"/>
            <w:vAlign w:val="center"/>
          </w:tcPr>
          <w:p w14:paraId="4449217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Calibri"/>
                <w:bCs/>
                <w:color w:val="auto"/>
                <w:sz w:val="21"/>
                <w:szCs w:val="21"/>
                <w:highlight w:val="none"/>
                <w:lang w:eastAsia="zh-CN"/>
              </w:rPr>
              <w:t>2208-440224-04-01-823973</w:t>
            </w:r>
          </w:p>
        </w:tc>
      </w:tr>
      <w:tr w14:paraId="1E524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trPr>
        <w:tc>
          <w:tcPr>
            <w:tcW w:w="582" w:type="dxa"/>
            <w:vAlign w:val="center"/>
          </w:tcPr>
          <w:p w14:paraId="6D804121">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w:t>
            </w:r>
          </w:p>
        </w:tc>
        <w:tc>
          <w:tcPr>
            <w:tcW w:w="1860" w:type="dxa"/>
            <w:vAlign w:val="center"/>
          </w:tcPr>
          <w:p w14:paraId="5A6B568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资金来源及落实情况</w:t>
            </w:r>
          </w:p>
        </w:tc>
        <w:tc>
          <w:tcPr>
            <w:tcW w:w="7544" w:type="dxa"/>
            <w:vAlign w:val="center"/>
          </w:tcPr>
          <w:p w14:paraId="440E9E3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上级资金和县级财政资金安排解决，100%</w:t>
            </w:r>
          </w:p>
        </w:tc>
      </w:tr>
      <w:tr w14:paraId="5766F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6" w:hRule="atLeast"/>
        </w:trPr>
        <w:tc>
          <w:tcPr>
            <w:tcW w:w="582" w:type="dxa"/>
            <w:vAlign w:val="center"/>
          </w:tcPr>
          <w:p w14:paraId="400528AE">
            <w:pPr>
              <w:spacing w:before="228" w:line="192"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w:t>
            </w:r>
          </w:p>
        </w:tc>
        <w:tc>
          <w:tcPr>
            <w:tcW w:w="1860" w:type="dxa"/>
            <w:vAlign w:val="center"/>
          </w:tcPr>
          <w:p w14:paraId="3CAF0EE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招标人</w:t>
            </w:r>
          </w:p>
        </w:tc>
        <w:tc>
          <w:tcPr>
            <w:tcW w:w="7544" w:type="dxa"/>
            <w:vAlign w:val="center"/>
          </w:tcPr>
          <w:p w14:paraId="5B71CC7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仁化县丹霞旅游经济开发试验区管理委员会</w:t>
            </w:r>
          </w:p>
        </w:tc>
      </w:tr>
      <w:tr w14:paraId="60887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trPr>
        <w:tc>
          <w:tcPr>
            <w:tcW w:w="582" w:type="dxa"/>
            <w:vAlign w:val="center"/>
          </w:tcPr>
          <w:p w14:paraId="44304D14">
            <w:pPr>
              <w:spacing w:before="224"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w:t>
            </w:r>
          </w:p>
        </w:tc>
        <w:tc>
          <w:tcPr>
            <w:tcW w:w="1860" w:type="dxa"/>
            <w:vAlign w:val="center"/>
          </w:tcPr>
          <w:p w14:paraId="31C26FC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招标代理机构</w:t>
            </w:r>
          </w:p>
        </w:tc>
        <w:tc>
          <w:tcPr>
            <w:tcW w:w="7544" w:type="dxa"/>
            <w:vAlign w:val="center"/>
          </w:tcPr>
          <w:p w14:paraId="4E3C0A9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广东爱科工程咨询管理有限公司</w:t>
            </w:r>
          </w:p>
        </w:tc>
      </w:tr>
      <w:tr w14:paraId="07494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1" w:hRule="atLeast"/>
        </w:trPr>
        <w:tc>
          <w:tcPr>
            <w:tcW w:w="582" w:type="dxa"/>
            <w:vAlign w:val="center"/>
          </w:tcPr>
          <w:p w14:paraId="5A5AC857">
            <w:pPr>
              <w:spacing w:before="225"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9</w:t>
            </w:r>
          </w:p>
        </w:tc>
        <w:tc>
          <w:tcPr>
            <w:tcW w:w="1860" w:type="dxa"/>
            <w:vAlign w:val="center"/>
          </w:tcPr>
          <w:p w14:paraId="11B17F7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设计单位</w:t>
            </w:r>
          </w:p>
        </w:tc>
        <w:tc>
          <w:tcPr>
            <w:tcW w:w="7544" w:type="dxa"/>
            <w:vAlign w:val="center"/>
          </w:tcPr>
          <w:p w14:paraId="2E0AD38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国昇设计有限责任公司</w:t>
            </w:r>
          </w:p>
        </w:tc>
      </w:tr>
      <w:bookmarkEnd w:id="4"/>
      <w:tr w14:paraId="231FD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6" w:hRule="atLeast"/>
        </w:trPr>
        <w:tc>
          <w:tcPr>
            <w:tcW w:w="582" w:type="dxa"/>
            <w:vAlign w:val="center"/>
          </w:tcPr>
          <w:p w14:paraId="1D58DA3A">
            <w:pPr>
              <w:spacing w:before="245"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10</w:t>
            </w:r>
          </w:p>
        </w:tc>
        <w:tc>
          <w:tcPr>
            <w:tcW w:w="1860" w:type="dxa"/>
            <w:vAlign w:val="center"/>
          </w:tcPr>
          <w:p w14:paraId="1DD07B7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造价咨询单位</w:t>
            </w:r>
          </w:p>
        </w:tc>
        <w:tc>
          <w:tcPr>
            <w:tcW w:w="7544" w:type="dxa"/>
            <w:vAlign w:val="center"/>
          </w:tcPr>
          <w:p w14:paraId="7A3C8AC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□非全过程造价咨询</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☑全过程造价咨询</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p>
        </w:tc>
      </w:tr>
      <w:tr w14:paraId="1B423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8" w:hRule="atLeast"/>
        </w:trPr>
        <w:tc>
          <w:tcPr>
            <w:tcW w:w="582" w:type="dxa"/>
            <w:vAlign w:val="center"/>
          </w:tcPr>
          <w:p w14:paraId="5392F3A2">
            <w:pPr>
              <w:spacing w:before="242"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11</w:t>
            </w:r>
          </w:p>
        </w:tc>
        <w:tc>
          <w:tcPr>
            <w:tcW w:w="1860" w:type="dxa"/>
            <w:vAlign w:val="center"/>
          </w:tcPr>
          <w:p w14:paraId="12C094CC">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监理单位</w:t>
            </w:r>
          </w:p>
        </w:tc>
        <w:tc>
          <w:tcPr>
            <w:tcW w:w="7544" w:type="dxa"/>
            <w:vAlign w:val="center"/>
          </w:tcPr>
          <w:p w14:paraId="03F5A6D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☑已确定监理单位</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□未确定监理单位</w:t>
            </w:r>
          </w:p>
        </w:tc>
      </w:tr>
      <w:tr w14:paraId="2402B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1515EDE6">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lang w:eastAsia="zh-CN"/>
              </w:rPr>
              <w:t>1</w:t>
            </w:r>
            <w:r>
              <w:rPr>
                <w:rFonts w:hint="eastAsia" w:asciiTheme="minorEastAsia" w:hAnsiTheme="minorEastAsia" w:eastAsiaTheme="minorEastAsia" w:cstheme="minorEastAsia"/>
                <w:color w:val="auto"/>
                <w:spacing w:val="-8"/>
                <w:sz w:val="21"/>
                <w:szCs w:val="21"/>
                <w:highlight w:val="none"/>
              </w:rPr>
              <w:t>2</w:t>
            </w:r>
          </w:p>
        </w:tc>
        <w:tc>
          <w:tcPr>
            <w:tcW w:w="1860" w:type="dxa"/>
            <w:vAlign w:val="center"/>
          </w:tcPr>
          <w:p w14:paraId="3DF6750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建设内容和规模</w:t>
            </w:r>
          </w:p>
        </w:tc>
        <w:tc>
          <w:tcPr>
            <w:tcW w:w="7544" w:type="dxa"/>
            <w:vAlign w:val="center"/>
          </w:tcPr>
          <w:p w14:paraId="52FBCEA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□建设规模：</w:t>
            </w:r>
            <w:r>
              <w:rPr>
                <w:rFonts w:hint="eastAsia" w:asciiTheme="minorEastAsia" w:hAnsiTheme="minorEastAsia" w:eastAsiaTheme="minorEastAsia" w:cstheme="minorEastAsia"/>
                <w:snapToGrid w:val="0"/>
                <w:color w:val="auto"/>
                <w:kern w:val="0"/>
                <w:sz w:val="21"/>
                <w:szCs w:val="21"/>
                <w:highlight w:val="none"/>
                <w:lang w:val="en-US" w:eastAsia="zh-CN"/>
              </w:rPr>
              <w:t>/</w:t>
            </w:r>
          </w:p>
          <w:p w14:paraId="33FB465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☑建设内容：新建挡土墙</w:t>
            </w:r>
            <w:r>
              <w:rPr>
                <w:rFonts w:hint="eastAsia" w:asciiTheme="minorEastAsia" w:hAnsiTheme="minorEastAsia" w:eastAsiaTheme="minorEastAsia" w:cstheme="minorEastAsia"/>
                <w:snapToGrid w:val="0"/>
                <w:color w:val="auto"/>
                <w:kern w:val="0"/>
                <w:sz w:val="21"/>
                <w:szCs w:val="21"/>
                <w:highlight w:val="none"/>
                <w:lang w:val="en-US" w:eastAsia="zh-CN"/>
              </w:rPr>
              <w:t>约200米</w:t>
            </w:r>
            <w:r>
              <w:rPr>
                <w:rFonts w:hint="eastAsia" w:asciiTheme="minorEastAsia" w:hAnsiTheme="minorEastAsia" w:eastAsiaTheme="minorEastAsia" w:cstheme="minorEastAsia"/>
                <w:snapToGrid w:val="0"/>
                <w:color w:val="auto"/>
                <w:kern w:val="0"/>
                <w:sz w:val="21"/>
                <w:szCs w:val="21"/>
                <w:highlight w:val="none"/>
                <w:lang w:eastAsia="zh-CN"/>
              </w:rPr>
              <w:t>、</w:t>
            </w:r>
            <w:r>
              <w:rPr>
                <w:rFonts w:hint="eastAsia" w:asciiTheme="minorEastAsia" w:hAnsiTheme="minorEastAsia" w:eastAsiaTheme="minorEastAsia" w:cstheme="minorEastAsia"/>
                <w:snapToGrid w:val="0"/>
                <w:color w:val="auto"/>
                <w:kern w:val="0"/>
                <w:sz w:val="21"/>
                <w:szCs w:val="21"/>
                <w:highlight w:val="none"/>
                <w:lang w:val="en-US" w:eastAsia="zh-CN"/>
              </w:rPr>
              <w:t>新建</w:t>
            </w:r>
            <w:r>
              <w:rPr>
                <w:rFonts w:hint="eastAsia" w:asciiTheme="minorEastAsia" w:hAnsiTheme="minorEastAsia" w:eastAsiaTheme="minorEastAsia" w:cstheme="minorEastAsia"/>
                <w:snapToGrid w:val="0"/>
                <w:color w:val="auto"/>
                <w:kern w:val="0"/>
                <w:sz w:val="21"/>
                <w:szCs w:val="21"/>
                <w:highlight w:val="none"/>
                <w:lang w:eastAsia="zh-CN"/>
              </w:rPr>
              <w:t>排水沟、铺种绿</w:t>
            </w:r>
            <w:r>
              <w:rPr>
                <w:rFonts w:hint="eastAsia" w:asciiTheme="minorEastAsia" w:hAnsiTheme="minorEastAsia" w:eastAsiaTheme="minorEastAsia" w:cstheme="minorEastAsia"/>
                <w:snapToGrid w:val="0"/>
                <w:color w:val="auto"/>
                <w:kern w:val="0"/>
                <w:sz w:val="21"/>
                <w:szCs w:val="21"/>
                <w:highlight w:val="none"/>
                <w:lang w:val="en-US" w:eastAsia="zh-CN"/>
              </w:rPr>
              <w:t>植、场地平整约187亩等</w:t>
            </w:r>
            <w:r>
              <w:rPr>
                <w:rFonts w:hint="eastAsia" w:asciiTheme="minorEastAsia" w:hAnsiTheme="minorEastAsia" w:eastAsiaTheme="minorEastAsia" w:cstheme="minorEastAsia"/>
                <w:snapToGrid w:val="0"/>
                <w:color w:val="auto"/>
                <w:kern w:val="0"/>
                <w:sz w:val="21"/>
                <w:szCs w:val="21"/>
                <w:highlight w:val="none"/>
                <w:lang w:eastAsia="zh-CN"/>
              </w:rPr>
              <w:t>。</w:t>
            </w:r>
          </w:p>
        </w:tc>
      </w:tr>
      <w:tr w14:paraId="304F5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0" w:hRule="atLeast"/>
        </w:trPr>
        <w:tc>
          <w:tcPr>
            <w:tcW w:w="582" w:type="dxa"/>
            <w:vAlign w:val="center"/>
          </w:tcPr>
          <w:p w14:paraId="5D9D5ABA">
            <w:pPr>
              <w:spacing w:before="57"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13</w:t>
            </w:r>
          </w:p>
        </w:tc>
        <w:tc>
          <w:tcPr>
            <w:tcW w:w="1860" w:type="dxa"/>
            <w:vAlign w:val="center"/>
          </w:tcPr>
          <w:p w14:paraId="280E556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项目总投资</w:t>
            </w:r>
          </w:p>
        </w:tc>
        <w:tc>
          <w:tcPr>
            <w:tcW w:w="7544" w:type="dxa"/>
            <w:vAlign w:val="center"/>
          </w:tcPr>
          <w:p w14:paraId="0C56FDE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项目概算总投资1978.33万元，其中工程费用1274.91万元、工程建设其他费用645.79万元、预备费用57.63万元。</w:t>
            </w:r>
          </w:p>
        </w:tc>
      </w:tr>
      <w:tr w14:paraId="6B2CE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6" w:hRule="atLeast"/>
        </w:trPr>
        <w:tc>
          <w:tcPr>
            <w:tcW w:w="582" w:type="dxa"/>
            <w:vAlign w:val="center"/>
          </w:tcPr>
          <w:p w14:paraId="798375C9">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14</w:t>
            </w:r>
          </w:p>
        </w:tc>
        <w:tc>
          <w:tcPr>
            <w:tcW w:w="1860" w:type="dxa"/>
            <w:vAlign w:val="center"/>
          </w:tcPr>
          <w:p w14:paraId="2A6F4982">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招标范围</w:t>
            </w:r>
          </w:p>
        </w:tc>
        <w:tc>
          <w:tcPr>
            <w:tcW w:w="7544" w:type="dxa"/>
            <w:vAlign w:val="center"/>
          </w:tcPr>
          <w:p w14:paraId="3DE01C1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按审查合格的施工图纸及工程量清单内容施工</w:t>
            </w:r>
          </w:p>
        </w:tc>
      </w:tr>
      <w:tr w14:paraId="13F3C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trPr>
        <w:tc>
          <w:tcPr>
            <w:tcW w:w="582" w:type="dxa"/>
            <w:vAlign w:val="center"/>
          </w:tcPr>
          <w:p w14:paraId="6EED9D8B">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15</w:t>
            </w:r>
          </w:p>
        </w:tc>
        <w:tc>
          <w:tcPr>
            <w:tcW w:w="1860" w:type="dxa"/>
            <w:vAlign w:val="center"/>
          </w:tcPr>
          <w:p w14:paraId="5CD69A5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标段划分</w:t>
            </w:r>
          </w:p>
        </w:tc>
        <w:tc>
          <w:tcPr>
            <w:tcW w:w="7544" w:type="dxa"/>
            <w:vAlign w:val="center"/>
          </w:tcPr>
          <w:p w14:paraId="71E5B427">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本招标项目不划分标段。 </w:t>
            </w:r>
          </w:p>
        </w:tc>
      </w:tr>
      <w:tr w14:paraId="25035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85" w:hRule="atLeast"/>
        </w:trPr>
        <w:tc>
          <w:tcPr>
            <w:tcW w:w="582" w:type="dxa"/>
            <w:vAlign w:val="center"/>
          </w:tcPr>
          <w:p w14:paraId="650937A5">
            <w:pPr>
              <w:spacing w:before="57" w:line="195"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8"/>
                <w:sz w:val="21"/>
                <w:szCs w:val="21"/>
                <w:highlight w:val="none"/>
              </w:rPr>
              <w:t>16</w:t>
            </w:r>
          </w:p>
        </w:tc>
        <w:tc>
          <w:tcPr>
            <w:tcW w:w="1860" w:type="dxa"/>
            <w:vAlign w:val="center"/>
          </w:tcPr>
          <w:p w14:paraId="00B1E99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工期</w:t>
            </w:r>
          </w:p>
        </w:tc>
        <w:tc>
          <w:tcPr>
            <w:tcW w:w="7544" w:type="dxa"/>
            <w:vAlign w:val="top"/>
          </w:tcPr>
          <w:p w14:paraId="7C99F2E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本招标项目招标工期为</w:t>
            </w:r>
            <w:r>
              <w:rPr>
                <w:rFonts w:hint="eastAsia" w:asciiTheme="minorEastAsia" w:hAnsiTheme="minorEastAsia" w:eastAsiaTheme="minorEastAsia" w:cstheme="minorEastAsia"/>
                <w:snapToGrid w:val="0"/>
                <w:color w:val="auto"/>
                <w:kern w:val="0"/>
                <w:sz w:val="21"/>
                <w:szCs w:val="21"/>
                <w:highlight w:val="none"/>
                <w:lang w:val="en-US" w:eastAsia="zh-CN"/>
              </w:rPr>
              <w:t>180个日历天</w:t>
            </w:r>
            <w:r>
              <w:rPr>
                <w:rFonts w:hint="eastAsia" w:asciiTheme="minorEastAsia" w:hAnsiTheme="minorEastAsia" w:eastAsiaTheme="minorEastAsia" w:cstheme="minorEastAsia"/>
                <w:snapToGrid w:val="0"/>
                <w:color w:val="auto"/>
                <w:kern w:val="0"/>
                <w:sz w:val="21"/>
                <w:szCs w:val="21"/>
                <w:highlight w:val="none"/>
                <w:lang w:eastAsia="zh-CN"/>
              </w:rPr>
              <w:t>。具体如下：</w:t>
            </w:r>
          </w:p>
          <w:p w14:paraId="72F8637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☑总工期：</w:t>
            </w:r>
            <w:r>
              <w:rPr>
                <w:rFonts w:hint="eastAsia" w:asciiTheme="minorEastAsia" w:hAnsiTheme="minorEastAsia" w:eastAsiaTheme="minorEastAsia" w:cstheme="minorEastAsia"/>
                <w:snapToGrid w:val="0"/>
                <w:color w:val="auto"/>
                <w:kern w:val="0"/>
                <w:sz w:val="21"/>
                <w:szCs w:val="21"/>
                <w:highlight w:val="none"/>
                <w:lang w:val="en-US" w:eastAsia="zh-CN"/>
              </w:rPr>
              <w:t>180</w:t>
            </w:r>
            <w:r>
              <w:rPr>
                <w:rFonts w:hint="eastAsia" w:asciiTheme="minorEastAsia" w:hAnsiTheme="minorEastAsia" w:eastAsiaTheme="minorEastAsia" w:cstheme="minorEastAsia"/>
                <w:snapToGrid w:val="0"/>
                <w:color w:val="auto"/>
                <w:kern w:val="0"/>
                <w:sz w:val="21"/>
                <w:szCs w:val="21"/>
                <w:highlight w:val="none"/>
                <w:lang w:eastAsia="zh-CN"/>
              </w:rPr>
              <w:t>天 （日历天）。</w:t>
            </w:r>
          </w:p>
          <w:p w14:paraId="4845D3F6">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□计划开工日期：</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年</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月</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日（具体开工日期以合同为准）</w:t>
            </w:r>
          </w:p>
          <w:p w14:paraId="3EF82EA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□计划竣工日期：</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年</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月</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日</w:t>
            </w:r>
          </w:p>
          <w:p w14:paraId="00A01DB6">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□除上述总工期外，发包人还要求以下阶段工期：        </w:t>
            </w:r>
          </w:p>
        </w:tc>
      </w:tr>
      <w:tr w14:paraId="7F94B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0" w:hRule="atLeast"/>
        </w:trPr>
        <w:tc>
          <w:tcPr>
            <w:tcW w:w="582" w:type="dxa"/>
            <w:vAlign w:val="center"/>
          </w:tcPr>
          <w:p w14:paraId="47B272B4">
            <w:pPr>
              <w:spacing w:before="57"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17</w:t>
            </w:r>
          </w:p>
        </w:tc>
        <w:tc>
          <w:tcPr>
            <w:tcW w:w="1860" w:type="dxa"/>
            <w:vAlign w:val="center"/>
          </w:tcPr>
          <w:p w14:paraId="29B95E6E">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质量标准</w:t>
            </w:r>
          </w:p>
        </w:tc>
        <w:tc>
          <w:tcPr>
            <w:tcW w:w="7544" w:type="dxa"/>
            <w:vAlign w:val="top"/>
          </w:tcPr>
          <w:p w14:paraId="586BE7A6">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☑质量目标：</w:t>
            </w:r>
            <w:r>
              <w:rPr>
                <w:rFonts w:hint="eastAsia" w:asciiTheme="minorEastAsia" w:hAnsiTheme="minorEastAsia" w:eastAsiaTheme="minorEastAsia" w:cstheme="minorEastAsia"/>
                <w:snapToGrid w:val="0"/>
                <w:color w:val="auto"/>
                <w:kern w:val="0"/>
                <w:sz w:val="21"/>
                <w:szCs w:val="21"/>
                <w:highlight w:val="none"/>
                <w:u w:val="single"/>
                <w:lang w:eastAsia="zh-CN"/>
              </w:rPr>
              <w:t>合格</w:t>
            </w:r>
          </w:p>
          <w:p w14:paraId="5B397B7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☑质量标准：</w:t>
            </w:r>
            <w:r>
              <w:rPr>
                <w:rFonts w:hint="eastAsia" w:ascii="宋体" w:hAnsi="宋体" w:eastAsia="宋体" w:cs="宋体"/>
                <w:snapToGrid w:val="0"/>
                <w:color w:val="auto"/>
                <w:kern w:val="0"/>
                <w:sz w:val="22"/>
                <w:szCs w:val="22"/>
                <w:highlight w:val="none"/>
                <w:lang w:val="en-US" w:eastAsia="zh-CN"/>
              </w:rPr>
              <w:t xml:space="preserve"> 达到《建筑工程施工质量验收统一标准》(GB50300-2013)并且合格。</w:t>
            </w:r>
          </w:p>
          <w:p w14:paraId="054D070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□优质工程要求：</w:t>
            </w:r>
            <w:r>
              <w:rPr>
                <w:rFonts w:hint="eastAsia" w:asciiTheme="minorEastAsia" w:hAnsiTheme="minorEastAsia" w:eastAsiaTheme="minorEastAsia" w:cstheme="minorEastAsia"/>
                <w:snapToGrid w:val="0"/>
                <w:color w:val="auto"/>
                <w:kern w:val="0"/>
                <w:sz w:val="21"/>
                <w:szCs w:val="21"/>
                <w:highlight w:val="none"/>
                <w:u w:val="single"/>
                <w:lang w:eastAsia="zh-CN"/>
              </w:rPr>
              <w:t>无</w:t>
            </w:r>
            <w:r>
              <w:rPr>
                <w:rFonts w:hint="eastAsia" w:asciiTheme="minorEastAsia" w:hAnsiTheme="minorEastAsia" w:eastAsiaTheme="minorEastAsia" w:cstheme="minorEastAsia"/>
                <w:snapToGrid w:val="0"/>
                <w:color w:val="auto"/>
                <w:kern w:val="0"/>
                <w:sz w:val="21"/>
                <w:szCs w:val="21"/>
                <w:highlight w:val="none"/>
                <w:lang w:eastAsia="zh-CN"/>
              </w:rPr>
              <w:t>....</w:t>
            </w:r>
          </w:p>
          <w:p w14:paraId="6B00BF1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工程优质费：☑无</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□有：</w:t>
            </w:r>
            <w:r>
              <w:rPr>
                <w:rFonts w:hint="eastAsia" w:asciiTheme="minorEastAsia" w:hAnsiTheme="minorEastAsia" w:eastAsiaTheme="minorEastAsia" w:cstheme="minorEastAsia"/>
                <w:snapToGrid w:val="0"/>
                <w:color w:val="auto"/>
                <w:kern w:val="0"/>
                <w:sz w:val="21"/>
                <w:szCs w:val="21"/>
                <w:highlight w:val="none"/>
                <w:lang w:val="en-US" w:eastAsia="zh-CN"/>
              </w:rPr>
              <w:t>/</w:t>
            </w:r>
          </w:p>
        </w:tc>
      </w:tr>
      <w:tr w14:paraId="27686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3" w:hRule="atLeast"/>
        </w:trPr>
        <w:tc>
          <w:tcPr>
            <w:tcW w:w="582" w:type="dxa"/>
            <w:vMerge w:val="restart"/>
            <w:vAlign w:val="center"/>
          </w:tcPr>
          <w:p w14:paraId="4BC67C17">
            <w:pPr>
              <w:spacing w:before="57"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18</w:t>
            </w:r>
          </w:p>
        </w:tc>
        <w:tc>
          <w:tcPr>
            <w:tcW w:w="1860" w:type="dxa"/>
            <w:vMerge w:val="restart"/>
            <w:vAlign w:val="center"/>
          </w:tcPr>
          <w:p w14:paraId="7C8582B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合同类型</w:t>
            </w:r>
          </w:p>
        </w:tc>
        <w:tc>
          <w:tcPr>
            <w:tcW w:w="7544" w:type="dxa"/>
            <w:vAlign w:val="top"/>
          </w:tcPr>
          <w:p w14:paraId="32295EB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☑单价合同：发承包双方约定以工程量清单及其综合单价进行合同价款计算、调整和确认的建设工程施工合同。</w:t>
            </w:r>
          </w:p>
          <w:p w14:paraId="2158BF31">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量依据承包人实际完成且应予计量的工程量确定。</w:t>
            </w:r>
          </w:p>
        </w:tc>
      </w:tr>
      <w:tr w14:paraId="219FD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8" w:hRule="atLeast"/>
        </w:trPr>
        <w:tc>
          <w:tcPr>
            <w:tcW w:w="582" w:type="dxa"/>
            <w:vMerge w:val="continue"/>
            <w:vAlign w:val="center"/>
          </w:tcPr>
          <w:p w14:paraId="2941AE80">
            <w:pPr>
              <w:spacing w:before="57" w:line="195" w:lineRule="auto"/>
              <w:jc w:val="center"/>
              <w:rPr>
                <w:rFonts w:hint="eastAsia" w:asciiTheme="minorEastAsia" w:hAnsiTheme="minorEastAsia" w:eastAsiaTheme="minorEastAsia" w:cstheme="minorEastAsia"/>
                <w:color w:val="auto"/>
                <w:spacing w:val="-8"/>
                <w:sz w:val="21"/>
                <w:szCs w:val="21"/>
                <w:highlight w:val="none"/>
              </w:rPr>
            </w:pPr>
          </w:p>
        </w:tc>
        <w:tc>
          <w:tcPr>
            <w:tcW w:w="1860" w:type="dxa"/>
            <w:vMerge w:val="continue"/>
            <w:vAlign w:val="center"/>
          </w:tcPr>
          <w:p w14:paraId="035DBDE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p>
        </w:tc>
        <w:tc>
          <w:tcPr>
            <w:tcW w:w="7544" w:type="dxa"/>
            <w:vAlign w:val="top"/>
          </w:tcPr>
          <w:p w14:paraId="7E667DD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 xml:space="preserve">□总价合同：发承包双方约定以施工图及其预算和有关条件进行合同价款计算、调整和确认的建设工程施工合同。 </w:t>
            </w:r>
          </w:p>
          <w:p w14:paraId="29EEDD8A">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注：总价合同是以施工图纸、规范为基础，在工程任务内容明确、发包人的要求条件清楚、计价依据和要求确定的条件下，发承包双方依据承包人编制的施工图预算商谈确定合同价款。当合同约定工程施工内容和有关条件不发生变化时，发包人付给承包人的工程价款总额保持不变。当工程施工内容和有关条件发生变化时，发承包双方根据变化情况和合同约定仅调整发生变化部分的工程价款，且对工程量变化引起的合同价款调整应遵循现行建设工程工程量清单计价规范原则。</w:t>
            </w:r>
          </w:p>
        </w:tc>
      </w:tr>
      <w:tr w14:paraId="0E6B3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trPr>
        <w:tc>
          <w:tcPr>
            <w:tcW w:w="582" w:type="dxa"/>
            <w:vAlign w:val="center"/>
          </w:tcPr>
          <w:p w14:paraId="5972A2CD">
            <w:pPr>
              <w:spacing w:before="19"/>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19</w:t>
            </w:r>
          </w:p>
        </w:tc>
        <w:tc>
          <w:tcPr>
            <w:tcW w:w="1860" w:type="dxa"/>
            <w:vAlign w:val="center"/>
          </w:tcPr>
          <w:p w14:paraId="2898AA7D">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房屋建筑工程绿色建筑标准</w:t>
            </w:r>
          </w:p>
        </w:tc>
        <w:tc>
          <w:tcPr>
            <w:tcW w:w="7544" w:type="dxa"/>
            <w:vAlign w:val="center"/>
          </w:tcPr>
          <w:p w14:paraId="43CBE360">
            <w:pPr>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本招标项目</w:t>
            </w:r>
            <w:r>
              <w:rPr>
                <w:rFonts w:hint="eastAsia" w:asciiTheme="minorEastAsia" w:hAnsiTheme="minorEastAsia" w:eastAsiaTheme="minorEastAsia" w:cstheme="minorEastAsia"/>
                <w:snapToGrid w:val="0"/>
                <w:color w:val="auto"/>
                <w:kern w:val="0"/>
                <w:sz w:val="21"/>
                <w:szCs w:val="21"/>
                <w:highlight w:val="none"/>
                <w:u w:val="single"/>
                <w:lang w:val="en-US" w:eastAsia="zh-CN"/>
              </w:rPr>
              <w:t>不</w:t>
            </w:r>
            <w:r>
              <w:rPr>
                <w:rFonts w:hint="eastAsia" w:asciiTheme="minorEastAsia" w:hAnsiTheme="minorEastAsia" w:eastAsiaTheme="minorEastAsia" w:cstheme="minorEastAsia"/>
                <w:snapToGrid w:val="0"/>
                <w:color w:val="auto"/>
                <w:kern w:val="0"/>
                <w:sz w:val="21"/>
                <w:szCs w:val="21"/>
                <w:highlight w:val="none"/>
                <w:lang w:eastAsia="zh-CN"/>
              </w:rPr>
              <w:t>纳入绿色建设实施范围。</w:t>
            </w:r>
          </w:p>
        </w:tc>
      </w:tr>
      <w:tr w14:paraId="76353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trPr>
        <w:tc>
          <w:tcPr>
            <w:tcW w:w="582" w:type="dxa"/>
            <w:vAlign w:val="center"/>
          </w:tcPr>
          <w:p w14:paraId="73257DF0">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19.</w:t>
            </w:r>
            <w:r>
              <w:rPr>
                <w:rFonts w:hint="eastAsia" w:asciiTheme="minorEastAsia" w:hAnsiTheme="minorEastAsia" w:eastAsiaTheme="minorEastAsia" w:cstheme="minorEastAsia"/>
                <w:color w:val="auto"/>
                <w:spacing w:val="-26"/>
                <w:sz w:val="21"/>
                <w:szCs w:val="21"/>
                <w:highlight w:val="none"/>
              </w:rPr>
              <w:t xml:space="preserve"> </w:t>
            </w:r>
            <w:r>
              <w:rPr>
                <w:rFonts w:hint="eastAsia" w:asciiTheme="minorEastAsia" w:hAnsiTheme="minorEastAsia" w:eastAsiaTheme="minorEastAsia" w:cstheme="minorEastAsia"/>
                <w:color w:val="auto"/>
                <w:spacing w:val="-3"/>
                <w:sz w:val="21"/>
                <w:szCs w:val="21"/>
                <w:highlight w:val="none"/>
              </w:rPr>
              <w:t>1</w:t>
            </w:r>
          </w:p>
        </w:tc>
        <w:tc>
          <w:tcPr>
            <w:tcW w:w="1860" w:type="dxa"/>
            <w:vAlign w:val="center"/>
          </w:tcPr>
          <w:p w14:paraId="2598019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装配式建筑标准</w:t>
            </w:r>
          </w:p>
        </w:tc>
        <w:tc>
          <w:tcPr>
            <w:tcW w:w="7544" w:type="dxa"/>
            <w:vAlign w:val="center"/>
          </w:tcPr>
          <w:p w14:paraId="654C85A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本招标项目</w:t>
            </w:r>
            <w:r>
              <w:rPr>
                <w:rFonts w:hint="eastAsia" w:asciiTheme="minorEastAsia" w:hAnsiTheme="minorEastAsia" w:eastAsiaTheme="minorEastAsia" w:cstheme="minorEastAsia"/>
                <w:snapToGrid w:val="0"/>
                <w:color w:val="auto"/>
                <w:kern w:val="0"/>
                <w:sz w:val="21"/>
                <w:szCs w:val="21"/>
                <w:highlight w:val="none"/>
                <w:u w:val="single"/>
                <w:lang w:val="en-US" w:eastAsia="zh-CN"/>
              </w:rPr>
              <w:t>不</w:t>
            </w:r>
            <w:r>
              <w:rPr>
                <w:rFonts w:hint="eastAsia" w:asciiTheme="minorEastAsia" w:hAnsiTheme="minorEastAsia" w:eastAsiaTheme="minorEastAsia" w:cstheme="minorEastAsia"/>
                <w:snapToGrid w:val="0"/>
                <w:color w:val="auto"/>
                <w:kern w:val="0"/>
                <w:sz w:val="21"/>
                <w:szCs w:val="21"/>
                <w:highlight w:val="none"/>
                <w:lang w:eastAsia="zh-CN"/>
              </w:rPr>
              <w:t>纳入装配式建造建设实施范围。</w:t>
            </w:r>
          </w:p>
        </w:tc>
      </w:tr>
      <w:tr w14:paraId="5ABB3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6F56262D">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20</w:t>
            </w:r>
          </w:p>
        </w:tc>
        <w:tc>
          <w:tcPr>
            <w:tcW w:w="1860" w:type="dxa"/>
            <w:vAlign w:val="center"/>
          </w:tcPr>
          <w:p w14:paraId="7A9699B3">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发包人提供材料和工程设备</w:t>
            </w:r>
          </w:p>
        </w:tc>
        <w:tc>
          <w:tcPr>
            <w:tcW w:w="7544" w:type="dxa"/>
            <w:vAlign w:val="center"/>
          </w:tcPr>
          <w:p w14:paraId="041C9A4A">
            <w:pPr>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发包人提供材料和工程设备： ☑无     □有：</w:t>
            </w:r>
          </w:p>
        </w:tc>
      </w:tr>
      <w:tr w14:paraId="09BD7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5" w:hRule="atLeast"/>
        </w:trPr>
        <w:tc>
          <w:tcPr>
            <w:tcW w:w="582" w:type="dxa"/>
            <w:vAlign w:val="center"/>
          </w:tcPr>
          <w:p w14:paraId="2A7C3934">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21</w:t>
            </w:r>
          </w:p>
        </w:tc>
        <w:tc>
          <w:tcPr>
            <w:tcW w:w="1860" w:type="dxa"/>
            <w:vAlign w:val="center"/>
          </w:tcPr>
          <w:p w14:paraId="2B19F4D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承包人提供材料和工程设备</w:t>
            </w:r>
          </w:p>
        </w:tc>
        <w:tc>
          <w:tcPr>
            <w:tcW w:w="7544" w:type="dxa"/>
            <w:vAlign w:val="top"/>
          </w:tcPr>
          <w:p w14:paraId="25B336F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除招标文件约定的发包人提供的甲供材料外，合同工程所需的材料和工程设备应由承包人负责采购、运输和保管，并对其采购的材料和工程设备提供质量证明文件，满足合同约定的质量标准。若承包人提供的材料和工程设备没有合格证明材料或经检测不符合合同约定 的质量标准，应立即更换，由此增加的费用和（或）工期延误由承包人承担。对发包人要求检测承包人己具有合格证明的材料、工程设备，但经检测证明该项材料、工程设备符合合同约定的质量标准的，发包人应承担由此增加的费用和（或）工期延误，并向承包人支付合理利润。</w:t>
            </w:r>
          </w:p>
          <w:p w14:paraId="11881E83">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□其它说明：鼓励承包人积极采购环保产品进行施工。</w:t>
            </w:r>
          </w:p>
        </w:tc>
      </w:tr>
      <w:tr w14:paraId="4B494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80" w:hRule="atLeast"/>
        </w:trPr>
        <w:tc>
          <w:tcPr>
            <w:tcW w:w="582" w:type="dxa"/>
            <w:vAlign w:val="center"/>
          </w:tcPr>
          <w:p w14:paraId="5BDE6007">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22</w:t>
            </w:r>
          </w:p>
        </w:tc>
        <w:tc>
          <w:tcPr>
            <w:tcW w:w="1860" w:type="dxa"/>
            <w:vAlign w:val="center"/>
          </w:tcPr>
          <w:p w14:paraId="079BF0E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最高投标限价</w:t>
            </w:r>
          </w:p>
        </w:tc>
        <w:tc>
          <w:tcPr>
            <w:tcW w:w="7544" w:type="dxa"/>
            <w:vAlign w:val="center"/>
          </w:tcPr>
          <w:p w14:paraId="00DC73E7">
            <w:pPr>
              <w:pageBreakBefore w:val="0"/>
              <w:widowControl w:val="0"/>
              <w:kinsoku/>
              <w:wordWrap w:val="0"/>
              <w:overflowPunct/>
              <w:topLinePunct w:val="0"/>
              <w:autoSpaceDE/>
              <w:autoSpaceDN/>
              <w:bidi w:val="0"/>
              <w:adjustRightInd w:val="0"/>
              <w:snapToGrid w:val="0"/>
              <w:spacing w:line="400" w:lineRule="exact"/>
              <w:ind w:left="0" w:leftChars="0" w:firstLine="401" w:firstLineChars="1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本招标项目最高投标限价为人民币（大写）：</w:t>
            </w:r>
            <w:r>
              <w:rPr>
                <w:rFonts w:hint="eastAsia" w:asciiTheme="minorEastAsia" w:hAnsiTheme="minorEastAsia" w:eastAsiaTheme="minorEastAsia" w:cstheme="minorEastAsia"/>
                <w:snapToGrid w:val="0"/>
                <w:color w:val="auto"/>
                <w:kern w:val="0"/>
                <w:sz w:val="21"/>
                <w:szCs w:val="21"/>
                <w:highlight w:val="none"/>
                <w:u w:val="single"/>
                <w:lang w:val="en-US" w:eastAsia="zh-CN"/>
              </w:rPr>
              <w:t>壹仟贰佰壹拾壹万陆仟壹佰玖拾捌元玖角柒分（¥12116198.97元），其中安全生产措施费为：¥154368.13 元，暂列金额（统一报价）为：¥510201.87元，暂估价（统一报价）为：/元</w:t>
            </w:r>
            <w:r>
              <w:rPr>
                <w:rFonts w:hint="eastAsia" w:asciiTheme="minorEastAsia" w:hAnsiTheme="minorEastAsia" w:eastAsiaTheme="minorEastAsia" w:cstheme="minorEastAsia"/>
                <w:snapToGrid w:val="0"/>
                <w:color w:val="auto"/>
                <w:kern w:val="0"/>
                <w:sz w:val="21"/>
                <w:szCs w:val="21"/>
                <w:highlight w:val="none"/>
                <w:lang w:val="en-US" w:eastAsia="zh-CN"/>
              </w:rPr>
              <w:t>。</w:t>
            </w:r>
          </w:p>
        </w:tc>
      </w:tr>
      <w:tr w14:paraId="4E4F5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82" w:hRule="atLeast"/>
        </w:trPr>
        <w:tc>
          <w:tcPr>
            <w:tcW w:w="582" w:type="dxa"/>
            <w:vAlign w:val="center"/>
          </w:tcPr>
          <w:p w14:paraId="3E0E6845">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23</w:t>
            </w:r>
          </w:p>
        </w:tc>
        <w:tc>
          <w:tcPr>
            <w:tcW w:w="1860" w:type="dxa"/>
            <w:vAlign w:val="center"/>
          </w:tcPr>
          <w:p w14:paraId="0D0D0A1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投标人的投标报价</w:t>
            </w:r>
          </w:p>
        </w:tc>
        <w:tc>
          <w:tcPr>
            <w:tcW w:w="7544" w:type="dxa"/>
            <w:vAlign w:val="center"/>
          </w:tcPr>
          <w:p w14:paraId="7133753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投标时响应招标文件要求所报出的对已标价工程量清单汇总后标明的总价。投标人在投标报价填写的工程量清单的项目编码、项目名称、项目特征、计量单位、工程数量必须与招标人招标文件中提供的一致，投标价不能低于工程成本、高于最高投标限价。</w:t>
            </w:r>
          </w:p>
          <w:p w14:paraId="01DD1AEE">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投标报价方式： ☑工程量清单报</w:t>
            </w:r>
          </w:p>
        </w:tc>
      </w:tr>
      <w:tr w14:paraId="664FC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82" w:type="dxa"/>
            <w:vAlign w:val="center"/>
          </w:tcPr>
          <w:p w14:paraId="2B41BF8F">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24</w:t>
            </w:r>
          </w:p>
        </w:tc>
        <w:tc>
          <w:tcPr>
            <w:tcW w:w="1860" w:type="dxa"/>
            <w:vAlign w:val="center"/>
          </w:tcPr>
          <w:p w14:paraId="1820F47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投标报价风险</w:t>
            </w:r>
          </w:p>
        </w:tc>
        <w:tc>
          <w:tcPr>
            <w:tcW w:w="7544" w:type="dxa"/>
            <w:vAlign w:val="center"/>
          </w:tcPr>
          <w:p w14:paraId="2E356AE8">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☑投标人依据招标文件约定自行考虑风险因素，一旦中标，投标报价（合同价）除合同另有约定外将不因市场变化而调整。</w:t>
            </w:r>
          </w:p>
          <w:p w14:paraId="0602711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☑投标报价中应包括工程量清单项目所发生的人工费、材料费、机具费、管理费、利润、措施项目费、其它项目费、税金、暂列金额、暂估价以及所有风险、责任等各项费用。</w:t>
            </w:r>
          </w:p>
          <w:p w14:paraId="6588B20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☑人工费、材料费、机具费、管理费、利润、措施项目费（不含</w:t>
            </w:r>
            <w:r>
              <w:rPr>
                <w:rFonts w:hint="eastAsia" w:asciiTheme="minorEastAsia" w:hAnsiTheme="minorEastAsia" w:eastAsiaTheme="minorEastAsia" w:cstheme="minorEastAsia"/>
                <w:snapToGrid w:val="0"/>
                <w:color w:val="auto"/>
                <w:kern w:val="0"/>
                <w:sz w:val="21"/>
                <w:szCs w:val="21"/>
                <w:highlight w:val="none"/>
                <w:lang w:val="en-US" w:eastAsia="zh-CN"/>
              </w:rPr>
              <w:t>安全生产措施费</w:t>
            </w:r>
            <w:r>
              <w:rPr>
                <w:rFonts w:hint="eastAsia" w:asciiTheme="minorEastAsia" w:hAnsiTheme="minorEastAsia" w:eastAsiaTheme="minorEastAsia" w:cstheme="minorEastAsia"/>
                <w:snapToGrid w:val="0"/>
                <w:color w:val="auto"/>
                <w:kern w:val="0"/>
                <w:sz w:val="21"/>
                <w:szCs w:val="21"/>
                <w:highlight w:val="none"/>
                <w:lang w:eastAsia="zh-CN"/>
              </w:rPr>
              <w:t>）投标人漏报或不报，招标人视为有关费用已包括在工程量清单项目的其它单价及合价中不予另外增加。</w:t>
            </w:r>
          </w:p>
          <w:p w14:paraId="648E63A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b/>
                <w:bCs/>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w:t>
            </w:r>
            <w:r>
              <w:rPr>
                <w:rFonts w:hint="eastAsia" w:asciiTheme="minorEastAsia" w:hAnsiTheme="minorEastAsia" w:eastAsiaTheme="minorEastAsia" w:cstheme="minorEastAsia"/>
                <w:b/>
                <w:bCs/>
                <w:snapToGrid w:val="0"/>
                <w:color w:val="auto"/>
                <w:kern w:val="0"/>
                <w:sz w:val="21"/>
                <w:szCs w:val="21"/>
                <w:highlight w:val="none"/>
                <w:lang w:eastAsia="zh-CN"/>
              </w:rPr>
              <w:t>措施项目中的安全生产措施应单独列项，费用不可竞争，且应符合《企业安全生产费用提取和使用管理办法》（财资〔2022〕136号）及我省有关文件规定。</w:t>
            </w:r>
          </w:p>
          <w:p w14:paraId="7D8A46B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☑投标人应按照招标文件提供的工程量清单逐项填写单价和合价，投标人未填写的项目，招标人将视为此项费用已包括在工程量清单项目的其它单价及合价中不予另外增加。</w:t>
            </w:r>
          </w:p>
          <w:p w14:paraId="58860A4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☑投标人应按《建设工程工程量清单计价标准》（GB/T 50500-2024）规定的费率对预算包干费进行报价，若招标工程量清单明确说明不计算预算包干费或另外确定预算包干费费率的，则按招标工程量清单报价，若投标人不按规定报价的，则中标后无条件接受招标人对投标报价的调整。</w:t>
            </w:r>
          </w:p>
          <w:p w14:paraId="1EFA524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☑招标人向投标人提供的有关施工现场资料及数据，是招标人现有的能使投标人利用的资料，招标人对投标人据此作出的推论及理解概不负责。</w:t>
            </w:r>
          </w:p>
          <w:p w14:paraId="4E438C37">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应依据招标人提供的所有资料和自己对现场查勘来编制投标文件，并对招标人提供的所有资料的理解、推断和应用负责。在投标人提交其投标文件之前，视为已经考虑了现场及其周围环境的影响，中标后，不得以不完全了解现场情况为理由提出追加款项或者延长工期等索赔的要求。</w:t>
            </w:r>
          </w:p>
          <w:p w14:paraId="3893664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☑错漏项的认定。中标人已标价工程量清单中，任一清单项目未填报价格或价格为零的，招标人将视为此项费用已包括在工程量清单项目的其它单价及合价中不予另外增加。</w:t>
            </w:r>
          </w:p>
        </w:tc>
      </w:tr>
      <w:tr w14:paraId="66E56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2" w:hRule="atLeast"/>
        </w:trPr>
        <w:tc>
          <w:tcPr>
            <w:tcW w:w="582" w:type="dxa"/>
            <w:vAlign w:val="center"/>
          </w:tcPr>
          <w:p w14:paraId="6414FDC8">
            <w:pPr>
              <w:spacing w:before="284"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25</w:t>
            </w:r>
          </w:p>
        </w:tc>
        <w:tc>
          <w:tcPr>
            <w:tcW w:w="1860" w:type="dxa"/>
            <w:vAlign w:val="center"/>
          </w:tcPr>
          <w:p w14:paraId="4C71A8E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投标费用</w:t>
            </w:r>
          </w:p>
        </w:tc>
        <w:tc>
          <w:tcPr>
            <w:tcW w:w="7544" w:type="dxa"/>
            <w:vAlign w:val="center"/>
          </w:tcPr>
          <w:p w14:paraId="225B857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投标人自行承担编制与递交投标文件的一切费用。</w:t>
            </w:r>
          </w:p>
        </w:tc>
      </w:tr>
      <w:tr w14:paraId="68738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2" w:hRule="atLeast"/>
        </w:trPr>
        <w:tc>
          <w:tcPr>
            <w:tcW w:w="582" w:type="dxa"/>
            <w:vAlign w:val="center"/>
          </w:tcPr>
          <w:p w14:paraId="3F9BB325">
            <w:pPr>
              <w:spacing w:before="284" w:line="188" w:lineRule="auto"/>
              <w:jc w:val="center"/>
              <w:rPr>
                <w:rFonts w:hint="default" w:asciiTheme="minorEastAsia" w:hAnsiTheme="minorEastAsia" w:eastAsiaTheme="minorEastAsia" w:cstheme="minorEastAsia"/>
                <w:color w:val="auto"/>
                <w:spacing w:val="-3"/>
                <w:sz w:val="21"/>
                <w:szCs w:val="21"/>
                <w:highlight w:val="none"/>
                <w:lang w:val="en-US" w:eastAsia="zh-CN"/>
              </w:rPr>
            </w:pPr>
            <w:r>
              <w:rPr>
                <w:rFonts w:hint="eastAsia" w:asciiTheme="minorEastAsia" w:hAnsiTheme="minorEastAsia" w:eastAsiaTheme="minorEastAsia" w:cstheme="minorEastAsia"/>
                <w:color w:val="auto"/>
                <w:spacing w:val="-3"/>
                <w:sz w:val="21"/>
                <w:szCs w:val="21"/>
                <w:highlight w:val="none"/>
                <w:lang w:val="en-US" w:eastAsia="zh-CN"/>
              </w:rPr>
              <w:t>26</w:t>
            </w:r>
          </w:p>
        </w:tc>
        <w:tc>
          <w:tcPr>
            <w:tcW w:w="1860" w:type="dxa"/>
            <w:vAlign w:val="center"/>
          </w:tcPr>
          <w:p w14:paraId="2F647BD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成本警示价</w:t>
            </w:r>
          </w:p>
        </w:tc>
        <w:tc>
          <w:tcPr>
            <w:tcW w:w="7544" w:type="dxa"/>
            <w:vAlign w:val="center"/>
          </w:tcPr>
          <w:p w14:paraId="2CB7F0A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投标报价要求：</w:t>
            </w:r>
          </w:p>
          <w:p w14:paraId="444583B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⑴投标人的投标报价不得高于招标人设置的最高投标限价，否则作无效投标处理；</w:t>
            </w:r>
          </w:p>
          <w:p w14:paraId="2B757D3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⑵投标人的投标报价如低于招标项目的成本警示价的，需提供成本分析资料等报价依据。（成本警示价＝最高投标限价×85%）</w:t>
            </w:r>
          </w:p>
        </w:tc>
      </w:tr>
      <w:tr w14:paraId="5FFFB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8" w:hRule="atLeast"/>
        </w:trPr>
        <w:tc>
          <w:tcPr>
            <w:tcW w:w="582" w:type="dxa"/>
            <w:vAlign w:val="center"/>
          </w:tcPr>
          <w:p w14:paraId="7A4811E9">
            <w:pPr>
              <w:spacing w:before="69" w:line="188"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3"/>
                <w:sz w:val="21"/>
                <w:szCs w:val="21"/>
                <w:highlight w:val="none"/>
              </w:rPr>
              <w:t>2</w:t>
            </w:r>
            <w:r>
              <w:rPr>
                <w:rFonts w:hint="eastAsia" w:asciiTheme="minorEastAsia" w:hAnsiTheme="minorEastAsia" w:eastAsiaTheme="minorEastAsia" w:cstheme="minorEastAsia"/>
                <w:color w:val="auto"/>
                <w:spacing w:val="-3"/>
                <w:sz w:val="21"/>
                <w:szCs w:val="21"/>
                <w:highlight w:val="none"/>
                <w:lang w:val="en-US" w:eastAsia="zh-CN"/>
              </w:rPr>
              <w:t>7</w:t>
            </w:r>
          </w:p>
        </w:tc>
        <w:tc>
          <w:tcPr>
            <w:tcW w:w="1860" w:type="dxa"/>
            <w:vAlign w:val="center"/>
          </w:tcPr>
          <w:p w14:paraId="0786E8BE">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投标人资格要求</w:t>
            </w:r>
          </w:p>
        </w:tc>
        <w:tc>
          <w:tcPr>
            <w:tcW w:w="7544" w:type="dxa"/>
            <w:vAlign w:val="center"/>
          </w:tcPr>
          <w:p w14:paraId="1F0406C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1.本次招标不接受联合体投标。</w:t>
            </w:r>
          </w:p>
          <w:p w14:paraId="249C9AEA">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2．资质要求</w:t>
            </w:r>
          </w:p>
          <w:p w14:paraId="64899B78">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2.1 投标人须具备独立法人资格，按国家法律经营。</w:t>
            </w:r>
          </w:p>
          <w:p w14:paraId="710042A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2.2 投标人须持有建设行政主管部门颁发的企业资质证书及安全生产许可证。</w:t>
            </w:r>
          </w:p>
          <w:p w14:paraId="42052BA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2.3 投标人须具备以下资质：</w:t>
            </w:r>
            <w:r>
              <w:rPr>
                <w:rFonts w:hint="eastAsia" w:asciiTheme="minorEastAsia" w:hAnsiTheme="minorEastAsia" w:eastAsiaTheme="minorEastAsia" w:cstheme="minorEastAsia"/>
                <w:snapToGrid w:val="0"/>
                <w:color w:val="auto"/>
                <w:kern w:val="0"/>
                <w:sz w:val="21"/>
                <w:szCs w:val="21"/>
                <w:highlight w:val="none"/>
                <w:u w:val="single"/>
                <w:lang w:eastAsia="zh-CN"/>
              </w:rPr>
              <w:t>具有建设行政主管部门颁发的</w:t>
            </w:r>
            <w:r>
              <w:rPr>
                <w:rFonts w:hint="eastAsia" w:asciiTheme="minorEastAsia" w:hAnsiTheme="minorEastAsia" w:eastAsiaTheme="minorEastAsia" w:cstheme="minorEastAsia"/>
                <w:snapToGrid w:val="0"/>
                <w:color w:val="auto"/>
                <w:kern w:val="0"/>
                <w:sz w:val="21"/>
                <w:szCs w:val="21"/>
                <w:highlight w:val="none"/>
                <w:u w:val="single"/>
                <w:lang w:val="en-US" w:eastAsia="zh-CN"/>
              </w:rPr>
              <w:t>市政公用</w:t>
            </w:r>
            <w:r>
              <w:rPr>
                <w:rFonts w:hint="eastAsia" w:asciiTheme="minorEastAsia" w:hAnsiTheme="minorEastAsia" w:eastAsiaTheme="minorEastAsia" w:cstheme="minorEastAsia"/>
                <w:snapToGrid w:val="0"/>
                <w:color w:val="auto"/>
                <w:kern w:val="0"/>
                <w:sz w:val="21"/>
                <w:szCs w:val="21"/>
                <w:highlight w:val="none"/>
                <w:u w:val="single"/>
                <w:lang w:eastAsia="zh-CN"/>
              </w:rPr>
              <w:t>工程施工总承包叁级(含叁级)以上资质</w:t>
            </w:r>
            <w:r>
              <w:rPr>
                <w:rFonts w:hint="eastAsia" w:asciiTheme="minorEastAsia" w:hAnsiTheme="minorEastAsia" w:eastAsiaTheme="minorEastAsia" w:cstheme="minorEastAsia"/>
                <w:snapToGrid w:val="0"/>
                <w:color w:val="auto"/>
                <w:kern w:val="0"/>
                <w:sz w:val="21"/>
                <w:szCs w:val="21"/>
                <w:highlight w:val="none"/>
                <w:lang w:eastAsia="zh-CN"/>
              </w:rPr>
              <w:t>。</w:t>
            </w:r>
          </w:p>
          <w:p w14:paraId="60E86E35">
            <w:pPr>
              <w:pageBreakBefore w:val="0"/>
              <w:widowControl w:val="0"/>
              <w:kinsoku/>
              <w:wordWrap w:val="0"/>
              <w:overflowPunct/>
              <w:topLinePunct w:val="0"/>
              <w:autoSpaceDE/>
              <w:autoSpaceDN/>
              <w:bidi w:val="0"/>
              <w:adjustRightInd w:val="0"/>
              <w:snapToGrid w:val="0"/>
              <w:spacing w:line="400" w:lineRule="exact"/>
              <w:ind w:left="0" w:leftChars="0" w:right="5" w:righ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2.4 </w:t>
            </w:r>
            <w:r>
              <w:rPr>
                <w:rFonts w:hint="eastAsia" w:asciiTheme="minorEastAsia" w:hAnsiTheme="minorEastAsia" w:eastAsiaTheme="minorEastAsia" w:cstheme="minorEastAsia"/>
                <w:snapToGrid w:val="0"/>
                <w:color w:val="auto"/>
                <w:kern w:val="0"/>
                <w:sz w:val="21"/>
                <w:szCs w:val="21"/>
                <w:highlight w:val="none"/>
                <w:lang w:val="en-US" w:eastAsia="zh-CN"/>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0C01C18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3．相关人员要求</w:t>
            </w:r>
          </w:p>
          <w:p w14:paraId="6FC8303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3.1  </w:t>
            </w:r>
            <w:r>
              <w:rPr>
                <w:rFonts w:hint="eastAsia" w:asciiTheme="minorEastAsia" w:hAnsiTheme="minorEastAsia" w:eastAsiaTheme="minorEastAsia" w:cstheme="minorEastAsia"/>
                <w:snapToGrid w:val="0"/>
                <w:color w:val="auto"/>
                <w:kern w:val="0"/>
                <w:sz w:val="21"/>
                <w:szCs w:val="21"/>
                <w:highlight w:val="none"/>
                <w:lang w:val="en-US" w:eastAsia="zh-CN"/>
              </w:rPr>
              <w:t>拟派项目经理为</w:t>
            </w:r>
            <w:r>
              <w:rPr>
                <w:rFonts w:hint="eastAsia" w:asciiTheme="minorEastAsia" w:hAnsiTheme="minorEastAsia" w:eastAsiaTheme="minorEastAsia" w:cstheme="minorEastAsia"/>
                <w:snapToGrid w:val="0"/>
                <w:color w:val="auto"/>
                <w:kern w:val="0"/>
                <w:sz w:val="21"/>
                <w:szCs w:val="21"/>
                <w:highlight w:val="none"/>
                <w:u w:val="single"/>
                <w:lang w:val="en-US" w:eastAsia="zh-CN"/>
              </w:rPr>
              <w:t xml:space="preserve"> 市政工程 </w:t>
            </w:r>
            <w:r>
              <w:rPr>
                <w:rFonts w:hint="eastAsia" w:asciiTheme="minorEastAsia" w:hAnsiTheme="minorEastAsia" w:eastAsiaTheme="minorEastAsia" w:cstheme="minorEastAsia"/>
                <w:snapToGrid w:val="0"/>
                <w:color w:val="auto"/>
                <w:kern w:val="0"/>
                <w:sz w:val="21"/>
                <w:szCs w:val="21"/>
                <w:highlight w:val="none"/>
                <w:lang w:val="en-US" w:eastAsia="zh-CN"/>
              </w:rPr>
              <w:t>专业一级或二级注册建造师，应持有住建部门印发的在使用有效期内的有效电子注册证书（根据广东省住房和城乡建设厅（粤建市函〔2023〕469 号）文件精神，二级注册建造师可随注册企业在全国范围内执业）。同时均须具备有效安全生产考核合格证明（B 证），且未担任其他在施（包括已中标未开工、已开工未竣工）建设工程项目的项目经理</w:t>
            </w:r>
            <w:r>
              <w:rPr>
                <w:rFonts w:hint="eastAsia" w:asciiTheme="minorEastAsia" w:hAnsiTheme="minorEastAsia" w:eastAsiaTheme="minorEastAsia" w:cstheme="minorEastAsia"/>
                <w:snapToGrid w:val="0"/>
                <w:color w:val="auto"/>
                <w:kern w:val="0"/>
                <w:sz w:val="21"/>
                <w:szCs w:val="21"/>
                <w:highlight w:val="none"/>
                <w:lang w:eastAsia="zh-CN"/>
              </w:rPr>
              <w:t>。</w:t>
            </w:r>
          </w:p>
          <w:p w14:paraId="60D9B5C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3.2 拟派项目技术负责人须具备</w:t>
            </w:r>
            <w:r>
              <w:rPr>
                <w:rFonts w:hint="eastAsia" w:asciiTheme="minorEastAsia" w:hAnsiTheme="minorEastAsia" w:eastAsiaTheme="minorEastAsia" w:cstheme="minorEastAsia"/>
                <w:snapToGrid w:val="0"/>
                <w:color w:val="auto"/>
                <w:kern w:val="0"/>
                <w:sz w:val="21"/>
                <w:szCs w:val="21"/>
                <w:highlight w:val="none"/>
                <w:u w:val="single"/>
                <w:lang w:val="en-US" w:eastAsia="zh-CN"/>
              </w:rPr>
              <w:t>市政</w:t>
            </w:r>
            <w:r>
              <w:rPr>
                <w:rFonts w:hint="eastAsia" w:asciiTheme="minorEastAsia" w:hAnsiTheme="minorEastAsia" w:eastAsiaTheme="minorEastAsia" w:cstheme="minorEastAsia"/>
                <w:snapToGrid w:val="0"/>
                <w:color w:val="auto"/>
                <w:kern w:val="0"/>
                <w:sz w:val="21"/>
                <w:szCs w:val="21"/>
                <w:highlight w:val="none"/>
                <w:u w:val="single"/>
                <w:lang w:eastAsia="zh-CN"/>
              </w:rPr>
              <w:t>工程</w:t>
            </w:r>
            <w:r>
              <w:rPr>
                <w:rFonts w:hint="eastAsia" w:asciiTheme="minorEastAsia" w:hAnsiTheme="minorEastAsia" w:eastAsiaTheme="minorEastAsia" w:cstheme="minorEastAsia"/>
                <w:snapToGrid w:val="0"/>
                <w:color w:val="auto"/>
                <w:kern w:val="0"/>
                <w:sz w:val="21"/>
                <w:szCs w:val="21"/>
                <w:highlight w:val="none"/>
                <w:u w:val="none"/>
                <w:lang w:val="en-US" w:eastAsia="zh-CN"/>
              </w:rPr>
              <w:t>类</w:t>
            </w:r>
            <w:r>
              <w:rPr>
                <w:rFonts w:hint="eastAsia" w:asciiTheme="minorEastAsia" w:hAnsiTheme="minorEastAsia" w:eastAsiaTheme="minorEastAsia" w:cstheme="minorEastAsia"/>
                <w:snapToGrid w:val="0"/>
                <w:color w:val="auto"/>
                <w:kern w:val="0"/>
                <w:sz w:val="21"/>
                <w:szCs w:val="21"/>
                <w:highlight w:val="none"/>
                <w:lang w:eastAsia="zh-CN"/>
              </w:rPr>
              <w:t>相关专业</w:t>
            </w:r>
            <w:r>
              <w:rPr>
                <w:rFonts w:hint="eastAsia" w:asciiTheme="minorEastAsia" w:hAnsiTheme="minorEastAsia" w:eastAsiaTheme="minorEastAsia" w:cstheme="minorEastAsia"/>
                <w:snapToGrid w:val="0"/>
                <w:color w:val="auto"/>
                <w:kern w:val="0"/>
                <w:sz w:val="21"/>
                <w:szCs w:val="21"/>
                <w:highlight w:val="none"/>
                <w:lang w:val="en-US" w:eastAsia="zh-CN"/>
              </w:rPr>
              <w:t>中</w:t>
            </w:r>
            <w:r>
              <w:rPr>
                <w:rFonts w:hint="eastAsia" w:asciiTheme="minorEastAsia" w:hAnsiTheme="minorEastAsia" w:eastAsiaTheme="minorEastAsia" w:cstheme="minorEastAsia"/>
                <w:snapToGrid w:val="0"/>
                <w:color w:val="auto"/>
                <w:kern w:val="0"/>
                <w:sz w:val="21"/>
                <w:szCs w:val="21"/>
                <w:highlight w:val="none"/>
                <w:lang w:eastAsia="zh-CN"/>
              </w:rPr>
              <w:t>级以上（含</w:t>
            </w:r>
            <w:r>
              <w:rPr>
                <w:rFonts w:hint="eastAsia" w:asciiTheme="minorEastAsia" w:hAnsiTheme="minorEastAsia" w:eastAsiaTheme="minorEastAsia" w:cstheme="minorEastAsia"/>
                <w:snapToGrid w:val="0"/>
                <w:color w:val="auto"/>
                <w:kern w:val="0"/>
                <w:sz w:val="21"/>
                <w:szCs w:val="21"/>
                <w:highlight w:val="none"/>
                <w:lang w:val="en-US" w:eastAsia="zh-CN"/>
              </w:rPr>
              <w:t>中</w:t>
            </w:r>
            <w:r>
              <w:rPr>
                <w:rFonts w:hint="eastAsia" w:asciiTheme="minorEastAsia" w:hAnsiTheme="minorEastAsia" w:eastAsiaTheme="minorEastAsia" w:cstheme="minorEastAsia"/>
                <w:snapToGrid w:val="0"/>
                <w:color w:val="auto"/>
                <w:kern w:val="0"/>
                <w:sz w:val="21"/>
                <w:szCs w:val="21"/>
                <w:highlight w:val="none"/>
                <w:lang w:eastAsia="zh-CN"/>
              </w:rPr>
              <w:t>级）技术职称。</w:t>
            </w:r>
          </w:p>
          <w:p w14:paraId="2030FE5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3.3 投标人拟派专职安全生产管理人员须具备有效安全生产考核合格证明（C证，安全生产考核合格证书或“广东省建筑施工企业管理人员安全生产考核系统”考核合格信息打印页），且不少于 </w:t>
            </w:r>
            <w:r>
              <w:rPr>
                <w:rFonts w:hint="eastAsia" w:asciiTheme="minorEastAsia" w:hAnsiTheme="minorEastAsia" w:eastAsiaTheme="minorEastAsia" w:cstheme="minorEastAsia"/>
                <w:snapToGrid w:val="0"/>
                <w:color w:val="auto"/>
                <w:kern w:val="0"/>
                <w:sz w:val="21"/>
                <w:szCs w:val="21"/>
                <w:highlight w:val="none"/>
                <w:lang w:val="en-US" w:eastAsia="zh-CN"/>
              </w:rPr>
              <w:t>1</w:t>
            </w:r>
            <w:r>
              <w:rPr>
                <w:rFonts w:hint="eastAsia" w:asciiTheme="minorEastAsia" w:hAnsiTheme="minorEastAsia" w:eastAsiaTheme="minorEastAsia" w:cstheme="minorEastAsia"/>
                <w:snapToGrid w:val="0"/>
                <w:color w:val="auto"/>
                <w:kern w:val="0"/>
                <w:sz w:val="21"/>
                <w:szCs w:val="21"/>
                <w:highlight w:val="none"/>
                <w:lang w:eastAsia="zh-CN"/>
              </w:rPr>
              <w:t xml:space="preserve"> 人。</w:t>
            </w:r>
          </w:p>
          <w:p w14:paraId="21CFF58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3.4 投标人（包括组成联合体的所有成员单位）与其拟派往本项目管理机构的所有人员之间必须具备合法、唯一的劳动聘用关系。拟派人员中具备注册执业资格的，其注册单位须与投标人保持一致（提供社保缴纳证明或劳动合同）。</w:t>
            </w:r>
          </w:p>
          <w:p w14:paraId="4626643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 ．禁止投标条款：</w:t>
            </w:r>
          </w:p>
          <w:p w14:paraId="74FC150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4.1  投标人不得存在下列情形之一：</w:t>
            </w:r>
          </w:p>
          <w:p w14:paraId="6B9ABBE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（1）为招标人不具有独立法人资格的附属机构（单位）；</w:t>
            </w:r>
          </w:p>
          <w:p w14:paraId="633C9F8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（2）为本招标项目前期准备提供设计或咨询服务的；</w:t>
            </w:r>
          </w:p>
          <w:p w14:paraId="7070AC11">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（3）与本招标项目的其他投标人为同一个单位负责人；</w:t>
            </w:r>
          </w:p>
          <w:p w14:paraId="49F4C83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（4）与本招标项目的其他投标人存在控股、管理关系；</w:t>
            </w:r>
          </w:p>
          <w:p w14:paraId="29D809C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（5）为本招标项目的监理人；</w:t>
            </w:r>
          </w:p>
          <w:p w14:paraId="040C32B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（6）为本招标项目的代建人；</w:t>
            </w:r>
          </w:p>
          <w:p w14:paraId="249688B3">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（7）为本招标项目的招标代理机构；</w:t>
            </w:r>
          </w:p>
          <w:p w14:paraId="0D904BC3">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（8）与本招标项目的监理人或代建人或招标代理机构同为一个法定代表人；</w:t>
            </w:r>
          </w:p>
          <w:p w14:paraId="2A03126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（9）与本招标项目的监理人或代建人或招标代理机构存在控股或参股关系；</w:t>
            </w:r>
          </w:p>
          <w:p w14:paraId="4426A53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（10）与本招标项目的监理人或代建人或招标代理机构存在相互任职或工作关系；</w:t>
            </w:r>
          </w:p>
          <w:p w14:paraId="033E4C88">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（11）被依法暂停或者取消投标资格；</w:t>
            </w:r>
          </w:p>
          <w:p w14:paraId="56D9D60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（12）被责令停产停业、暂扣或者吊销许可证、暂扣或者吊销执照；</w:t>
            </w:r>
          </w:p>
          <w:p w14:paraId="1992EDF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（13）进入清算程序，或被宣告破产，或其他丧失履约能力的情形；</w:t>
            </w:r>
          </w:p>
          <w:p w14:paraId="56C6214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（14）在最近三年内发生重大工程质量或安全问题（以相关行业 主管部门的行政处罚决定或司法机关出具的有关法律文书为准）；</w:t>
            </w:r>
          </w:p>
          <w:p w14:paraId="5C943DD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（15）被“信用中国 ”网站（https://www.creditchina.gov.cn）发布的《法人和非法人组织公共信用信息报告》列为严重失信主体名单的。</w:t>
            </w:r>
          </w:p>
          <w:p w14:paraId="51742BA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4.2  招标人拒绝以下名单中的单位参加本次投标：</w:t>
            </w:r>
          </w:p>
          <w:tbl>
            <w:tblPr>
              <w:tblStyle w:val="14"/>
              <w:tblW w:w="7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3429"/>
              <w:gridCol w:w="2964"/>
            </w:tblGrid>
            <w:tr w14:paraId="118EC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674" w:type="dxa"/>
                  <w:vAlign w:val="center"/>
                </w:tcPr>
                <w:p w14:paraId="6CBCE8F7">
                  <w:pPr>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序号</w:t>
                  </w:r>
                </w:p>
              </w:tc>
              <w:tc>
                <w:tcPr>
                  <w:tcW w:w="3429" w:type="dxa"/>
                  <w:vAlign w:val="center"/>
                </w:tcPr>
                <w:p w14:paraId="68D924EE">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单位名称</w:t>
                  </w:r>
                </w:p>
              </w:tc>
              <w:tc>
                <w:tcPr>
                  <w:tcW w:w="2964" w:type="dxa"/>
                  <w:vAlign w:val="center"/>
                </w:tcPr>
                <w:p w14:paraId="1ED3D5D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拒绝原因</w:t>
                  </w:r>
                </w:p>
              </w:tc>
            </w:tr>
            <w:tr w14:paraId="0248B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674" w:type="dxa"/>
                  <w:vAlign w:val="center"/>
                </w:tcPr>
                <w:p w14:paraId="222835B7">
                  <w:pPr>
                    <w:pStyle w:val="22"/>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1</w:t>
                  </w:r>
                </w:p>
              </w:tc>
              <w:tc>
                <w:tcPr>
                  <w:tcW w:w="3429" w:type="dxa"/>
                  <w:vAlign w:val="center"/>
                </w:tcPr>
                <w:p w14:paraId="3C439119">
                  <w:pPr>
                    <w:pStyle w:val="22"/>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snapToGrid w:val="0"/>
                      <w:color w:val="auto"/>
                      <w:kern w:val="0"/>
                      <w:sz w:val="21"/>
                      <w:szCs w:val="21"/>
                      <w:highlight w:val="none"/>
                      <w:lang w:eastAsia="zh-CN"/>
                    </w:rPr>
                    <w:t>仁化县丹霞旅游经济开发试验区管理委员会</w:t>
                  </w:r>
                </w:p>
              </w:tc>
              <w:tc>
                <w:tcPr>
                  <w:tcW w:w="2964" w:type="dxa"/>
                  <w:vAlign w:val="center"/>
                </w:tcPr>
                <w:p w14:paraId="49CCDC7E">
                  <w:pPr>
                    <w:pStyle w:val="22"/>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为本招标项目的招标人</w:t>
                  </w:r>
                </w:p>
              </w:tc>
            </w:tr>
            <w:tr w14:paraId="538AA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4" w:type="dxa"/>
                  <w:vAlign w:val="center"/>
                </w:tcPr>
                <w:p w14:paraId="2BC09F4D">
                  <w:pPr>
                    <w:pStyle w:val="22"/>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2</w:t>
                  </w:r>
                </w:p>
              </w:tc>
              <w:tc>
                <w:tcPr>
                  <w:tcW w:w="3429" w:type="dxa"/>
                  <w:vAlign w:val="center"/>
                </w:tcPr>
                <w:p w14:paraId="2B44927A">
                  <w:pPr>
                    <w:pStyle w:val="22"/>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广东爱科工程咨询管理有限公司</w:t>
                  </w:r>
                </w:p>
              </w:tc>
              <w:tc>
                <w:tcPr>
                  <w:tcW w:w="2964" w:type="dxa"/>
                  <w:vAlign w:val="center"/>
                </w:tcPr>
                <w:p w14:paraId="2A87CD39">
                  <w:pPr>
                    <w:pStyle w:val="22"/>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为本招标项目的招标代理机构</w:t>
                  </w:r>
                </w:p>
              </w:tc>
            </w:tr>
            <w:tr w14:paraId="79F3C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4" w:type="dxa"/>
                  <w:vAlign w:val="center"/>
                </w:tcPr>
                <w:p w14:paraId="053DDA25">
                  <w:pPr>
                    <w:pStyle w:val="22"/>
                    <w:wordWrap w:val="0"/>
                    <w:adjustRightInd w:val="0"/>
                    <w:snapToGrid w:val="0"/>
                    <w:spacing w:line="340" w:lineRule="exact"/>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val="en-US" w:eastAsia="zh-CN"/>
                    </w:rPr>
                    <w:t>3</w:t>
                  </w:r>
                </w:p>
              </w:tc>
              <w:tc>
                <w:tcPr>
                  <w:tcW w:w="3429" w:type="dxa"/>
                  <w:vAlign w:val="center"/>
                </w:tcPr>
                <w:p w14:paraId="39E4800A">
                  <w:pPr>
                    <w:pStyle w:val="22"/>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国昇设计有限责任公司</w:t>
                  </w:r>
                </w:p>
              </w:tc>
              <w:tc>
                <w:tcPr>
                  <w:tcW w:w="2964" w:type="dxa"/>
                  <w:vAlign w:val="center"/>
                </w:tcPr>
                <w:p w14:paraId="74FCA806">
                  <w:pPr>
                    <w:pStyle w:val="22"/>
                    <w:wordWrap w:val="0"/>
                    <w:adjustRightInd w:val="0"/>
                    <w:snapToGrid w:val="0"/>
                    <w:spacing w:line="340" w:lineRule="exact"/>
                    <w:jc w:val="left"/>
                    <w:rPr>
                      <w:rFonts w:hint="default"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w:t>
                  </w:r>
                  <w:r>
                    <w:rPr>
                      <w:rFonts w:hint="eastAsia" w:ascii="宋体" w:hAnsi="宋体" w:cs="宋体"/>
                      <w:snapToGrid w:val="0"/>
                      <w:color w:val="auto"/>
                      <w:kern w:val="0"/>
                      <w:sz w:val="21"/>
                      <w:szCs w:val="21"/>
                      <w:highlight w:val="none"/>
                      <w:lang w:val="en-US" w:eastAsia="zh-CN"/>
                    </w:rPr>
                    <w:t>设计单位</w:t>
                  </w:r>
                </w:p>
              </w:tc>
            </w:tr>
            <w:tr w14:paraId="32A24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4" w:type="dxa"/>
                  <w:vAlign w:val="center"/>
                </w:tcPr>
                <w:p w14:paraId="7CFF47E7">
                  <w:pPr>
                    <w:pStyle w:val="22"/>
                    <w:wordWrap w:val="0"/>
                    <w:adjustRightInd w:val="0"/>
                    <w:snapToGrid w:val="0"/>
                    <w:spacing w:line="34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w:t>
                  </w:r>
                </w:p>
              </w:tc>
              <w:tc>
                <w:tcPr>
                  <w:tcW w:w="3429" w:type="dxa"/>
                  <w:vAlign w:val="center"/>
                </w:tcPr>
                <w:p w14:paraId="5FA8F57D">
                  <w:pPr>
                    <w:pStyle w:val="22"/>
                    <w:wordWrap w:val="0"/>
                    <w:adjustRightInd w:val="0"/>
                    <w:snapToGrid w:val="0"/>
                    <w:spacing w:line="340" w:lineRule="exact"/>
                    <w:jc w:val="left"/>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中核大地生态科技有限公司</w:t>
                  </w:r>
                </w:p>
              </w:tc>
              <w:tc>
                <w:tcPr>
                  <w:tcW w:w="2964" w:type="dxa"/>
                  <w:vAlign w:val="center"/>
                </w:tcPr>
                <w:p w14:paraId="161974BB">
                  <w:pPr>
                    <w:pStyle w:val="22"/>
                    <w:wordWrap w:val="0"/>
                    <w:adjustRightInd w:val="0"/>
                    <w:snapToGrid w:val="0"/>
                    <w:spacing w:line="340" w:lineRule="exact"/>
                    <w:jc w:val="left"/>
                    <w:rPr>
                      <w:rFonts w:hint="default" w:ascii="宋体" w:hAnsi="宋体" w:eastAsia="宋体" w:cs="宋体"/>
                      <w:color w:val="auto"/>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w:t>
                  </w:r>
                  <w:r>
                    <w:rPr>
                      <w:rFonts w:hint="eastAsia" w:ascii="宋体" w:hAnsi="宋体" w:eastAsia="宋体" w:cs="宋体"/>
                      <w:snapToGrid w:val="0"/>
                      <w:color w:val="auto"/>
                      <w:kern w:val="0"/>
                      <w:sz w:val="21"/>
                      <w:szCs w:val="21"/>
                      <w:highlight w:val="none"/>
                      <w:lang w:val="en-US" w:eastAsia="zh-CN"/>
                    </w:rPr>
                    <w:t>勘察单位</w:t>
                  </w:r>
                </w:p>
              </w:tc>
            </w:tr>
            <w:tr w14:paraId="6A83A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4" w:type="dxa"/>
                  <w:vAlign w:val="center"/>
                </w:tcPr>
                <w:p w14:paraId="466A3BD2">
                  <w:pPr>
                    <w:pStyle w:val="22"/>
                    <w:wordWrap w:val="0"/>
                    <w:adjustRightInd w:val="0"/>
                    <w:snapToGrid w:val="0"/>
                    <w:spacing w:line="340" w:lineRule="exact"/>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5</w:t>
                  </w:r>
                </w:p>
              </w:tc>
              <w:tc>
                <w:tcPr>
                  <w:tcW w:w="3429" w:type="dxa"/>
                  <w:vAlign w:val="center"/>
                </w:tcPr>
                <w:p w14:paraId="2968592A">
                  <w:pPr>
                    <w:pStyle w:val="22"/>
                    <w:wordWrap w:val="0"/>
                    <w:adjustRightInd w:val="0"/>
                    <w:snapToGrid w:val="0"/>
                    <w:spacing w:line="340" w:lineRule="exact"/>
                    <w:jc w:val="left"/>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首盛国际工程咨询集团有限公司</w:t>
                  </w:r>
                </w:p>
              </w:tc>
              <w:tc>
                <w:tcPr>
                  <w:tcW w:w="2964" w:type="dxa"/>
                  <w:vAlign w:val="center"/>
                </w:tcPr>
                <w:p w14:paraId="6A434B70">
                  <w:pPr>
                    <w:pStyle w:val="22"/>
                    <w:wordWrap w:val="0"/>
                    <w:adjustRightInd w:val="0"/>
                    <w:snapToGrid w:val="0"/>
                    <w:spacing w:line="340" w:lineRule="exact"/>
                    <w:jc w:val="left"/>
                    <w:rPr>
                      <w:rFonts w:hint="default" w:ascii="宋体" w:hAnsi="宋体" w:eastAsia="宋体" w:cs="宋体"/>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val="en-US" w:eastAsia="zh-CN"/>
                    </w:rPr>
                    <w:t>为本招标项目的监理单位</w:t>
                  </w:r>
                </w:p>
              </w:tc>
            </w:tr>
            <w:tr w14:paraId="571C3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674" w:type="dxa"/>
                  <w:vAlign w:val="center"/>
                </w:tcPr>
                <w:p w14:paraId="4B24B6F7">
                  <w:pPr>
                    <w:pStyle w:val="22"/>
                    <w:wordWrap w:val="0"/>
                    <w:adjustRightInd w:val="0"/>
                    <w:snapToGrid w:val="0"/>
                    <w:spacing w:line="340" w:lineRule="exact"/>
                    <w:jc w:val="center"/>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6</w:t>
                  </w:r>
                </w:p>
              </w:tc>
              <w:tc>
                <w:tcPr>
                  <w:tcW w:w="3429" w:type="dxa"/>
                  <w:vAlign w:val="center"/>
                </w:tcPr>
                <w:p w14:paraId="27BF11F0">
                  <w:pPr>
                    <w:pStyle w:val="22"/>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广东加达工程咨询有限公司</w:t>
                  </w:r>
                </w:p>
              </w:tc>
              <w:tc>
                <w:tcPr>
                  <w:tcW w:w="2964" w:type="dxa"/>
                  <w:vAlign w:val="center"/>
                </w:tcPr>
                <w:p w14:paraId="4A836E5E">
                  <w:pPr>
                    <w:pStyle w:val="22"/>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eastAsia="zh-CN"/>
                    </w:rPr>
                    <w:t>为本招标项目的全过程造价咨询单位</w:t>
                  </w:r>
                </w:p>
              </w:tc>
            </w:tr>
            <w:tr w14:paraId="4C6A4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674" w:type="dxa"/>
                  <w:vAlign w:val="center"/>
                </w:tcPr>
                <w:p w14:paraId="146DB4DA">
                  <w:pPr>
                    <w:pStyle w:val="22"/>
                    <w:wordWrap w:val="0"/>
                    <w:adjustRightInd w:val="0"/>
                    <w:snapToGrid w:val="0"/>
                    <w:spacing w:line="340" w:lineRule="exact"/>
                    <w:jc w:val="center"/>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7</w:t>
                  </w:r>
                </w:p>
              </w:tc>
              <w:tc>
                <w:tcPr>
                  <w:tcW w:w="3429" w:type="dxa"/>
                  <w:vAlign w:val="center"/>
                </w:tcPr>
                <w:p w14:paraId="46B59ACC">
                  <w:pPr>
                    <w:wordWrap w:val="0"/>
                    <w:adjustRightInd w:val="0"/>
                    <w:snapToGrid w:val="0"/>
                    <w:spacing w:line="240" w:lineRule="auto"/>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color w:val="auto"/>
                      <w:sz w:val="21"/>
                      <w:szCs w:val="21"/>
                      <w:highlight w:val="none"/>
                      <w:lang w:eastAsia="zh-CN"/>
                    </w:rPr>
                    <w:t>仁化县住房和城乡建设管理局</w:t>
                  </w:r>
                </w:p>
              </w:tc>
              <w:tc>
                <w:tcPr>
                  <w:tcW w:w="2964" w:type="dxa"/>
                  <w:vAlign w:val="center"/>
                </w:tcPr>
                <w:p w14:paraId="02023FA8">
                  <w:pPr>
                    <w:wordWrap w:val="0"/>
                    <w:adjustRightInd w:val="0"/>
                    <w:snapToGrid w:val="0"/>
                    <w:spacing w:line="240" w:lineRule="auto"/>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为本招标项目的监督单位</w:t>
                  </w:r>
                </w:p>
              </w:tc>
            </w:tr>
          </w:tbl>
          <w:p w14:paraId="4842427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5 ．其他要求</w:t>
            </w:r>
          </w:p>
          <w:p w14:paraId="1C70EAF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省外企业及其拟派往本项目管理机构的所有人员均须按照《广东省住房和城乡建设厅关于取消省外建筑企业和人员进粤信息备案有关工作的通知》（粤建市﹝2015 ﹞52 号）规定在“进粤企业和人员诚信信息登记平台”录入相关信息并通过数据规范检查。</w:t>
            </w:r>
          </w:p>
        </w:tc>
      </w:tr>
      <w:tr w14:paraId="4DA7A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6" w:hRule="atLeast"/>
        </w:trPr>
        <w:tc>
          <w:tcPr>
            <w:tcW w:w="582" w:type="dxa"/>
            <w:vAlign w:val="center"/>
          </w:tcPr>
          <w:p w14:paraId="6C795553">
            <w:pPr>
              <w:spacing w:before="19"/>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3"/>
                <w:sz w:val="21"/>
                <w:szCs w:val="21"/>
                <w:highlight w:val="none"/>
              </w:rPr>
              <w:t>2</w:t>
            </w:r>
            <w:r>
              <w:rPr>
                <w:rFonts w:hint="eastAsia" w:asciiTheme="minorEastAsia" w:hAnsiTheme="minorEastAsia" w:eastAsiaTheme="minorEastAsia" w:cstheme="minorEastAsia"/>
                <w:color w:val="auto"/>
                <w:spacing w:val="-3"/>
                <w:sz w:val="21"/>
                <w:szCs w:val="21"/>
                <w:highlight w:val="none"/>
                <w:lang w:val="en-US" w:eastAsia="zh-CN"/>
              </w:rPr>
              <w:t>8</w:t>
            </w:r>
          </w:p>
        </w:tc>
        <w:tc>
          <w:tcPr>
            <w:tcW w:w="1860" w:type="dxa"/>
            <w:vAlign w:val="center"/>
          </w:tcPr>
          <w:p w14:paraId="315C6AC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投标有效期</w:t>
            </w:r>
          </w:p>
        </w:tc>
        <w:tc>
          <w:tcPr>
            <w:tcW w:w="7544" w:type="dxa"/>
            <w:vAlign w:val="center"/>
          </w:tcPr>
          <w:p w14:paraId="10AD7497">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本次招标的投标有效期为</w:t>
            </w:r>
            <w:r>
              <w:rPr>
                <w:rFonts w:hint="eastAsia" w:asciiTheme="minorEastAsia" w:hAnsiTheme="minorEastAsia" w:eastAsiaTheme="minorEastAsia" w:cstheme="minorEastAsia"/>
                <w:snapToGrid w:val="0"/>
                <w:color w:val="auto"/>
                <w:kern w:val="0"/>
                <w:sz w:val="21"/>
                <w:szCs w:val="21"/>
                <w:highlight w:val="none"/>
                <w:u w:val="single"/>
                <w:lang w:eastAsia="zh-CN"/>
              </w:rPr>
              <w:t>90</w:t>
            </w:r>
            <w:r>
              <w:rPr>
                <w:rFonts w:hint="eastAsia" w:asciiTheme="minorEastAsia" w:hAnsiTheme="minorEastAsia" w:eastAsiaTheme="minorEastAsia" w:cstheme="minorEastAsia"/>
                <w:snapToGrid w:val="0"/>
                <w:color w:val="auto"/>
                <w:kern w:val="0"/>
                <w:sz w:val="21"/>
                <w:szCs w:val="21"/>
                <w:highlight w:val="none"/>
                <w:lang w:eastAsia="zh-CN"/>
              </w:rPr>
              <w:t xml:space="preserve"> 个日历天。</w:t>
            </w:r>
          </w:p>
        </w:tc>
      </w:tr>
      <w:tr w14:paraId="0581D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0" w:hRule="atLeast"/>
        </w:trPr>
        <w:tc>
          <w:tcPr>
            <w:tcW w:w="582" w:type="dxa"/>
            <w:vAlign w:val="center"/>
          </w:tcPr>
          <w:p w14:paraId="7E0149C9">
            <w:pPr>
              <w:spacing w:before="69" w:line="188" w:lineRule="auto"/>
              <w:ind w:left="205"/>
              <w:jc w:val="both"/>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pacing w:val="-3"/>
                <w:sz w:val="21"/>
                <w:szCs w:val="21"/>
                <w:highlight w:val="none"/>
                <w:lang w:val="en-US" w:eastAsia="zh-CN"/>
              </w:rPr>
              <w:t>29</w:t>
            </w:r>
          </w:p>
        </w:tc>
        <w:tc>
          <w:tcPr>
            <w:tcW w:w="1860" w:type="dxa"/>
            <w:vAlign w:val="center"/>
          </w:tcPr>
          <w:p w14:paraId="21626DA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投标文件组成</w:t>
            </w:r>
          </w:p>
        </w:tc>
        <w:tc>
          <w:tcPr>
            <w:tcW w:w="7544" w:type="dxa"/>
            <w:vAlign w:val="center"/>
          </w:tcPr>
          <w:p w14:paraId="0891F66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投标文件包括商务标书、经济标书、施工组织设计</w:t>
            </w:r>
            <w:r>
              <w:rPr>
                <w:rFonts w:hint="eastAsia" w:asciiTheme="minorEastAsia" w:hAnsiTheme="minorEastAsia" w:eastAsiaTheme="minorEastAsia" w:cstheme="minorEastAsia"/>
                <w:snapToGrid w:val="0"/>
                <w:color w:val="auto"/>
                <w:kern w:val="0"/>
                <w:sz w:val="21"/>
                <w:szCs w:val="21"/>
                <w:highlight w:val="none"/>
                <w:lang w:val="en-US" w:eastAsia="zh-CN"/>
              </w:rPr>
              <w:t>和</w:t>
            </w:r>
            <w:r>
              <w:rPr>
                <w:rFonts w:hint="eastAsia" w:asciiTheme="minorEastAsia" w:hAnsiTheme="minorEastAsia" w:eastAsiaTheme="minorEastAsia" w:cstheme="minorEastAsia"/>
                <w:snapToGrid w:val="0"/>
                <w:color w:val="auto"/>
                <w:kern w:val="0"/>
                <w:sz w:val="21"/>
                <w:szCs w:val="21"/>
                <w:highlight w:val="none"/>
                <w:lang w:eastAsia="zh-CN"/>
              </w:rPr>
              <w:t>定标文件四个分册。</w:t>
            </w:r>
          </w:p>
        </w:tc>
      </w:tr>
      <w:tr w14:paraId="69F1D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trPr>
        <w:tc>
          <w:tcPr>
            <w:tcW w:w="582" w:type="dxa"/>
            <w:vAlign w:val="center"/>
          </w:tcPr>
          <w:p w14:paraId="080D10B9">
            <w:pPr>
              <w:spacing w:before="69" w:line="188" w:lineRule="auto"/>
              <w:ind w:left="205"/>
              <w:jc w:val="both"/>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pacing w:val="-3"/>
                <w:sz w:val="21"/>
                <w:szCs w:val="21"/>
                <w:highlight w:val="none"/>
                <w:lang w:val="en-US" w:eastAsia="zh-CN"/>
              </w:rPr>
              <w:t>30</w:t>
            </w:r>
          </w:p>
        </w:tc>
        <w:tc>
          <w:tcPr>
            <w:tcW w:w="1860" w:type="dxa"/>
            <w:vAlign w:val="center"/>
          </w:tcPr>
          <w:p w14:paraId="60E20252">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施工组织设计评审方式</w:t>
            </w:r>
          </w:p>
        </w:tc>
        <w:tc>
          <w:tcPr>
            <w:tcW w:w="7544" w:type="dxa"/>
            <w:vAlign w:val="center"/>
          </w:tcPr>
          <w:p w14:paraId="044BE8C7">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本次招标施工组织设计 不采用 “暗标 ”方式进行评审。</w:t>
            </w:r>
          </w:p>
        </w:tc>
      </w:tr>
      <w:tr w14:paraId="1418B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8" w:hRule="atLeast"/>
        </w:trPr>
        <w:tc>
          <w:tcPr>
            <w:tcW w:w="582" w:type="dxa"/>
            <w:vAlign w:val="center"/>
          </w:tcPr>
          <w:p w14:paraId="2A7F5E06">
            <w:pPr>
              <w:spacing w:before="69" w:line="188" w:lineRule="auto"/>
              <w:ind w:left="209"/>
              <w:jc w:val="both"/>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5"/>
                <w:sz w:val="21"/>
                <w:szCs w:val="21"/>
                <w:highlight w:val="none"/>
              </w:rPr>
              <w:t>3</w:t>
            </w:r>
            <w:r>
              <w:rPr>
                <w:rFonts w:hint="eastAsia" w:asciiTheme="minorEastAsia" w:hAnsiTheme="minorEastAsia" w:eastAsiaTheme="minorEastAsia" w:cstheme="minorEastAsia"/>
                <w:color w:val="auto"/>
                <w:spacing w:val="-5"/>
                <w:sz w:val="21"/>
                <w:szCs w:val="21"/>
                <w:highlight w:val="none"/>
                <w:lang w:val="en-US" w:eastAsia="zh-CN"/>
              </w:rPr>
              <w:t>1</w:t>
            </w:r>
          </w:p>
        </w:tc>
        <w:tc>
          <w:tcPr>
            <w:tcW w:w="1860" w:type="dxa"/>
            <w:vAlign w:val="center"/>
          </w:tcPr>
          <w:p w14:paraId="01061539">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评标委员会</w:t>
            </w:r>
          </w:p>
        </w:tc>
        <w:tc>
          <w:tcPr>
            <w:tcW w:w="7544" w:type="dxa"/>
            <w:vAlign w:val="top"/>
          </w:tcPr>
          <w:p w14:paraId="1DF9186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评标委员会由 5 人组成，其中招标人代表 0 人，专家 5 人。专家从广东省综合评标评审专家库（韶关区域）中随机抽取，其中技术类专家 3 人，经济类专家 2 人。</w:t>
            </w:r>
          </w:p>
        </w:tc>
      </w:tr>
      <w:tr w14:paraId="76C08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8" w:hRule="atLeast"/>
        </w:trPr>
        <w:tc>
          <w:tcPr>
            <w:tcW w:w="582" w:type="dxa"/>
            <w:vAlign w:val="center"/>
          </w:tcPr>
          <w:p w14:paraId="2AD4F28B">
            <w:pPr>
              <w:spacing w:before="69" w:line="188" w:lineRule="auto"/>
              <w:ind w:left="209"/>
              <w:jc w:val="both"/>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32</w:t>
            </w:r>
          </w:p>
        </w:tc>
        <w:tc>
          <w:tcPr>
            <w:tcW w:w="1860" w:type="dxa"/>
            <w:vAlign w:val="center"/>
          </w:tcPr>
          <w:p w14:paraId="36288FE7">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color w:val="auto"/>
                <w:sz w:val="21"/>
                <w:szCs w:val="21"/>
                <w:highlight w:val="none"/>
                <w:lang w:eastAsia="zh-CN"/>
              </w:rPr>
              <w:t>定</w:t>
            </w:r>
            <w:r>
              <w:rPr>
                <w:rFonts w:hint="eastAsia" w:ascii="宋体" w:hAnsi="宋体" w:eastAsia="宋体" w:cs="宋体"/>
                <w:color w:val="auto"/>
                <w:sz w:val="21"/>
                <w:szCs w:val="21"/>
                <w:highlight w:val="none"/>
              </w:rPr>
              <w:t>标委员会</w:t>
            </w:r>
          </w:p>
        </w:tc>
        <w:tc>
          <w:tcPr>
            <w:tcW w:w="7544" w:type="dxa"/>
            <w:vAlign w:val="center"/>
          </w:tcPr>
          <w:p w14:paraId="625D2317">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color w:val="auto"/>
                <w:sz w:val="21"/>
                <w:szCs w:val="21"/>
                <w:highlight w:val="none"/>
                <w:u w:val="none"/>
                <w:lang w:val="en-US" w:eastAsia="zh-CN"/>
              </w:rPr>
              <w:t>本</w:t>
            </w:r>
            <w:r>
              <w:rPr>
                <w:rFonts w:hint="eastAsia" w:ascii="宋体" w:hAnsi="宋体" w:eastAsia="宋体" w:cs="宋体"/>
                <w:color w:val="auto"/>
                <w:sz w:val="21"/>
                <w:szCs w:val="21"/>
                <w:highlight w:val="none"/>
                <w:u w:val="none"/>
                <w:lang w:eastAsia="zh-CN"/>
              </w:rPr>
              <w:t>项目</w:t>
            </w:r>
            <w:r>
              <w:rPr>
                <w:rFonts w:hint="eastAsia" w:ascii="宋体" w:hAnsi="宋体" w:eastAsia="宋体" w:cs="宋体"/>
                <w:color w:val="auto"/>
                <w:sz w:val="21"/>
                <w:szCs w:val="21"/>
                <w:highlight w:val="none"/>
                <w:u w:val="none"/>
              </w:rPr>
              <w:t>定标委员会</w:t>
            </w:r>
            <w:r>
              <w:rPr>
                <w:rFonts w:hint="eastAsia" w:ascii="宋体" w:hAnsi="宋体" w:eastAsia="宋体" w:cs="宋体"/>
                <w:color w:val="auto"/>
                <w:sz w:val="21"/>
                <w:szCs w:val="21"/>
                <w:highlight w:val="none"/>
                <w:u w:val="none"/>
                <w:lang w:eastAsia="zh-CN"/>
              </w:rPr>
              <w:t>组成人</w:t>
            </w:r>
            <w:r>
              <w:rPr>
                <w:rFonts w:hint="eastAsia" w:ascii="宋体" w:hAnsi="宋体" w:eastAsia="宋体" w:cs="宋体"/>
                <w:color w:val="auto"/>
                <w:sz w:val="21"/>
                <w:szCs w:val="21"/>
                <w:highlight w:val="none"/>
                <w:u w:val="none"/>
              </w:rPr>
              <w:t>员为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7 </w:t>
            </w:r>
            <w:r>
              <w:rPr>
                <w:rFonts w:hint="eastAsia" w:ascii="宋体" w:hAnsi="宋体" w:eastAsia="宋体" w:cs="宋体"/>
                <w:color w:val="auto"/>
                <w:sz w:val="21"/>
                <w:szCs w:val="21"/>
                <w:highlight w:val="none"/>
              </w:rPr>
              <w:t>人</w:t>
            </w:r>
            <w:r>
              <w:rPr>
                <w:rFonts w:hint="eastAsia" w:ascii="宋体" w:hAnsi="宋体" w:eastAsia="宋体" w:cs="宋体"/>
                <w:color w:val="auto"/>
                <w:sz w:val="21"/>
                <w:szCs w:val="21"/>
                <w:highlight w:val="none"/>
                <w:u w:val="none"/>
                <w:lang w:eastAsia="zh-CN"/>
              </w:rPr>
              <w:t>。</w:t>
            </w:r>
          </w:p>
        </w:tc>
      </w:tr>
      <w:tr w14:paraId="1DA87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58D68E09">
            <w:pPr>
              <w:spacing w:before="258" w:line="188" w:lineRule="auto"/>
              <w:ind w:left="209"/>
              <w:jc w:val="both"/>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33</w:t>
            </w:r>
          </w:p>
        </w:tc>
        <w:tc>
          <w:tcPr>
            <w:tcW w:w="1860" w:type="dxa"/>
            <w:vAlign w:val="center"/>
          </w:tcPr>
          <w:p w14:paraId="1729A2D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评标方法</w:t>
            </w:r>
          </w:p>
        </w:tc>
        <w:tc>
          <w:tcPr>
            <w:tcW w:w="7544" w:type="dxa"/>
            <w:vAlign w:val="center"/>
          </w:tcPr>
          <w:p w14:paraId="14FB030A">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A＋B 值评标法  □经评审的最低投标价法   ☑综合评估法</w:t>
            </w:r>
          </w:p>
        </w:tc>
      </w:tr>
      <w:tr w14:paraId="3A742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06AF2062">
            <w:pPr>
              <w:spacing w:before="258" w:line="188" w:lineRule="auto"/>
              <w:ind w:left="209"/>
              <w:jc w:val="both"/>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34</w:t>
            </w:r>
          </w:p>
        </w:tc>
        <w:tc>
          <w:tcPr>
            <w:tcW w:w="1860" w:type="dxa"/>
            <w:vAlign w:val="center"/>
          </w:tcPr>
          <w:p w14:paraId="065EB7B0">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投标文件编制</w:t>
            </w:r>
            <w:r>
              <w:rPr>
                <w:rFonts w:hint="eastAsia" w:ascii="宋体" w:hAnsi="宋体" w:eastAsia="宋体" w:cs="宋体"/>
                <w:snapToGrid w:val="0"/>
                <w:color w:val="auto"/>
                <w:kern w:val="0"/>
                <w:sz w:val="21"/>
                <w:szCs w:val="21"/>
                <w:highlight w:val="none"/>
                <w:lang w:eastAsia="zh-CN"/>
              </w:rPr>
              <w:t>及</w:t>
            </w:r>
            <w:r>
              <w:rPr>
                <w:rFonts w:hint="eastAsia" w:ascii="宋体" w:hAnsi="宋体" w:eastAsia="宋体" w:cs="宋体"/>
                <w:snapToGrid w:val="0"/>
                <w:color w:val="auto"/>
                <w:kern w:val="0"/>
                <w:sz w:val="21"/>
                <w:szCs w:val="21"/>
                <w:highlight w:val="none"/>
              </w:rPr>
              <w:t>份数要求</w:t>
            </w:r>
          </w:p>
        </w:tc>
        <w:tc>
          <w:tcPr>
            <w:tcW w:w="7544" w:type="dxa"/>
            <w:vAlign w:val="center"/>
          </w:tcPr>
          <w:p w14:paraId="66F22651">
            <w:pPr>
              <w:keepNext w:val="0"/>
              <w:keepLines w:val="0"/>
              <w:pageBreakBefore w:val="0"/>
              <w:widowControl/>
              <w:suppressLineNumbers w:val="0"/>
              <w:shd w:val="clear" w:color="auto" w:fill="auto"/>
              <w:overflowPunct/>
              <w:topLinePunct w:val="0"/>
              <w:bidi w:val="0"/>
              <w:spacing w:line="360" w:lineRule="auto"/>
              <w:ind w:firstLine="210" w:firstLineChars="1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投标人须上传（递交）投标文件：</w:t>
            </w:r>
          </w:p>
          <w:p w14:paraId="563C340A">
            <w:pPr>
              <w:keepNext w:val="0"/>
              <w:keepLines w:val="0"/>
              <w:pageBreakBefore w:val="0"/>
              <w:widowControl/>
              <w:suppressLineNumbers w:val="0"/>
              <w:shd w:val="clear" w:color="auto" w:fill="auto"/>
              <w:overflowPunct/>
              <w:topLinePunct w:val="0"/>
              <w:bidi w:val="0"/>
              <w:spacing w:line="360" w:lineRule="auto"/>
              <w:ind w:firstLine="210" w:firstLineChars="1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1、电子投标文件一套：</w:t>
            </w:r>
          </w:p>
          <w:p w14:paraId="25FB02E9">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（1）商务标书1份；</w:t>
            </w:r>
          </w:p>
          <w:p w14:paraId="440EA8CF">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（2）经济标书1份；</w:t>
            </w:r>
          </w:p>
          <w:p w14:paraId="4387DA43">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 xml:space="preserve">（3）施工组织设计1份； </w:t>
            </w:r>
          </w:p>
          <w:p w14:paraId="16B57936">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（4）定标文件1份；</w:t>
            </w:r>
          </w:p>
          <w:p w14:paraId="168A6273">
            <w:pPr>
              <w:keepNext w:val="0"/>
              <w:keepLines w:val="0"/>
              <w:pageBreakBefore w:val="0"/>
              <w:widowControl/>
              <w:suppressLineNumbers w:val="0"/>
              <w:shd w:val="clear" w:color="auto" w:fill="auto"/>
              <w:overflowPunct/>
              <w:topLinePunct w:val="0"/>
              <w:bidi w:val="0"/>
              <w:spacing w:line="360" w:lineRule="auto"/>
              <w:ind w:firstLine="210" w:firstLineChars="1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2、对应评审要求的分项响应文件（如有）。</w:t>
            </w:r>
          </w:p>
          <w:p w14:paraId="7FA3B351">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https://ygp.gdzwfw.gov.cn/ggzy-portal/#/440200/index）交易指引。</w:t>
            </w:r>
          </w:p>
          <w:p w14:paraId="2F569048">
            <w:pPr>
              <w:keepNext w:val="0"/>
              <w:keepLines w:val="0"/>
              <w:pageBreakBefore w:val="0"/>
              <w:widowControl w:val="0"/>
              <w:suppressLineNumbers w:val="0"/>
              <w:kinsoku/>
              <w:wordWrap/>
              <w:overflowPunct/>
              <w:topLinePunct w:val="0"/>
              <w:autoSpaceDE/>
              <w:autoSpaceDN/>
              <w:bidi w:val="0"/>
              <w:adjustRightInd/>
              <w:snapToGrid/>
              <w:spacing w:line="360" w:lineRule="auto"/>
              <w:ind w:left="105" w:leftChars="50" w:right="105" w:rightChars="50" w:firstLine="420" w:firstLineChars="200"/>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bCs/>
                <w:snapToGrid w:val="0"/>
                <w:color w:val="auto"/>
                <w:kern w:val="0"/>
                <w:sz w:val="21"/>
                <w:szCs w:val="21"/>
                <w:highlight w:val="none"/>
                <w:lang w:val="en-US" w:eastAsia="zh-CN"/>
              </w:rPr>
              <w:t>注：投标人被确定为中标人后，应从交易系统打印二套纸质投标文件（含签名盖章页），内容同电子投标文件，在签订本招标项目承包合同前分别提交给招标人和招标管理部门。（除招标文件约定外，纸质标书须与电子标书一致，不一致的以电子标书为准）。</w:t>
            </w:r>
          </w:p>
        </w:tc>
      </w:tr>
      <w:tr w14:paraId="170F8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2168BB35">
            <w:pPr>
              <w:spacing w:before="258" w:line="188" w:lineRule="auto"/>
              <w:ind w:left="209"/>
              <w:jc w:val="both"/>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35</w:t>
            </w:r>
          </w:p>
        </w:tc>
        <w:tc>
          <w:tcPr>
            <w:tcW w:w="1860" w:type="dxa"/>
            <w:vAlign w:val="center"/>
          </w:tcPr>
          <w:p w14:paraId="1FA89293">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定标办法</w:t>
            </w:r>
          </w:p>
        </w:tc>
        <w:tc>
          <w:tcPr>
            <w:tcW w:w="7544" w:type="dxa"/>
            <w:vAlign w:val="center"/>
          </w:tcPr>
          <w:p w14:paraId="07F682DE">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采用</w:t>
            </w:r>
            <w:r>
              <w:rPr>
                <w:rFonts w:hint="eastAsia" w:ascii="宋体" w:hAnsi="宋体" w:eastAsia="宋体" w:cs="宋体"/>
                <w:b/>
                <w:bCs w:val="0"/>
                <w:snapToGrid w:val="0"/>
                <w:color w:val="auto"/>
                <w:kern w:val="0"/>
                <w:sz w:val="21"/>
                <w:szCs w:val="21"/>
                <w:highlight w:val="none"/>
                <w:lang w:val="en-US" w:eastAsia="zh-CN"/>
              </w:rPr>
              <w:t>评定分离</w:t>
            </w:r>
            <w:r>
              <w:rPr>
                <w:rFonts w:hint="eastAsia" w:ascii="宋体" w:hAnsi="宋体" w:eastAsia="宋体" w:cs="宋体"/>
                <w:bCs/>
                <w:snapToGrid w:val="0"/>
                <w:color w:val="auto"/>
                <w:kern w:val="0"/>
                <w:sz w:val="21"/>
                <w:szCs w:val="21"/>
                <w:highlight w:val="none"/>
                <w:lang w:val="en-US" w:eastAsia="zh-CN"/>
              </w:rPr>
              <w:t>的项目，应选定下列定标办法：</w:t>
            </w:r>
          </w:p>
          <w:p w14:paraId="09851633">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☑票决数量法</w:t>
            </w:r>
          </w:p>
          <w:p w14:paraId="42DC2268">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□票决计分法</w:t>
            </w:r>
          </w:p>
          <w:p w14:paraId="352F7AFA">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□集体议事法</w:t>
            </w:r>
          </w:p>
          <w:p w14:paraId="345DD05E">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□其他方法：</w:t>
            </w:r>
          </w:p>
        </w:tc>
      </w:tr>
      <w:tr w14:paraId="7640F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4E5940B1">
            <w:pPr>
              <w:spacing w:before="258" w:line="188" w:lineRule="auto"/>
              <w:ind w:left="209"/>
              <w:jc w:val="both"/>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36</w:t>
            </w:r>
          </w:p>
        </w:tc>
        <w:tc>
          <w:tcPr>
            <w:tcW w:w="1860" w:type="dxa"/>
            <w:vAlign w:val="center"/>
          </w:tcPr>
          <w:p w14:paraId="33814F5A">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color w:val="auto"/>
                <w:sz w:val="21"/>
                <w:szCs w:val="21"/>
                <w:highlight w:val="none"/>
              </w:rPr>
              <w:t>纳入百千万工程公益性项目</w:t>
            </w:r>
          </w:p>
        </w:tc>
        <w:tc>
          <w:tcPr>
            <w:tcW w:w="7544" w:type="dxa"/>
            <w:vAlign w:val="center"/>
          </w:tcPr>
          <w:p w14:paraId="3967C6CA">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firstLine="420" w:firstLineChars="20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本次招标鼓励投标人积极响应政策号召，充分利用其人才、技术、专业、资源、资金、设备或管理优势，通过技术创新和资源优化，以投标人自愿为原则，助力百千万工程公益性项目。</w:t>
            </w:r>
          </w:p>
          <w:p w14:paraId="657FEDFF">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firstLine="420" w:firstLineChars="20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投标人需提供自愿助力百千万工程公益性项目公益捐建（捐赠或配建）进度计划及保证措施；以投标人自愿为原则，按招标文件格式格式十六要求提供《助力项目承诺书》。</w:t>
            </w:r>
          </w:p>
        </w:tc>
      </w:tr>
      <w:tr w14:paraId="0A107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13" w:hRule="atLeast"/>
        </w:trPr>
        <w:tc>
          <w:tcPr>
            <w:tcW w:w="582" w:type="dxa"/>
            <w:vAlign w:val="center"/>
          </w:tcPr>
          <w:p w14:paraId="5A8F9F23">
            <w:pPr>
              <w:spacing w:before="57" w:line="195" w:lineRule="auto"/>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37</w:t>
            </w:r>
          </w:p>
        </w:tc>
        <w:tc>
          <w:tcPr>
            <w:tcW w:w="1860" w:type="dxa"/>
            <w:vAlign w:val="center"/>
          </w:tcPr>
          <w:p w14:paraId="5E4B993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招标文件要求提交的用于评审的证书、证件、证明原件</w:t>
            </w:r>
          </w:p>
        </w:tc>
        <w:tc>
          <w:tcPr>
            <w:tcW w:w="7544" w:type="dxa"/>
            <w:vAlign w:val="top"/>
          </w:tcPr>
          <w:p w14:paraId="11169AFE">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投标人在提交用于评审的证书、证件、证明原件的，投标人应自行将所需原件密封于文件袋（箱）中，并自行准备两张“原件一览表 ” (详见格式十五，投标人须自行填写，表格可扩展)，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复印件与原件不一致，评审时相应证明材料不予认可。</w:t>
            </w:r>
          </w:p>
        </w:tc>
      </w:tr>
      <w:tr w14:paraId="6688F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7" w:hRule="atLeast"/>
        </w:trPr>
        <w:tc>
          <w:tcPr>
            <w:tcW w:w="582" w:type="dxa"/>
            <w:vAlign w:val="center"/>
          </w:tcPr>
          <w:p w14:paraId="6E15237F">
            <w:pPr>
              <w:spacing w:before="69" w:line="188" w:lineRule="auto"/>
              <w:ind w:left="209"/>
              <w:rPr>
                <w:rFonts w:hint="eastAsia" w:asciiTheme="minorEastAsia" w:hAnsiTheme="minorEastAsia" w:eastAsiaTheme="minorEastAsia" w:cstheme="minorEastAsia"/>
                <w:color w:val="auto"/>
                <w:spacing w:val="-5"/>
                <w:sz w:val="21"/>
                <w:szCs w:val="21"/>
                <w:highlight w:val="none"/>
                <w:lang w:eastAsia="zh-CN"/>
              </w:rPr>
            </w:pPr>
            <w:r>
              <w:rPr>
                <w:rFonts w:hint="eastAsia" w:asciiTheme="minorEastAsia" w:hAnsiTheme="minorEastAsia" w:eastAsiaTheme="minorEastAsia" w:cstheme="minorEastAsia"/>
                <w:color w:val="auto"/>
                <w:spacing w:val="-5"/>
                <w:sz w:val="21"/>
                <w:szCs w:val="21"/>
                <w:highlight w:val="none"/>
                <w:lang w:eastAsia="zh-CN"/>
              </w:rPr>
              <w:t>3</w:t>
            </w:r>
            <w:r>
              <w:rPr>
                <w:rFonts w:hint="eastAsia" w:asciiTheme="minorEastAsia" w:hAnsiTheme="minorEastAsia" w:eastAsiaTheme="minorEastAsia" w:cstheme="minorEastAsia"/>
                <w:color w:val="auto"/>
                <w:spacing w:val="-5"/>
                <w:sz w:val="21"/>
                <w:szCs w:val="21"/>
                <w:highlight w:val="none"/>
                <w:lang w:val="en-US" w:eastAsia="zh-CN"/>
              </w:rPr>
              <w:t>8</w:t>
            </w:r>
          </w:p>
        </w:tc>
        <w:tc>
          <w:tcPr>
            <w:tcW w:w="1860" w:type="dxa"/>
            <w:vAlign w:val="center"/>
          </w:tcPr>
          <w:p w14:paraId="6186C359">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招标代理费和评标专家酬劳</w:t>
            </w:r>
          </w:p>
        </w:tc>
        <w:tc>
          <w:tcPr>
            <w:tcW w:w="7544" w:type="dxa"/>
            <w:vAlign w:val="center"/>
          </w:tcPr>
          <w:p w14:paraId="7ABDDE2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本工程的招标代理费和评标专家酬劳由中标人支付，该费用不再另行报价，由投标人在投标报价时综合考虑在内。中标人须向招标代理机构一次性支付（招标代理服务费：根据《招标代理服务收费管理暂行办法》（计价格[2002]1980号）计算服务费用金额，并以工程中标价来计算服务费用，落实40%下浮率，服务费用包含所有费用，具体以签订的合同为准。</w:t>
            </w:r>
          </w:p>
        </w:tc>
      </w:tr>
      <w:tr w14:paraId="7FD7F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9" w:hRule="atLeast"/>
        </w:trPr>
        <w:tc>
          <w:tcPr>
            <w:tcW w:w="582" w:type="dxa"/>
            <w:vAlign w:val="center"/>
          </w:tcPr>
          <w:p w14:paraId="37D7D386">
            <w:pPr>
              <w:spacing w:before="69" w:line="188"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5"/>
                <w:sz w:val="21"/>
                <w:szCs w:val="21"/>
                <w:highlight w:val="none"/>
              </w:rPr>
              <w:t>3</w:t>
            </w:r>
            <w:r>
              <w:rPr>
                <w:rFonts w:hint="eastAsia" w:asciiTheme="minorEastAsia" w:hAnsiTheme="minorEastAsia" w:eastAsiaTheme="minorEastAsia" w:cstheme="minorEastAsia"/>
                <w:color w:val="auto"/>
                <w:spacing w:val="-5"/>
                <w:sz w:val="21"/>
                <w:szCs w:val="21"/>
                <w:highlight w:val="none"/>
                <w:lang w:val="en-US" w:eastAsia="zh-CN"/>
              </w:rPr>
              <w:t>9</w:t>
            </w:r>
          </w:p>
        </w:tc>
        <w:tc>
          <w:tcPr>
            <w:tcW w:w="1860" w:type="dxa"/>
            <w:vAlign w:val="center"/>
          </w:tcPr>
          <w:p w14:paraId="5DBBB6F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招标人</w:t>
            </w:r>
          </w:p>
          <w:p w14:paraId="36239D2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联系方式</w:t>
            </w:r>
          </w:p>
        </w:tc>
        <w:tc>
          <w:tcPr>
            <w:tcW w:w="7544" w:type="dxa"/>
            <w:vAlign w:val="center"/>
          </w:tcPr>
          <w:p w14:paraId="294DCE90">
            <w:pPr>
              <w:wordWrap w:val="0"/>
              <w:adjustRightInd w:val="0"/>
              <w:snapToGrid w:val="0"/>
              <w:spacing w:line="360" w:lineRule="exact"/>
              <w:ind w:firstLine="220" w:firstLineChars="100"/>
              <w:jc w:val="left"/>
              <w:rPr>
                <w:rFonts w:hint="eastAsia" w:ascii="宋体" w:hAnsi="宋体" w:eastAsia="宋体" w:cs="宋体"/>
                <w:snapToGrid w:val="0"/>
                <w:color w:val="auto"/>
                <w:kern w:val="0"/>
                <w:sz w:val="22"/>
                <w:szCs w:val="22"/>
                <w:highlight w:val="none"/>
                <w:lang w:eastAsia="zh-CN"/>
              </w:rPr>
            </w:pPr>
            <w:r>
              <w:rPr>
                <w:rFonts w:hint="eastAsia" w:ascii="宋体" w:hAnsi="宋体" w:eastAsia="宋体" w:cs="宋体"/>
                <w:snapToGrid w:val="0"/>
                <w:color w:val="auto"/>
                <w:kern w:val="0"/>
                <w:sz w:val="22"/>
                <w:szCs w:val="22"/>
                <w:highlight w:val="none"/>
              </w:rPr>
              <w:t>单位名称：</w:t>
            </w:r>
            <w:r>
              <w:rPr>
                <w:rFonts w:hint="eastAsia" w:ascii="宋体" w:hAnsi="宋体" w:eastAsia="宋体" w:cs="宋体"/>
                <w:snapToGrid w:val="0"/>
                <w:color w:val="auto"/>
                <w:kern w:val="0"/>
                <w:sz w:val="22"/>
                <w:szCs w:val="22"/>
                <w:highlight w:val="none"/>
                <w:lang w:eastAsia="zh-CN"/>
              </w:rPr>
              <w:t>仁化县丹霞旅游经济开发试验区管理委员会</w:t>
            </w:r>
          </w:p>
          <w:p w14:paraId="45B2C2F5">
            <w:pPr>
              <w:wordWrap w:val="0"/>
              <w:adjustRightInd w:val="0"/>
              <w:snapToGrid w:val="0"/>
              <w:spacing w:line="360" w:lineRule="exact"/>
              <w:ind w:firstLine="220" w:firstLineChars="100"/>
              <w:jc w:val="left"/>
              <w:rPr>
                <w:rFonts w:hint="eastAsia" w:ascii="宋体" w:hAnsi="宋体" w:eastAsia="宋体" w:cs="宋体"/>
                <w:snapToGrid w:val="0"/>
                <w:color w:val="auto"/>
                <w:kern w:val="0"/>
                <w:sz w:val="22"/>
                <w:szCs w:val="22"/>
                <w:highlight w:val="none"/>
                <w:lang w:eastAsia="zh-CN"/>
              </w:rPr>
            </w:pPr>
            <w:r>
              <w:rPr>
                <w:rFonts w:hint="eastAsia" w:ascii="宋体" w:hAnsi="宋体" w:eastAsia="宋体" w:cs="宋体"/>
                <w:snapToGrid w:val="0"/>
                <w:color w:val="auto"/>
                <w:kern w:val="0"/>
                <w:sz w:val="22"/>
                <w:szCs w:val="22"/>
                <w:highlight w:val="none"/>
              </w:rPr>
              <w:t>办公地址：</w:t>
            </w:r>
            <w:r>
              <w:rPr>
                <w:rFonts w:hint="eastAsia" w:ascii="宋体" w:hAnsi="宋体" w:eastAsia="宋体" w:cs="宋体"/>
                <w:snapToGrid w:val="0"/>
                <w:color w:val="auto"/>
                <w:kern w:val="0"/>
                <w:sz w:val="22"/>
                <w:szCs w:val="22"/>
                <w:highlight w:val="none"/>
                <w:lang w:eastAsia="zh-CN"/>
              </w:rPr>
              <w:t>仁化县周田镇新庄工业园</w:t>
            </w:r>
          </w:p>
          <w:p w14:paraId="5B16EB9D">
            <w:pPr>
              <w:wordWrap w:val="0"/>
              <w:adjustRightInd w:val="0"/>
              <w:snapToGrid w:val="0"/>
              <w:spacing w:line="360" w:lineRule="exact"/>
              <w:ind w:firstLine="220" w:firstLineChars="100"/>
              <w:jc w:val="left"/>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rPr>
              <w:t>联系人（部门）：</w:t>
            </w:r>
            <w:r>
              <w:rPr>
                <w:rFonts w:hint="eastAsia" w:ascii="宋体" w:hAnsi="宋体" w:eastAsia="宋体" w:cs="宋体"/>
                <w:snapToGrid w:val="0"/>
                <w:color w:val="auto"/>
                <w:kern w:val="0"/>
                <w:sz w:val="22"/>
                <w:szCs w:val="22"/>
                <w:highlight w:val="none"/>
                <w:lang w:val="en-US" w:eastAsia="zh-CN"/>
              </w:rPr>
              <w:t>黄工</w:t>
            </w:r>
          </w:p>
          <w:p w14:paraId="01E5EFA9">
            <w:pPr>
              <w:wordWrap w:val="0"/>
              <w:adjustRightInd w:val="0"/>
              <w:snapToGrid w:val="0"/>
              <w:spacing w:line="360" w:lineRule="exact"/>
              <w:ind w:firstLine="220" w:firstLineChars="100"/>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2"/>
                <w:szCs w:val="22"/>
                <w:highlight w:val="none"/>
              </w:rPr>
              <w:t xml:space="preserve">联系电话： </w:t>
            </w:r>
            <w:r>
              <w:rPr>
                <w:rFonts w:hint="eastAsia" w:ascii="宋体" w:hAnsi="宋体" w:eastAsia="宋体" w:cs="宋体"/>
                <w:snapToGrid w:val="0"/>
                <w:color w:val="auto"/>
                <w:kern w:val="0"/>
                <w:sz w:val="22"/>
                <w:szCs w:val="22"/>
                <w:highlight w:val="none"/>
                <w:lang w:eastAsia="zh-CN"/>
              </w:rPr>
              <w:t>0751-6422238</w:t>
            </w:r>
          </w:p>
        </w:tc>
      </w:tr>
      <w:tr w14:paraId="101C9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9" w:hRule="atLeast"/>
        </w:trPr>
        <w:tc>
          <w:tcPr>
            <w:tcW w:w="582" w:type="dxa"/>
            <w:vAlign w:val="center"/>
          </w:tcPr>
          <w:p w14:paraId="7AB56B55">
            <w:pPr>
              <w:spacing w:before="69" w:line="188" w:lineRule="auto"/>
              <w:jc w:val="center"/>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40</w:t>
            </w:r>
          </w:p>
        </w:tc>
        <w:tc>
          <w:tcPr>
            <w:tcW w:w="1860" w:type="dxa"/>
            <w:vAlign w:val="center"/>
          </w:tcPr>
          <w:p w14:paraId="57A132E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招标代理机构</w:t>
            </w:r>
          </w:p>
          <w:p w14:paraId="3F031D7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联系方式</w:t>
            </w:r>
          </w:p>
        </w:tc>
        <w:tc>
          <w:tcPr>
            <w:tcW w:w="7544" w:type="dxa"/>
            <w:vAlign w:val="center"/>
          </w:tcPr>
          <w:p w14:paraId="49523478">
            <w:pPr>
              <w:wordWrap w:val="0"/>
              <w:adjustRightInd w:val="0"/>
              <w:snapToGrid w:val="0"/>
              <w:spacing w:line="360" w:lineRule="exact"/>
              <w:ind w:firstLine="220" w:firstLineChars="100"/>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单位名称：广东爱科工程咨询管理有限公司</w:t>
            </w:r>
          </w:p>
          <w:p w14:paraId="0747FA2E">
            <w:pPr>
              <w:wordWrap w:val="0"/>
              <w:adjustRightInd w:val="0"/>
              <w:snapToGrid w:val="0"/>
              <w:spacing w:line="360" w:lineRule="exact"/>
              <w:ind w:firstLine="220" w:firstLineChars="100"/>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办公地址：仁化县建设路52号第三层</w:t>
            </w:r>
          </w:p>
          <w:p w14:paraId="302859BB">
            <w:pPr>
              <w:wordWrap w:val="0"/>
              <w:adjustRightInd w:val="0"/>
              <w:snapToGrid w:val="0"/>
              <w:spacing w:line="360" w:lineRule="exact"/>
              <w:ind w:firstLine="220" w:firstLineChars="100"/>
              <w:jc w:val="left"/>
              <w:rPr>
                <w:rFonts w:hint="default"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rPr>
              <w:t>联 系 人：温工</w:t>
            </w:r>
          </w:p>
          <w:p w14:paraId="245C4B76">
            <w:pPr>
              <w:wordWrap w:val="0"/>
              <w:adjustRightInd w:val="0"/>
              <w:snapToGrid w:val="0"/>
              <w:spacing w:line="360" w:lineRule="exact"/>
              <w:ind w:firstLine="220" w:firstLineChars="100"/>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2"/>
                <w:szCs w:val="22"/>
                <w:highlight w:val="none"/>
              </w:rPr>
              <w:t>电    话：13500208871</w:t>
            </w:r>
          </w:p>
        </w:tc>
      </w:tr>
      <w:tr w14:paraId="5459D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4" w:hRule="atLeast"/>
        </w:trPr>
        <w:tc>
          <w:tcPr>
            <w:tcW w:w="582" w:type="dxa"/>
            <w:vAlign w:val="center"/>
          </w:tcPr>
          <w:p w14:paraId="18F6589E">
            <w:pPr>
              <w:spacing w:before="69" w:line="188" w:lineRule="auto"/>
              <w:jc w:val="center"/>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41</w:t>
            </w:r>
          </w:p>
        </w:tc>
        <w:tc>
          <w:tcPr>
            <w:tcW w:w="1860" w:type="dxa"/>
            <w:vAlign w:val="center"/>
          </w:tcPr>
          <w:p w14:paraId="1AD5452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交易场所联系方式</w:t>
            </w:r>
          </w:p>
        </w:tc>
        <w:tc>
          <w:tcPr>
            <w:tcW w:w="7544" w:type="dxa"/>
            <w:vAlign w:val="center"/>
          </w:tcPr>
          <w:p w14:paraId="48075B41">
            <w:pPr>
              <w:wordWrap w:val="0"/>
              <w:adjustRightInd w:val="0"/>
              <w:snapToGrid w:val="0"/>
              <w:spacing w:line="360" w:lineRule="exact"/>
              <w:ind w:firstLine="250" w:firstLineChars="114"/>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单位名称：韶关市公共资源交易中心</w:t>
            </w:r>
          </w:p>
          <w:p w14:paraId="533E5EA8">
            <w:pPr>
              <w:wordWrap w:val="0"/>
              <w:adjustRightInd w:val="0"/>
              <w:snapToGrid w:val="0"/>
              <w:spacing w:line="360" w:lineRule="exact"/>
              <w:ind w:firstLine="250" w:firstLineChars="114"/>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办公地址：仁化县丹霞大道228号1</w:t>
            </w:r>
            <w:r>
              <w:rPr>
                <w:rFonts w:hint="eastAsia" w:ascii="宋体" w:hAnsi="宋体" w:eastAsia="宋体" w:cs="宋体"/>
                <w:snapToGrid w:val="0"/>
                <w:color w:val="auto"/>
                <w:kern w:val="0"/>
                <w:sz w:val="22"/>
                <w:szCs w:val="22"/>
                <w:highlight w:val="none"/>
                <w:lang w:val="en-US" w:eastAsia="zh-CN"/>
              </w:rPr>
              <w:t>2</w:t>
            </w:r>
            <w:r>
              <w:rPr>
                <w:rFonts w:hint="eastAsia" w:ascii="宋体" w:hAnsi="宋体" w:eastAsia="宋体" w:cs="宋体"/>
                <w:snapToGrid w:val="0"/>
                <w:color w:val="auto"/>
                <w:kern w:val="0"/>
                <w:sz w:val="22"/>
                <w:szCs w:val="22"/>
                <w:highlight w:val="none"/>
              </w:rPr>
              <w:t>楼韶关市公共资源交易中心仁化分中心</w:t>
            </w:r>
          </w:p>
          <w:p w14:paraId="1EFAF941">
            <w:pPr>
              <w:wordWrap w:val="0"/>
              <w:adjustRightInd w:val="0"/>
              <w:snapToGrid w:val="0"/>
              <w:spacing w:line="360" w:lineRule="exact"/>
              <w:ind w:firstLine="250" w:firstLineChars="114"/>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联系人（部门）：工程交易部</w:t>
            </w:r>
          </w:p>
          <w:p w14:paraId="3F289E33">
            <w:pPr>
              <w:wordWrap w:val="0"/>
              <w:adjustRightInd w:val="0"/>
              <w:snapToGrid w:val="0"/>
              <w:spacing w:line="360" w:lineRule="exact"/>
              <w:ind w:firstLine="250" w:firstLineChars="114"/>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2"/>
                <w:szCs w:val="22"/>
                <w:highlight w:val="none"/>
              </w:rPr>
              <w:t>联系电话：0751-6354032</w:t>
            </w:r>
          </w:p>
        </w:tc>
      </w:tr>
      <w:tr w14:paraId="03DC3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14" w:hRule="atLeast"/>
        </w:trPr>
        <w:tc>
          <w:tcPr>
            <w:tcW w:w="582" w:type="dxa"/>
            <w:vAlign w:val="center"/>
          </w:tcPr>
          <w:p w14:paraId="6CED66FD">
            <w:pPr>
              <w:spacing w:before="69" w:line="188" w:lineRule="auto"/>
              <w:jc w:val="center"/>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42</w:t>
            </w:r>
          </w:p>
        </w:tc>
        <w:tc>
          <w:tcPr>
            <w:tcW w:w="1860" w:type="dxa"/>
            <w:vAlign w:val="center"/>
          </w:tcPr>
          <w:p w14:paraId="2B5659C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行政监督部</w:t>
            </w:r>
          </w:p>
          <w:p w14:paraId="205A3A6C">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门联系方式</w:t>
            </w:r>
          </w:p>
        </w:tc>
        <w:tc>
          <w:tcPr>
            <w:tcW w:w="7544" w:type="dxa"/>
            <w:vAlign w:val="center"/>
          </w:tcPr>
          <w:p w14:paraId="05FA39AB">
            <w:pPr>
              <w:wordWrap w:val="0"/>
              <w:adjustRightInd w:val="0"/>
              <w:snapToGrid w:val="0"/>
              <w:spacing w:line="360" w:lineRule="exact"/>
              <w:ind w:firstLine="250" w:firstLineChars="114"/>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单位名称：仁化县住房和城乡建设管理局</w:t>
            </w:r>
          </w:p>
          <w:p w14:paraId="3BF6F686">
            <w:pPr>
              <w:wordWrap w:val="0"/>
              <w:adjustRightInd w:val="0"/>
              <w:snapToGrid w:val="0"/>
              <w:spacing w:line="360" w:lineRule="exact"/>
              <w:ind w:firstLine="250" w:firstLineChars="114"/>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办公地址：仁化县丹霞大道228号仁化县行政服务中心6楼</w:t>
            </w:r>
          </w:p>
          <w:p w14:paraId="2D2F14F4">
            <w:pPr>
              <w:wordWrap w:val="0"/>
              <w:adjustRightInd w:val="0"/>
              <w:snapToGrid w:val="0"/>
              <w:spacing w:line="360" w:lineRule="exact"/>
              <w:ind w:firstLine="250" w:firstLineChars="114"/>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联系人（部门）：建筑业监督管理股</w:t>
            </w:r>
          </w:p>
          <w:p w14:paraId="3C714782">
            <w:pPr>
              <w:wordWrap w:val="0"/>
              <w:adjustRightInd w:val="0"/>
              <w:snapToGrid w:val="0"/>
              <w:spacing w:line="360" w:lineRule="exact"/>
              <w:ind w:firstLine="250" w:firstLineChars="114"/>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2"/>
                <w:szCs w:val="22"/>
                <w:highlight w:val="none"/>
              </w:rPr>
              <w:t xml:space="preserve">联系电话：0751-6354573 </w:t>
            </w:r>
          </w:p>
        </w:tc>
      </w:tr>
    </w:tbl>
    <w:p w14:paraId="2196EE89">
      <w:pPr>
        <w:rPr>
          <w:rFonts w:hint="eastAsia" w:ascii="宋体" w:hAnsi="宋体" w:eastAsia="宋体" w:cs="宋体"/>
          <w:b/>
          <w:bCs/>
          <w:color w:val="auto"/>
          <w:spacing w:val="-3"/>
          <w:sz w:val="24"/>
          <w:szCs w:val="24"/>
          <w:highlight w:val="none"/>
        </w:rPr>
      </w:pPr>
      <w:bookmarkStart w:id="5" w:name="bookmark115"/>
      <w:bookmarkEnd w:id="5"/>
      <w:r>
        <w:rPr>
          <w:rFonts w:hint="eastAsia" w:ascii="宋体" w:hAnsi="宋体" w:eastAsia="宋体" w:cs="宋体"/>
          <w:b/>
          <w:bCs/>
          <w:color w:val="auto"/>
          <w:spacing w:val="-3"/>
          <w:sz w:val="24"/>
          <w:szCs w:val="24"/>
          <w:highlight w:val="none"/>
        </w:rPr>
        <w:br w:type="page"/>
      </w:r>
    </w:p>
    <w:p w14:paraId="2A3BA98B">
      <w:pPr>
        <w:spacing w:before="156" w:line="219" w:lineRule="auto"/>
        <w:ind w:left="17"/>
        <w:jc w:val="left"/>
        <w:outlineLvl w:val="1"/>
        <w:rPr>
          <w:rFonts w:hint="eastAsia" w:ascii="宋体" w:hAnsi="宋体" w:eastAsia="宋体" w:cs="宋体"/>
          <w:color w:val="auto"/>
          <w:highlight w:val="none"/>
        </w:rPr>
      </w:pPr>
      <w:bookmarkStart w:id="6" w:name="_Toc14297"/>
      <w:r>
        <w:rPr>
          <w:rFonts w:hint="eastAsia" w:ascii="宋体" w:hAnsi="宋体" w:eastAsia="宋体" w:cs="宋体"/>
          <w:b/>
          <w:bCs/>
          <w:color w:val="auto"/>
          <w:spacing w:val="-3"/>
          <w:sz w:val="24"/>
          <w:szCs w:val="24"/>
          <w:highlight w:val="none"/>
        </w:rPr>
        <w:t>第二节 重要事项时间地点一览表</w:t>
      </w:r>
      <w:bookmarkEnd w:id="6"/>
    </w:p>
    <w:p w14:paraId="69A179A8">
      <w:pPr>
        <w:pStyle w:val="5"/>
        <w:rPr>
          <w:rFonts w:hint="eastAsia" w:ascii="宋体" w:hAnsi="宋体" w:eastAsia="宋体" w:cs="宋体"/>
          <w:color w:val="auto"/>
          <w:highlight w:val="none"/>
        </w:rPr>
      </w:pPr>
    </w:p>
    <w:tbl>
      <w:tblPr>
        <w:tblStyle w:val="14"/>
        <w:tblW w:w="5003"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51"/>
        <w:gridCol w:w="1402"/>
        <w:gridCol w:w="7909"/>
      </w:tblGrid>
      <w:tr w14:paraId="1FCC578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27"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415154A6">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1</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7FC0689B">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招标公告</w:t>
            </w:r>
          </w:p>
          <w:p w14:paraId="6CF9F9BC">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 xml:space="preserve">发布时间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71A14D70">
            <w:pPr>
              <w:pStyle w:val="22"/>
              <w:widowControl/>
              <w:snapToGrid w:val="0"/>
              <w:jc w:val="left"/>
              <w:rPr>
                <w:rFonts w:hint="eastAsia" w:ascii="宋体" w:hAnsi="宋体" w:eastAsia="宋体" w:cs="宋体"/>
                <w:snapToGrid w:val="0"/>
                <w:color w:val="000000"/>
                <w:kern w:val="0"/>
                <w:sz w:val="22"/>
                <w:szCs w:val="22"/>
                <w:highlight w:val="none"/>
                <w:lang w:eastAsia="zh-CN"/>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3</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9</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 xml:space="preserve">18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00</w:t>
            </w:r>
            <w:r>
              <w:rPr>
                <w:rFonts w:hint="eastAsia" w:ascii="宋体" w:hAnsi="宋体" w:cs="宋体"/>
                <w:color w:val="auto"/>
                <w:kern w:val="0"/>
                <w:sz w:val="22"/>
                <w:szCs w:val="22"/>
                <w:highlight w:val="none"/>
              </w:rPr>
              <w:t>分</w:t>
            </w:r>
            <w:r>
              <w:rPr>
                <w:rFonts w:hint="eastAsia" w:ascii="宋体" w:hAnsi="宋体" w:cs="宋体"/>
                <w:color w:val="auto"/>
                <w:kern w:val="0"/>
                <w:sz w:val="22"/>
                <w:szCs w:val="22"/>
                <w:highlight w:val="none"/>
                <w:lang w:val="en-US" w:eastAsia="zh-CN"/>
              </w:rPr>
              <w:t xml:space="preserve"> </w:t>
            </w:r>
          </w:p>
        </w:tc>
      </w:tr>
      <w:tr w14:paraId="19E577F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42"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5A45AD0F">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2</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251929FC">
            <w:pPr>
              <w:pStyle w:val="22"/>
              <w:wordWrap w:val="0"/>
              <w:adjustRightInd w:val="0"/>
              <w:snapToGrid w:val="0"/>
              <w:spacing w:line="360" w:lineRule="exact"/>
              <w:jc w:val="center"/>
              <w:rPr>
                <w:rFonts w:hint="default" w:ascii="宋体" w:hAnsi="宋体" w:eastAsia="宋体" w:cs="宋体"/>
                <w:snapToGrid w:val="0"/>
                <w:color w:val="000000"/>
                <w:kern w:val="0"/>
                <w:sz w:val="22"/>
                <w:szCs w:val="22"/>
                <w:highlight w:val="none"/>
                <w:lang w:val="en-US" w:eastAsia="zh-CN"/>
              </w:rPr>
            </w:pPr>
            <w:r>
              <w:rPr>
                <w:rFonts w:hint="eastAsia" w:ascii="宋体" w:hAnsi="宋体" w:cs="宋体"/>
                <w:snapToGrid w:val="0"/>
                <w:color w:val="000000"/>
                <w:kern w:val="0"/>
                <w:sz w:val="22"/>
                <w:szCs w:val="22"/>
                <w:highlight w:val="none"/>
                <w:lang w:val="en-US" w:eastAsia="zh-CN"/>
              </w:rPr>
              <w:t>获取招标文件</w:t>
            </w:r>
          </w:p>
          <w:p w14:paraId="13B17BC0">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 xml:space="preserve">截止时间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56576377">
            <w:pPr>
              <w:pStyle w:val="22"/>
              <w:widowControl/>
              <w:snapToGrid w:val="0"/>
              <w:jc w:val="left"/>
              <w:rPr>
                <w:rFonts w:hint="eastAsia" w:ascii="宋体" w:hAnsi="宋体" w:cs="宋体"/>
                <w:snapToGrid w:val="0"/>
                <w:color w:val="000000"/>
                <w:kern w:val="0"/>
                <w:sz w:val="22"/>
                <w:szCs w:val="22"/>
                <w:highlight w:val="none"/>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3</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 xml:space="preserve">11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w:t>
            </w:r>
          </w:p>
        </w:tc>
      </w:tr>
      <w:tr w14:paraId="193087D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82"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4D32DC5D">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3</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0AF3A7CB">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网上提问</w:t>
            </w:r>
          </w:p>
          <w:p w14:paraId="2BE90DC1">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 xml:space="preserve">截止时间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6516B27F">
            <w:pPr>
              <w:pStyle w:val="22"/>
              <w:wordWrap w:val="0"/>
              <w:adjustRightInd w:val="0"/>
              <w:snapToGrid w:val="0"/>
              <w:spacing w:line="400" w:lineRule="exact"/>
              <w:jc w:val="left"/>
              <w:rPr>
                <w:rFonts w:hint="eastAsia" w:ascii="宋体" w:hAnsi="宋体" w:cs="宋体"/>
                <w:snapToGrid w:val="0"/>
                <w:color w:val="000000"/>
                <w:kern w:val="0"/>
                <w:sz w:val="22"/>
                <w:szCs w:val="22"/>
                <w:highlight w:val="none"/>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3</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20</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16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00 </w:t>
            </w:r>
            <w:r>
              <w:rPr>
                <w:rFonts w:hint="eastAsia" w:ascii="宋体" w:hAnsi="宋体" w:cs="宋体"/>
                <w:color w:val="auto"/>
                <w:kern w:val="0"/>
                <w:sz w:val="22"/>
                <w:szCs w:val="22"/>
                <w:highlight w:val="none"/>
              </w:rPr>
              <w:t>分</w:t>
            </w:r>
          </w:p>
        </w:tc>
      </w:tr>
      <w:tr w14:paraId="01F57E3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37"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498C0766">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4</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34139913">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网上答疑</w:t>
            </w:r>
          </w:p>
          <w:p w14:paraId="70A9C70E">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时间</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39EFA0E5">
            <w:pPr>
              <w:pStyle w:val="22"/>
              <w:widowControl/>
              <w:snapToGrid w:val="0"/>
              <w:jc w:val="left"/>
              <w:rPr>
                <w:rFonts w:hint="eastAsia" w:ascii="宋体" w:hAnsi="宋体" w:cs="宋体"/>
                <w:snapToGrid w:val="0"/>
                <w:color w:val="000000"/>
                <w:kern w:val="0"/>
                <w:sz w:val="22"/>
                <w:szCs w:val="22"/>
                <w:highlight w:val="none"/>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3</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20</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16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30 </w:t>
            </w:r>
            <w:r>
              <w:rPr>
                <w:rFonts w:hint="eastAsia" w:ascii="宋体" w:hAnsi="宋体" w:cs="宋体"/>
                <w:color w:val="auto"/>
                <w:kern w:val="0"/>
                <w:sz w:val="22"/>
                <w:szCs w:val="22"/>
                <w:highlight w:val="none"/>
              </w:rPr>
              <w:t>分至</w:t>
            </w: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3</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 xml:space="preserve">23 </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16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00</w:t>
            </w:r>
            <w:r>
              <w:rPr>
                <w:rFonts w:hint="eastAsia" w:ascii="宋体" w:hAnsi="宋体" w:cs="宋体"/>
                <w:color w:val="auto"/>
                <w:kern w:val="0"/>
                <w:sz w:val="22"/>
                <w:szCs w:val="22"/>
                <w:highlight w:val="none"/>
              </w:rPr>
              <w:t>分</w:t>
            </w:r>
          </w:p>
        </w:tc>
      </w:tr>
      <w:tr w14:paraId="1F4DA0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6"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1050AA6F">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5</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50B31F86">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投标保证缴</w:t>
            </w:r>
          </w:p>
          <w:p w14:paraId="249647CA">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纳截止时间</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00544092">
            <w:pPr>
              <w:pStyle w:val="22"/>
              <w:widowControl/>
              <w:snapToGrid w:val="0"/>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投标保证金到账截止时间：</w:t>
            </w: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3</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29</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11</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w:t>
            </w:r>
          </w:p>
          <w:p w14:paraId="534D20EF">
            <w:pPr>
              <w:pStyle w:val="22"/>
              <w:widowControl/>
              <w:snapToGrid w:val="0"/>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投标保证担保上传截止时间：</w:t>
            </w: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3</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29</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11</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w:t>
            </w:r>
          </w:p>
          <w:p w14:paraId="086C2F12">
            <w:pPr>
              <w:pStyle w:val="22"/>
              <w:widowControl/>
              <w:snapToGrid w:val="0"/>
              <w:jc w:val="left"/>
              <w:rPr>
                <w:rFonts w:hint="eastAsia" w:ascii="宋体" w:hAnsi="宋体" w:cs="宋体"/>
                <w:snapToGrid w:val="0"/>
                <w:color w:val="000000"/>
                <w:kern w:val="0"/>
                <w:sz w:val="22"/>
                <w:szCs w:val="22"/>
                <w:highlight w:val="none"/>
              </w:rPr>
            </w:pPr>
            <w:r>
              <w:rPr>
                <w:rFonts w:hint="eastAsia" w:ascii="宋体" w:hAnsi="宋体" w:cs="宋体"/>
                <w:color w:val="auto"/>
                <w:kern w:val="0"/>
                <w:sz w:val="22"/>
                <w:szCs w:val="22"/>
                <w:highlight w:val="none"/>
              </w:rPr>
              <w:t>投标保证保险投保截止时间：</w:t>
            </w: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3</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29</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11</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w:t>
            </w:r>
          </w:p>
        </w:tc>
      </w:tr>
      <w:tr w14:paraId="5CEC71A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2"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213E411F">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6</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67DAD104">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电子投标</w:t>
            </w:r>
          </w:p>
          <w:p w14:paraId="3E473E72">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 xml:space="preserve">截止时间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2EF7FFA6">
            <w:pPr>
              <w:pStyle w:val="22"/>
              <w:widowControl/>
              <w:snapToGrid w:val="0"/>
              <w:jc w:val="left"/>
              <w:rPr>
                <w:rFonts w:hint="eastAsia" w:ascii="宋体" w:hAnsi="宋体" w:cs="宋体"/>
                <w:snapToGrid w:val="0"/>
                <w:color w:val="000000"/>
                <w:kern w:val="0"/>
                <w:sz w:val="22"/>
                <w:szCs w:val="22"/>
                <w:highlight w:val="none"/>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3</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 xml:space="preserve">11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w:t>
            </w:r>
          </w:p>
        </w:tc>
      </w:tr>
      <w:tr w14:paraId="255B6A2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87"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0CC6312E">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7</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2ED64A0B">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lang w:val="en-US" w:eastAsia="zh-CN"/>
              </w:rPr>
            </w:pPr>
            <w:r>
              <w:rPr>
                <w:rFonts w:hint="eastAsia" w:ascii="宋体" w:hAnsi="宋体" w:cs="宋体"/>
                <w:snapToGrid w:val="0"/>
                <w:color w:val="000000"/>
                <w:kern w:val="0"/>
                <w:sz w:val="22"/>
                <w:szCs w:val="22"/>
                <w:highlight w:val="none"/>
                <w:lang w:val="en-US" w:eastAsia="zh-CN"/>
              </w:rPr>
              <w:t>投标评审原件（如有）</w:t>
            </w:r>
          </w:p>
          <w:p w14:paraId="7F77CCDF">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lang w:val="en-US" w:eastAsia="zh-CN"/>
              </w:rPr>
              <w:t>递交时间</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32F71BF2">
            <w:pPr>
              <w:pStyle w:val="22"/>
              <w:widowControl/>
              <w:snapToGrid w:val="0"/>
              <w:jc w:val="left"/>
              <w:rPr>
                <w:rFonts w:hint="eastAsia" w:ascii="宋体" w:hAnsi="宋体" w:cs="宋体"/>
                <w:snapToGrid w:val="0"/>
                <w:color w:val="000000"/>
                <w:kern w:val="0"/>
                <w:sz w:val="22"/>
                <w:szCs w:val="22"/>
                <w:highlight w:val="none"/>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3</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11</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00</w:t>
            </w:r>
            <w:r>
              <w:rPr>
                <w:rFonts w:hint="eastAsia" w:ascii="宋体" w:hAnsi="宋体" w:cs="宋体"/>
                <w:color w:val="auto"/>
                <w:kern w:val="0"/>
                <w:sz w:val="22"/>
                <w:szCs w:val="22"/>
                <w:highlight w:val="none"/>
              </w:rPr>
              <w:t>分至</w:t>
            </w: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snapToGrid w:val="0"/>
                <w:color w:val="auto"/>
                <w:kern w:val="0"/>
                <w:sz w:val="22"/>
                <w:szCs w:val="22"/>
                <w:highlight w:val="none"/>
              </w:rPr>
              <w:t>年</w:t>
            </w:r>
            <w:r>
              <w:rPr>
                <w:rFonts w:hint="eastAsia" w:ascii="宋体" w:hAnsi="宋体" w:cs="宋体"/>
                <w:snapToGrid w:val="0"/>
                <w:color w:val="auto"/>
                <w:kern w:val="0"/>
                <w:sz w:val="22"/>
                <w:szCs w:val="22"/>
                <w:highlight w:val="none"/>
                <w:u w:val="single"/>
                <w:lang w:val="en-US" w:eastAsia="zh-CN"/>
              </w:rPr>
              <w:t>3</w:t>
            </w:r>
            <w:r>
              <w:rPr>
                <w:rFonts w:hint="eastAsia" w:ascii="宋体" w:hAnsi="宋体" w:cs="宋体"/>
                <w:snapToGrid w:val="0"/>
                <w:color w:val="auto"/>
                <w:kern w:val="0"/>
                <w:sz w:val="22"/>
                <w:szCs w:val="22"/>
                <w:highlight w:val="none"/>
              </w:rPr>
              <w:t>月</w:t>
            </w:r>
            <w:r>
              <w:rPr>
                <w:rFonts w:hint="eastAsia" w:ascii="宋体" w:hAnsi="宋体" w:cs="宋体"/>
                <w:snapToGrid w:val="0"/>
                <w:color w:val="auto"/>
                <w:kern w:val="0"/>
                <w:sz w:val="22"/>
                <w:szCs w:val="22"/>
                <w:highlight w:val="none"/>
                <w:u w:val="single"/>
                <w:lang w:val="en-US" w:eastAsia="zh-CN"/>
              </w:rPr>
              <w:t>30</w:t>
            </w:r>
            <w:r>
              <w:rPr>
                <w:rFonts w:hint="eastAsia" w:ascii="宋体" w:hAnsi="宋体" w:cs="宋体"/>
                <w:snapToGrid w:val="0"/>
                <w:color w:val="auto"/>
                <w:kern w:val="0"/>
                <w:sz w:val="22"/>
                <w:szCs w:val="22"/>
                <w:highlight w:val="none"/>
              </w:rPr>
              <w:t>日</w:t>
            </w:r>
            <w:r>
              <w:rPr>
                <w:rFonts w:hint="eastAsia" w:ascii="宋体" w:hAnsi="宋体" w:cs="宋体"/>
                <w:snapToGrid w:val="0"/>
                <w:color w:val="auto"/>
                <w:kern w:val="0"/>
                <w:sz w:val="22"/>
                <w:szCs w:val="22"/>
                <w:highlight w:val="none"/>
                <w:u w:val="single"/>
                <w:lang w:val="en-US" w:eastAsia="zh-CN"/>
              </w:rPr>
              <w:t>11</w:t>
            </w:r>
            <w:r>
              <w:rPr>
                <w:rFonts w:hint="eastAsia" w:ascii="宋体" w:hAnsi="宋体" w:cs="宋体"/>
                <w:snapToGrid w:val="0"/>
                <w:color w:val="auto"/>
                <w:kern w:val="0"/>
                <w:sz w:val="22"/>
                <w:szCs w:val="22"/>
                <w:highlight w:val="none"/>
                <w:u w:val="single"/>
              </w:rPr>
              <w:t xml:space="preserve"> </w:t>
            </w:r>
            <w:r>
              <w:rPr>
                <w:rFonts w:hint="eastAsia" w:ascii="宋体" w:hAnsi="宋体" w:cs="宋体"/>
                <w:snapToGrid w:val="0"/>
                <w:color w:val="auto"/>
                <w:kern w:val="0"/>
                <w:sz w:val="22"/>
                <w:szCs w:val="22"/>
                <w:highlight w:val="none"/>
              </w:rPr>
              <w:t>时</w:t>
            </w:r>
            <w:r>
              <w:rPr>
                <w:rFonts w:hint="eastAsia" w:ascii="宋体" w:hAnsi="宋体" w:cs="宋体"/>
                <w:snapToGrid w:val="0"/>
                <w:color w:val="auto"/>
                <w:kern w:val="0"/>
                <w:sz w:val="22"/>
                <w:szCs w:val="22"/>
                <w:highlight w:val="none"/>
                <w:u w:val="single"/>
                <w:lang w:val="en-US" w:eastAsia="zh-CN"/>
              </w:rPr>
              <w:t>30</w:t>
            </w:r>
            <w:r>
              <w:rPr>
                <w:rFonts w:hint="eastAsia" w:ascii="宋体" w:hAnsi="宋体" w:cs="宋体"/>
                <w:snapToGrid w:val="0"/>
                <w:color w:val="auto"/>
                <w:kern w:val="0"/>
                <w:sz w:val="22"/>
                <w:szCs w:val="22"/>
                <w:highlight w:val="none"/>
              </w:rPr>
              <w:t>分</w:t>
            </w:r>
          </w:p>
        </w:tc>
      </w:tr>
      <w:tr w14:paraId="7281FC4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87"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7EB5C072">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8</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39E24EC4">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lang w:val="en-US" w:eastAsia="zh-CN"/>
              </w:rPr>
            </w:pPr>
            <w:r>
              <w:rPr>
                <w:rFonts w:hint="eastAsia" w:ascii="宋体" w:hAnsi="宋体" w:cs="宋体"/>
                <w:snapToGrid w:val="0"/>
                <w:color w:val="000000"/>
                <w:kern w:val="0"/>
                <w:sz w:val="22"/>
                <w:szCs w:val="22"/>
                <w:highlight w:val="none"/>
                <w:lang w:val="en-US" w:eastAsia="zh-CN"/>
              </w:rPr>
              <w:t>投标评审原件（如有）</w:t>
            </w:r>
          </w:p>
          <w:p w14:paraId="3261A94D">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lang w:val="en-US" w:eastAsia="zh-CN"/>
              </w:rPr>
              <w:t>递交地点</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619EFF54">
            <w:pPr>
              <w:pStyle w:val="22"/>
              <w:wordWrap w:val="0"/>
              <w:adjustRightInd w:val="0"/>
              <w:snapToGrid w:val="0"/>
              <w:spacing w:line="400" w:lineRule="exact"/>
              <w:ind w:firstLine="220" w:firstLineChars="100"/>
              <w:jc w:val="left"/>
              <w:rPr>
                <w:rFonts w:hint="eastAsia" w:ascii="宋体" w:hAnsi="宋体" w:eastAsia="宋体" w:cs="宋体"/>
                <w:snapToGrid w:val="0"/>
                <w:color w:val="auto"/>
                <w:kern w:val="0"/>
                <w:sz w:val="22"/>
                <w:szCs w:val="22"/>
                <w:highlight w:val="none"/>
                <w:lang w:eastAsia="zh-CN"/>
              </w:rPr>
            </w:pPr>
            <w:r>
              <w:rPr>
                <w:rFonts w:hint="eastAsia" w:ascii="宋体" w:hAnsi="宋体" w:cs="宋体"/>
                <w:snapToGrid w:val="0"/>
                <w:color w:val="auto"/>
                <w:kern w:val="0"/>
                <w:sz w:val="22"/>
                <w:szCs w:val="22"/>
                <w:highlight w:val="none"/>
              </w:rPr>
              <w:t>递交场所：韶关市公共资源交易中心仁化分中心</w:t>
            </w:r>
          </w:p>
          <w:p w14:paraId="54D0F656">
            <w:pPr>
              <w:pStyle w:val="22"/>
              <w:wordWrap w:val="0"/>
              <w:adjustRightInd w:val="0"/>
              <w:snapToGrid w:val="0"/>
              <w:spacing w:line="400" w:lineRule="exact"/>
              <w:ind w:firstLine="220" w:firstLineChars="100"/>
              <w:jc w:val="left"/>
              <w:rPr>
                <w:rFonts w:hint="eastAsia" w:ascii="宋体" w:hAnsi="宋体" w:cs="宋体"/>
                <w:snapToGrid w:val="0"/>
                <w:color w:val="000000"/>
                <w:kern w:val="0"/>
                <w:sz w:val="22"/>
                <w:szCs w:val="22"/>
                <w:highlight w:val="none"/>
              </w:rPr>
            </w:pPr>
            <w:r>
              <w:rPr>
                <w:rFonts w:hint="eastAsia" w:ascii="宋体" w:hAnsi="宋体" w:cs="宋体"/>
                <w:snapToGrid w:val="0"/>
                <w:color w:val="auto"/>
                <w:kern w:val="0"/>
                <w:sz w:val="22"/>
                <w:szCs w:val="22"/>
                <w:highlight w:val="none"/>
              </w:rPr>
              <w:t>地址：仁化县丹霞大道228号11楼韶关市公共资源交易中心仁化分中心，具体房间号以当日现场通知为准。</w:t>
            </w:r>
          </w:p>
        </w:tc>
      </w:tr>
      <w:tr w14:paraId="6DA9E29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10"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56908499">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9</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542877DA">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 xml:space="preserve">开标时间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2A9DFEE6">
            <w:pPr>
              <w:pStyle w:val="22"/>
              <w:wordWrap w:val="0"/>
              <w:adjustRightInd w:val="0"/>
              <w:snapToGrid w:val="0"/>
              <w:spacing w:line="400" w:lineRule="exact"/>
              <w:jc w:val="left"/>
              <w:rPr>
                <w:rFonts w:hint="eastAsia" w:ascii="宋体" w:hAnsi="宋体" w:cs="宋体"/>
                <w:snapToGrid w:val="0"/>
                <w:color w:val="000000"/>
                <w:kern w:val="0"/>
                <w:sz w:val="22"/>
                <w:szCs w:val="22"/>
                <w:highlight w:val="none"/>
              </w:rPr>
            </w:pPr>
            <w:r>
              <w:rPr>
                <w:rFonts w:hint="eastAsia" w:ascii="宋体" w:hAnsi="宋体" w:cs="宋体"/>
                <w:snapToGrid w:val="0"/>
                <w:color w:val="auto"/>
                <w:kern w:val="0"/>
                <w:sz w:val="22"/>
                <w:szCs w:val="22"/>
                <w:highlight w:val="none"/>
              </w:rPr>
              <w:t xml:space="preserve"> </w:t>
            </w: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3</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 xml:space="preserve">11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w:t>
            </w:r>
          </w:p>
        </w:tc>
      </w:tr>
      <w:tr w14:paraId="600A218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78"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13530CF7">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10</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37D61018">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 xml:space="preserve">开标地点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7C3C51B8">
            <w:pPr>
              <w:pStyle w:val="22"/>
              <w:wordWrap w:val="0"/>
              <w:adjustRightInd w:val="0"/>
              <w:snapToGrid w:val="0"/>
              <w:spacing w:line="400" w:lineRule="exact"/>
              <w:ind w:firstLine="220" w:firstLineChars="100"/>
              <w:jc w:val="left"/>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开标场所：韶关市公共资源交易中心仁化分中心</w:t>
            </w:r>
          </w:p>
          <w:p w14:paraId="0A73ED51">
            <w:pPr>
              <w:pStyle w:val="22"/>
              <w:wordWrap w:val="0"/>
              <w:adjustRightInd w:val="0"/>
              <w:snapToGrid w:val="0"/>
              <w:spacing w:line="400" w:lineRule="exact"/>
              <w:ind w:firstLine="220" w:firstLineChars="100"/>
              <w:jc w:val="left"/>
              <w:rPr>
                <w:rFonts w:hint="eastAsia" w:ascii="宋体" w:hAnsi="宋体" w:cs="宋体"/>
                <w:snapToGrid w:val="0"/>
                <w:color w:val="000000"/>
                <w:kern w:val="0"/>
                <w:sz w:val="22"/>
                <w:szCs w:val="22"/>
                <w:highlight w:val="none"/>
              </w:rPr>
            </w:pPr>
            <w:r>
              <w:rPr>
                <w:rFonts w:hint="eastAsia" w:ascii="宋体" w:hAnsi="宋体" w:cs="宋体"/>
                <w:snapToGrid w:val="0"/>
                <w:color w:val="auto"/>
                <w:kern w:val="0"/>
                <w:sz w:val="22"/>
                <w:szCs w:val="22"/>
                <w:highlight w:val="none"/>
              </w:rPr>
              <w:t>地址：仁化县丹霞大道228号11楼韶关市公共资源交易中心仁化分中心，具体房间号以当日现场通知为准。</w:t>
            </w:r>
          </w:p>
        </w:tc>
      </w:tr>
      <w:tr w14:paraId="4FC692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98" w:hRule="exact"/>
        </w:trPr>
        <w:tc>
          <w:tcPr>
            <w:tcW w:w="949" w:type="pct"/>
            <w:gridSpan w:val="2"/>
            <w:tcBorders>
              <w:top w:val="single" w:color="080000" w:sz="4" w:space="0"/>
              <w:left w:val="single" w:color="080000" w:sz="4" w:space="0"/>
              <w:bottom w:val="single" w:color="080000" w:sz="4" w:space="0"/>
              <w:right w:val="single" w:color="080000" w:sz="4" w:space="0"/>
            </w:tcBorders>
            <w:noWrap w:val="0"/>
            <w:vAlign w:val="center"/>
          </w:tcPr>
          <w:p w14:paraId="2F0B7FAB">
            <w:pPr>
              <w:pStyle w:val="22"/>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lang w:val="en-US" w:eastAsia="zh-CN"/>
              </w:rPr>
              <w:t>备注</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2344A197">
            <w:pPr>
              <w:pStyle w:val="22"/>
              <w:wordWrap w:val="0"/>
              <w:adjustRightInd w:val="0"/>
              <w:snapToGrid w:val="0"/>
              <w:spacing w:line="400" w:lineRule="exact"/>
              <w:ind w:firstLine="220" w:firstLineChars="100"/>
              <w:jc w:val="left"/>
              <w:rPr>
                <w:rFonts w:hint="eastAsia" w:ascii="宋体" w:hAnsi="宋体" w:cs="宋体"/>
                <w:snapToGrid w:val="0"/>
                <w:color w:val="000000"/>
                <w:kern w:val="0"/>
                <w:sz w:val="22"/>
                <w:szCs w:val="22"/>
                <w:highlight w:val="none"/>
              </w:rPr>
            </w:pPr>
            <w:r>
              <w:rPr>
                <w:rFonts w:hint="eastAsia" w:ascii="宋体" w:hAnsi="宋体" w:cs="宋体"/>
                <w:snapToGrid w:val="0"/>
                <w:color w:val="auto"/>
                <w:kern w:val="0"/>
                <w:sz w:val="22"/>
                <w:szCs w:val="22"/>
                <w:highlight w:val="none"/>
              </w:rPr>
              <w:t>自行下载招标文件、资料文件及招标答疑书等。若由于投标人自身原因未能及时取得上述资料的，由此发生的任何责任由投标人自负。</w:t>
            </w:r>
          </w:p>
        </w:tc>
      </w:tr>
    </w:tbl>
    <w:p w14:paraId="05CEB252">
      <w:pPr>
        <w:tabs>
          <w:tab w:val="left" w:pos="8820"/>
        </w:tabs>
        <w:rPr>
          <w:rFonts w:hint="eastAsia" w:ascii="宋体" w:hAnsi="宋体" w:eastAsia="宋体" w:cs="宋体"/>
          <w:b w:val="0"/>
          <w:bCs w:val="0"/>
          <w:color w:val="auto"/>
          <w:sz w:val="24"/>
          <w:szCs w:val="24"/>
          <w:highlight w:val="none"/>
        </w:rPr>
        <w:sectPr>
          <w:headerReference r:id="rId6" w:type="default"/>
          <w:footerReference r:id="rId7" w:type="default"/>
          <w:pgSz w:w="11906" w:h="16839"/>
          <w:pgMar w:top="1440" w:right="1080" w:bottom="1440" w:left="1080" w:header="0" w:footer="1085" w:gutter="0"/>
          <w:pgBorders>
            <w:top w:val="none" w:sz="0" w:space="0"/>
            <w:left w:val="none" w:sz="0" w:space="0"/>
            <w:bottom w:val="none" w:sz="0" w:space="0"/>
            <w:right w:val="none" w:sz="0" w:space="0"/>
          </w:pgBorders>
          <w:cols w:space="720" w:num="1"/>
        </w:sectPr>
      </w:pPr>
    </w:p>
    <w:p w14:paraId="433C4EC2">
      <w:pPr>
        <w:jc w:val="center"/>
        <w:outlineLvl w:val="1"/>
        <w:rPr>
          <w:rFonts w:hint="eastAsia" w:ascii="宋体" w:hAnsi="宋体" w:eastAsia="宋体" w:cs="宋体"/>
          <w:color w:val="auto"/>
          <w:sz w:val="24"/>
          <w:szCs w:val="24"/>
          <w:highlight w:val="none"/>
        </w:rPr>
      </w:pPr>
      <w:bookmarkStart w:id="7" w:name="_Toc9283"/>
      <w:r>
        <w:rPr>
          <w:rFonts w:hint="eastAsia" w:ascii="宋体" w:hAnsi="宋体" w:eastAsia="宋体" w:cs="宋体"/>
          <w:b/>
          <w:bCs/>
          <w:color w:val="auto"/>
          <w:spacing w:val="-3"/>
          <w:sz w:val="24"/>
          <w:szCs w:val="24"/>
          <w:highlight w:val="none"/>
        </w:rPr>
        <w:t>第三节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投标人须知正文</w:t>
      </w:r>
      <w:bookmarkEnd w:id="7"/>
    </w:p>
    <w:p w14:paraId="73B8EDD5">
      <w:pPr>
        <w:pStyle w:val="5"/>
        <w:spacing w:line="256" w:lineRule="auto"/>
        <w:rPr>
          <w:rFonts w:hint="eastAsia" w:ascii="宋体" w:hAnsi="宋体" w:eastAsia="宋体" w:cs="宋体"/>
          <w:color w:val="auto"/>
          <w:highlight w:val="none"/>
        </w:rPr>
      </w:pPr>
    </w:p>
    <w:p w14:paraId="6017DF82">
      <w:pPr>
        <w:pStyle w:val="5"/>
        <w:spacing w:line="257" w:lineRule="auto"/>
        <w:rPr>
          <w:rFonts w:hint="eastAsia" w:ascii="宋体" w:hAnsi="宋体" w:eastAsia="宋体" w:cs="宋体"/>
          <w:color w:val="auto"/>
          <w:highlight w:val="none"/>
        </w:rPr>
      </w:pPr>
    </w:p>
    <w:p w14:paraId="2BD22834">
      <w:pPr>
        <w:keepNext w:val="0"/>
        <w:keepLines w:val="0"/>
        <w:widowControl/>
        <w:suppressLineNumbers w:val="0"/>
        <w:spacing w:line="360" w:lineRule="auto"/>
        <w:ind w:right="-258" w:rightChars="-123" w:firstLine="480" w:firstLineChars="200"/>
        <w:jc w:val="left"/>
        <w:rPr>
          <w:rFonts w:hint="eastAsia" w:ascii="宋体" w:hAnsi="宋体" w:eastAsia="宋体" w:cs="宋体"/>
          <w:color w:val="auto"/>
          <w:sz w:val="36"/>
          <w:szCs w:val="36"/>
          <w:highlight w:val="none"/>
        </w:rPr>
      </w:pPr>
      <w:r>
        <w:rPr>
          <w:rFonts w:hint="eastAsia" w:ascii="宋体" w:hAnsi="宋体" w:eastAsia="宋体" w:cs="宋体"/>
          <w:snapToGrid w:val="0"/>
          <w:color w:val="auto"/>
          <w:kern w:val="0"/>
          <w:sz w:val="24"/>
          <w:szCs w:val="32"/>
          <w:highlight w:val="none"/>
          <w:u w:val="single"/>
          <w:lang w:eastAsia="zh-CN"/>
        </w:rPr>
        <w:t>仁化产业转移工业园区基础建设（二期）</w:t>
      </w:r>
      <w:r>
        <w:rPr>
          <w:rFonts w:hint="eastAsia" w:ascii="宋体" w:hAnsi="宋体" w:eastAsia="宋体" w:cs="宋体"/>
          <w:snapToGrid w:val="0"/>
          <w:color w:val="auto"/>
          <w:kern w:val="0"/>
          <w:sz w:val="24"/>
          <w:szCs w:val="32"/>
          <w:highlight w:val="none"/>
          <w:u w:val="none"/>
          <w:lang w:eastAsia="zh-CN"/>
        </w:rPr>
        <w:t>经</w:t>
      </w:r>
      <w:r>
        <w:rPr>
          <w:rFonts w:hint="eastAsia" w:ascii="宋体" w:hAnsi="宋体" w:eastAsia="宋体" w:cs="宋体"/>
          <w:snapToGrid w:val="0"/>
          <w:color w:val="auto"/>
          <w:kern w:val="0"/>
          <w:sz w:val="24"/>
          <w:szCs w:val="32"/>
          <w:highlight w:val="none"/>
          <w:u w:val="single"/>
          <w:lang w:eastAsia="zh-CN"/>
        </w:rPr>
        <w:t>仁化县发展改革和政务数据局以《仁化县发展改革和政务数据局关于仁化产业转移工业园区基础建设(二期)-</w:t>
      </w:r>
      <w:r>
        <w:rPr>
          <w:rFonts w:hint="eastAsia" w:ascii="宋体" w:hAnsi="宋体" w:eastAsia="宋体" w:cs="宋体"/>
          <w:snapToGrid w:val="0"/>
          <w:color w:val="auto"/>
          <w:kern w:val="0"/>
          <w:sz w:val="24"/>
          <w:szCs w:val="32"/>
          <w:highlight w:val="none"/>
          <w:u w:val="single"/>
          <w:lang w:val="en-US" w:eastAsia="zh-CN"/>
        </w:rPr>
        <w:t>煜坤环保项目用地基础设施建设</w:t>
      </w:r>
      <w:r>
        <w:rPr>
          <w:rFonts w:hint="eastAsia" w:ascii="宋体" w:hAnsi="宋体" w:eastAsia="宋体" w:cs="宋体"/>
          <w:snapToGrid w:val="0"/>
          <w:color w:val="auto"/>
          <w:kern w:val="0"/>
          <w:sz w:val="24"/>
          <w:szCs w:val="32"/>
          <w:highlight w:val="none"/>
          <w:u w:val="single"/>
          <w:lang w:eastAsia="zh-CN"/>
        </w:rPr>
        <w:t>项目初步设计概算的批复》（仁发改和政数投审〔202</w:t>
      </w:r>
      <w:r>
        <w:rPr>
          <w:rFonts w:hint="eastAsia" w:ascii="宋体" w:hAnsi="宋体" w:eastAsia="宋体" w:cs="宋体"/>
          <w:snapToGrid w:val="0"/>
          <w:color w:val="auto"/>
          <w:kern w:val="0"/>
          <w:sz w:val="24"/>
          <w:szCs w:val="32"/>
          <w:highlight w:val="none"/>
          <w:u w:val="single"/>
          <w:lang w:val="en-US" w:eastAsia="zh-CN"/>
        </w:rPr>
        <w:t>6</w:t>
      </w:r>
      <w:r>
        <w:rPr>
          <w:rFonts w:hint="eastAsia" w:ascii="宋体" w:hAnsi="宋体" w:eastAsia="宋体" w:cs="宋体"/>
          <w:snapToGrid w:val="0"/>
          <w:color w:val="auto"/>
          <w:kern w:val="0"/>
          <w:sz w:val="24"/>
          <w:szCs w:val="32"/>
          <w:highlight w:val="none"/>
          <w:u w:val="single"/>
          <w:lang w:eastAsia="zh-CN"/>
        </w:rPr>
        <w:t>〕</w:t>
      </w:r>
      <w:r>
        <w:rPr>
          <w:rFonts w:hint="eastAsia" w:ascii="宋体" w:hAnsi="宋体" w:eastAsia="宋体" w:cs="宋体"/>
          <w:snapToGrid w:val="0"/>
          <w:color w:val="auto"/>
          <w:kern w:val="0"/>
          <w:sz w:val="24"/>
          <w:szCs w:val="32"/>
          <w:highlight w:val="none"/>
          <w:u w:val="single"/>
          <w:lang w:val="en-US" w:eastAsia="zh-CN"/>
        </w:rPr>
        <w:t>27</w:t>
      </w:r>
      <w:r>
        <w:rPr>
          <w:rFonts w:hint="eastAsia" w:ascii="宋体" w:hAnsi="宋体" w:eastAsia="宋体" w:cs="宋体"/>
          <w:snapToGrid w:val="0"/>
          <w:color w:val="auto"/>
          <w:kern w:val="0"/>
          <w:sz w:val="24"/>
          <w:szCs w:val="32"/>
          <w:highlight w:val="none"/>
          <w:u w:val="single"/>
          <w:lang w:eastAsia="zh-CN"/>
        </w:rPr>
        <w:t>号）</w:t>
      </w:r>
      <w:r>
        <w:rPr>
          <w:rFonts w:hint="eastAsia" w:ascii="宋体" w:hAnsi="宋体" w:eastAsia="宋体" w:cs="宋体"/>
          <w:snapToGrid w:val="0"/>
          <w:color w:val="auto"/>
          <w:kern w:val="0"/>
          <w:sz w:val="24"/>
          <w:szCs w:val="32"/>
          <w:highlight w:val="none"/>
        </w:rPr>
        <w:t>批准建设，项目代码为</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u w:val="single"/>
          <w:lang w:eastAsia="zh-CN"/>
        </w:rPr>
        <w:t>2208-440224-04-01-823973</w:t>
      </w:r>
      <w:r>
        <w:rPr>
          <w:rFonts w:hint="eastAsia" w:ascii="宋体" w:hAnsi="宋体" w:eastAsia="宋体" w:cs="宋体"/>
          <w:snapToGrid w:val="0"/>
          <w:color w:val="auto"/>
          <w:kern w:val="0"/>
          <w:sz w:val="24"/>
          <w:szCs w:val="32"/>
          <w:highlight w:val="none"/>
        </w:rPr>
        <w:t>。项目业主为</w:t>
      </w:r>
      <w:r>
        <w:rPr>
          <w:rFonts w:hint="eastAsia" w:ascii="宋体" w:hAnsi="宋体" w:eastAsia="宋体" w:cs="宋体"/>
          <w:snapToGrid w:val="0"/>
          <w:color w:val="auto"/>
          <w:kern w:val="0"/>
          <w:sz w:val="24"/>
          <w:szCs w:val="32"/>
          <w:highlight w:val="none"/>
          <w:u w:val="single"/>
          <w:lang w:eastAsia="zh-CN"/>
        </w:rPr>
        <w:t>仁化县丹霞旅游经济开发试验区管理委员会</w:t>
      </w:r>
      <w:r>
        <w:rPr>
          <w:rFonts w:hint="eastAsia" w:ascii="宋体" w:hAnsi="宋体" w:eastAsia="宋体" w:cs="宋体"/>
          <w:snapToGrid w:val="0"/>
          <w:color w:val="auto"/>
          <w:kern w:val="0"/>
          <w:sz w:val="24"/>
          <w:szCs w:val="32"/>
          <w:highlight w:val="none"/>
        </w:rPr>
        <w:t>，建设资金来自</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u w:val="single"/>
          <w:lang w:eastAsia="zh-CN"/>
        </w:rPr>
        <w:t>上级资金和县级财政资金安排解决</w:t>
      </w:r>
      <w:r>
        <w:rPr>
          <w:rFonts w:hint="eastAsia" w:ascii="宋体" w:hAnsi="宋体" w:eastAsia="宋体" w:cs="宋体"/>
          <w:snapToGrid w:val="0"/>
          <w:color w:val="auto"/>
          <w:kern w:val="0"/>
          <w:sz w:val="24"/>
          <w:szCs w:val="32"/>
          <w:highlight w:val="none"/>
          <w:u w:val="single"/>
        </w:rPr>
        <w:t xml:space="preserve"> </w:t>
      </w:r>
      <w:r>
        <w:rPr>
          <w:rFonts w:hint="eastAsia" w:ascii="宋体" w:hAnsi="宋体" w:eastAsia="宋体" w:cs="宋体"/>
          <w:snapToGrid w:val="0"/>
          <w:color w:val="auto"/>
          <w:kern w:val="0"/>
          <w:sz w:val="24"/>
          <w:szCs w:val="32"/>
          <w:highlight w:val="none"/>
        </w:rPr>
        <w:t>，出资比例</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u w:val="single"/>
        </w:rPr>
        <w:t>100%</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rPr>
        <w:t>，招标人为</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u w:val="single"/>
          <w:lang w:eastAsia="zh-CN"/>
        </w:rPr>
        <w:t>仁化县丹霞旅游经济开发试验区管理委员会</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rPr>
        <w:t>，招标代理机构为</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color w:val="auto"/>
          <w:kern w:val="0"/>
          <w:sz w:val="24"/>
          <w:szCs w:val="24"/>
          <w:highlight w:val="none"/>
          <w:u w:val="single"/>
          <w:lang w:eastAsia="zh-CN"/>
        </w:rPr>
        <w:t>广东爱科工程咨询管理有限公司</w:t>
      </w:r>
      <w:r>
        <w:rPr>
          <w:rFonts w:hint="eastAsia" w:ascii="宋体" w:hAnsi="宋体" w:eastAsia="宋体" w:cs="宋体"/>
          <w:snapToGrid w:val="0"/>
          <w:color w:val="auto"/>
          <w:kern w:val="0"/>
          <w:sz w:val="24"/>
          <w:szCs w:val="32"/>
          <w:highlight w:val="none"/>
        </w:rPr>
        <w:t>。</w:t>
      </w:r>
      <w:r>
        <w:rPr>
          <w:rFonts w:hint="eastAsia" w:ascii="宋体" w:hAnsi="宋体" w:eastAsia="宋体" w:cs="宋体"/>
          <w:snapToGrid w:val="0"/>
          <w:color w:val="auto"/>
          <w:kern w:val="0"/>
          <w:sz w:val="24"/>
          <w:szCs w:val="24"/>
          <w:highlight w:val="none"/>
        </w:rPr>
        <w:t>项目已具备招标条件，现对该项目的</w:t>
      </w:r>
      <w:r>
        <w:rPr>
          <w:rFonts w:hint="eastAsia" w:ascii="宋体" w:hAnsi="宋体" w:eastAsia="宋体" w:cs="宋体"/>
          <w:snapToGrid w:val="0"/>
          <w:color w:val="auto"/>
          <w:kern w:val="0"/>
          <w:sz w:val="24"/>
          <w:szCs w:val="24"/>
          <w:highlight w:val="none"/>
          <w:u w:val="single"/>
          <w:lang w:val="en-US" w:eastAsia="zh-CN"/>
        </w:rPr>
        <w:t xml:space="preserve"> 施工 </w:t>
      </w:r>
      <w:r>
        <w:rPr>
          <w:rFonts w:hint="eastAsia" w:ascii="宋体" w:hAnsi="宋体" w:eastAsia="宋体" w:cs="宋体"/>
          <w:snapToGrid w:val="0"/>
          <w:color w:val="auto"/>
          <w:kern w:val="0"/>
          <w:sz w:val="24"/>
          <w:szCs w:val="24"/>
          <w:highlight w:val="none"/>
        </w:rPr>
        <w:t>进行公开招标。</w:t>
      </w:r>
    </w:p>
    <w:p w14:paraId="58CD94D9">
      <w:pPr>
        <w:spacing w:before="78" w:line="220" w:lineRule="auto"/>
        <w:ind w:left="496"/>
        <w:outlineLvl w:val="2"/>
        <w:rPr>
          <w:rFonts w:hint="eastAsia" w:ascii="宋体" w:hAnsi="宋体" w:eastAsia="宋体" w:cs="宋体"/>
          <w:color w:val="auto"/>
          <w:sz w:val="24"/>
          <w:szCs w:val="24"/>
          <w:highlight w:val="none"/>
        </w:rPr>
      </w:pPr>
      <w:bookmarkStart w:id="8" w:name="bookmark52"/>
      <w:bookmarkEnd w:id="8"/>
      <w:bookmarkStart w:id="9" w:name="bookmark73"/>
      <w:bookmarkEnd w:id="9"/>
      <w:bookmarkStart w:id="10" w:name="bookmark59"/>
      <w:bookmarkEnd w:id="10"/>
      <w:bookmarkStart w:id="11" w:name="_Toc15993"/>
      <w:bookmarkStart w:id="12" w:name="_Toc19017"/>
      <w:r>
        <w:rPr>
          <w:rFonts w:hint="eastAsia" w:ascii="宋体" w:hAnsi="宋体" w:eastAsia="宋体" w:cs="宋体"/>
          <w:b/>
          <w:bCs/>
          <w:color w:val="auto"/>
          <w:spacing w:val="-4"/>
          <w:sz w:val="24"/>
          <w:szCs w:val="24"/>
          <w:highlight w:val="none"/>
        </w:rPr>
        <w:t>1</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4"/>
          <w:sz w:val="24"/>
          <w:szCs w:val="24"/>
          <w:highlight w:val="none"/>
        </w:rPr>
        <w:t>．项目概况、招标范围和标段划分、投标费用等</w:t>
      </w:r>
      <w:bookmarkEnd w:id="11"/>
      <w:bookmarkEnd w:id="12"/>
    </w:p>
    <w:p w14:paraId="37B86162">
      <w:pPr>
        <w:spacing w:before="153" w:line="36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1.1</w:t>
      </w:r>
      <w:r>
        <w:rPr>
          <w:rFonts w:hint="eastAsia" w:ascii="宋体" w:hAnsi="宋体" w:eastAsia="宋体" w:cs="宋体"/>
          <w:b/>
          <w:bCs/>
          <w:color w:val="auto"/>
          <w:spacing w:val="9"/>
          <w:sz w:val="24"/>
          <w:szCs w:val="24"/>
          <w:highlight w:val="none"/>
        </w:rPr>
        <w:t xml:space="preserve">  </w:t>
      </w:r>
      <w:r>
        <w:rPr>
          <w:rFonts w:hint="eastAsia" w:ascii="宋体" w:hAnsi="宋体" w:eastAsia="宋体" w:cs="宋体"/>
          <w:color w:val="auto"/>
          <w:spacing w:val="-5"/>
          <w:sz w:val="24"/>
          <w:szCs w:val="24"/>
          <w:highlight w:val="none"/>
        </w:rPr>
        <w:t>项目概况</w:t>
      </w:r>
    </w:p>
    <w:p w14:paraId="0DC5D727">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1.1.1  </w:t>
      </w:r>
      <w:r>
        <w:rPr>
          <w:rFonts w:hint="eastAsia" w:ascii="宋体" w:hAnsi="宋体" w:eastAsia="宋体" w:cs="宋体"/>
          <w:color w:val="auto"/>
          <w:spacing w:val="-2"/>
          <w:sz w:val="24"/>
          <w:szCs w:val="24"/>
          <w:highlight w:val="none"/>
        </w:rPr>
        <w:t>建设地点：</w:t>
      </w:r>
      <w:r>
        <w:rPr>
          <w:rFonts w:hint="eastAsia" w:ascii="宋体" w:hAnsi="宋体" w:eastAsia="宋体" w:cs="宋体"/>
          <w:color w:val="auto"/>
          <w:sz w:val="24"/>
          <w:szCs w:val="24"/>
          <w:highlight w:val="none"/>
          <w:u w:val="single"/>
          <w:lang w:val="en-US" w:eastAsia="zh-CN"/>
        </w:rPr>
        <w:t>韶关仁化产业园区。</w:t>
      </w:r>
    </w:p>
    <w:p w14:paraId="45A735E9">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1.1.2  </w:t>
      </w:r>
      <w:r>
        <w:rPr>
          <w:rFonts w:hint="eastAsia" w:ascii="宋体" w:hAnsi="宋体" w:eastAsia="宋体" w:cs="宋体"/>
          <w:color w:val="auto"/>
          <w:spacing w:val="-2"/>
          <w:sz w:val="24"/>
          <w:szCs w:val="24"/>
          <w:highlight w:val="none"/>
        </w:rPr>
        <w:t>建设内容和规模：</w:t>
      </w:r>
      <w:r>
        <w:rPr>
          <w:rFonts w:hint="eastAsia" w:ascii="宋体" w:hAnsi="宋体" w:eastAsia="宋体" w:cs="宋体"/>
          <w:color w:val="auto"/>
          <w:sz w:val="24"/>
          <w:szCs w:val="24"/>
          <w:highlight w:val="none"/>
          <w:u w:val="single"/>
          <w:lang w:val="en-US" w:eastAsia="zh-CN"/>
        </w:rPr>
        <w:t>新建挡土墙约200米、新建排水沟、铺种绿植、场地平整约187亩等。</w:t>
      </w:r>
    </w:p>
    <w:p w14:paraId="45B0CA02">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1.1.3  </w:t>
      </w:r>
      <w:r>
        <w:rPr>
          <w:rFonts w:hint="eastAsia" w:ascii="宋体" w:hAnsi="宋体" w:eastAsia="宋体" w:cs="宋体"/>
          <w:color w:val="auto"/>
          <w:spacing w:val="-2"/>
          <w:sz w:val="24"/>
          <w:szCs w:val="24"/>
          <w:highlight w:val="none"/>
        </w:rPr>
        <w:t>项目总投资</w:t>
      </w:r>
      <w:r>
        <w:rPr>
          <w:rStyle w:val="20"/>
          <w:rFonts w:hint="eastAsia" w:ascii="宋体" w:hAnsi="宋体" w:eastAsia="宋体" w:cs="宋体"/>
          <w:color w:val="auto"/>
          <w:kern w:val="0"/>
          <w:sz w:val="24"/>
          <w:szCs w:val="24"/>
          <w:highlight w:val="none"/>
        </w:rPr>
        <w:t>：</w:t>
      </w:r>
      <w:r>
        <w:rPr>
          <w:rStyle w:val="20"/>
          <w:rFonts w:hint="eastAsia" w:ascii="宋体" w:hAnsi="宋体" w:eastAsia="宋体" w:cs="宋体"/>
          <w:color w:val="auto"/>
          <w:kern w:val="0"/>
          <w:sz w:val="24"/>
          <w:szCs w:val="24"/>
          <w:highlight w:val="none"/>
          <w:u w:val="single"/>
          <w:lang w:val="en-US" w:eastAsia="zh-CN"/>
        </w:rPr>
        <w:t>项目概算总投资1978.33万元，其中工程费用1274.91万元、工程建设其他费用645.79万元、预备费用57.63万元</w:t>
      </w:r>
      <w:r>
        <w:rPr>
          <w:rFonts w:hint="eastAsia" w:ascii="宋体" w:hAnsi="宋体" w:eastAsia="宋体" w:cs="宋体"/>
          <w:color w:val="auto"/>
          <w:sz w:val="24"/>
          <w:szCs w:val="24"/>
          <w:highlight w:val="none"/>
          <w:u w:val="single"/>
          <w:lang w:val="en-US" w:eastAsia="zh-CN"/>
        </w:rPr>
        <w:t>。</w:t>
      </w:r>
    </w:p>
    <w:p w14:paraId="76EA2F0B">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z w:val="24"/>
          <w:szCs w:val="24"/>
          <w:highlight w:val="none"/>
          <w:u w:val="none"/>
          <w:lang w:val="en-US" w:eastAsia="zh-CN"/>
        </w:rPr>
        <w:t>1</w:t>
      </w:r>
      <w:r>
        <w:rPr>
          <w:rFonts w:hint="eastAsia" w:ascii="宋体" w:hAnsi="宋体" w:eastAsia="宋体" w:cs="宋体"/>
          <w:b/>
          <w:bCs/>
          <w:color w:val="auto"/>
          <w:spacing w:val="-2"/>
          <w:sz w:val="24"/>
          <w:szCs w:val="24"/>
          <w:highlight w:val="none"/>
          <w:u w:val="none"/>
          <w:lang w:val="en-US" w:eastAsia="zh-CN"/>
        </w:rPr>
        <w:t xml:space="preserve">.2 </w:t>
      </w:r>
      <w:r>
        <w:rPr>
          <w:rFonts w:hint="eastAsia" w:ascii="宋体" w:hAnsi="宋体" w:eastAsia="宋体" w:cs="宋体"/>
          <w:color w:val="auto"/>
          <w:sz w:val="24"/>
          <w:szCs w:val="24"/>
          <w:highlight w:val="none"/>
          <w:u w:val="single"/>
          <w:lang w:val="en-US" w:eastAsia="zh-CN"/>
        </w:rPr>
        <w:t xml:space="preserve"> 招标范围和标段划分</w:t>
      </w:r>
    </w:p>
    <w:p w14:paraId="2307A456">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rPr>
        <w:t xml:space="preserve">1.2.1  </w:t>
      </w:r>
      <w:r>
        <w:rPr>
          <w:rFonts w:hint="eastAsia" w:ascii="宋体" w:hAnsi="宋体" w:eastAsia="宋体" w:cs="宋体"/>
          <w:color w:val="auto"/>
          <w:spacing w:val="-2"/>
          <w:sz w:val="24"/>
          <w:szCs w:val="24"/>
          <w:highlight w:val="none"/>
        </w:rPr>
        <w:t>招标范围：</w:t>
      </w:r>
      <w:r>
        <w:rPr>
          <w:rFonts w:hint="eastAsia" w:ascii="宋体" w:hAnsi="宋体" w:eastAsia="宋体" w:cs="宋体"/>
          <w:color w:val="auto"/>
          <w:spacing w:val="-1"/>
          <w:sz w:val="24"/>
          <w:szCs w:val="24"/>
          <w:highlight w:val="none"/>
        </w:rPr>
        <w:t>按审查合格的施工图纸及工程量清单内容施工</w:t>
      </w:r>
      <w:r>
        <w:rPr>
          <w:rFonts w:hint="eastAsia" w:ascii="宋体" w:hAnsi="宋体" w:eastAsia="宋体" w:cs="宋体"/>
          <w:color w:val="auto"/>
          <w:spacing w:val="-1"/>
          <w:sz w:val="24"/>
          <w:szCs w:val="24"/>
          <w:highlight w:val="none"/>
          <w:lang w:eastAsia="zh-CN"/>
        </w:rPr>
        <w:t>。</w:t>
      </w:r>
    </w:p>
    <w:p w14:paraId="1F279E88">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outlineLvl w:val="9"/>
        <w:rPr>
          <w:rFonts w:hint="eastAsia" w:ascii="宋体" w:hAnsi="宋体" w:eastAsia="宋体" w:cs="宋体"/>
          <w:color w:val="auto"/>
          <w:sz w:val="24"/>
          <w:szCs w:val="24"/>
          <w:highlight w:val="none"/>
        </w:rPr>
      </w:pPr>
      <w:bookmarkStart w:id="13" w:name="_Toc14190"/>
      <w:bookmarkStart w:id="14" w:name="_Toc20855"/>
      <w:bookmarkStart w:id="15" w:name="_Toc24593"/>
      <w:bookmarkStart w:id="16" w:name="_Toc28202"/>
      <w:r>
        <w:rPr>
          <w:rFonts w:hint="eastAsia" w:ascii="宋体" w:hAnsi="宋体" w:eastAsia="宋体" w:cs="宋体"/>
          <w:b/>
          <w:bCs/>
          <w:color w:val="auto"/>
          <w:spacing w:val="-2"/>
          <w:sz w:val="24"/>
          <w:szCs w:val="24"/>
          <w:highlight w:val="none"/>
        </w:rPr>
        <w:t xml:space="preserve">1.2.2  </w:t>
      </w:r>
      <w:r>
        <w:rPr>
          <w:rFonts w:hint="eastAsia" w:ascii="宋体" w:hAnsi="宋体" w:eastAsia="宋体" w:cs="宋体"/>
          <w:color w:val="auto"/>
          <w:spacing w:val="-2"/>
          <w:sz w:val="24"/>
          <w:szCs w:val="24"/>
          <w:highlight w:val="none"/>
        </w:rPr>
        <w:t>标段划分：本招标项目不划分标段。</w:t>
      </w:r>
      <w:bookmarkEnd w:id="13"/>
      <w:bookmarkEnd w:id="14"/>
      <w:bookmarkEnd w:id="15"/>
      <w:bookmarkEnd w:id="16"/>
    </w:p>
    <w:p w14:paraId="6D2283DD">
      <w:pPr>
        <w:keepNext w:val="0"/>
        <w:keepLines w:val="0"/>
        <w:pageBreakBefore w:val="0"/>
        <w:widowControl/>
        <w:kinsoku w:val="0"/>
        <w:overflowPunct/>
        <w:topLinePunct w:val="0"/>
        <w:autoSpaceDE w:val="0"/>
        <w:autoSpaceDN w:val="0"/>
        <w:bidi w:val="0"/>
        <w:adjustRightInd w:val="0"/>
        <w:snapToGrid w:val="0"/>
        <w:spacing w:line="360" w:lineRule="auto"/>
        <w:ind w:left="13" w:right="65" w:firstLine="533"/>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  </w:t>
      </w:r>
      <w:r>
        <w:rPr>
          <w:rFonts w:hint="eastAsia" w:ascii="宋体" w:hAnsi="宋体" w:eastAsia="宋体" w:cs="宋体"/>
          <w:color w:val="auto"/>
          <w:spacing w:val="-1"/>
          <w:sz w:val="24"/>
          <w:szCs w:val="24"/>
          <w:highlight w:val="none"/>
        </w:rPr>
        <w:t>投标费用：投标人应承担所有准备和参加投标的相关费用，不</w:t>
      </w:r>
      <w:r>
        <w:rPr>
          <w:rFonts w:hint="eastAsia" w:ascii="宋体" w:hAnsi="宋体" w:eastAsia="宋体" w:cs="宋体"/>
          <w:color w:val="auto"/>
          <w:spacing w:val="-2"/>
          <w:sz w:val="24"/>
          <w:szCs w:val="24"/>
          <w:highlight w:val="none"/>
        </w:rPr>
        <w:t>论投标结果如</w:t>
      </w:r>
      <w:r>
        <w:rPr>
          <w:rFonts w:hint="eastAsia" w:ascii="宋体" w:hAnsi="宋体" w:eastAsia="宋体" w:cs="宋体"/>
          <w:color w:val="auto"/>
          <w:spacing w:val="-1"/>
          <w:sz w:val="24"/>
          <w:szCs w:val="24"/>
          <w:highlight w:val="none"/>
        </w:rPr>
        <w:t>何，招标人均无义务和责任承担这些费用。</w:t>
      </w:r>
    </w:p>
    <w:p w14:paraId="51512139">
      <w:pPr>
        <w:keepNext w:val="0"/>
        <w:keepLines w:val="0"/>
        <w:pageBreakBefore w:val="0"/>
        <w:widowControl/>
        <w:kinsoku w:val="0"/>
        <w:overflowPunct/>
        <w:topLinePunct w:val="0"/>
        <w:autoSpaceDE w:val="0"/>
        <w:autoSpaceDN w:val="0"/>
        <w:bidi w:val="0"/>
        <w:adjustRightInd w:val="0"/>
        <w:snapToGrid w:val="0"/>
        <w:spacing w:line="360" w:lineRule="auto"/>
        <w:ind w:left="49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 xml:space="preserve">1.4  </w:t>
      </w:r>
      <w:r>
        <w:rPr>
          <w:rFonts w:hint="eastAsia" w:ascii="宋体" w:hAnsi="宋体" w:eastAsia="宋体" w:cs="宋体"/>
          <w:color w:val="auto"/>
          <w:spacing w:val="-6"/>
          <w:sz w:val="24"/>
          <w:szCs w:val="24"/>
          <w:highlight w:val="none"/>
        </w:rPr>
        <w:t>招标代理费用：</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82"/>
          <w:sz w:val="24"/>
          <w:szCs w:val="24"/>
          <w:highlight w:val="none"/>
          <w:shd w:val="clear" w:color="auto" w:fill="FFFFFF"/>
        </w:rPr>
        <w:t xml:space="preserve"> </w:t>
      </w:r>
      <w:r>
        <w:rPr>
          <w:rFonts w:hint="eastAsia" w:ascii="宋体" w:hAnsi="宋体" w:eastAsia="宋体" w:cs="宋体"/>
          <w:color w:val="auto"/>
          <w:spacing w:val="-6"/>
          <w:sz w:val="24"/>
          <w:szCs w:val="24"/>
          <w:highlight w:val="none"/>
          <w:shd w:val="clear" w:color="auto" w:fill="FFFFFF"/>
        </w:rPr>
        <w:t>由</w:t>
      </w:r>
      <w:r>
        <w:rPr>
          <w:rFonts w:hint="eastAsia" w:ascii="宋体" w:hAnsi="宋体" w:eastAsia="宋体" w:cs="宋体"/>
          <w:color w:val="auto"/>
          <w:spacing w:val="6"/>
          <w:sz w:val="24"/>
          <w:szCs w:val="24"/>
          <w:highlight w:val="none"/>
        </w:rPr>
        <w:t>项目业主</w:t>
      </w:r>
      <w:r>
        <w:rPr>
          <w:rFonts w:hint="eastAsia" w:ascii="宋体" w:hAnsi="宋体" w:eastAsia="宋体" w:cs="宋体"/>
          <w:color w:val="auto"/>
          <w:spacing w:val="-6"/>
          <w:sz w:val="24"/>
          <w:szCs w:val="24"/>
          <w:highlight w:val="none"/>
          <w:shd w:val="clear" w:color="auto" w:fill="FFFFFF"/>
        </w:rPr>
        <w:t>支</w:t>
      </w:r>
      <w:r>
        <w:rPr>
          <w:rFonts w:hint="eastAsia" w:ascii="宋体" w:hAnsi="宋体" w:eastAsia="宋体" w:cs="宋体"/>
          <w:color w:val="auto"/>
          <w:spacing w:val="-6"/>
          <w:sz w:val="24"/>
          <w:szCs w:val="24"/>
          <w:highlight w:val="none"/>
        </w:rPr>
        <w:t>付</w:t>
      </w:r>
      <w:r>
        <w:rPr>
          <w:rFonts w:hint="eastAsia" w:ascii="宋体" w:hAnsi="宋体" w:eastAsia="宋体" w:cs="宋体"/>
          <w:color w:val="auto"/>
          <w:position w:val="-6"/>
          <w:sz w:val="24"/>
          <w:szCs w:val="24"/>
          <w:highlight w:val="none"/>
          <w:shd w:val="clear" w:color="auto" w:fill="FFFFFF"/>
          <w:lang w:eastAsia="zh-CN"/>
        </w:rPr>
        <w:t xml:space="preserve"> </w:t>
      </w:r>
      <w:r>
        <w:rPr>
          <w:rFonts w:hint="eastAsia" w:ascii="宋体" w:hAnsi="宋体" w:eastAsia="宋体" w:cs="宋体"/>
          <w:color w:val="auto"/>
          <w:spacing w:val="-6"/>
          <w:sz w:val="24"/>
          <w:szCs w:val="24"/>
          <w:highlight w:val="none"/>
          <w:shd w:val="clear" w:color="auto" w:fill="FFFFFF"/>
          <w:lang w:eastAsia="zh-CN"/>
        </w:rPr>
        <w:t>☑</w:t>
      </w:r>
      <w:r>
        <w:rPr>
          <w:rFonts w:hint="eastAsia" w:ascii="宋体" w:hAnsi="宋体" w:eastAsia="宋体" w:cs="宋体"/>
          <w:color w:val="auto"/>
          <w:spacing w:val="-81"/>
          <w:sz w:val="24"/>
          <w:szCs w:val="24"/>
          <w:highlight w:val="none"/>
          <w:shd w:val="clear" w:color="auto" w:fill="FFFFFF"/>
        </w:rPr>
        <w:t xml:space="preserve"> </w:t>
      </w:r>
      <w:r>
        <w:rPr>
          <w:rFonts w:hint="eastAsia" w:ascii="宋体" w:hAnsi="宋体" w:eastAsia="宋体" w:cs="宋体"/>
          <w:color w:val="auto"/>
          <w:spacing w:val="-6"/>
          <w:sz w:val="24"/>
          <w:szCs w:val="24"/>
          <w:highlight w:val="none"/>
          <w:shd w:val="clear" w:color="auto" w:fill="FFFFFF"/>
        </w:rPr>
        <w:t>由中标人支付。</w:t>
      </w:r>
    </w:p>
    <w:p w14:paraId="03E76911">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82" w:firstLineChars="200"/>
        <w:jc w:val="left"/>
        <w:textAlignment w:val="baseline"/>
        <w:outlineLvl w:val="2"/>
        <w:rPr>
          <w:rFonts w:hint="eastAsia" w:ascii="宋体" w:hAnsi="宋体" w:eastAsia="宋体" w:cs="宋体"/>
          <w:b w:val="0"/>
          <w:bCs w:val="0"/>
          <w:color w:val="auto"/>
          <w:sz w:val="24"/>
          <w:szCs w:val="24"/>
          <w:highlight w:val="none"/>
        </w:rPr>
      </w:pPr>
      <w:bookmarkStart w:id="17" w:name="_Toc21208"/>
      <w:r>
        <w:rPr>
          <w:rFonts w:hint="eastAsia" w:ascii="宋体" w:hAnsi="宋体" w:eastAsia="宋体" w:cs="宋体"/>
          <w:b/>
          <w:bCs/>
          <w:color w:val="auto"/>
          <w:sz w:val="24"/>
          <w:szCs w:val="24"/>
          <w:highlight w:val="none"/>
        </w:rPr>
        <w:t>2．</w:t>
      </w: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rPr>
        <w:t>资质要求</w:t>
      </w:r>
      <w:bookmarkEnd w:id="17"/>
    </w:p>
    <w:p w14:paraId="23060124">
      <w:pPr>
        <w:wordWrap w:val="0"/>
        <w:adjustRightInd w:val="0"/>
        <w:snapToGrid w:val="0"/>
        <w:spacing w:line="360" w:lineRule="auto"/>
        <w:ind w:firstLine="482" w:firstLineChars="200"/>
        <w:rPr>
          <w:rStyle w:val="20"/>
          <w:rFonts w:hint="eastAsia" w:ascii="宋体" w:hAnsi="宋体" w:eastAsia="宋体" w:cs="宋体"/>
          <w:b/>
          <w:bCs/>
          <w:color w:val="auto"/>
          <w:kern w:val="0"/>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2.1</w:t>
      </w:r>
      <w:r>
        <w:rPr>
          <w:rStyle w:val="20"/>
          <w:rFonts w:hint="eastAsia" w:ascii="宋体" w:hAnsi="宋体" w:eastAsia="宋体" w:cs="宋体"/>
          <w:b w:val="0"/>
          <w:bCs w:val="0"/>
          <w:color w:val="auto"/>
          <w:kern w:val="0"/>
          <w:sz w:val="24"/>
          <w:szCs w:val="24"/>
          <w:highlight w:val="none"/>
          <w:lang w:val="en-US" w:eastAsia="zh-CN"/>
        </w:rPr>
        <w:t xml:space="preserve"> 本次招标不接受联合体投标。</w:t>
      </w:r>
    </w:p>
    <w:p w14:paraId="35E5AE8D">
      <w:pPr>
        <w:wordWrap w:val="0"/>
        <w:adjustRightInd w:val="0"/>
        <w:snapToGrid w:val="0"/>
        <w:spacing w:line="360" w:lineRule="auto"/>
        <w:ind w:firstLine="482" w:firstLineChars="200"/>
        <w:rPr>
          <w:rStyle w:val="20"/>
          <w:rFonts w:hint="eastAsia" w:ascii="宋体" w:hAnsi="宋体" w:eastAsia="宋体" w:cs="宋体"/>
          <w:b w:val="0"/>
          <w:bCs w:val="0"/>
          <w:color w:val="auto"/>
          <w:kern w:val="0"/>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2.2 </w:t>
      </w:r>
      <w:r>
        <w:rPr>
          <w:rStyle w:val="20"/>
          <w:rFonts w:hint="eastAsia" w:ascii="宋体" w:hAnsi="宋体" w:eastAsia="宋体" w:cs="宋体"/>
          <w:b w:val="0"/>
          <w:bCs w:val="0"/>
          <w:color w:val="auto"/>
          <w:kern w:val="0"/>
          <w:sz w:val="24"/>
          <w:szCs w:val="24"/>
          <w:highlight w:val="none"/>
          <w:lang w:val="en-US" w:eastAsia="zh-CN"/>
        </w:rPr>
        <w:t>资格资质要求</w:t>
      </w:r>
    </w:p>
    <w:p w14:paraId="62376B47">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2.2.1 </w:t>
      </w:r>
      <w:r>
        <w:rPr>
          <w:rFonts w:hint="eastAsia" w:ascii="宋体" w:hAnsi="宋体" w:eastAsia="宋体" w:cs="宋体"/>
          <w:b w:val="0"/>
          <w:bCs w:val="0"/>
          <w:color w:val="auto"/>
          <w:sz w:val="24"/>
          <w:szCs w:val="24"/>
          <w:highlight w:val="none"/>
          <w:lang w:val="en-US" w:eastAsia="zh-CN"/>
        </w:rPr>
        <w:t>投标人须具备独立法人资格，按国家法律经营。</w:t>
      </w:r>
    </w:p>
    <w:p w14:paraId="6CD5160B">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2.2.2 </w:t>
      </w:r>
      <w:r>
        <w:rPr>
          <w:rFonts w:hint="eastAsia" w:ascii="宋体" w:hAnsi="宋体" w:eastAsia="宋体" w:cs="宋体"/>
          <w:b w:val="0"/>
          <w:bCs w:val="0"/>
          <w:color w:val="auto"/>
          <w:sz w:val="24"/>
          <w:szCs w:val="24"/>
          <w:highlight w:val="none"/>
          <w:lang w:val="en-US" w:eastAsia="zh-CN"/>
        </w:rPr>
        <w:t>投标人须持有建设行政主管部门颁发的企业资质证书及安全生产许可证。</w:t>
      </w:r>
    </w:p>
    <w:p w14:paraId="043527F0">
      <w:pPr>
        <w:wordWrap w:val="0"/>
        <w:adjustRightInd w:val="0"/>
        <w:snapToGrid w:val="0"/>
        <w:spacing w:line="360" w:lineRule="auto"/>
        <w:ind w:firstLine="482" w:firstLineChars="200"/>
        <w:rPr>
          <w:rStyle w:val="20"/>
          <w:rFonts w:hint="eastAsia" w:ascii="宋体" w:hAnsi="宋体" w:eastAsia="宋体" w:cs="宋体"/>
          <w:b/>
          <w:bCs/>
          <w:color w:val="auto"/>
          <w:kern w:val="0"/>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2.2.3 </w:t>
      </w:r>
      <w:r>
        <w:rPr>
          <w:rFonts w:hint="eastAsia" w:ascii="宋体" w:hAnsi="宋体" w:eastAsia="宋体" w:cs="宋体"/>
          <w:b w:val="0"/>
          <w:bCs w:val="0"/>
          <w:color w:val="auto"/>
          <w:sz w:val="24"/>
          <w:szCs w:val="24"/>
          <w:highlight w:val="none"/>
          <w:lang w:val="en-US" w:eastAsia="zh-CN"/>
        </w:rPr>
        <w:t>投标人须具备以下资质：</w:t>
      </w:r>
      <w:r>
        <w:rPr>
          <w:rFonts w:hint="eastAsia" w:ascii="宋体" w:hAnsi="宋体" w:eastAsia="宋体" w:cs="宋体"/>
          <w:b w:val="0"/>
          <w:bCs w:val="0"/>
          <w:color w:val="auto"/>
          <w:sz w:val="24"/>
          <w:szCs w:val="24"/>
          <w:highlight w:val="none"/>
          <w:u w:val="single"/>
          <w:lang w:val="en-US" w:eastAsia="zh-CN"/>
        </w:rPr>
        <w:t>具有建设行政主管部门颁发的市政公用工程施工总承包叁级(含叁级)以上资质。</w:t>
      </w:r>
    </w:p>
    <w:p w14:paraId="1396A9AD">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2.2.4 </w:t>
      </w:r>
      <w:r>
        <w:rPr>
          <w:rFonts w:hint="eastAsia" w:ascii="宋体" w:hAnsi="宋体" w:eastAsia="宋体" w:cs="宋体"/>
          <w:b w:val="0"/>
          <w:bCs w:val="0"/>
          <w:color w:val="auto"/>
          <w:sz w:val="24"/>
          <w:szCs w:val="24"/>
          <w:highlight w:val="none"/>
          <w:lang w:val="en-US" w:eastAsia="zh-CN"/>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1B37663C">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2.3 </w:t>
      </w:r>
      <w:r>
        <w:rPr>
          <w:rFonts w:hint="eastAsia" w:ascii="宋体" w:hAnsi="宋体" w:eastAsia="宋体" w:cs="宋体"/>
          <w:b w:val="0"/>
          <w:bCs w:val="0"/>
          <w:color w:val="auto"/>
          <w:sz w:val="24"/>
          <w:szCs w:val="24"/>
          <w:highlight w:val="none"/>
          <w:lang w:val="en-US" w:eastAsia="zh-CN"/>
        </w:rPr>
        <w:t>相关人员要求</w:t>
      </w:r>
    </w:p>
    <w:p w14:paraId="6C531DE2">
      <w:pPr>
        <w:wordWrap w:val="0"/>
        <w:adjustRightInd w:val="0"/>
        <w:snapToGrid w:val="0"/>
        <w:spacing w:line="360" w:lineRule="auto"/>
        <w:ind w:firstLine="482" w:firstLineChars="200"/>
        <w:rPr>
          <w:rStyle w:val="20"/>
          <w:rFonts w:hint="eastAsia" w:ascii="宋体" w:hAnsi="宋体" w:eastAsia="宋体" w:cs="宋体"/>
          <w:b/>
          <w:bCs/>
          <w:color w:val="auto"/>
          <w:kern w:val="0"/>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2.3.1 </w:t>
      </w:r>
      <w:r>
        <w:rPr>
          <w:rFonts w:hint="eastAsia" w:ascii="宋体" w:hAnsi="宋体" w:eastAsia="宋体" w:cs="宋体"/>
          <w:b w:val="0"/>
          <w:bCs w:val="0"/>
          <w:color w:val="auto"/>
          <w:sz w:val="24"/>
          <w:szCs w:val="24"/>
          <w:highlight w:val="none"/>
          <w:lang w:val="en-US" w:eastAsia="zh-CN"/>
        </w:rPr>
        <w:t>拟派项目经理为</w:t>
      </w:r>
      <w:r>
        <w:rPr>
          <w:rFonts w:hint="eastAsia" w:ascii="宋体" w:hAnsi="宋体" w:eastAsia="宋体" w:cs="宋体"/>
          <w:b w:val="0"/>
          <w:bCs w:val="0"/>
          <w:color w:val="auto"/>
          <w:sz w:val="24"/>
          <w:szCs w:val="24"/>
          <w:highlight w:val="none"/>
          <w:u w:val="single"/>
          <w:lang w:val="en-US" w:eastAsia="zh-CN"/>
        </w:rPr>
        <w:t xml:space="preserve"> 市政工程 </w:t>
      </w:r>
      <w:r>
        <w:rPr>
          <w:rFonts w:hint="eastAsia" w:ascii="宋体" w:hAnsi="宋体" w:eastAsia="宋体" w:cs="宋体"/>
          <w:b w:val="0"/>
          <w:bCs w:val="0"/>
          <w:color w:val="auto"/>
          <w:sz w:val="24"/>
          <w:szCs w:val="24"/>
          <w:highlight w:val="none"/>
          <w:lang w:val="en-US" w:eastAsia="zh-CN"/>
        </w:rPr>
        <w:t xml:space="preserve">专业一级或二级注册建造师，应持有住建部门印发的在使用有效期内的有效电子注册证书（根据广东省住房和城乡建设厅（粤建市函〔2023〕469 号）文件精神，二级注册建造师可随注册企业在全国范围内执业）。同时均须具备有效安全生产考核合格证明（B 证），且未担任其他在施（包括已中标未开工、已开工未竣工）建设工程项目的项目经理。  </w:t>
      </w:r>
    </w:p>
    <w:p w14:paraId="736A2627">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2.3.2 </w:t>
      </w:r>
      <w:r>
        <w:rPr>
          <w:rFonts w:hint="eastAsia" w:ascii="宋体" w:hAnsi="宋体" w:eastAsia="宋体" w:cs="宋体"/>
          <w:b w:val="0"/>
          <w:bCs w:val="0"/>
          <w:color w:val="auto"/>
          <w:sz w:val="24"/>
          <w:szCs w:val="24"/>
          <w:highlight w:val="none"/>
          <w:lang w:val="en-US" w:eastAsia="zh-CN"/>
        </w:rPr>
        <w:t>拟派项目技术负责人须具备</w:t>
      </w:r>
      <w:r>
        <w:rPr>
          <w:rFonts w:hint="eastAsia" w:ascii="宋体" w:hAnsi="宋体" w:eastAsia="宋体" w:cs="宋体"/>
          <w:b w:val="0"/>
          <w:bCs w:val="0"/>
          <w:color w:val="auto"/>
          <w:sz w:val="24"/>
          <w:szCs w:val="24"/>
          <w:highlight w:val="none"/>
          <w:u w:val="single"/>
          <w:lang w:val="en-US" w:eastAsia="zh-CN"/>
        </w:rPr>
        <w:t xml:space="preserve"> 市政工程</w:t>
      </w:r>
      <w:r>
        <w:rPr>
          <w:rFonts w:hint="eastAsia" w:ascii="宋体" w:hAnsi="宋体" w:eastAsia="宋体" w:cs="宋体"/>
          <w:b w:val="0"/>
          <w:bCs w:val="0"/>
          <w:color w:val="auto"/>
          <w:sz w:val="24"/>
          <w:szCs w:val="24"/>
          <w:highlight w:val="none"/>
          <w:lang w:val="en-US" w:eastAsia="zh-CN"/>
        </w:rPr>
        <w:t>类相关专业中级或以上技术职称。</w:t>
      </w:r>
    </w:p>
    <w:p w14:paraId="3C9096CE">
      <w:pPr>
        <w:wordWrap w:val="0"/>
        <w:adjustRightInd w:val="0"/>
        <w:snapToGrid w:val="0"/>
        <w:spacing w:line="360" w:lineRule="auto"/>
        <w:ind w:firstLine="482" w:firstLineChars="200"/>
        <w:rPr>
          <w:rStyle w:val="20"/>
          <w:rFonts w:hint="eastAsia" w:ascii="宋体" w:hAnsi="宋体" w:eastAsia="宋体" w:cs="宋体"/>
          <w:b/>
          <w:bCs/>
          <w:color w:val="auto"/>
          <w:kern w:val="0"/>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2.3.3 </w:t>
      </w:r>
      <w:r>
        <w:rPr>
          <w:rFonts w:hint="eastAsia" w:ascii="宋体" w:hAnsi="宋体" w:eastAsia="宋体" w:cs="宋体"/>
          <w:b w:val="0"/>
          <w:bCs w:val="0"/>
          <w:color w:val="auto"/>
          <w:sz w:val="24"/>
          <w:szCs w:val="24"/>
          <w:highlight w:val="none"/>
          <w:lang w:val="en-US" w:eastAsia="zh-CN"/>
        </w:rPr>
        <w:t xml:space="preserve">拟派专职安全生产管理人员须具备有效安全生产考核合格证明（C证，安全生产考核合格证书或“广东省建筑施工企业管理人员安全生产考核信息系统”考核合格信息打印页），且不少于1人。 </w:t>
      </w:r>
    </w:p>
    <w:p w14:paraId="711B4950">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2.3.4 </w:t>
      </w:r>
      <w:r>
        <w:rPr>
          <w:rFonts w:hint="eastAsia" w:ascii="宋体" w:hAnsi="宋体" w:eastAsia="宋体" w:cs="宋体"/>
          <w:b w:val="0"/>
          <w:bCs w:val="0"/>
          <w:color w:val="auto"/>
          <w:sz w:val="24"/>
          <w:szCs w:val="24"/>
          <w:highlight w:val="none"/>
          <w:lang w:val="en-US" w:eastAsia="zh-CN"/>
        </w:rPr>
        <w:t>投标人（包括组成联合体的所有成员单位）与其拟派往本项目管理机构的所有人员之间必须具备合法、唯一的劳动聘用关系。拟派人员中具备注册执业资格的，其注册单位须与投标人保持一致（提供社保缴纳证明或劳动合同）。</w:t>
      </w:r>
    </w:p>
    <w:p w14:paraId="6B0DD0FC">
      <w:pPr>
        <w:spacing w:before="78" w:line="220" w:lineRule="auto"/>
        <w:ind w:left="48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2.4  </w:t>
      </w:r>
      <w:r>
        <w:rPr>
          <w:rFonts w:hint="eastAsia" w:ascii="宋体" w:hAnsi="宋体" w:eastAsia="宋体" w:cs="宋体"/>
          <w:color w:val="auto"/>
          <w:spacing w:val="-1"/>
          <w:sz w:val="24"/>
          <w:szCs w:val="24"/>
          <w:highlight w:val="none"/>
        </w:rPr>
        <w:t>禁止投标条款</w:t>
      </w:r>
    </w:p>
    <w:p w14:paraId="198E7E83">
      <w:pPr>
        <w:spacing w:before="153" w:line="220" w:lineRule="auto"/>
        <w:ind w:left="48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2.4.1  </w:t>
      </w:r>
      <w:r>
        <w:rPr>
          <w:rFonts w:hint="eastAsia" w:ascii="宋体" w:hAnsi="宋体" w:eastAsia="宋体" w:cs="宋体"/>
          <w:color w:val="auto"/>
          <w:spacing w:val="-1"/>
          <w:sz w:val="24"/>
          <w:szCs w:val="24"/>
          <w:highlight w:val="none"/>
        </w:rPr>
        <w:t>投标人不得存在下列情形之一：</w:t>
      </w:r>
    </w:p>
    <w:p w14:paraId="6C5CBCD6">
      <w:pPr>
        <w:spacing w:before="153"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（1）为招标人不具有独立法人资格的附属机构（单位</w:t>
      </w:r>
      <w:r>
        <w:rPr>
          <w:rFonts w:hint="eastAsia" w:ascii="宋体" w:hAnsi="宋体" w:eastAsia="宋体" w:cs="宋体"/>
          <w:color w:val="auto"/>
          <w:spacing w:val="1"/>
          <w:sz w:val="24"/>
          <w:szCs w:val="24"/>
          <w:highlight w:val="none"/>
        </w:rPr>
        <w:t>）；</w:t>
      </w:r>
    </w:p>
    <w:p w14:paraId="00645A12">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（2）为本招标项目前期准备提供设计或咨询服务的；</w:t>
      </w:r>
    </w:p>
    <w:p w14:paraId="466E2120">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（3）与本招标项目的其他投标人为同一个单位负责人；</w:t>
      </w:r>
    </w:p>
    <w:p w14:paraId="358EB851">
      <w:pPr>
        <w:spacing w:before="155"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（4）与本招标项目的其他投标人存在控股、管理关系；</w:t>
      </w:r>
    </w:p>
    <w:p w14:paraId="6D365ADF">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（5）为本招标项目的监理人；</w:t>
      </w:r>
    </w:p>
    <w:p w14:paraId="661267E9">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（6）为本招标项目的代建人；</w:t>
      </w:r>
    </w:p>
    <w:p w14:paraId="6248B25F">
      <w:pPr>
        <w:spacing w:before="155"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（7）为本招标项目的招标代理机构；</w:t>
      </w:r>
    </w:p>
    <w:p w14:paraId="199345F5">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（8）与本招标项目的监理人或代建人或招标代理机构同为一个法定代表人；</w:t>
      </w:r>
    </w:p>
    <w:p w14:paraId="42A9F078">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（9）与本招标项目的监理人或代建人或招标代理机构存在控股或参股关系；</w:t>
      </w:r>
    </w:p>
    <w:p w14:paraId="3ED798D0">
      <w:pPr>
        <w:spacing w:before="155" w:line="219" w:lineRule="auto"/>
        <w:ind w:firstLine="468"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（10）与本招标项目的监理人或代建人或招标代理机构存在相互</w:t>
      </w:r>
      <w:r>
        <w:rPr>
          <w:rFonts w:hint="eastAsia" w:ascii="宋体" w:hAnsi="宋体" w:eastAsia="宋体" w:cs="宋体"/>
          <w:color w:val="auto"/>
          <w:spacing w:val="-4"/>
          <w:sz w:val="24"/>
          <w:szCs w:val="24"/>
          <w:highlight w:val="none"/>
        </w:rPr>
        <w:t>任职或工作关系；</w:t>
      </w:r>
    </w:p>
    <w:p w14:paraId="3D5B3F7C">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（11）被依法暂停或者取消投标资格；</w:t>
      </w:r>
    </w:p>
    <w:p w14:paraId="649343BB">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（12）被责令停产停业、暂扣或者吊销许可证、暂扣或者吊销执照；</w:t>
      </w:r>
    </w:p>
    <w:p w14:paraId="1E4B846B">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（13）进入清算程序，或被宣告破产，或其他丧失履约能力的情形；</w:t>
      </w:r>
    </w:p>
    <w:p w14:paraId="73DFCEAC">
      <w:pPr>
        <w:pStyle w:val="22"/>
        <w:wordWrap w:val="0"/>
        <w:adjustRightInd w:val="0"/>
        <w:snapToGrid w:val="0"/>
        <w:spacing w:line="440" w:lineRule="exact"/>
        <w:ind w:firstLine="480"/>
        <w:jc w:val="left"/>
        <w:rPr>
          <w:rFonts w:hint="eastAsia" w:ascii="宋体" w:hAnsi="宋体" w:eastAsia="宋体" w:cs="宋体"/>
          <w:color w:val="auto"/>
          <w:spacing w:val="2"/>
          <w:sz w:val="24"/>
          <w:szCs w:val="24"/>
          <w:highlight w:val="none"/>
        </w:rPr>
      </w:pPr>
      <w:bookmarkStart w:id="18" w:name="bookmark116"/>
      <w:bookmarkEnd w:id="18"/>
      <w:r>
        <w:rPr>
          <w:rFonts w:hint="eastAsia" w:ascii="宋体" w:hAnsi="宋体" w:eastAsia="宋体" w:cs="宋体"/>
          <w:color w:val="auto"/>
          <w:spacing w:val="-1"/>
          <w:sz w:val="24"/>
          <w:szCs w:val="24"/>
          <w:highlight w:val="none"/>
        </w:rPr>
        <w:t>处罚决定或司法机关出具的有关法律文书为准</w:t>
      </w:r>
      <w:r>
        <w:rPr>
          <w:rFonts w:hint="eastAsia" w:ascii="宋体" w:hAnsi="宋体" w:eastAsia="宋体" w:cs="宋体"/>
          <w:color w:val="auto"/>
          <w:spacing w:val="2"/>
          <w:sz w:val="24"/>
          <w:szCs w:val="24"/>
          <w:highlight w:val="none"/>
        </w:rPr>
        <w:t>）；</w:t>
      </w:r>
    </w:p>
    <w:p w14:paraId="39E50891">
      <w:pPr>
        <w:pStyle w:val="22"/>
        <w:wordWrap w:val="0"/>
        <w:adjustRightInd w:val="0"/>
        <w:snapToGrid w:val="0"/>
        <w:spacing w:line="44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highlight w:val="none"/>
        </w:rPr>
        <w:t>（14）在最近三年内发生重大工程质量或安全问题（以相关行业主管部门的行政处罚决定或司法机关出具的有关法律文书为准）；</w:t>
      </w:r>
    </w:p>
    <w:p w14:paraId="40B021B1">
      <w:pPr>
        <w:spacing w:before="118" w:line="293" w:lineRule="auto"/>
        <w:ind w:left="232" w:right="99" w:firstLine="36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（15）被“信用中国</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”网站（https://www.creditchina.gov.cn）发布的《法人和</w:t>
      </w:r>
      <w:r>
        <w:rPr>
          <w:rFonts w:hint="eastAsia" w:ascii="宋体" w:hAnsi="宋体" w:eastAsia="宋体" w:cs="宋体"/>
          <w:color w:val="auto"/>
          <w:spacing w:val="-3"/>
          <w:sz w:val="24"/>
          <w:szCs w:val="24"/>
          <w:highlight w:val="none"/>
        </w:rPr>
        <w:t>非法</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人组织公共信用信息报告</w:t>
      </w:r>
      <w:r>
        <w:rPr>
          <w:rFonts w:hint="eastAsia" w:ascii="宋体" w:hAnsi="宋体" w:eastAsia="宋体" w:cs="宋体"/>
          <w:snapToGrid w:val="0"/>
          <w:color w:val="auto"/>
          <w:kern w:val="0"/>
          <w:sz w:val="24"/>
          <w:szCs w:val="24"/>
          <w:highlight w:val="none"/>
          <w:lang w:val="en-US" w:eastAsia="zh-CN" w:bidi="ar-SA"/>
        </w:rPr>
        <w:t>》列为严重失信主体名单的</w:t>
      </w:r>
      <w:r>
        <w:rPr>
          <w:rFonts w:hint="eastAsia" w:ascii="宋体" w:hAnsi="宋体" w:eastAsia="宋体" w:cs="宋体"/>
          <w:color w:val="auto"/>
          <w:spacing w:val="2"/>
          <w:sz w:val="24"/>
          <w:szCs w:val="24"/>
          <w:highlight w:val="none"/>
        </w:rPr>
        <w:t>。</w:t>
      </w:r>
    </w:p>
    <w:p w14:paraId="26B8C09D">
      <w:pPr>
        <w:spacing w:before="155" w:line="219" w:lineRule="auto"/>
        <w:ind w:left="706"/>
        <w:rPr>
          <w:rFonts w:hint="eastAsia" w:ascii="宋体" w:hAnsi="宋体" w:eastAsia="宋体" w:cs="宋体"/>
          <w:color w:val="auto"/>
          <w:spacing w:val="-1"/>
          <w:sz w:val="24"/>
          <w:szCs w:val="24"/>
          <w:highlight w:val="none"/>
        </w:rPr>
      </w:pPr>
      <w:r>
        <w:rPr>
          <w:rFonts w:hint="eastAsia" w:ascii="宋体" w:hAnsi="宋体" w:eastAsia="宋体" w:cs="宋体"/>
          <w:b/>
          <w:bCs/>
          <w:color w:val="auto"/>
          <w:sz w:val="24"/>
          <w:szCs w:val="24"/>
          <w:highlight w:val="none"/>
        </w:rPr>
        <w:t xml:space="preserve">2.4.2  </w:t>
      </w:r>
      <w:r>
        <w:rPr>
          <w:rFonts w:hint="eastAsia" w:ascii="宋体" w:hAnsi="宋体" w:eastAsia="宋体" w:cs="宋体"/>
          <w:color w:val="auto"/>
          <w:sz w:val="24"/>
          <w:szCs w:val="24"/>
          <w:highlight w:val="none"/>
        </w:rPr>
        <w:t>招标人拒绝以下名单中的单位</w:t>
      </w:r>
      <w:r>
        <w:rPr>
          <w:rFonts w:hint="eastAsia" w:ascii="宋体" w:hAnsi="宋体" w:eastAsia="宋体" w:cs="宋体"/>
          <w:color w:val="auto"/>
          <w:spacing w:val="-1"/>
          <w:sz w:val="24"/>
          <w:szCs w:val="24"/>
          <w:highlight w:val="none"/>
        </w:rPr>
        <w:t>参加本次投标：</w:t>
      </w:r>
    </w:p>
    <w:tbl>
      <w:tblPr>
        <w:tblStyle w:val="14"/>
        <w:tblW w:w="86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4264"/>
        <w:gridCol w:w="3720"/>
      </w:tblGrid>
      <w:tr w14:paraId="3076C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674" w:type="dxa"/>
            <w:vAlign w:val="center"/>
          </w:tcPr>
          <w:p w14:paraId="694A6BC8">
            <w:pPr>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序号</w:t>
            </w:r>
          </w:p>
        </w:tc>
        <w:tc>
          <w:tcPr>
            <w:tcW w:w="4264" w:type="dxa"/>
            <w:vAlign w:val="center"/>
          </w:tcPr>
          <w:p w14:paraId="04B025F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单位名称</w:t>
            </w:r>
          </w:p>
        </w:tc>
        <w:tc>
          <w:tcPr>
            <w:tcW w:w="3720" w:type="dxa"/>
            <w:vAlign w:val="center"/>
          </w:tcPr>
          <w:p w14:paraId="35E4854C">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拒绝原因</w:t>
            </w:r>
          </w:p>
        </w:tc>
      </w:tr>
      <w:tr w14:paraId="7EAC4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674" w:type="dxa"/>
            <w:vAlign w:val="center"/>
          </w:tcPr>
          <w:p w14:paraId="02AE2E34">
            <w:pPr>
              <w:pStyle w:val="22"/>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1</w:t>
            </w:r>
          </w:p>
        </w:tc>
        <w:tc>
          <w:tcPr>
            <w:tcW w:w="4264" w:type="dxa"/>
            <w:vAlign w:val="center"/>
          </w:tcPr>
          <w:p w14:paraId="65193855">
            <w:pPr>
              <w:pStyle w:val="22"/>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snapToGrid w:val="0"/>
                <w:color w:val="auto"/>
                <w:kern w:val="0"/>
                <w:sz w:val="21"/>
                <w:szCs w:val="21"/>
                <w:highlight w:val="none"/>
                <w:lang w:eastAsia="zh-CN"/>
              </w:rPr>
              <w:t>仁化县丹霞旅游经济开发试验区管理委员会</w:t>
            </w:r>
          </w:p>
        </w:tc>
        <w:tc>
          <w:tcPr>
            <w:tcW w:w="3720" w:type="dxa"/>
            <w:vAlign w:val="center"/>
          </w:tcPr>
          <w:p w14:paraId="74874F27">
            <w:pPr>
              <w:pStyle w:val="22"/>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为本招标项目的招标人</w:t>
            </w:r>
          </w:p>
        </w:tc>
      </w:tr>
      <w:tr w14:paraId="58528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674" w:type="dxa"/>
            <w:vAlign w:val="center"/>
          </w:tcPr>
          <w:p w14:paraId="03866D64">
            <w:pPr>
              <w:pStyle w:val="22"/>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2</w:t>
            </w:r>
          </w:p>
        </w:tc>
        <w:tc>
          <w:tcPr>
            <w:tcW w:w="4264" w:type="dxa"/>
            <w:vAlign w:val="center"/>
          </w:tcPr>
          <w:p w14:paraId="62B0D81F">
            <w:pPr>
              <w:pStyle w:val="22"/>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广东爱科工程咨询管理有限公司</w:t>
            </w:r>
          </w:p>
        </w:tc>
        <w:tc>
          <w:tcPr>
            <w:tcW w:w="3720" w:type="dxa"/>
            <w:vAlign w:val="center"/>
          </w:tcPr>
          <w:p w14:paraId="2D7AE2F8">
            <w:pPr>
              <w:pStyle w:val="22"/>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为本招标项目的招标代理机构</w:t>
            </w:r>
          </w:p>
        </w:tc>
      </w:tr>
      <w:tr w14:paraId="52B1D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674" w:type="dxa"/>
            <w:vAlign w:val="center"/>
          </w:tcPr>
          <w:p w14:paraId="7B69EA9B">
            <w:pPr>
              <w:pStyle w:val="22"/>
              <w:wordWrap w:val="0"/>
              <w:adjustRightInd w:val="0"/>
              <w:snapToGrid w:val="0"/>
              <w:spacing w:line="340" w:lineRule="exact"/>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val="en-US" w:eastAsia="zh-CN"/>
              </w:rPr>
              <w:t>3</w:t>
            </w:r>
          </w:p>
        </w:tc>
        <w:tc>
          <w:tcPr>
            <w:tcW w:w="4264" w:type="dxa"/>
            <w:vAlign w:val="center"/>
          </w:tcPr>
          <w:p w14:paraId="1D9C1895">
            <w:pPr>
              <w:pStyle w:val="22"/>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国昇设计有限责任公司</w:t>
            </w:r>
          </w:p>
        </w:tc>
        <w:tc>
          <w:tcPr>
            <w:tcW w:w="3720" w:type="dxa"/>
            <w:vAlign w:val="center"/>
          </w:tcPr>
          <w:p w14:paraId="0FEDB35A">
            <w:pPr>
              <w:pStyle w:val="22"/>
              <w:wordWrap w:val="0"/>
              <w:adjustRightInd w:val="0"/>
              <w:snapToGrid w:val="0"/>
              <w:spacing w:line="340" w:lineRule="exact"/>
              <w:jc w:val="left"/>
              <w:rPr>
                <w:rFonts w:hint="default"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w:t>
            </w:r>
            <w:r>
              <w:rPr>
                <w:rFonts w:hint="eastAsia" w:ascii="宋体" w:hAnsi="宋体" w:cs="宋体"/>
                <w:snapToGrid w:val="0"/>
                <w:color w:val="auto"/>
                <w:kern w:val="0"/>
                <w:sz w:val="21"/>
                <w:szCs w:val="21"/>
                <w:highlight w:val="none"/>
                <w:lang w:val="en-US" w:eastAsia="zh-CN"/>
              </w:rPr>
              <w:t>设计单位</w:t>
            </w:r>
          </w:p>
        </w:tc>
      </w:tr>
      <w:tr w14:paraId="50074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674" w:type="dxa"/>
            <w:vAlign w:val="center"/>
          </w:tcPr>
          <w:p w14:paraId="3F58E3F6">
            <w:pPr>
              <w:pStyle w:val="22"/>
              <w:wordWrap w:val="0"/>
              <w:adjustRightInd w:val="0"/>
              <w:snapToGrid w:val="0"/>
              <w:spacing w:line="34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w:t>
            </w:r>
          </w:p>
        </w:tc>
        <w:tc>
          <w:tcPr>
            <w:tcW w:w="4264" w:type="dxa"/>
            <w:vAlign w:val="center"/>
          </w:tcPr>
          <w:p w14:paraId="4241CE45">
            <w:pPr>
              <w:pStyle w:val="22"/>
              <w:wordWrap w:val="0"/>
              <w:adjustRightInd w:val="0"/>
              <w:snapToGrid w:val="0"/>
              <w:spacing w:line="340" w:lineRule="exact"/>
              <w:jc w:val="left"/>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中核大地生态科技有限公司</w:t>
            </w:r>
          </w:p>
        </w:tc>
        <w:tc>
          <w:tcPr>
            <w:tcW w:w="3720" w:type="dxa"/>
            <w:vAlign w:val="center"/>
          </w:tcPr>
          <w:p w14:paraId="40CA11E2">
            <w:pPr>
              <w:pStyle w:val="22"/>
              <w:wordWrap w:val="0"/>
              <w:adjustRightInd w:val="0"/>
              <w:snapToGrid w:val="0"/>
              <w:spacing w:line="340" w:lineRule="exact"/>
              <w:jc w:val="left"/>
              <w:rPr>
                <w:rFonts w:hint="default" w:ascii="宋体" w:hAnsi="宋体" w:eastAsia="宋体" w:cs="宋体"/>
                <w:color w:val="auto"/>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w:t>
            </w:r>
            <w:r>
              <w:rPr>
                <w:rFonts w:hint="eastAsia" w:ascii="宋体" w:hAnsi="宋体" w:eastAsia="宋体" w:cs="宋体"/>
                <w:snapToGrid w:val="0"/>
                <w:color w:val="auto"/>
                <w:kern w:val="0"/>
                <w:sz w:val="21"/>
                <w:szCs w:val="21"/>
                <w:highlight w:val="none"/>
                <w:lang w:val="en-US" w:eastAsia="zh-CN"/>
              </w:rPr>
              <w:t>勘察单位</w:t>
            </w:r>
          </w:p>
        </w:tc>
      </w:tr>
      <w:tr w14:paraId="02DF0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674" w:type="dxa"/>
            <w:vAlign w:val="center"/>
          </w:tcPr>
          <w:p w14:paraId="32464B34">
            <w:pPr>
              <w:pStyle w:val="22"/>
              <w:wordWrap w:val="0"/>
              <w:adjustRightInd w:val="0"/>
              <w:snapToGrid w:val="0"/>
              <w:spacing w:line="340" w:lineRule="exact"/>
              <w:jc w:val="center"/>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5</w:t>
            </w:r>
          </w:p>
        </w:tc>
        <w:tc>
          <w:tcPr>
            <w:tcW w:w="4264" w:type="dxa"/>
            <w:vAlign w:val="center"/>
          </w:tcPr>
          <w:p w14:paraId="13512776">
            <w:pPr>
              <w:pStyle w:val="22"/>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广东加达工程咨询有限公司</w:t>
            </w:r>
          </w:p>
        </w:tc>
        <w:tc>
          <w:tcPr>
            <w:tcW w:w="3720" w:type="dxa"/>
            <w:vAlign w:val="center"/>
          </w:tcPr>
          <w:p w14:paraId="6647436C">
            <w:pPr>
              <w:pStyle w:val="22"/>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eastAsia="zh-CN"/>
              </w:rPr>
              <w:t>为本招标项目的全过程造价咨询单位</w:t>
            </w:r>
          </w:p>
        </w:tc>
      </w:tr>
      <w:tr w14:paraId="3F543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674" w:type="dxa"/>
            <w:vAlign w:val="center"/>
          </w:tcPr>
          <w:p w14:paraId="6EBA4238">
            <w:pPr>
              <w:pStyle w:val="22"/>
              <w:wordWrap w:val="0"/>
              <w:adjustRightInd w:val="0"/>
              <w:snapToGrid w:val="0"/>
              <w:spacing w:line="340" w:lineRule="exact"/>
              <w:jc w:val="center"/>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6</w:t>
            </w:r>
          </w:p>
        </w:tc>
        <w:tc>
          <w:tcPr>
            <w:tcW w:w="4264" w:type="dxa"/>
            <w:vAlign w:val="center"/>
          </w:tcPr>
          <w:p w14:paraId="362699C4">
            <w:pPr>
              <w:wordWrap w:val="0"/>
              <w:adjustRightInd w:val="0"/>
              <w:snapToGrid w:val="0"/>
              <w:spacing w:line="240" w:lineRule="auto"/>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color w:val="auto"/>
                <w:sz w:val="21"/>
                <w:szCs w:val="21"/>
                <w:highlight w:val="none"/>
                <w:lang w:eastAsia="zh-CN"/>
              </w:rPr>
              <w:t>仁化县住房和城乡建设管理局</w:t>
            </w:r>
          </w:p>
        </w:tc>
        <w:tc>
          <w:tcPr>
            <w:tcW w:w="3720" w:type="dxa"/>
            <w:vAlign w:val="center"/>
          </w:tcPr>
          <w:p w14:paraId="22A4A390">
            <w:pPr>
              <w:wordWrap w:val="0"/>
              <w:adjustRightInd w:val="0"/>
              <w:snapToGrid w:val="0"/>
              <w:spacing w:line="240" w:lineRule="auto"/>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为本招标项目的监督单位</w:t>
            </w:r>
          </w:p>
        </w:tc>
      </w:tr>
    </w:tbl>
    <w:p w14:paraId="7FDEB427">
      <w:pPr>
        <w:spacing w:line="93" w:lineRule="auto"/>
        <w:rPr>
          <w:rFonts w:hint="eastAsia" w:ascii="宋体" w:hAnsi="宋体" w:eastAsia="宋体" w:cs="宋体"/>
          <w:color w:val="auto"/>
          <w:sz w:val="2"/>
          <w:highlight w:val="none"/>
        </w:rPr>
      </w:pPr>
    </w:p>
    <w:p w14:paraId="44FD298A">
      <w:pPr>
        <w:spacing w:before="153" w:line="221" w:lineRule="auto"/>
        <w:ind w:left="70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2.5  </w:t>
      </w:r>
      <w:r>
        <w:rPr>
          <w:rFonts w:hint="eastAsia" w:ascii="宋体" w:hAnsi="宋体" w:eastAsia="宋体" w:cs="宋体"/>
          <w:color w:val="auto"/>
          <w:spacing w:val="-1"/>
          <w:sz w:val="24"/>
          <w:szCs w:val="24"/>
          <w:highlight w:val="none"/>
        </w:rPr>
        <w:t>其他要求</w:t>
      </w:r>
    </w:p>
    <w:p w14:paraId="329532D5">
      <w:pPr>
        <w:spacing w:before="150" w:line="334" w:lineRule="auto"/>
        <w:ind w:left="232" w:right="99" w:firstLine="481"/>
        <w:rPr>
          <w:rFonts w:hint="eastAsia" w:ascii="宋体" w:hAnsi="宋体" w:eastAsia="宋体" w:cs="宋体"/>
          <w:color w:val="auto"/>
          <w:highlight w:val="none"/>
        </w:rPr>
      </w:pPr>
      <w:r>
        <w:rPr>
          <w:rFonts w:hint="eastAsia" w:ascii="宋体" w:hAnsi="宋体" w:eastAsia="宋体" w:cs="宋体"/>
          <w:color w:val="auto"/>
          <w:spacing w:val="-1"/>
          <w:sz w:val="24"/>
          <w:szCs w:val="24"/>
          <w:highlight w:val="none"/>
        </w:rPr>
        <w:t>省外企业及其拟派往本项目管理机构的所有</w:t>
      </w:r>
      <w:r>
        <w:rPr>
          <w:rFonts w:hint="eastAsia" w:ascii="宋体" w:hAnsi="宋体" w:eastAsia="宋体" w:cs="宋体"/>
          <w:color w:val="auto"/>
          <w:spacing w:val="-2"/>
          <w:sz w:val="24"/>
          <w:szCs w:val="24"/>
          <w:highlight w:val="none"/>
        </w:rPr>
        <w:t>人员均须按照《广东省住房和城乡建</w:t>
      </w:r>
      <w:r>
        <w:rPr>
          <w:rFonts w:hint="eastAsia" w:ascii="宋体" w:hAnsi="宋体" w:eastAsia="宋体" w:cs="宋体"/>
          <w:color w:val="auto"/>
          <w:spacing w:val="-1"/>
          <w:sz w:val="24"/>
          <w:szCs w:val="24"/>
          <w:highlight w:val="none"/>
        </w:rPr>
        <w:t>设厅关于取消省外建筑企业和人员进粤信息备案有关工作的通知》</w:t>
      </w:r>
      <w:r>
        <w:rPr>
          <w:rFonts w:hint="eastAsia" w:ascii="宋体" w:hAnsi="宋体" w:eastAsia="宋体" w:cs="宋体"/>
          <w:color w:val="auto"/>
          <w:spacing w:val="-2"/>
          <w:sz w:val="24"/>
          <w:szCs w:val="24"/>
          <w:highlight w:val="none"/>
        </w:rPr>
        <w:t>（粤建市﹝2015﹞</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52</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4"/>
          <w:sz w:val="24"/>
          <w:szCs w:val="24"/>
          <w:highlight w:val="none"/>
        </w:rPr>
        <w:t>号）规定在“进粤企业和人员诚信信息登记平台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”录入相关信息并通过数</w:t>
      </w:r>
      <w:r>
        <w:rPr>
          <w:rFonts w:hint="eastAsia" w:ascii="宋体" w:hAnsi="宋体" w:eastAsia="宋体" w:cs="宋体"/>
          <w:color w:val="auto"/>
          <w:spacing w:val="-5"/>
          <w:sz w:val="24"/>
          <w:szCs w:val="24"/>
          <w:highlight w:val="none"/>
        </w:rPr>
        <w:t>据规范检</w:t>
      </w:r>
      <w:r>
        <w:rPr>
          <w:rFonts w:hint="eastAsia" w:ascii="宋体" w:hAnsi="宋体" w:eastAsia="宋体" w:cs="宋体"/>
          <w:color w:val="auto"/>
          <w:spacing w:val="-6"/>
          <w:sz w:val="24"/>
          <w:szCs w:val="24"/>
          <w:highlight w:val="none"/>
        </w:rPr>
        <w:t>查。</w:t>
      </w:r>
    </w:p>
    <w:p w14:paraId="0063DCBD">
      <w:pPr>
        <w:spacing w:before="79" w:line="220" w:lineRule="auto"/>
        <w:ind w:left="715"/>
        <w:outlineLvl w:val="2"/>
        <w:rPr>
          <w:rFonts w:hint="eastAsia" w:ascii="宋体" w:hAnsi="宋体" w:eastAsia="宋体" w:cs="宋体"/>
          <w:color w:val="auto"/>
          <w:sz w:val="24"/>
          <w:szCs w:val="24"/>
          <w:highlight w:val="none"/>
        </w:rPr>
      </w:pPr>
      <w:bookmarkStart w:id="19" w:name="_Toc23243"/>
      <w:bookmarkStart w:id="20" w:name="_Toc21490"/>
      <w:r>
        <w:rPr>
          <w:rFonts w:hint="eastAsia" w:ascii="宋体" w:hAnsi="宋体" w:eastAsia="宋体" w:cs="宋体"/>
          <w:b/>
          <w:bCs/>
          <w:color w:val="auto"/>
          <w:spacing w:val="-4"/>
          <w:sz w:val="24"/>
          <w:szCs w:val="24"/>
          <w:highlight w:val="none"/>
        </w:rPr>
        <w:t>3．招标文件的获取</w:t>
      </w:r>
      <w:bookmarkEnd w:id="19"/>
      <w:bookmarkEnd w:id="20"/>
    </w:p>
    <w:p w14:paraId="6F47DB12">
      <w:pPr>
        <w:spacing w:before="182" w:line="219" w:lineRule="auto"/>
        <w:ind w:left="70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3.1  </w:t>
      </w:r>
      <w:r>
        <w:rPr>
          <w:rFonts w:hint="eastAsia" w:ascii="宋体" w:hAnsi="宋体" w:eastAsia="宋体" w:cs="宋体"/>
          <w:color w:val="auto"/>
          <w:spacing w:val="-1"/>
          <w:sz w:val="24"/>
          <w:szCs w:val="24"/>
          <w:highlight w:val="none"/>
        </w:rPr>
        <w:t>本次招标实行电子投标。</w:t>
      </w:r>
    </w:p>
    <w:p w14:paraId="53B49621">
      <w:pPr>
        <w:spacing w:before="178" w:line="355" w:lineRule="auto"/>
        <w:ind w:left="229" w:firstLine="48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本次招标实行电子投标。本项目招标文件随招标公</w:t>
      </w:r>
      <w:r>
        <w:rPr>
          <w:rFonts w:hint="eastAsia" w:ascii="宋体" w:hAnsi="宋体" w:eastAsia="宋体" w:cs="宋体"/>
          <w:color w:val="auto"/>
          <w:spacing w:val="-2"/>
          <w:sz w:val="24"/>
          <w:szCs w:val="24"/>
          <w:highlight w:val="none"/>
        </w:rPr>
        <w:t>告一并在全国公共资源交易平台（广东省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56"/>
          <w:sz w:val="24"/>
          <w:szCs w:val="24"/>
          <w:highlight w:val="none"/>
        </w:rPr>
        <w:t>）（</w:t>
      </w:r>
      <w:r>
        <w:rPr>
          <w:rFonts w:hint="eastAsia" w:ascii="宋体" w:hAnsi="宋体" w:eastAsia="宋体" w:cs="宋体"/>
          <w:color w:val="auto"/>
          <w:spacing w:val="-56"/>
          <w:sz w:val="24"/>
          <w:szCs w:val="24"/>
          <w:highlight w:val="none"/>
          <w:lang w:val="en-US" w:eastAsia="zh-CN"/>
        </w:rPr>
        <w:t xml:space="preserve">              </w:t>
      </w:r>
      <w:r>
        <w:rPr>
          <w:rFonts w:hint="eastAsia" w:ascii="宋体" w:hAnsi="宋体" w:eastAsia="宋体" w:cs="宋体"/>
          <w:color w:val="auto"/>
          <w:spacing w:val="-2"/>
          <w:sz w:val="24"/>
          <w:szCs w:val="24"/>
          <w:highlight w:val="none"/>
        </w:rPr>
        <w:t>https://yg</w:t>
      </w:r>
      <w:r>
        <w:rPr>
          <w:rFonts w:hint="eastAsia" w:ascii="宋体" w:hAnsi="宋体" w:eastAsia="宋体" w:cs="宋体"/>
          <w:color w:val="auto"/>
          <w:spacing w:val="-3"/>
          <w:sz w:val="24"/>
          <w:szCs w:val="24"/>
          <w:highlight w:val="none"/>
        </w:rPr>
        <w:t>p.gdzwfw.gov.cn/ggzy-portal/#/440200/index）</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网站发布。招标文件一经发布，视为发送投标人，招标文件及相</w:t>
      </w:r>
      <w:r>
        <w:rPr>
          <w:rFonts w:hint="eastAsia" w:ascii="宋体" w:hAnsi="宋体" w:eastAsia="宋体" w:cs="宋体"/>
          <w:color w:val="auto"/>
          <w:spacing w:val="-2"/>
          <w:sz w:val="24"/>
          <w:szCs w:val="24"/>
          <w:highlight w:val="none"/>
        </w:rPr>
        <w:t>关附件由投标人自行</w:t>
      </w:r>
      <w:r>
        <w:rPr>
          <w:rFonts w:hint="eastAsia" w:ascii="宋体" w:hAnsi="宋体" w:eastAsia="宋体" w:cs="宋体"/>
          <w:color w:val="auto"/>
          <w:spacing w:val="-7"/>
          <w:sz w:val="24"/>
          <w:szCs w:val="24"/>
          <w:highlight w:val="none"/>
        </w:rPr>
        <w:t>在全国公共资源交易平台（广东省</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7"/>
          <w:sz w:val="24"/>
          <w:szCs w:val="24"/>
          <w:highlight w:val="none"/>
        </w:rPr>
        <w:t>·韶关市）网站下载。请于招标文件获取期间,（见</w:t>
      </w:r>
      <w:r>
        <w:rPr>
          <w:rFonts w:hint="eastAsia" w:ascii="宋体" w:hAnsi="宋体" w:eastAsia="宋体" w:cs="宋体"/>
          <w:color w:val="auto"/>
          <w:spacing w:val="-2"/>
          <w:sz w:val="24"/>
          <w:szCs w:val="24"/>
          <w:highlight w:val="none"/>
        </w:rPr>
        <w:t>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”）招标文件获取期间与招标公告发</w:t>
      </w:r>
      <w:r>
        <w:rPr>
          <w:rFonts w:hint="eastAsia" w:ascii="宋体" w:hAnsi="宋体" w:eastAsia="宋体" w:cs="宋体"/>
          <w:color w:val="auto"/>
          <w:spacing w:val="-3"/>
          <w:sz w:val="24"/>
          <w:szCs w:val="24"/>
          <w:highlight w:val="none"/>
        </w:rPr>
        <w:t>布时间一</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致，投标人须登录全国公共资源交易平台（广东省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·韶关市</w:t>
      </w:r>
      <w:r>
        <w:rPr>
          <w:rFonts w:hint="eastAsia" w:ascii="宋体" w:hAnsi="宋体" w:eastAsia="宋体" w:cs="宋体"/>
          <w:color w:val="auto"/>
          <w:spacing w:val="-40"/>
          <w:sz w:val="24"/>
          <w:szCs w:val="24"/>
          <w:highlight w:val="none"/>
        </w:rPr>
        <w:t>）（</w:t>
      </w:r>
      <w:r>
        <w:rPr>
          <w:rFonts w:hint="eastAsia" w:ascii="宋体" w:hAnsi="宋体" w:eastAsia="宋体" w:cs="宋体"/>
          <w:color w:val="auto"/>
          <w:spacing w:val="-40"/>
          <w:sz w:val="24"/>
          <w:szCs w:val="24"/>
          <w:highlight w:val="none"/>
          <w:lang w:val="en-US" w:eastAsia="zh-CN"/>
        </w:rPr>
        <w:t xml:space="preserve">   </w:t>
      </w:r>
      <w:r>
        <w:rPr>
          <w:rFonts w:hint="eastAsia" w:ascii="宋体" w:hAnsi="宋体" w:eastAsia="宋体" w:cs="宋体"/>
          <w:color w:val="auto"/>
          <w:spacing w:val="-4"/>
          <w:sz w:val="24"/>
          <w:szCs w:val="24"/>
          <w:highlight w:val="none"/>
        </w:rPr>
        <w:t>https://ygp.gdzwfw.</w:t>
      </w:r>
      <w:r>
        <w:rPr>
          <w:rFonts w:hint="eastAsia" w:ascii="宋体" w:hAnsi="宋体" w:eastAsia="宋体" w:cs="宋体"/>
          <w:color w:val="auto"/>
          <w:sz w:val="24"/>
          <w:szCs w:val="24"/>
          <w:highlight w:val="none"/>
        </w:rPr>
        <w:t xml:space="preserve">  gov</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ggzy</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portal</w:t>
      </w:r>
      <w:r>
        <w:rPr>
          <w:rFonts w:hint="eastAsia" w:ascii="宋体" w:hAnsi="宋体" w:eastAsia="宋体" w:cs="宋体"/>
          <w:color w:val="auto"/>
          <w:spacing w:val="2"/>
          <w:sz w:val="24"/>
          <w:szCs w:val="24"/>
          <w:highlight w:val="none"/>
        </w:rPr>
        <w:t>/#/440200/</w:t>
      </w:r>
      <w:r>
        <w:rPr>
          <w:rFonts w:hint="eastAsia" w:ascii="宋体" w:hAnsi="宋体" w:eastAsia="宋体" w:cs="宋体"/>
          <w:color w:val="auto"/>
          <w:sz w:val="24"/>
          <w:szCs w:val="24"/>
          <w:highlight w:val="none"/>
        </w:rPr>
        <w:t>index</w:t>
      </w:r>
      <w:r>
        <w:rPr>
          <w:rFonts w:hint="eastAsia" w:ascii="宋体" w:hAnsi="宋体" w:eastAsia="宋体" w:cs="宋体"/>
          <w:color w:val="auto"/>
          <w:spacing w:val="7"/>
          <w:sz w:val="24"/>
          <w:szCs w:val="24"/>
          <w:highlight w:val="none"/>
        </w:rPr>
        <w:t>），</w:t>
      </w:r>
      <w:r>
        <w:rPr>
          <w:rFonts w:hint="eastAsia" w:ascii="宋体" w:hAnsi="宋体" w:eastAsia="宋体" w:cs="宋体"/>
          <w:color w:val="auto"/>
          <w:spacing w:val="2"/>
          <w:sz w:val="24"/>
          <w:szCs w:val="24"/>
          <w:highlight w:val="none"/>
        </w:rPr>
        <w:t>使用新建设工程交易系统进行下载</w:t>
      </w:r>
      <w:r>
        <w:rPr>
          <w:rFonts w:hint="eastAsia" w:ascii="宋体" w:hAnsi="宋体" w:eastAsia="宋体" w:cs="宋体"/>
          <w:color w:val="auto"/>
          <w:spacing w:val="1"/>
          <w:sz w:val="24"/>
          <w:szCs w:val="24"/>
          <w:highlight w:val="none"/>
        </w:rPr>
        <w:t>招标文</w:t>
      </w:r>
      <w:r>
        <w:rPr>
          <w:rFonts w:hint="eastAsia" w:ascii="宋体" w:hAnsi="宋体" w:eastAsia="宋体" w:cs="宋体"/>
          <w:color w:val="auto"/>
          <w:spacing w:val="-6"/>
          <w:sz w:val="24"/>
          <w:szCs w:val="24"/>
          <w:highlight w:val="none"/>
        </w:rPr>
        <w:t>件及相关附件，并于电子投标截止时间（见本章第二节“重要事项时间地点一览表</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6"/>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前完成电子投标。投标人可登录全国公共资源交易平</w:t>
      </w:r>
      <w:r>
        <w:rPr>
          <w:rFonts w:hint="eastAsia" w:ascii="宋体" w:hAnsi="宋体" w:eastAsia="宋体" w:cs="宋体"/>
          <w:color w:val="auto"/>
          <w:spacing w:val="-3"/>
          <w:sz w:val="24"/>
          <w:szCs w:val="24"/>
          <w:highlight w:val="none"/>
        </w:rPr>
        <w:t>台（广东省</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3"/>
          <w:sz w:val="24"/>
          <w:szCs w:val="24"/>
          <w:highlight w:val="none"/>
        </w:rPr>
        <w:t>·韶关市</w:t>
      </w:r>
      <w:r>
        <w:rPr>
          <w:rFonts w:hint="eastAsia" w:ascii="宋体" w:hAnsi="宋体" w:eastAsia="宋体" w:cs="宋体"/>
          <w:color w:val="auto"/>
          <w:spacing w:val="-25"/>
          <w:sz w:val="24"/>
          <w:szCs w:val="24"/>
          <w:highlight w:val="none"/>
        </w:rPr>
        <w:t>）（</w:t>
      </w:r>
      <w:r>
        <w:rPr>
          <w:rFonts w:hint="eastAsia" w:ascii="宋体" w:hAnsi="宋体" w:eastAsia="宋体" w:cs="宋体"/>
          <w:color w:val="auto"/>
          <w:spacing w:val="-25"/>
          <w:sz w:val="24"/>
          <w:szCs w:val="24"/>
          <w:highlight w:val="none"/>
          <w:lang w:val="en-US" w:eastAsia="zh-CN"/>
        </w:rPr>
        <w:t xml:space="preserve">   </w:t>
      </w:r>
      <w:r>
        <w:rPr>
          <w:rFonts w:hint="eastAsia" w:ascii="宋体" w:hAnsi="宋体" w:eastAsia="宋体" w:cs="宋体"/>
          <w:color w:val="auto"/>
          <w:spacing w:val="-3"/>
          <w:sz w:val="24"/>
          <w:szCs w:val="24"/>
          <w:highlight w:val="none"/>
        </w:rPr>
        <w:t>https:</w:t>
      </w:r>
      <w:r>
        <w:rPr>
          <w:rFonts w:hint="eastAsia" w:ascii="宋体" w:hAnsi="宋体" w:eastAsia="宋体" w:cs="宋体"/>
          <w:color w:val="auto"/>
          <w:sz w:val="24"/>
          <w:szCs w:val="24"/>
          <w:highlight w:val="none"/>
        </w:rPr>
        <w:t>//ygp.gdzwfw.gov.cn/ggz</w:t>
      </w:r>
      <w:r>
        <w:rPr>
          <w:rFonts w:hint="eastAsia" w:ascii="宋体" w:hAnsi="宋体" w:eastAsia="宋体" w:cs="宋体"/>
          <w:color w:val="auto"/>
          <w:spacing w:val="-1"/>
          <w:sz w:val="24"/>
          <w:szCs w:val="24"/>
          <w:highlight w:val="none"/>
        </w:rPr>
        <w:t>y-portal/#/440200/index</w:t>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1"/>
          <w:sz w:val="24"/>
          <w:szCs w:val="24"/>
          <w:highlight w:val="none"/>
        </w:rPr>
        <w:t>在【服务指南】栏目中建设</w:t>
      </w:r>
      <w:r>
        <w:rPr>
          <w:rFonts w:hint="eastAsia" w:ascii="宋体" w:hAnsi="宋体" w:eastAsia="宋体" w:cs="宋体"/>
          <w:color w:val="auto"/>
          <w:spacing w:val="-2"/>
          <w:sz w:val="24"/>
          <w:szCs w:val="24"/>
          <w:highlight w:val="none"/>
        </w:rPr>
        <w:t>工程交易中下载《韶关市公共资源建设工程交易系统-投</w:t>
      </w:r>
      <w:r>
        <w:rPr>
          <w:rFonts w:hint="eastAsia" w:ascii="宋体" w:hAnsi="宋体" w:eastAsia="宋体" w:cs="宋体"/>
          <w:color w:val="auto"/>
          <w:spacing w:val="-1"/>
          <w:sz w:val="24"/>
          <w:szCs w:val="24"/>
          <w:highlight w:val="none"/>
        </w:rPr>
        <w:t>标人操作指南（电子评标）》 （附件 2），了解网上获取招标文件操作流程。技术咨询电话：0751-837</w:t>
      </w:r>
      <w:r>
        <w:rPr>
          <w:rFonts w:hint="eastAsia" w:ascii="宋体" w:hAnsi="宋体" w:eastAsia="宋体" w:cs="宋体"/>
          <w:color w:val="auto"/>
          <w:spacing w:val="-4"/>
          <w:sz w:val="24"/>
          <w:szCs w:val="24"/>
          <w:highlight w:val="none"/>
        </w:rPr>
        <w:t>9671 伍</w:t>
      </w:r>
      <w:r>
        <w:rPr>
          <w:rFonts w:hint="eastAsia" w:ascii="宋体" w:hAnsi="宋体" w:eastAsia="宋体" w:cs="宋体"/>
          <w:color w:val="auto"/>
          <w:spacing w:val="-5"/>
          <w:sz w:val="24"/>
          <w:szCs w:val="24"/>
          <w:highlight w:val="none"/>
        </w:rPr>
        <w:t>先生，</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业务咨询电话：0751-8633211、8633071。</w:t>
      </w:r>
    </w:p>
    <w:p w14:paraId="68899B1C">
      <w:pPr>
        <w:spacing w:before="142" w:line="330" w:lineRule="auto"/>
        <w:ind w:left="11" w:right="105" w:firstLine="473"/>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3.2  </w:t>
      </w:r>
      <w:r>
        <w:rPr>
          <w:rFonts w:hint="eastAsia" w:ascii="宋体" w:hAnsi="宋体" w:eastAsia="宋体" w:cs="宋体"/>
          <w:color w:val="auto"/>
          <w:spacing w:val="-1"/>
          <w:sz w:val="24"/>
          <w:szCs w:val="24"/>
          <w:highlight w:val="none"/>
        </w:rPr>
        <w:t>只有申领了数字证书（CA）、“粤企签</w:t>
      </w:r>
      <w:r>
        <w:rPr>
          <w:rFonts w:hint="eastAsia" w:ascii="宋体" w:hAnsi="宋体" w:eastAsia="宋体" w:cs="宋体"/>
          <w:color w:val="auto"/>
          <w:spacing w:val="-76"/>
          <w:sz w:val="24"/>
          <w:szCs w:val="24"/>
          <w:highlight w:val="none"/>
        </w:rPr>
        <w:t xml:space="preserve"> </w:t>
      </w:r>
      <w:r>
        <w:rPr>
          <w:rFonts w:hint="eastAsia" w:ascii="宋体" w:hAnsi="宋体" w:eastAsia="宋体" w:cs="宋体"/>
          <w:color w:val="auto"/>
          <w:spacing w:val="-1"/>
          <w:sz w:val="24"/>
          <w:szCs w:val="24"/>
          <w:highlight w:val="none"/>
        </w:rPr>
        <w:t>”或</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1"/>
          <w:sz w:val="24"/>
          <w:szCs w:val="24"/>
          <w:highlight w:val="none"/>
        </w:rPr>
        <w:t>GDCA/SZCA/NETCA</w:t>
      </w:r>
      <w:r>
        <w:rPr>
          <w:rFonts w:hint="eastAsia" w:ascii="宋体" w:hAnsi="宋体" w:eastAsia="宋体" w:cs="宋体"/>
          <w:color w:val="auto"/>
          <w:spacing w:val="-46"/>
          <w:sz w:val="24"/>
          <w:szCs w:val="24"/>
          <w:highlight w:val="none"/>
        </w:rPr>
        <w:t xml:space="preserve"> </w:t>
      </w:r>
      <w:r>
        <w:rPr>
          <w:rFonts w:hint="eastAsia" w:ascii="宋体" w:hAnsi="宋体" w:eastAsia="宋体" w:cs="宋体"/>
          <w:color w:val="auto"/>
          <w:spacing w:val="-1"/>
          <w:sz w:val="24"/>
          <w:szCs w:val="24"/>
          <w:highlight w:val="none"/>
        </w:rPr>
        <w:t>等符合法律法规规定的电子印章，并在交易系统中完成企业信息数据入库</w:t>
      </w:r>
      <w:r>
        <w:rPr>
          <w:rFonts w:hint="eastAsia" w:ascii="宋体" w:hAnsi="宋体" w:eastAsia="宋体" w:cs="宋体"/>
          <w:color w:val="auto"/>
          <w:spacing w:val="-2"/>
          <w:sz w:val="24"/>
          <w:szCs w:val="24"/>
          <w:highlight w:val="none"/>
        </w:rPr>
        <w:t>的投标人，方可使用建设</w:t>
      </w:r>
      <w:r>
        <w:rPr>
          <w:rFonts w:hint="eastAsia" w:ascii="宋体" w:hAnsi="宋体" w:eastAsia="宋体" w:cs="宋体"/>
          <w:color w:val="auto"/>
          <w:spacing w:val="-1"/>
          <w:sz w:val="24"/>
          <w:szCs w:val="24"/>
          <w:highlight w:val="none"/>
        </w:rPr>
        <w:t>工程交易系统进行招标文件及附件获取和电子投标。</w:t>
      </w:r>
    </w:p>
    <w:p w14:paraId="66BF8C88">
      <w:pPr>
        <w:spacing w:before="32" w:line="332" w:lineRule="auto"/>
        <w:ind w:left="10" w:right="90" w:firstLine="483"/>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首次在韶关市参与建设工程招标投标活动的</w:t>
      </w:r>
      <w:r>
        <w:rPr>
          <w:rFonts w:hint="eastAsia" w:ascii="宋体" w:hAnsi="宋体" w:eastAsia="宋体" w:cs="宋体"/>
          <w:color w:val="auto"/>
          <w:spacing w:val="-2"/>
          <w:sz w:val="24"/>
          <w:szCs w:val="24"/>
          <w:highlight w:val="none"/>
        </w:rPr>
        <w:t>投标人，必须在平台系统上传企业相</w:t>
      </w:r>
      <w:r>
        <w:rPr>
          <w:rFonts w:hint="eastAsia" w:ascii="宋体" w:hAnsi="宋体" w:eastAsia="宋体" w:cs="宋体"/>
          <w:color w:val="auto"/>
          <w:spacing w:val="-3"/>
          <w:sz w:val="24"/>
          <w:szCs w:val="24"/>
          <w:highlight w:val="none"/>
        </w:rPr>
        <w:t>关资料办理企业入库事宜。投标人可登录全国公共资源</w:t>
      </w:r>
      <w:r>
        <w:rPr>
          <w:rFonts w:hint="eastAsia" w:ascii="宋体" w:hAnsi="宋体" w:eastAsia="宋体" w:cs="宋体"/>
          <w:color w:val="auto"/>
          <w:spacing w:val="-4"/>
          <w:sz w:val="24"/>
          <w:szCs w:val="24"/>
          <w:highlight w:val="none"/>
        </w:rPr>
        <w:t>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·韶关市）</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"https://ygp.gdzwfw.gov.cn/ggzy-portal/#/440200/index"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1"/>
          <w:sz w:val="24"/>
          <w:szCs w:val="24"/>
          <w:highlight w:val="none"/>
        </w:rPr>
        <w:t>https://ygp.gdzwfw.gov.cn/ggzy-portal/#/440200/index</w:t>
      </w:r>
      <w:r>
        <w:rPr>
          <w:rFonts w:hint="eastAsia" w:ascii="宋体" w:hAnsi="宋体" w:eastAsia="宋体" w:cs="宋体"/>
          <w:color w:val="auto"/>
          <w:spacing w:val="-1"/>
          <w:sz w:val="24"/>
          <w:szCs w:val="24"/>
          <w:highlight w:val="none"/>
        </w:rPr>
        <w:fldChar w:fldCharType="end"/>
      </w:r>
      <w:r>
        <w:rPr>
          <w:rFonts w:hint="eastAsia" w:ascii="宋体" w:hAnsi="宋体" w:eastAsia="宋体" w:cs="宋体"/>
          <w:color w:val="auto"/>
          <w:spacing w:val="-1"/>
          <w:sz w:val="24"/>
          <w:szCs w:val="24"/>
          <w:highlight w:val="none"/>
        </w:rPr>
        <w:t>）办理企业入库、数字证书及电子印章事宜，具体请在平台查阅相应的交易指引。</w:t>
      </w:r>
    </w:p>
    <w:p w14:paraId="2BFC4BF1">
      <w:pPr>
        <w:spacing w:before="37" w:line="329" w:lineRule="auto"/>
        <w:ind w:left="9" w:right="105" w:firstLine="507"/>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已入库企业有关信息（如单位名称、基本账号、资质、人员等）发生变化</w:t>
      </w:r>
      <w:r>
        <w:rPr>
          <w:rFonts w:hint="eastAsia" w:ascii="宋体" w:hAnsi="宋体" w:eastAsia="宋体" w:cs="宋体"/>
          <w:color w:val="auto"/>
          <w:spacing w:val="-3"/>
          <w:sz w:val="24"/>
          <w:szCs w:val="24"/>
          <w:highlight w:val="none"/>
        </w:rPr>
        <w:t>的，须</w:t>
      </w:r>
      <w:r>
        <w:rPr>
          <w:rFonts w:hint="eastAsia" w:ascii="宋体" w:hAnsi="宋体" w:eastAsia="宋体" w:cs="宋体"/>
          <w:color w:val="auto"/>
          <w:spacing w:val="-1"/>
          <w:sz w:val="24"/>
          <w:szCs w:val="24"/>
          <w:highlight w:val="none"/>
        </w:rPr>
        <w:t>及时在交易系统进行相应变更。投标人未及时变更信息而造成的</w:t>
      </w:r>
      <w:r>
        <w:rPr>
          <w:rFonts w:hint="eastAsia" w:ascii="宋体" w:hAnsi="宋体" w:eastAsia="宋体" w:cs="宋体"/>
          <w:color w:val="auto"/>
          <w:spacing w:val="-2"/>
          <w:sz w:val="24"/>
          <w:szCs w:val="24"/>
          <w:highlight w:val="none"/>
        </w:rPr>
        <w:t>损失和后果，由投标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人自行承担。</w:t>
      </w:r>
    </w:p>
    <w:p w14:paraId="3B9F37C6">
      <w:pPr>
        <w:spacing w:before="33" w:line="335" w:lineRule="auto"/>
        <w:ind w:left="10" w:right="105" w:firstLine="508"/>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电子印章：是指获得国家工业和信息化部颁发的《电子认证服务许可</w:t>
      </w:r>
      <w:r>
        <w:rPr>
          <w:rFonts w:hint="eastAsia" w:ascii="宋体" w:hAnsi="宋体" w:eastAsia="宋体" w:cs="宋体"/>
          <w:color w:val="auto"/>
          <w:spacing w:val="-3"/>
          <w:sz w:val="24"/>
          <w:szCs w:val="24"/>
          <w:highlight w:val="none"/>
        </w:rPr>
        <w:t>证》、国家</w:t>
      </w:r>
      <w:r>
        <w:rPr>
          <w:rFonts w:hint="eastAsia" w:ascii="宋体" w:hAnsi="宋体" w:eastAsia="宋体" w:cs="宋体"/>
          <w:color w:val="auto"/>
          <w:spacing w:val="-1"/>
          <w:sz w:val="24"/>
          <w:szCs w:val="24"/>
          <w:highlight w:val="none"/>
        </w:rPr>
        <w:t>密码管理局颁发的《电子认证服务使用密码许可证》等资质，</w:t>
      </w:r>
      <w:r>
        <w:rPr>
          <w:rFonts w:hint="eastAsia" w:ascii="宋体" w:hAnsi="宋体" w:eastAsia="宋体" w:cs="宋体"/>
          <w:color w:val="auto"/>
          <w:spacing w:val="-2"/>
          <w:sz w:val="24"/>
          <w:szCs w:val="24"/>
          <w:highlight w:val="none"/>
        </w:rPr>
        <w:t>具备承担因数字证书原</w:t>
      </w:r>
      <w:r>
        <w:rPr>
          <w:rFonts w:hint="eastAsia" w:ascii="宋体" w:hAnsi="宋体" w:eastAsia="宋体" w:cs="宋体"/>
          <w:color w:val="auto"/>
          <w:spacing w:val="-1"/>
          <w:sz w:val="24"/>
          <w:szCs w:val="24"/>
          <w:highlight w:val="none"/>
        </w:rPr>
        <w:t>因产生纠纷的相关责任的能力，且在广东省内具有数量基础和</w:t>
      </w:r>
      <w:r>
        <w:rPr>
          <w:rFonts w:hint="eastAsia" w:ascii="宋体" w:hAnsi="宋体" w:eastAsia="宋体" w:cs="宋体"/>
          <w:color w:val="auto"/>
          <w:spacing w:val="-2"/>
          <w:sz w:val="24"/>
          <w:szCs w:val="24"/>
          <w:highlight w:val="none"/>
        </w:rPr>
        <w:t>服务能力的依法设立的</w:t>
      </w:r>
      <w:r>
        <w:rPr>
          <w:rFonts w:hint="eastAsia" w:ascii="宋体" w:hAnsi="宋体" w:eastAsia="宋体" w:cs="宋体"/>
          <w:color w:val="auto"/>
          <w:spacing w:val="3"/>
          <w:sz w:val="24"/>
          <w:szCs w:val="24"/>
          <w:highlight w:val="none"/>
        </w:rPr>
        <w:t>电子认证服务机构签发的电子签章认证证书（即</w:t>
      </w:r>
      <w:r>
        <w:rPr>
          <w:rFonts w:hint="eastAsia" w:ascii="宋体" w:hAnsi="宋体" w:eastAsia="宋体" w:cs="宋体"/>
          <w:color w:val="auto"/>
          <w:sz w:val="24"/>
          <w:szCs w:val="24"/>
          <w:highlight w:val="none"/>
        </w:rPr>
        <w:t>CA</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3"/>
          <w:sz w:val="24"/>
          <w:szCs w:val="24"/>
          <w:highlight w:val="none"/>
        </w:rPr>
        <w:t>数字证书）。投标人应当到相关</w:t>
      </w:r>
      <w:r>
        <w:rPr>
          <w:rFonts w:hint="eastAsia" w:ascii="宋体" w:hAnsi="宋体" w:eastAsia="宋体" w:cs="宋体"/>
          <w:color w:val="auto"/>
          <w:spacing w:val="-1"/>
          <w:sz w:val="24"/>
          <w:szCs w:val="24"/>
          <w:highlight w:val="none"/>
        </w:rPr>
        <w:t>服务机构办理并取得数字证书介质和应用。电子印章包括机构</w:t>
      </w:r>
      <w:r>
        <w:rPr>
          <w:rFonts w:hint="eastAsia" w:ascii="宋体" w:hAnsi="宋体" w:eastAsia="宋体" w:cs="宋体"/>
          <w:color w:val="auto"/>
          <w:spacing w:val="-2"/>
          <w:sz w:val="24"/>
          <w:szCs w:val="24"/>
          <w:highlight w:val="none"/>
        </w:rPr>
        <w:t>法人电子形式印章，单</w:t>
      </w:r>
      <w:r>
        <w:rPr>
          <w:rFonts w:hint="eastAsia" w:ascii="宋体" w:hAnsi="宋体" w:eastAsia="宋体" w:cs="宋体"/>
          <w:color w:val="auto"/>
          <w:spacing w:val="-1"/>
          <w:sz w:val="24"/>
          <w:szCs w:val="24"/>
          <w:highlight w:val="none"/>
        </w:rPr>
        <w:t>位法定代表人、被委托人及其他个人的电子形式印章。电子印</w:t>
      </w:r>
      <w:r>
        <w:rPr>
          <w:rFonts w:hint="eastAsia" w:ascii="宋体" w:hAnsi="宋体" w:eastAsia="宋体" w:cs="宋体"/>
          <w:color w:val="auto"/>
          <w:spacing w:val="-2"/>
          <w:sz w:val="24"/>
          <w:szCs w:val="24"/>
          <w:highlight w:val="none"/>
        </w:rPr>
        <w:t>章与手写签名或者盖章</w:t>
      </w:r>
      <w:r>
        <w:rPr>
          <w:rFonts w:hint="eastAsia" w:ascii="宋体" w:hAnsi="宋体" w:eastAsia="宋体" w:cs="宋体"/>
          <w:color w:val="auto"/>
          <w:spacing w:val="-1"/>
          <w:sz w:val="24"/>
          <w:szCs w:val="24"/>
          <w:highlight w:val="none"/>
        </w:rPr>
        <w:t>具有同等的法律效力。</w:t>
      </w:r>
    </w:p>
    <w:p w14:paraId="05AB0BB7">
      <w:pPr>
        <w:spacing w:before="33" w:line="221"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3.3</w:t>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3"/>
          <w:sz w:val="24"/>
          <w:szCs w:val="24"/>
          <w:highlight w:val="none"/>
        </w:rPr>
        <w:t>投标保证</w:t>
      </w:r>
    </w:p>
    <w:p w14:paraId="050F418D">
      <w:pPr>
        <w:spacing w:before="152" w:line="280" w:lineRule="auto"/>
        <w:ind w:left="8" w:right="105"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3.3.1  </w:t>
      </w:r>
      <w:r>
        <w:rPr>
          <w:rFonts w:hint="eastAsia" w:ascii="宋体" w:hAnsi="宋体" w:eastAsia="宋体" w:cs="宋体"/>
          <w:color w:val="auto"/>
          <w:spacing w:val="-1"/>
          <w:sz w:val="24"/>
          <w:szCs w:val="24"/>
          <w:highlight w:val="none"/>
        </w:rPr>
        <w:t>投标人须缴纳金额为</w:t>
      </w:r>
      <w:r>
        <w:rPr>
          <w:rFonts w:hint="eastAsia" w:ascii="宋体" w:hAnsi="宋体" w:eastAsia="宋体" w:cs="宋体"/>
          <w:color w:val="auto"/>
          <w:spacing w:val="-1"/>
          <w:sz w:val="24"/>
          <w:szCs w:val="24"/>
          <w:highlight w:val="none"/>
          <w:u w:val="single"/>
          <w:lang w:val="en-US" w:eastAsia="zh-CN"/>
        </w:rPr>
        <w:t>10万元</w:t>
      </w:r>
      <w:r>
        <w:rPr>
          <w:rFonts w:hint="eastAsia" w:ascii="宋体" w:hAnsi="宋体" w:eastAsia="宋体" w:cs="宋体"/>
          <w:color w:val="auto"/>
          <w:spacing w:val="-1"/>
          <w:sz w:val="24"/>
          <w:szCs w:val="24"/>
          <w:highlight w:val="none"/>
        </w:rPr>
        <w:t xml:space="preserve">人民币的投标保证。 </w:t>
      </w:r>
    </w:p>
    <w:p w14:paraId="28067BD7">
      <w:pPr>
        <w:spacing w:before="35" w:line="325" w:lineRule="auto"/>
        <w:ind w:left="12" w:right="108" w:firstLine="471"/>
        <w:rPr>
          <w:rFonts w:hint="eastAsia" w:ascii="宋体" w:hAnsi="宋体" w:eastAsia="宋体" w:cs="宋体"/>
          <w:color w:val="auto"/>
          <w:highlight w:val="none"/>
        </w:rPr>
      </w:pPr>
      <w:r>
        <w:rPr>
          <w:rFonts w:hint="eastAsia" w:ascii="宋体" w:hAnsi="宋体" w:eastAsia="宋体" w:cs="宋体"/>
          <w:b/>
          <w:bCs/>
          <w:color w:val="auto"/>
          <w:spacing w:val="2"/>
          <w:sz w:val="24"/>
          <w:szCs w:val="24"/>
          <w:highlight w:val="none"/>
        </w:rPr>
        <w:t xml:space="preserve">3.3.2  </w:t>
      </w:r>
      <w:r>
        <w:rPr>
          <w:rFonts w:hint="eastAsia" w:ascii="宋体" w:hAnsi="宋体" w:eastAsia="宋体" w:cs="宋体"/>
          <w:color w:val="auto"/>
          <w:spacing w:val="2"/>
          <w:sz w:val="24"/>
          <w:szCs w:val="24"/>
          <w:highlight w:val="none"/>
        </w:rPr>
        <w:t>投标保证的形式包括投标保证金、投标保证担保、投标保证保险三种</w:t>
      </w:r>
      <w:r>
        <w:rPr>
          <w:rFonts w:hint="eastAsia" w:ascii="宋体" w:hAnsi="宋体" w:eastAsia="宋体" w:cs="宋体"/>
          <w:color w:val="auto"/>
          <w:spacing w:val="1"/>
          <w:sz w:val="24"/>
          <w:szCs w:val="24"/>
          <w:highlight w:val="none"/>
        </w:rPr>
        <w:t>，由</w:t>
      </w:r>
      <w:r>
        <w:rPr>
          <w:rFonts w:hint="eastAsia" w:ascii="宋体" w:hAnsi="宋体" w:eastAsia="宋体" w:cs="宋体"/>
          <w:color w:val="auto"/>
          <w:spacing w:val="-2"/>
          <w:sz w:val="24"/>
          <w:szCs w:val="24"/>
          <w:highlight w:val="none"/>
        </w:rPr>
        <w:t>投标人自主选择。</w:t>
      </w:r>
    </w:p>
    <w:p w14:paraId="353E08E8">
      <w:pPr>
        <w:spacing w:before="78" w:line="334" w:lineRule="auto"/>
        <w:ind w:left="12" w:right="2" w:firstLine="490"/>
        <w:jc w:val="both"/>
        <w:rPr>
          <w:rFonts w:hint="eastAsia" w:ascii="宋体" w:hAnsi="宋体" w:eastAsia="宋体" w:cs="宋体"/>
          <w:color w:val="auto"/>
          <w:spacing w:val="-1"/>
          <w:sz w:val="24"/>
          <w:szCs w:val="24"/>
          <w:highlight w:val="none"/>
        </w:rPr>
      </w:pPr>
      <w:bookmarkStart w:id="21" w:name="bookmark117"/>
      <w:bookmarkEnd w:id="21"/>
      <w:r>
        <w:rPr>
          <w:rFonts w:hint="eastAsia" w:ascii="宋体" w:hAnsi="宋体" w:eastAsia="宋体" w:cs="宋体"/>
          <w:color w:val="auto"/>
          <w:spacing w:val="2"/>
          <w:sz w:val="24"/>
          <w:szCs w:val="24"/>
          <w:highlight w:val="none"/>
        </w:rPr>
        <w:t>（1）采用投标保证金的，投标人在建设工程交易系统获取招</w:t>
      </w:r>
      <w:r>
        <w:rPr>
          <w:rFonts w:hint="eastAsia" w:ascii="宋体" w:hAnsi="宋体" w:eastAsia="宋体" w:cs="宋体"/>
          <w:color w:val="auto"/>
          <w:spacing w:val="1"/>
          <w:sz w:val="24"/>
          <w:szCs w:val="24"/>
          <w:highlight w:val="none"/>
        </w:rPr>
        <w:t>标文件完毕后，即</w:t>
      </w:r>
      <w:r>
        <w:rPr>
          <w:rFonts w:hint="eastAsia" w:ascii="宋体" w:hAnsi="宋体" w:eastAsia="宋体" w:cs="宋体"/>
          <w:color w:val="auto"/>
          <w:spacing w:val="-1"/>
          <w:sz w:val="24"/>
          <w:szCs w:val="24"/>
          <w:highlight w:val="none"/>
        </w:rPr>
        <w:t>可在系统申请缴纳投标保证金，获取本次招标投标保证金缴</w:t>
      </w:r>
      <w:r>
        <w:rPr>
          <w:rFonts w:hint="eastAsia" w:ascii="宋体" w:hAnsi="宋体" w:eastAsia="宋体" w:cs="宋体"/>
          <w:color w:val="auto"/>
          <w:spacing w:val="-2"/>
          <w:sz w:val="24"/>
          <w:szCs w:val="24"/>
          <w:highlight w:val="none"/>
        </w:rPr>
        <w:t>纳账号。投标人必须于投标保证金到账截</w:t>
      </w:r>
      <w:r>
        <w:rPr>
          <w:rFonts w:hint="eastAsia" w:ascii="宋体" w:hAnsi="宋体" w:eastAsia="宋体" w:cs="宋体"/>
          <w:color w:val="auto"/>
          <w:spacing w:val="-1"/>
          <w:sz w:val="24"/>
          <w:szCs w:val="24"/>
          <w:highlight w:val="none"/>
        </w:rPr>
        <w:t>止时间（见本招标文件“重要事项时间地点一览表 ”）前，从其基本账户将投标保证金转账到指定的缴纳账号。逾期到账的、从非投标人基本账户转出的，其投标无效。</w:t>
      </w:r>
    </w:p>
    <w:p w14:paraId="2D0F206B">
      <w:pPr>
        <w:spacing w:before="78" w:line="334" w:lineRule="auto"/>
        <w:ind w:left="12" w:right="2" w:firstLine="490"/>
        <w:jc w:val="both"/>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（2）采用投标保证担保的，投标人应提交有效的电子保函或保证保险，电子保函或保证保险的有效期不得短于投标有效期。投标人必须在投标保证担保截止时间（详见“重要事项时间地点一览表 ”）前，使用工程建设交易系统完成网上办理电子保函或保证保险。</w:t>
      </w:r>
    </w:p>
    <w:p w14:paraId="66F9AA94">
      <w:pPr>
        <w:spacing w:before="78" w:line="334" w:lineRule="auto"/>
        <w:ind w:left="12" w:right="2" w:firstLine="490"/>
        <w:jc w:val="both"/>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（3）采用投标保证保险的，投标人须在投标保证保险投保截止时间（见本招标文件“重要事项时间地点一览表 ”）前，使用建设工程交易系统完成网上投保。投标人可在系统选择保险机构、录入投保信息、支付保费、打印</w:t>
      </w:r>
      <w:r>
        <w:rPr>
          <w:rFonts w:hint="eastAsia" w:ascii="宋体" w:hAnsi="宋体" w:eastAsia="宋体" w:cs="宋体"/>
          <w:color w:val="auto"/>
          <w:spacing w:val="-2"/>
          <w:sz w:val="24"/>
          <w:szCs w:val="24"/>
          <w:highlight w:val="none"/>
        </w:rPr>
        <w:t>电子保单，电子保单的有</w:t>
      </w:r>
      <w:r>
        <w:rPr>
          <w:rFonts w:hint="eastAsia" w:ascii="宋体" w:hAnsi="宋体" w:eastAsia="宋体" w:cs="宋体"/>
          <w:color w:val="auto"/>
          <w:spacing w:val="-3"/>
          <w:sz w:val="24"/>
          <w:szCs w:val="24"/>
          <w:highlight w:val="none"/>
        </w:rPr>
        <w:t>效期不得短于投标有效期。投标人可登录全国公共资源交易平台（广东省 ·韶关市） （</w:t>
      </w:r>
      <w:r>
        <w:rPr>
          <w:rFonts w:hint="eastAsia" w:ascii="宋体" w:hAnsi="宋体" w:eastAsia="宋体" w:cs="宋体"/>
          <w:color w:val="auto"/>
          <w:spacing w:val="-3"/>
          <w:sz w:val="24"/>
          <w:szCs w:val="24"/>
          <w:highlight w:val="none"/>
        </w:rPr>
        <w:fldChar w:fldCharType="begin"/>
      </w:r>
      <w:r>
        <w:rPr>
          <w:rFonts w:hint="eastAsia" w:ascii="宋体" w:hAnsi="宋体" w:eastAsia="宋体" w:cs="宋体"/>
          <w:color w:val="auto"/>
          <w:spacing w:val="-3"/>
          <w:sz w:val="24"/>
          <w:szCs w:val="24"/>
          <w:highlight w:val="none"/>
        </w:rPr>
        <w:instrText xml:space="preserve"> HYPERLINK "https://ygp.gdzwfw.gov.cn/ggzy-portal/#/440200/index" </w:instrText>
      </w:r>
      <w:r>
        <w:rPr>
          <w:rFonts w:hint="eastAsia" w:ascii="宋体" w:hAnsi="宋体" w:eastAsia="宋体" w:cs="宋体"/>
          <w:color w:val="auto"/>
          <w:spacing w:val="-3"/>
          <w:sz w:val="24"/>
          <w:szCs w:val="24"/>
          <w:highlight w:val="none"/>
        </w:rPr>
        <w:fldChar w:fldCharType="separate"/>
      </w:r>
      <w:r>
        <w:rPr>
          <w:rFonts w:hint="eastAsia" w:ascii="宋体" w:hAnsi="宋体" w:eastAsia="宋体" w:cs="宋体"/>
          <w:color w:val="auto"/>
          <w:spacing w:val="-3"/>
          <w:sz w:val="24"/>
          <w:szCs w:val="24"/>
          <w:highlight w:val="none"/>
        </w:rPr>
        <w:t>https://ygp.gdzwfw.gov.cn/ggzy-portal/#/440200/index</w:t>
      </w:r>
      <w:r>
        <w:rPr>
          <w:rFonts w:hint="eastAsia" w:ascii="宋体" w:hAnsi="宋体" w:eastAsia="宋体" w:cs="宋体"/>
          <w:color w:val="auto"/>
          <w:spacing w:val="-3"/>
          <w:sz w:val="24"/>
          <w:szCs w:val="24"/>
          <w:highlight w:val="none"/>
        </w:rPr>
        <w:fldChar w:fldCharType="end"/>
      </w:r>
      <w:r>
        <w:rPr>
          <w:rFonts w:hint="eastAsia" w:ascii="宋体" w:hAnsi="宋体" w:eastAsia="宋体" w:cs="宋体"/>
          <w:color w:val="auto"/>
          <w:spacing w:val="-3"/>
          <w:sz w:val="24"/>
          <w:szCs w:val="24"/>
          <w:highlight w:val="none"/>
        </w:rPr>
        <w:t>），在【服务指南】栏 目中下载《建设工程网上交易系统保险保证金缴纳操作指南》，了解网上投保具体操 作流程。逾期投保的，其投标无效。</w:t>
      </w:r>
    </w:p>
    <w:p w14:paraId="6CFA3F60">
      <w:pPr>
        <w:spacing w:before="78" w:line="334" w:lineRule="auto"/>
        <w:ind w:left="12" w:right="2" w:firstLine="490"/>
        <w:jc w:val="both"/>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温馨提示：1.投标人采用投标保证担保或投标保证保险的，为避免在评标过程中因有效期发生争议，建议投标人将银行保函或电子保单有效期设置为较招标文件规定的投标有效期延长不少于 20 个日历天。</w:t>
      </w:r>
    </w:p>
    <w:p w14:paraId="06BEDC68">
      <w:pPr>
        <w:spacing w:before="78" w:line="334" w:lineRule="auto"/>
        <w:ind w:left="12" w:right="2" w:firstLine="490"/>
        <w:jc w:val="both"/>
        <w:rPr>
          <w:rFonts w:hint="eastAsia" w:ascii="宋体" w:hAnsi="宋体" w:eastAsia="宋体" w:cs="宋体"/>
          <w:color w:val="auto"/>
          <w:highlight w:val="none"/>
        </w:rPr>
      </w:pPr>
      <w:r>
        <w:rPr>
          <w:rFonts w:hint="eastAsia" w:ascii="宋体" w:hAnsi="宋体" w:eastAsia="宋体" w:cs="宋体"/>
          <w:b/>
          <w:bCs/>
          <w:color w:val="auto"/>
          <w:spacing w:val="-3"/>
          <w:sz w:val="24"/>
          <w:szCs w:val="24"/>
          <w:highlight w:val="none"/>
        </w:rPr>
        <w:t xml:space="preserve">3.4 </w:t>
      </w:r>
      <w:r>
        <w:rPr>
          <w:rFonts w:hint="eastAsia" w:ascii="宋体" w:hAnsi="宋体" w:eastAsia="宋体" w:cs="宋体"/>
          <w:color w:val="auto"/>
          <w:spacing w:val="-3"/>
          <w:sz w:val="24"/>
          <w:szCs w:val="24"/>
          <w:highlight w:val="none"/>
        </w:rPr>
        <w:t xml:space="preserve"> 若投标人因自身原因未能正确完成获取招标文件</w:t>
      </w:r>
      <w:r>
        <w:rPr>
          <w:rFonts w:hint="eastAsia" w:ascii="宋体" w:hAnsi="宋体" w:eastAsia="宋体" w:cs="宋体"/>
          <w:color w:val="auto"/>
          <w:sz w:val="24"/>
          <w:szCs w:val="24"/>
          <w:highlight w:val="none"/>
        </w:rPr>
        <w:t>、电子投标、缴纳投标保证</w:t>
      </w:r>
      <w:r>
        <w:rPr>
          <w:rFonts w:hint="eastAsia" w:ascii="宋体" w:hAnsi="宋体" w:eastAsia="宋体" w:cs="宋体"/>
          <w:color w:val="auto"/>
          <w:spacing w:val="-4"/>
          <w:sz w:val="24"/>
          <w:szCs w:val="24"/>
          <w:highlight w:val="none"/>
        </w:rPr>
        <w:t>的，其投标无效。</w:t>
      </w:r>
    </w:p>
    <w:p w14:paraId="31109792">
      <w:pPr>
        <w:spacing w:before="79" w:line="221" w:lineRule="auto"/>
        <w:ind w:left="487"/>
        <w:outlineLvl w:val="2"/>
        <w:rPr>
          <w:rFonts w:hint="eastAsia" w:ascii="宋体" w:hAnsi="宋体" w:eastAsia="宋体" w:cs="宋体"/>
          <w:color w:val="auto"/>
          <w:sz w:val="24"/>
          <w:szCs w:val="24"/>
          <w:highlight w:val="none"/>
        </w:rPr>
      </w:pPr>
      <w:bookmarkStart w:id="22" w:name="bookmark78"/>
      <w:bookmarkEnd w:id="22"/>
      <w:bookmarkStart w:id="23" w:name="bookmark64"/>
      <w:bookmarkEnd w:id="23"/>
      <w:bookmarkStart w:id="24" w:name="_Toc15498"/>
      <w:bookmarkStart w:id="25" w:name="_Toc8255"/>
      <w:r>
        <w:rPr>
          <w:rFonts w:hint="eastAsia" w:ascii="宋体" w:hAnsi="宋体" w:eastAsia="宋体" w:cs="宋体"/>
          <w:b/>
          <w:bCs/>
          <w:color w:val="auto"/>
          <w:spacing w:val="-8"/>
          <w:sz w:val="24"/>
          <w:szCs w:val="24"/>
          <w:highlight w:val="none"/>
        </w:rPr>
        <w:t>4</w:t>
      </w:r>
      <w:r>
        <w:rPr>
          <w:rFonts w:hint="eastAsia" w:ascii="宋体" w:hAnsi="宋体" w:eastAsia="宋体" w:cs="宋体"/>
          <w:b/>
          <w:bCs/>
          <w:color w:val="auto"/>
          <w:spacing w:val="-8"/>
          <w:sz w:val="24"/>
          <w:szCs w:val="24"/>
          <w:highlight w:val="none"/>
          <w:lang w:val="en-US" w:eastAsia="zh-CN"/>
        </w:rPr>
        <w:t xml:space="preserve"> </w:t>
      </w:r>
      <w:r>
        <w:rPr>
          <w:rFonts w:hint="eastAsia" w:ascii="宋体" w:hAnsi="宋体" w:eastAsia="宋体" w:cs="宋体"/>
          <w:b/>
          <w:bCs/>
          <w:color w:val="auto"/>
          <w:spacing w:val="-8"/>
          <w:sz w:val="24"/>
          <w:szCs w:val="24"/>
          <w:highlight w:val="none"/>
        </w:rPr>
        <w:t>．工期要求</w:t>
      </w:r>
      <w:bookmarkEnd w:id="24"/>
      <w:bookmarkEnd w:id="25"/>
    </w:p>
    <w:p w14:paraId="492DB599">
      <w:pPr>
        <w:spacing w:before="153" w:line="324" w:lineRule="auto"/>
        <w:ind w:left="30" w:right="65" w:firstLine="46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本招标项目招标工期为</w:t>
      </w:r>
      <w:r>
        <w:rPr>
          <w:rFonts w:hint="eastAsia" w:ascii="宋体" w:hAnsi="宋体" w:eastAsia="宋体" w:cs="宋体"/>
          <w:color w:val="auto"/>
          <w:spacing w:val="-2"/>
          <w:sz w:val="24"/>
          <w:szCs w:val="24"/>
          <w:highlight w:val="none"/>
          <w:u w:val="single"/>
          <w:lang w:val="en-US" w:eastAsia="zh-CN"/>
        </w:rPr>
        <w:t>180个日历天</w:t>
      </w:r>
      <w:r>
        <w:rPr>
          <w:rFonts w:hint="eastAsia" w:ascii="宋体" w:hAnsi="宋体" w:eastAsia="宋体" w:cs="宋体"/>
          <w:color w:val="auto"/>
          <w:spacing w:val="-2"/>
          <w:sz w:val="24"/>
          <w:szCs w:val="24"/>
          <w:highlight w:val="none"/>
        </w:rPr>
        <w:t>，中标人必须在招标工期内完成招标范围内</w:t>
      </w:r>
      <w:r>
        <w:rPr>
          <w:rFonts w:hint="eastAsia" w:ascii="宋体" w:hAnsi="宋体" w:eastAsia="宋体" w:cs="宋体"/>
          <w:color w:val="auto"/>
          <w:spacing w:val="-5"/>
          <w:sz w:val="24"/>
          <w:szCs w:val="24"/>
          <w:highlight w:val="none"/>
        </w:rPr>
        <w:t>的全部内容。</w:t>
      </w:r>
    </w:p>
    <w:p w14:paraId="6CEF653C">
      <w:pPr>
        <w:spacing w:before="78" w:line="219" w:lineRule="auto"/>
        <w:ind w:left="488"/>
        <w:outlineLvl w:val="2"/>
        <w:rPr>
          <w:rFonts w:hint="eastAsia" w:ascii="宋体" w:hAnsi="宋体" w:eastAsia="宋体" w:cs="宋体"/>
          <w:color w:val="auto"/>
          <w:sz w:val="24"/>
          <w:szCs w:val="24"/>
          <w:highlight w:val="none"/>
        </w:rPr>
      </w:pPr>
      <w:bookmarkStart w:id="26" w:name="_Toc11449"/>
      <w:bookmarkStart w:id="27" w:name="_Toc4154"/>
      <w:r>
        <w:rPr>
          <w:rFonts w:hint="eastAsia" w:ascii="宋体" w:hAnsi="宋体" w:eastAsia="宋体" w:cs="宋体"/>
          <w:b/>
          <w:bCs/>
          <w:color w:val="auto"/>
          <w:spacing w:val="-5"/>
          <w:sz w:val="24"/>
          <w:szCs w:val="24"/>
          <w:highlight w:val="none"/>
        </w:rPr>
        <w:t>5</w:t>
      </w:r>
      <w:r>
        <w:rPr>
          <w:rFonts w:hint="eastAsia" w:ascii="宋体" w:hAnsi="宋体" w:eastAsia="宋体" w:cs="宋体"/>
          <w:b/>
          <w:bCs/>
          <w:color w:val="auto"/>
          <w:spacing w:val="-5"/>
          <w:sz w:val="24"/>
          <w:szCs w:val="24"/>
          <w:highlight w:val="none"/>
          <w:lang w:val="en-US" w:eastAsia="zh-CN"/>
        </w:rPr>
        <w:t xml:space="preserve"> </w:t>
      </w:r>
      <w:r>
        <w:rPr>
          <w:rFonts w:hint="eastAsia" w:ascii="宋体" w:hAnsi="宋体" w:eastAsia="宋体" w:cs="宋体"/>
          <w:b/>
          <w:bCs/>
          <w:color w:val="auto"/>
          <w:spacing w:val="-5"/>
          <w:sz w:val="24"/>
          <w:szCs w:val="24"/>
          <w:highlight w:val="none"/>
        </w:rPr>
        <w:t>．质量标准和材料、机械要求</w:t>
      </w:r>
      <w:bookmarkEnd w:id="26"/>
      <w:bookmarkEnd w:id="27"/>
    </w:p>
    <w:p w14:paraId="6580E484">
      <w:pPr>
        <w:spacing w:before="154" w:line="279" w:lineRule="auto"/>
        <w:ind w:left="11" w:right="99" w:firstLine="47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5.1  </w:t>
      </w:r>
      <w:r>
        <w:rPr>
          <w:rFonts w:hint="eastAsia" w:ascii="宋体" w:hAnsi="宋体" w:eastAsia="宋体" w:cs="宋体"/>
          <w:color w:val="auto"/>
          <w:sz w:val="24"/>
          <w:szCs w:val="24"/>
          <w:highlight w:val="none"/>
        </w:rPr>
        <w:t>施工工艺严格按照国家和广东省的有关现行施工技术规范及标准执行，工程</w:t>
      </w:r>
      <w:r>
        <w:rPr>
          <w:rFonts w:hint="eastAsia" w:ascii="宋体" w:hAnsi="宋体" w:eastAsia="宋体" w:cs="宋体"/>
          <w:color w:val="auto"/>
          <w:spacing w:val="-1"/>
          <w:sz w:val="24"/>
          <w:szCs w:val="24"/>
          <w:highlight w:val="none"/>
        </w:rPr>
        <w:t>质量标准须达到</w:t>
      </w:r>
      <w:r>
        <w:rPr>
          <w:rFonts w:hint="eastAsia" w:ascii="宋体" w:hAnsi="宋体" w:eastAsia="宋体" w:cs="宋体"/>
          <w:color w:val="auto"/>
          <w:spacing w:val="-1"/>
          <w:sz w:val="24"/>
          <w:szCs w:val="24"/>
          <w:highlight w:val="none"/>
          <w:u w:val="single"/>
          <w:lang w:val="en-US" w:eastAsia="zh-CN"/>
        </w:rPr>
        <w:t>《建筑工程施工质量验收统一标准》(GB50300-2013)并且合格</w:t>
      </w:r>
      <w:r>
        <w:rPr>
          <w:rFonts w:hint="eastAsia"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1"/>
          <w:sz w:val="24"/>
          <w:szCs w:val="24"/>
          <w:highlight w:val="none"/>
        </w:rPr>
        <w:t>。</w:t>
      </w:r>
    </w:p>
    <w:p w14:paraId="549FF2FB">
      <w:pPr>
        <w:spacing w:before="154" w:line="279" w:lineRule="auto"/>
        <w:ind w:left="10" w:right="99"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5.2</w:t>
      </w:r>
      <w:r>
        <w:rPr>
          <w:rFonts w:hint="eastAsia" w:ascii="宋体" w:hAnsi="宋体" w:eastAsia="宋体" w:cs="宋体"/>
          <w:b/>
          <w:bCs/>
          <w:color w:val="auto"/>
          <w:spacing w:val="21"/>
          <w:w w:val="101"/>
          <w:sz w:val="24"/>
          <w:szCs w:val="24"/>
          <w:highlight w:val="none"/>
        </w:rPr>
        <w:t xml:space="preserve">  </w:t>
      </w:r>
      <w:r>
        <w:rPr>
          <w:rFonts w:hint="eastAsia" w:ascii="宋体" w:hAnsi="宋体" w:eastAsia="宋体" w:cs="宋体"/>
          <w:color w:val="auto"/>
          <w:spacing w:val="-3"/>
          <w:sz w:val="24"/>
          <w:szCs w:val="24"/>
          <w:highlight w:val="none"/>
        </w:rPr>
        <w:t>中标人在施工中如果工程质量不符合设计要求和有关规定，招标人或监理单</w:t>
      </w:r>
      <w:r>
        <w:rPr>
          <w:rFonts w:hint="eastAsia" w:ascii="宋体" w:hAnsi="宋体" w:eastAsia="宋体" w:cs="宋体"/>
          <w:color w:val="auto"/>
          <w:sz w:val="24"/>
          <w:szCs w:val="24"/>
          <w:highlight w:val="none"/>
        </w:rPr>
        <w:t>位要求停工和返工的必须立即执行，并承担由此产生的各</w:t>
      </w:r>
      <w:r>
        <w:rPr>
          <w:rFonts w:hint="eastAsia" w:ascii="宋体" w:hAnsi="宋体" w:eastAsia="宋体" w:cs="宋体"/>
          <w:color w:val="auto"/>
          <w:spacing w:val="-1"/>
          <w:sz w:val="24"/>
          <w:szCs w:val="24"/>
          <w:highlight w:val="none"/>
        </w:rPr>
        <w:t>种费用，工期不予顺延。</w:t>
      </w:r>
    </w:p>
    <w:p w14:paraId="1B48C340">
      <w:pPr>
        <w:spacing w:before="152" w:line="309" w:lineRule="auto"/>
        <w:ind w:left="9" w:firstLine="568"/>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6"/>
          <w:sz w:val="24"/>
          <w:szCs w:val="24"/>
          <w:highlight w:val="none"/>
        </w:rPr>
        <w:t xml:space="preserve">5.3  </w:t>
      </w:r>
      <w:r>
        <w:rPr>
          <w:rFonts w:hint="eastAsia" w:ascii="宋体" w:hAnsi="宋体" w:eastAsia="宋体" w:cs="宋体"/>
          <w:color w:val="auto"/>
          <w:spacing w:val="-6"/>
          <w:sz w:val="24"/>
          <w:szCs w:val="24"/>
          <w:highlight w:val="none"/>
        </w:rPr>
        <w:t>保修期限按《建设工程质量管理条例》（中华人民共和国国务院令第</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6"/>
          <w:sz w:val="24"/>
          <w:szCs w:val="24"/>
          <w:highlight w:val="none"/>
        </w:rPr>
        <w:t>279</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6"/>
          <w:sz w:val="24"/>
          <w:szCs w:val="24"/>
          <w:highlight w:val="none"/>
        </w:rPr>
        <w:t>号）</w:t>
      </w:r>
      <w:r>
        <w:rPr>
          <w:rFonts w:hint="eastAsia" w:ascii="宋体" w:hAnsi="宋体" w:eastAsia="宋体" w:cs="宋体"/>
          <w:color w:val="auto"/>
          <w:spacing w:val="-1"/>
          <w:sz w:val="24"/>
          <w:szCs w:val="24"/>
          <w:highlight w:val="none"/>
        </w:rPr>
        <w:t>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6F4EC01E">
      <w:pPr>
        <w:spacing w:before="152" w:line="309" w:lineRule="auto"/>
        <w:ind w:left="9" w:firstLine="568"/>
        <w:rPr>
          <w:rFonts w:hint="eastAsia" w:ascii="宋体" w:hAnsi="宋体" w:eastAsia="宋体" w:cs="宋体"/>
          <w:color w:val="auto"/>
          <w:spacing w:val="-6"/>
          <w:sz w:val="24"/>
          <w:szCs w:val="24"/>
          <w:highlight w:val="none"/>
        </w:rPr>
      </w:pPr>
      <w:r>
        <w:rPr>
          <w:rFonts w:hint="eastAsia" w:ascii="宋体" w:hAnsi="宋体" w:eastAsia="宋体" w:cs="宋体"/>
          <w:b/>
          <w:bCs/>
          <w:color w:val="auto"/>
          <w:spacing w:val="-1"/>
          <w:sz w:val="24"/>
          <w:szCs w:val="24"/>
          <w:highlight w:val="none"/>
        </w:rPr>
        <w:t>5.4</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6"/>
          <w:sz w:val="24"/>
          <w:szCs w:val="24"/>
          <w:highlight w:val="none"/>
          <w:lang w:val="en-US" w:eastAsia="zh-CN"/>
        </w:rPr>
        <w:t>根据韶关市人民政府《关于加快推进全市绿色建筑发展工作的通知》（韶府办明电〔2013〕277 号）有关规定，结合《韶关市住建管理局关于贯彻落实&lt;广东省绿色建筑条例&gt;有关工作的通知》（韶市建字〔2021〕85 号）等有关规定，</w:t>
      </w:r>
      <w:r>
        <w:rPr>
          <w:rFonts w:hint="eastAsia" w:ascii="宋体" w:hAnsi="宋体" w:eastAsia="宋体" w:cs="宋体"/>
          <w:color w:val="auto"/>
          <w:spacing w:val="-6"/>
          <w:sz w:val="24"/>
          <w:szCs w:val="24"/>
          <w:highlight w:val="none"/>
        </w:rPr>
        <w:t>本招标项目</w:t>
      </w:r>
      <w:r>
        <w:rPr>
          <w:rFonts w:hint="eastAsia" w:ascii="宋体" w:hAnsi="宋体" w:eastAsia="宋体" w:cs="宋体"/>
          <w:color w:val="auto"/>
          <w:spacing w:val="-6"/>
          <w:sz w:val="24"/>
          <w:szCs w:val="24"/>
          <w:highlight w:val="none"/>
          <w:lang w:val="en-US" w:eastAsia="zh-CN"/>
        </w:rPr>
        <w:t>不</w:t>
      </w:r>
      <w:r>
        <w:rPr>
          <w:rFonts w:hint="eastAsia" w:ascii="宋体" w:hAnsi="宋体" w:eastAsia="宋体" w:cs="宋体"/>
          <w:color w:val="auto"/>
          <w:spacing w:val="-6"/>
          <w:sz w:val="24"/>
          <w:szCs w:val="24"/>
          <w:highlight w:val="none"/>
        </w:rPr>
        <w:t>纳入绿色建设实施范围</w:t>
      </w:r>
      <w:r>
        <w:rPr>
          <w:rFonts w:hint="eastAsia" w:ascii="宋体" w:hAnsi="宋体" w:eastAsia="宋体" w:cs="宋体"/>
          <w:color w:val="auto"/>
          <w:spacing w:val="-6"/>
          <w:sz w:val="24"/>
          <w:szCs w:val="24"/>
          <w:highlight w:val="none"/>
          <w:lang w:eastAsia="zh-CN"/>
        </w:rPr>
        <w:t>。</w:t>
      </w:r>
    </w:p>
    <w:p w14:paraId="3EA8CECA">
      <w:pPr>
        <w:spacing w:before="152" w:line="309" w:lineRule="auto"/>
        <w:ind w:left="9" w:firstLine="568"/>
        <w:rPr>
          <w:rFonts w:hint="eastAsia" w:ascii="宋体" w:hAnsi="宋体" w:eastAsia="宋体" w:cs="宋体"/>
          <w:color w:val="auto"/>
          <w:spacing w:val="-1"/>
          <w:sz w:val="24"/>
          <w:szCs w:val="24"/>
          <w:highlight w:val="none"/>
          <w:lang w:val="en-US" w:eastAsia="zh-CN"/>
        </w:rPr>
      </w:pPr>
      <w:r>
        <w:rPr>
          <w:rFonts w:hint="eastAsia" w:ascii="宋体" w:hAnsi="宋体" w:eastAsia="宋体" w:cs="宋体"/>
          <w:b/>
          <w:bCs/>
          <w:color w:val="auto"/>
          <w:spacing w:val="-1"/>
          <w:sz w:val="24"/>
          <w:szCs w:val="24"/>
          <w:highlight w:val="none"/>
        </w:rPr>
        <w:t>5.5</w:t>
      </w:r>
      <w:r>
        <w:rPr>
          <w:rFonts w:hint="eastAsia" w:ascii="宋体" w:hAnsi="宋体" w:eastAsia="宋体" w:cs="宋体"/>
          <w:color w:val="auto"/>
          <w:spacing w:val="-1"/>
          <w:sz w:val="24"/>
          <w:szCs w:val="24"/>
          <w:highlight w:val="none"/>
        </w:rPr>
        <w:t xml:space="preserve">  其它：</w:t>
      </w:r>
      <w:r>
        <w:rPr>
          <w:rFonts w:hint="eastAsia" w:ascii="宋体" w:hAnsi="宋体" w:eastAsia="宋体" w:cs="宋体"/>
          <w:color w:val="auto"/>
          <w:spacing w:val="-1"/>
          <w:sz w:val="24"/>
          <w:szCs w:val="24"/>
          <w:highlight w:val="none"/>
          <w:lang w:eastAsia="zh-CN"/>
        </w:rPr>
        <w:t>本招标项目</w:t>
      </w:r>
      <w:r>
        <w:rPr>
          <w:rFonts w:hint="eastAsia" w:ascii="宋体" w:hAnsi="宋体" w:eastAsia="宋体" w:cs="宋体"/>
          <w:color w:val="auto"/>
          <w:spacing w:val="-1"/>
          <w:sz w:val="24"/>
          <w:szCs w:val="24"/>
          <w:highlight w:val="none"/>
          <w:lang w:val="en-US" w:eastAsia="zh-CN"/>
        </w:rPr>
        <w:t>不</w:t>
      </w:r>
      <w:r>
        <w:rPr>
          <w:rFonts w:hint="eastAsia" w:ascii="宋体" w:hAnsi="宋体" w:eastAsia="宋体" w:cs="宋体"/>
          <w:color w:val="auto"/>
          <w:spacing w:val="-1"/>
          <w:sz w:val="24"/>
          <w:szCs w:val="24"/>
          <w:highlight w:val="none"/>
          <w:lang w:eastAsia="zh-CN"/>
        </w:rPr>
        <w:t>纳入装配式建造建设实施范围。</w:t>
      </w:r>
    </w:p>
    <w:p w14:paraId="529B9570">
      <w:pPr>
        <w:spacing w:before="152" w:line="309" w:lineRule="auto"/>
        <w:ind w:left="9" w:firstLine="568"/>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5.6</w:t>
      </w:r>
      <w:r>
        <w:rPr>
          <w:rFonts w:hint="eastAsia" w:ascii="宋体" w:hAnsi="宋体" w:eastAsia="宋体" w:cs="宋体"/>
          <w:color w:val="auto"/>
          <w:spacing w:val="-1"/>
          <w:sz w:val="24"/>
          <w:szCs w:val="24"/>
          <w:highlight w:val="none"/>
        </w:rPr>
        <w:t xml:space="preserve">  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则中标人必须使用合格材料或设备。</w:t>
      </w:r>
    </w:p>
    <w:p w14:paraId="7DD80F84">
      <w:pPr>
        <w:spacing w:before="152" w:line="309" w:lineRule="auto"/>
        <w:ind w:left="9" w:firstLine="568"/>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5.</w:t>
      </w:r>
      <w:r>
        <w:rPr>
          <w:rFonts w:hint="eastAsia" w:ascii="宋体" w:hAnsi="宋体" w:eastAsia="宋体" w:cs="宋体"/>
          <w:b/>
          <w:bCs/>
          <w:color w:val="auto"/>
          <w:spacing w:val="-1"/>
          <w:sz w:val="24"/>
          <w:szCs w:val="24"/>
          <w:highlight w:val="none"/>
          <w:lang w:eastAsia="zh-CN"/>
        </w:rPr>
        <w:t>7</w:t>
      </w:r>
      <w:r>
        <w:rPr>
          <w:rFonts w:hint="eastAsia" w:ascii="宋体" w:hAnsi="宋体" w:eastAsia="宋体" w:cs="宋体"/>
          <w:color w:val="auto"/>
          <w:spacing w:val="-1"/>
          <w:sz w:val="24"/>
          <w:szCs w:val="24"/>
          <w:highlight w:val="none"/>
        </w:rPr>
        <w:t xml:space="preserve"> 工程使用的主要材料质量要求：不低于强制标准、招标工程量清单所列的要求，主要材料必须先提供样板或相关资料给招标人和监理工程师验收，同意确定其规格、型号、颜色、等级等，并经发包人委托的第三方检测部门检测合格方可使用，所有材料必须使用合格产品。</w:t>
      </w:r>
    </w:p>
    <w:p w14:paraId="4A8A6FE1">
      <w:pPr>
        <w:spacing w:before="78" w:line="220" w:lineRule="auto"/>
        <w:ind w:left="489"/>
        <w:outlineLvl w:val="2"/>
        <w:rPr>
          <w:rFonts w:hint="eastAsia" w:ascii="宋体" w:hAnsi="宋体" w:eastAsia="宋体" w:cs="宋体"/>
          <w:color w:val="auto"/>
          <w:sz w:val="24"/>
          <w:szCs w:val="24"/>
          <w:highlight w:val="none"/>
        </w:rPr>
      </w:pPr>
      <w:bookmarkStart w:id="28" w:name="_Toc21146"/>
      <w:bookmarkStart w:id="29" w:name="_Toc7763"/>
      <w:r>
        <w:rPr>
          <w:rFonts w:hint="eastAsia" w:ascii="宋体" w:hAnsi="宋体" w:eastAsia="宋体" w:cs="宋体"/>
          <w:b/>
          <w:bCs/>
          <w:color w:val="auto"/>
          <w:spacing w:val="-6"/>
          <w:sz w:val="24"/>
          <w:szCs w:val="24"/>
          <w:highlight w:val="none"/>
        </w:rPr>
        <w:t>6</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b/>
          <w:bCs/>
          <w:color w:val="auto"/>
          <w:spacing w:val="-6"/>
          <w:sz w:val="24"/>
          <w:szCs w:val="24"/>
          <w:highlight w:val="none"/>
        </w:rPr>
        <w:t>．施工条件及现场踏勘</w:t>
      </w:r>
      <w:bookmarkEnd w:id="28"/>
      <w:bookmarkEnd w:id="29"/>
    </w:p>
    <w:p w14:paraId="4C828FEF">
      <w:pPr>
        <w:spacing w:before="155" w:line="324" w:lineRule="auto"/>
        <w:ind w:left="12" w:right="99" w:firstLine="55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6.1  </w:t>
      </w:r>
      <w:r>
        <w:rPr>
          <w:rFonts w:hint="eastAsia" w:ascii="宋体" w:hAnsi="宋体" w:eastAsia="宋体" w:cs="宋体"/>
          <w:color w:val="auto"/>
          <w:spacing w:val="-2"/>
          <w:sz w:val="24"/>
          <w:szCs w:val="24"/>
          <w:highlight w:val="none"/>
        </w:rPr>
        <w:t>招标人仅在本招标项目征地红线范围内提供场地，其他一切场地费用由中标人自行负责（含临时道路）。</w:t>
      </w:r>
    </w:p>
    <w:p w14:paraId="2BD082AA">
      <w:pPr>
        <w:spacing w:before="155" w:line="324" w:lineRule="auto"/>
        <w:ind w:left="12" w:right="99" w:firstLine="556"/>
        <w:rPr>
          <w:rFonts w:hint="eastAsia" w:ascii="宋体" w:hAnsi="宋体" w:eastAsia="宋体" w:cs="宋体"/>
          <w:color w:val="auto"/>
          <w:spacing w:val="-2"/>
          <w:sz w:val="24"/>
          <w:szCs w:val="24"/>
          <w:highlight w:val="none"/>
        </w:rPr>
      </w:pPr>
      <w:bookmarkStart w:id="30" w:name="bookmark118"/>
      <w:bookmarkEnd w:id="30"/>
      <w:r>
        <w:rPr>
          <w:rFonts w:hint="eastAsia" w:ascii="宋体" w:hAnsi="宋体" w:eastAsia="宋体" w:cs="宋体"/>
          <w:b/>
          <w:bCs/>
          <w:color w:val="auto"/>
          <w:spacing w:val="-2"/>
          <w:sz w:val="24"/>
          <w:szCs w:val="24"/>
          <w:highlight w:val="none"/>
        </w:rPr>
        <w:t>6.2</w:t>
      </w:r>
      <w:r>
        <w:rPr>
          <w:rFonts w:hint="eastAsia" w:ascii="宋体" w:hAnsi="宋体" w:eastAsia="宋体" w:cs="宋体"/>
          <w:color w:val="auto"/>
          <w:spacing w:val="-2"/>
          <w:sz w:val="24"/>
          <w:szCs w:val="24"/>
          <w:highlight w:val="none"/>
        </w:rPr>
        <w:t xml:space="preserve">  施工用水：</w:t>
      </w:r>
      <w:r>
        <w:rPr>
          <w:rFonts w:hint="eastAsia" w:ascii="宋体" w:hAnsi="宋体" w:eastAsia="宋体" w:cs="宋体"/>
          <w:color w:val="auto"/>
          <w:spacing w:val="-2"/>
          <w:sz w:val="24"/>
          <w:szCs w:val="24"/>
          <w:highlight w:val="none"/>
          <w:u w:val="single"/>
        </w:rPr>
        <w:t xml:space="preserve"> 由中标人自行解决，费用考虑在投标报价中</w:t>
      </w:r>
      <w:r>
        <w:rPr>
          <w:rFonts w:hint="eastAsia" w:ascii="宋体" w:hAnsi="宋体" w:eastAsia="宋体" w:cs="宋体"/>
          <w:color w:val="auto"/>
          <w:spacing w:val="-2"/>
          <w:sz w:val="24"/>
          <w:szCs w:val="24"/>
          <w:highlight w:val="none"/>
        </w:rPr>
        <w:t>。</w:t>
      </w:r>
    </w:p>
    <w:p w14:paraId="1C5809E9">
      <w:pPr>
        <w:spacing w:before="155" w:line="324" w:lineRule="auto"/>
        <w:ind w:left="12" w:right="99" w:firstLine="55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6.3</w:t>
      </w:r>
      <w:r>
        <w:rPr>
          <w:rFonts w:hint="eastAsia" w:ascii="宋体" w:hAnsi="宋体" w:eastAsia="宋体" w:cs="宋体"/>
          <w:color w:val="auto"/>
          <w:spacing w:val="-2"/>
          <w:sz w:val="24"/>
          <w:szCs w:val="24"/>
          <w:highlight w:val="none"/>
        </w:rPr>
        <w:t xml:space="preserve">  施工用电：</w:t>
      </w:r>
      <w:r>
        <w:rPr>
          <w:rFonts w:hint="eastAsia" w:ascii="宋体" w:hAnsi="宋体" w:eastAsia="宋体" w:cs="宋体"/>
          <w:color w:val="auto"/>
          <w:spacing w:val="-2"/>
          <w:sz w:val="24"/>
          <w:szCs w:val="24"/>
          <w:highlight w:val="none"/>
          <w:u w:val="single"/>
        </w:rPr>
        <w:t xml:space="preserve"> 由中标人自行解决，费用考虑在投标报价中</w:t>
      </w:r>
      <w:r>
        <w:rPr>
          <w:rFonts w:hint="eastAsia" w:ascii="宋体" w:hAnsi="宋体" w:eastAsia="宋体" w:cs="宋体"/>
          <w:color w:val="auto"/>
          <w:spacing w:val="-2"/>
          <w:sz w:val="24"/>
          <w:szCs w:val="24"/>
          <w:highlight w:val="none"/>
        </w:rPr>
        <w:t>。</w:t>
      </w:r>
    </w:p>
    <w:p w14:paraId="189BF34C">
      <w:pPr>
        <w:spacing w:before="154" w:line="299" w:lineRule="auto"/>
        <w:ind w:left="9" w:right="16"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6.</w:t>
      </w:r>
      <w:r>
        <w:rPr>
          <w:rFonts w:hint="eastAsia" w:ascii="宋体" w:hAnsi="宋体" w:eastAsia="宋体" w:cs="宋体"/>
          <w:b/>
          <w:bCs/>
          <w:color w:val="auto"/>
          <w:spacing w:val="-2"/>
          <w:sz w:val="24"/>
          <w:szCs w:val="24"/>
          <w:highlight w:val="none"/>
          <w:lang w:val="en-US" w:eastAsia="zh-CN"/>
        </w:rPr>
        <w:t>4</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招标人不组织现场踏勘，</w:t>
      </w:r>
      <w:r>
        <w:rPr>
          <w:rFonts w:hint="eastAsia" w:ascii="宋体" w:hAnsi="宋体" w:eastAsia="宋体" w:cs="宋体"/>
          <w:color w:val="auto"/>
          <w:sz w:val="24"/>
          <w:szCs w:val="24"/>
          <w:highlight w:val="none"/>
        </w:rPr>
        <w:t>投标人需要了解现场情况的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pacing w:val="-1"/>
          <w:sz w:val="24"/>
          <w:szCs w:val="24"/>
          <w:highlight w:val="none"/>
        </w:rPr>
        <w:t>可自行进行现场踏勘。</w:t>
      </w:r>
    </w:p>
    <w:p w14:paraId="29077E9E">
      <w:pPr>
        <w:spacing w:before="153" w:line="280" w:lineRule="auto"/>
        <w:ind w:left="9" w:right="16"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6.</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在现场踏勘过程中，投标人应确保自身安全，投标人如果发生人身伤亡、财</w:t>
      </w:r>
      <w:r>
        <w:rPr>
          <w:rFonts w:hint="eastAsia" w:ascii="宋体" w:hAnsi="宋体" w:eastAsia="宋体" w:cs="宋体"/>
          <w:color w:val="auto"/>
          <w:spacing w:val="-1"/>
          <w:sz w:val="24"/>
          <w:szCs w:val="24"/>
          <w:highlight w:val="none"/>
        </w:rPr>
        <w:t>物或其他损失，法律法规有规定的按有关规定处理，没有规定</w:t>
      </w:r>
      <w:r>
        <w:rPr>
          <w:rFonts w:hint="eastAsia" w:ascii="宋体" w:hAnsi="宋体" w:eastAsia="宋体" w:cs="宋体"/>
          <w:color w:val="auto"/>
          <w:spacing w:val="-2"/>
          <w:sz w:val="24"/>
          <w:szCs w:val="24"/>
          <w:highlight w:val="none"/>
        </w:rPr>
        <w:t>的由投标人自行负责。</w:t>
      </w:r>
    </w:p>
    <w:p w14:paraId="1B002D65">
      <w:pPr>
        <w:spacing w:before="153" w:line="220" w:lineRule="auto"/>
        <w:ind w:left="568"/>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6.</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现场踏勘期间的交通、食宿由投标人</w:t>
      </w:r>
      <w:r>
        <w:rPr>
          <w:rFonts w:hint="eastAsia" w:ascii="宋体" w:hAnsi="宋体" w:eastAsia="宋体" w:cs="宋体"/>
          <w:color w:val="auto"/>
          <w:spacing w:val="-1"/>
          <w:sz w:val="24"/>
          <w:szCs w:val="24"/>
          <w:highlight w:val="none"/>
        </w:rPr>
        <w:t>自行安排，费用自理。</w:t>
      </w:r>
    </w:p>
    <w:p w14:paraId="35DD5CF7">
      <w:pPr>
        <w:spacing w:before="78" w:line="220" w:lineRule="auto"/>
        <w:ind w:left="488"/>
        <w:outlineLvl w:val="2"/>
        <w:rPr>
          <w:rFonts w:hint="eastAsia" w:ascii="宋体" w:hAnsi="宋体" w:eastAsia="宋体" w:cs="宋体"/>
          <w:color w:val="auto"/>
          <w:sz w:val="24"/>
          <w:szCs w:val="24"/>
          <w:highlight w:val="none"/>
        </w:rPr>
      </w:pPr>
      <w:bookmarkStart w:id="31" w:name="bookmark69"/>
      <w:bookmarkEnd w:id="31"/>
      <w:bookmarkStart w:id="32" w:name="bookmark67"/>
      <w:bookmarkEnd w:id="32"/>
      <w:bookmarkStart w:id="33" w:name="bookmark81"/>
      <w:bookmarkEnd w:id="33"/>
      <w:bookmarkStart w:id="34" w:name="_Toc24768"/>
      <w:bookmarkStart w:id="35" w:name="_Toc15543"/>
      <w:r>
        <w:rPr>
          <w:rFonts w:hint="eastAsia" w:ascii="宋体" w:hAnsi="宋体" w:eastAsia="宋体" w:cs="宋体"/>
          <w:b/>
          <w:bCs/>
          <w:color w:val="auto"/>
          <w:spacing w:val="-5"/>
          <w:sz w:val="24"/>
          <w:szCs w:val="24"/>
          <w:highlight w:val="none"/>
        </w:rPr>
        <w:t>7</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5"/>
          <w:sz w:val="24"/>
          <w:szCs w:val="24"/>
          <w:highlight w:val="none"/>
        </w:rPr>
        <w:t>．招标文件的提问和答疑</w:t>
      </w:r>
      <w:bookmarkEnd w:id="34"/>
      <w:bookmarkEnd w:id="35"/>
    </w:p>
    <w:p w14:paraId="318A4AA7">
      <w:pPr>
        <w:spacing w:before="153" w:line="299" w:lineRule="auto"/>
        <w:ind w:left="9" w:right="16" w:firstLine="478"/>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7.1  </w:t>
      </w:r>
      <w:r>
        <w:rPr>
          <w:rFonts w:hint="eastAsia" w:ascii="宋体" w:hAnsi="宋体" w:eastAsia="宋体" w:cs="宋体"/>
          <w:color w:val="auto"/>
          <w:sz w:val="24"/>
          <w:szCs w:val="24"/>
          <w:highlight w:val="none"/>
        </w:rPr>
        <w:t>投标人若对招标文件（含施工图、招标工程量清单）有疑问，应在提问截止</w:t>
      </w:r>
      <w:r>
        <w:rPr>
          <w:rFonts w:hint="eastAsia" w:ascii="宋体" w:hAnsi="宋体" w:eastAsia="宋体" w:cs="宋体"/>
          <w:color w:val="auto"/>
          <w:spacing w:val="-2"/>
          <w:sz w:val="24"/>
          <w:szCs w:val="24"/>
          <w:highlight w:val="none"/>
        </w:rPr>
        <w:t>时间（见本章第二节“重要事项时间地点一览表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”）前使用建设工程交易</w:t>
      </w:r>
      <w:r>
        <w:rPr>
          <w:rFonts w:hint="eastAsia" w:ascii="宋体" w:hAnsi="宋体" w:eastAsia="宋体" w:cs="宋体"/>
          <w:color w:val="auto"/>
          <w:spacing w:val="-3"/>
          <w:sz w:val="24"/>
          <w:szCs w:val="24"/>
          <w:highlight w:val="none"/>
        </w:rPr>
        <w:t>系统提出问</w:t>
      </w:r>
      <w:r>
        <w:rPr>
          <w:rFonts w:hint="eastAsia" w:ascii="宋体" w:hAnsi="宋体" w:eastAsia="宋体" w:cs="宋体"/>
          <w:color w:val="auto"/>
          <w:spacing w:val="-1"/>
          <w:sz w:val="24"/>
          <w:szCs w:val="24"/>
          <w:highlight w:val="none"/>
        </w:rPr>
        <w:t>题。未在指定时间前、未采用指定方式提出的，招标人不予受理。</w:t>
      </w:r>
    </w:p>
    <w:p w14:paraId="0C4E75E3">
      <w:pPr>
        <w:spacing w:before="154" w:line="309" w:lineRule="auto"/>
        <w:ind w:left="9" w:right="16"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7.2  </w:t>
      </w:r>
      <w:r>
        <w:rPr>
          <w:rFonts w:hint="eastAsia" w:ascii="宋体" w:hAnsi="宋体" w:eastAsia="宋体" w:cs="宋体"/>
          <w:color w:val="auto"/>
          <w:spacing w:val="-1"/>
          <w:sz w:val="24"/>
          <w:szCs w:val="24"/>
          <w:highlight w:val="none"/>
        </w:rPr>
        <w:t>招标人在提问截止时间（见本章第二节“重要</w:t>
      </w:r>
      <w:r>
        <w:rPr>
          <w:rFonts w:hint="eastAsia" w:ascii="宋体" w:hAnsi="宋体" w:eastAsia="宋体" w:cs="宋体"/>
          <w:color w:val="auto"/>
          <w:spacing w:val="-2"/>
          <w:sz w:val="24"/>
          <w:szCs w:val="24"/>
          <w:highlight w:val="none"/>
        </w:rPr>
        <w:t>事项时间地点一览表</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2"/>
          <w:sz w:val="24"/>
          <w:szCs w:val="24"/>
          <w:highlight w:val="none"/>
        </w:rPr>
        <w:t>”）后</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2"/>
          <w:sz w:val="24"/>
          <w:szCs w:val="24"/>
          <w:highlight w:val="none"/>
        </w:rPr>
        <w:t>3</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日内，一次性对收到的所有问题作出答复，并形成答疑（或修</w:t>
      </w:r>
      <w:r>
        <w:rPr>
          <w:rFonts w:hint="eastAsia" w:ascii="宋体" w:hAnsi="宋体" w:eastAsia="宋体" w:cs="宋体"/>
          <w:color w:val="auto"/>
          <w:spacing w:val="-2"/>
          <w:sz w:val="24"/>
          <w:szCs w:val="24"/>
          <w:highlight w:val="none"/>
        </w:rPr>
        <w:t>改）公告在发布招标公</w:t>
      </w:r>
      <w:r>
        <w:rPr>
          <w:rFonts w:hint="eastAsia" w:ascii="宋体" w:hAnsi="宋体" w:eastAsia="宋体" w:cs="宋体"/>
          <w:color w:val="auto"/>
          <w:spacing w:val="-1"/>
          <w:sz w:val="24"/>
          <w:szCs w:val="24"/>
          <w:highlight w:val="none"/>
        </w:rPr>
        <w:t>告的媒介上公开发布。答疑（或修改）公告一旦发布，即视所</w:t>
      </w:r>
      <w:r>
        <w:rPr>
          <w:rFonts w:hint="eastAsia" w:ascii="宋体" w:hAnsi="宋体" w:eastAsia="宋体" w:cs="宋体"/>
          <w:color w:val="auto"/>
          <w:spacing w:val="-2"/>
          <w:sz w:val="24"/>
          <w:szCs w:val="24"/>
          <w:highlight w:val="none"/>
        </w:rPr>
        <w:t>有潜在投标人已经知悉</w:t>
      </w:r>
      <w:r>
        <w:rPr>
          <w:rFonts w:hint="eastAsia" w:ascii="宋体" w:hAnsi="宋体" w:eastAsia="宋体" w:cs="宋体"/>
          <w:color w:val="auto"/>
          <w:spacing w:val="-1"/>
          <w:sz w:val="24"/>
          <w:szCs w:val="24"/>
          <w:highlight w:val="none"/>
        </w:rPr>
        <w:t>答疑（或修改）内容，投标人未及时关注而造成的损失和后果</w:t>
      </w:r>
      <w:r>
        <w:rPr>
          <w:rFonts w:hint="eastAsia" w:ascii="宋体" w:hAnsi="宋体" w:eastAsia="宋体" w:cs="宋体"/>
          <w:color w:val="auto"/>
          <w:spacing w:val="-2"/>
          <w:sz w:val="24"/>
          <w:szCs w:val="24"/>
          <w:highlight w:val="none"/>
        </w:rPr>
        <w:t>，由投标人自行承担。</w:t>
      </w:r>
    </w:p>
    <w:p w14:paraId="3207CA6F">
      <w:pPr>
        <w:spacing w:before="152" w:line="219" w:lineRule="auto"/>
        <w:ind w:firstLine="478" w:firstLineChars="200"/>
        <w:jc w:val="both"/>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7.3  </w:t>
      </w:r>
      <w:r>
        <w:rPr>
          <w:rFonts w:hint="eastAsia" w:ascii="宋体" w:hAnsi="宋体" w:eastAsia="宋体" w:cs="宋体"/>
          <w:color w:val="auto"/>
          <w:spacing w:val="-1"/>
          <w:sz w:val="24"/>
          <w:szCs w:val="24"/>
          <w:highlight w:val="none"/>
        </w:rPr>
        <w:t>招标人对招标文件所作的答疑（或修改）公告，构成</w:t>
      </w:r>
      <w:r>
        <w:rPr>
          <w:rFonts w:hint="eastAsia" w:ascii="宋体" w:hAnsi="宋体" w:eastAsia="宋体" w:cs="宋体"/>
          <w:color w:val="auto"/>
          <w:spacing w:val="-2"/>
          <w:sz w:val="24"/>
          <w:szCs w:val="24"/>
          <w:highlight w:val="none"/>
        </w:rPr>
        <w:t>招标文件的组成部分。</w:t>
      </w:r>
    </w:p>
    <w:p w14:paraId="1728F14D">
      <w:pPr>
        <w:spacing w:before="79" w:line="219" w:lineRule="auto"/>
        <w:ind w:left="488"/>
        <w:outlineLvl w:val="2"/>
        <w:rPr>
          <w:rFonts w:hint="eastAsia" w:ascii="宋体" w:hAnsi="宋体" w:eastAsia="宋体" w:cs="宋体"/>
          <w:color w:val="auto"/>
          <w:sz w:val="24"/>
          <w:szCs w:val="24"/>
          <w:highlight w:val="none"/>
          <w:lang w:eastAsia="zh-CN"/>
        </w:rPr>
      </w:pPr>
      <w:bookmarkStart w:id="36" w:name="_Toc6897"/>
      <w:bookmarkStart w:id="37" w:name="_Toc20958"/>
      <w:r>
        <w:rPr>
          <w:rFonts w:hint="eastAsia" w:ascii="宋体" w:hAnsi="宋体" w:eastAsia="宋体" w:cs="宋体"/>
          <w:b/>
          <w:bCs/>
          <w:color w:val="auto"/>
          <w:spacing w:val="-5"/>
          <w:sz w:val="24"/>
          <w:szCs w:val="24"/>
          <w:highlight w:val="none"/>
        </w:rPr>
        <w:t>8</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5"/>
          <w:sz w:val="24"/>
          <w:szCs w:val="24"/>
          <w:highlight w:val="none"/>
        </w:rPr>
        <w:t>．</w:t>
      </w:r>
      <w:r>
        <w:rPr>
          <w:rFonts w:hint="eastAsia" w:ascii="宋体" w:hAnsi="宋体" w:eastAsia="宋体" w:cs="宋体"/>
          <w:b/>
          <w:bCs/>
          <w:color w:val="auto"/>
          <w:spacing w:val="-1"/>
          <w:sz w:val="24"/>
          <w:szCs w:val="24"/>
          <w:highlight w:val="none"/>
          <w:lang w:eastAsia="zh-CN"/>
        </w:rPr>
        <w:t>最高投标限价</w:t>
      </w:r>
      <w:bookmarkEnd w:id="36"/>
      <w:bookmarkEnd w:id="37"/>
    </w:p>
    <w:p w14:paraId="483B6E50">
      <w:pPr>
        <w:spacing w:before="155" w:line="219"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8.1  </w:t>
      </w:r>
      <w:r>
        <w:rPr>
          <w:rFonts w:hint="eastAsia" w:ascii="宋体" w:hAnsi="宋体" w:eastAsia="宋体" w:cs="宋体"/>
          <w:color w:val="auto"/>
          <w:spacing w:val="-1"/>
          <w:sz w:val="24"/>
          <w:szCs w:val="24"/>
          <w:highlight w:val="none"/>
        </w:rPr>
        <w:t>本招标项目按照以下依据编制</w:t>
      </w:r>
      <w:r>
        <w:rPr>
          <w:rFonts w:hint="eastAsia" w:ascii="宋体" w:hAnsi="宋体" w:eastAsia="宋体" w:cs="宋体"/>
          <w:b/>
          <w:bCs/>
          <w:color w:val="auto"/>
          <w:spacing w:val="-1"/>
          <w:sz w:val="24"/>
          <w:szCs w:val="24"/>
          <w:highlight w:val="none"/>
          <w:lang w:eastAsia="zh-CN"/>
        </w:rPr>
        <w:t>最高投标限价</w:t>
      </w:r>
      <w:r>
        <w:rPr>
          <w:rFonts w:hint="eastAsia" w:ascii="宋体" w:hAnsi="宋体" w:eastAsia="宋体" w:cs="宋体"/>
          <w:color w:val="auto"/>
          <w:spacing w:val="-1"/>
          <w:sz w:val="24"/>
          <w:szCs w:val="24"/>
          <w:highlight w:val="none"/>
        </w:rPr>
        <w:t>：</w:t>
      </w:r>
    </w:p>
    <w:p w14:paraId="50AB2042">
      <w:pPr>
        <w:keepNext w:val="0"/>
        <w:keepLines w:val="0"/>
        <w:pageBreakBefore w:val="0"/>
        <w:widowControl/>
        <w:kinsoku w:val="0"/>
        <w:wordWrap/>
        <w:overflowPunct/>
        <w:topLinePunct w:val="0"/>
        <w:autoSpaceDE w:val="0"/>
        <w:autoSpaceDN w:val="0"/>
        <w:bidi w:val="0"/>
        <w:adjustRightInd w:val="0"/>
        <w:snapToGrid w:val="0"/>
        <w:spacing w:before="157" w:line="360" w:lineRule="auto"/>
        <w:ind w:left="50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》（GB/T 50500-2024）；</w:t>
      </w:r>
    </w:p>
    <w:p w14:paraId="55BAFE0B">
      <w:pPr>
        <w:keepNext w:val="0"/>
        <w:keepLines w:val="0"/>
        <w:pageBreakBefore w:val="0"/>
        <w:widowControl/>
        <w:kinsoku w:val="0"/>
        <w:wordWrap/>
        <w:overflowPunct/>
        <w:topLinePunct w:val="0"/>
        <w:autoSpaceDE w:val="0"/>
        <w:autoSpaceDN w:val="0"/>
        <w:bidi w:val="0"/>
        <w:adjustRightInd w:val="0"/>
        <w:snapToGrid w:val="0"/>
        <w:spacing w:line="360" w:lineRule="auto"/>
        <w:ind w:left="11" w:right="17" w:firstLine="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市政工程工程量计算标准》(GB/T50857-2024）、《园林绿化工程工程量计算标准》(GB/T50858-2024）、2018年《广东省市政工程综合定额》、2018年《广东省园林绿化工程综合定额》及现行的建筑施工规范和省市有关文件、规定为编制依据进行编制。</w:t>
      </w:r>
    </w:p>
    <w:p w14:paraId="071273A5">
      <w:pPr>
        <w:keepNext w:val="0"/>
        <w:keepLines w:val="0"/>
        <w:pageBreakBefore w:val="0"/>
        <w:widowControl/>
        <w:kinsoku w:val="0"/>
        <w:wordWrap/>
        <w:overflowPunct/>
        <w:topLinePunct w:val="0"/>
        <w:autoSpaceDE w:val="0"/>
        <w:autoSpaceDN w:val="0"/>
        <w:bidi w:val="0"/>
        <w:adjustRightInd w:val="0"/>
        <w:snapToGrid w:val="0"/>
        <w:spacing w:line="360"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（3）施工图及相关资料；</w:t>
      </w:r>
    </w:p>
    <w:p w14:paraId="3F87E4AE">
      <w:pPr>
        <w:keepNext w:val="0"/>
        <w:keepLines w:val="0"/>
        <w:pageBreakBefore w:val="0"/>
        <w:widowControl/>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auto"/>
          <w:sz w:val="24"/>
          <w:szCs w:val="24"/>
          <w:highlight w:val="none"/>
        </w:rPr>
      </w:pPr>
      <w:bookmarkStart w:id="38" w:name="bookmark119"/>
      <w:bookmarkEnd w:id="38"/>
      <w:r>
        <w:rPr>
          <w:rFonts w:hint="eastAsia" w:ascii="宋体" w:hAnsi="宋体" w:eastAsia="宋体" w:cs="宋体"/>
          <w:color w:val="auto"/>
          <w:spacing w:val="-2"/>
          <w:sz w:val="24"/>
          <w:szCs w:val="24"/>
          <w:highlight w:val="none"/>
        </w:rPr>
        <w:t>（4）招标文件及招标工程量清单；</w:t>
      </w:r>
    </w:p>
    <w:p w14:paraId="50D8453D">
      <w:pPr>
        <w:keepNext w:val="0"/>
        <w:keepLines w:val="0"/>
        <w:pageBreakBefore w:val="0"/>
        <w:widowControl/>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（5）施工现场情况、工程特点及常规施工方案；</w:t>
      </w:r>
    </w:p>
    <w:p w14:paraId="7B3A9415">
      <w:pPr>
        <w:keepNext w:val="0"/>
        <w:keepLines w:val="0"/>
        <w:pageBreakBefore w:val="0"/>
        <w:widowControl/>
        <w:kinsoku w:val="0"/>
        <w:wordWrap/>
        <w:overflowPunct/>
        <w:topLinePunct w:val="0"/>
        <w:autoSpaceDE w:val="0"/>
        <w:autoSpaceDN w:val="0"/>
        <w:bidi w:val="0"/>
        <w:adjustRightInd w:val="0"/>
        <w:snapToGrid w:val="0"/>
        <w:spacing w:line="360" w:lineRule="auto"/>
        <w:ind w:left="12" w:right="136" w:firstLine="48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（6）项目所在地工程造价管理机构发布的工程造价信息，工程造</w:t>
      </w:r>
      <w:r>
        <w:rPr>
          <w:rFonts w:hint="eastAsia" w:ascii="宋体" w:hAnsi="宋体" w:eastAsia="宋体" w:cs="宋体"/>
          <w:color w:val="auto"/>
          <w:spacing w:val="-4"/>
          <w:sz w:val="24"/>
          <w:szCs w:val="24"/>
          <w:highlight w:val="none"/>
        </w:rPr>
        <w:t>价信息缺项的，</w:t>
      </w:r>
      <w:r>
        <w:rPr>
          <w:rFonts w:hint="eastAsia" w:ascii="宋体" w:hAnsi="宋体" w:eastAsia="宋体" w:cs="宋体"/>
          <w:color w:val="auto"/>
          <w:spacing w:val="-2"/>
          <w:sz w:val="24"/>
          <w:szCs w:val="24"/>
          <w:highlight w:val="none"/>
        </w:rPr>
        <w:t>参照市场价格；</w:t>
      </w:r>
    </w:p>
    <w:p w14:paraId="7F6D825D">
      <w:pPr>
        <w:keepNext w:val="0"/>
        <w:keepLines w:val="0"/>
        <w:pageBreakBefore w:val="0"/>
        <w:widowControl/>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（7）与建设项目相关的标准、规范、技术资料。</w:t>
      </w:r>
    </w:p>
    <w:p w14:paraId="74CD6E43">
      <w:pPr>
        <w:spacing w:before="79" w:line="333" w:lineRule="auto"/>
        <w:ind w:firstLine="482" w:firstLineChars="200"/>
        <w:jc w:val="both"/>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宋体" w:hAnsi="宋体" w:eastAsia="宋体" w:cs="宋体"/>
          <w:b/>
          <w:bCs/>
          <w:color w:val="auto"/>
          <w:sz w:val="24"/>
          <w:szCs w:val="24"/>
          <w:highlight w:val="none"/>
        </w:rPr>
        <w:t>8.2</w:t>
      </w:r>
      <w:r>
        <w:rPr>
          <w:rFonts w:hint="eastAsia" w:ascii="宋体" w:hAnsi="宋体" w:eastAsia="宋体" w:cs="宋体"/>
          <w:color w:val="auto"/>
          <w:sz w:val="24"/>
          <w:szCs w:val="24"/>
          <w:highlight w:val="none"/>
        </w:rPr>
        <w:t xml:space="preserve"> </w:t>
      </w:r>
      <w:r>
        <w:rPr>
          <w:rFonts w:hint="eastAsia" w:asciiTheme="minorEastAsia" w:hAnsiTheme="minorEastAsia" w:eastAsiaTheme="minorEastAsia" w:cstheme="minorEastAsia"/>
          <w:snapToGrid w:val="0"/>
          <w:color w:val="auto"/>
          <w:kern w:val="0"/>
          <w:sz w:val="24"/>
          <w:szCs w:val="24"/>
          <w:highlight w:val="none"/>
          <w:lang w:val="en-US" w:eastAsia="zh-CN"/>
        </w:rPr>
        <w:t>本招标项目最高投标限价为人民币（大写）：</w:t>
      </w:r>
      <w:r>
        <w:rPr>
          <w:rFonts w:hint="eastAsia" w:asciiTheme="minorEastAsia" w:hAnsiTheme="minorEastAsia" w:eastAsiaTheme="minorEastAsia" w:cstheme="minorEastAsia"/>
          <w:snapToGrid w:val="0"/>
          <w:color w:val="auto"/>
          <w:kern w:val="0"/>
          <w:sz w:val="24"/>
          <w:szCs w:val="24"/>
          <w:highlight w:val="none"/>
          <w:u w:val="single"/>
          <w:lang w:val="en-US" w:eastAsia="zh-CN"/>
        </w:rPr>
        <w:t>壹仟贰佰壹拾壹万陆仟壹佰玖拾捌元玖角柒分（¥12116198.97元），其中安全生产措施费为：¥154368.13 元，暂列金额（统一报价）为：¥510201.87元，暂估价（统一报价）为：/元</w:t>
      </w:r>
      <w:r>
        <w:rPr>
          <w:rFonts w:hint="eastAsia" w:asciiTheme="minorEastAsia" w:hAnsiTheme="minorEastAsia" w:eastAsiaTheme="minorEastAsia" w:cstheme="minorEastAsia"/>
          <w:snapToGrid w:val="0"/>
          <w:color w:val="auto"/>
          <w:kern w:val="0"/>
          <w:sz w:val="24"/>
          <w:szCs w:val="24"/>
          <w:highlight w:val="none"/>
          <w:lang w:val="en-US" w:eastAsia="zh-CN"/>
        </w:rPr>
        <w:t>。</w:t>
      </w:r>
    </w:p>
    <w:p w14:paraId="37A2572C">
      <w:pPr>
        <w:spacing w:before="79" w:line="333" w:lineRule="auto"/>
        <w:ind w:firstLine="482"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3</w:t>
      </w:r>
      <w:r>
        <w:rPr>
          <w:rFonts w:hint="eastAsia" w:ascii="宋体" w:hAnsi="宋体" w:eastAsia="宋体" w:cs="宋体"/>
          <w:color w:val="auto"/>
          <w:sz w:val="24"/>
          <w:szCs w:val="24"/>
          <w:highlight w:val="none"/>
        </w:rPr>
        <w:t>暂估价指招标工程量清单中提供的用于支付必然发生但暂时不能确定价格的</w:t>
      </w:r>
      <w:r>
        <w:rPr>
          <w:rFonts w:hint="eastAsia" w:ascii="宋体" w:hAnsi="宋体" w:eastAsia="宋体" w:cs="宋体"/>
          <w:color w:val="auto"/>
          <w:spacing w:val="-1"/>
          <w:sz w:val="24"/>
          <w:szCs w:val="24"/>
          <w:highlight w:val="none"/>
        </w:rPr>
        <w:t>材料、工程设备的单价以及专业工程的金额；暂列金额指招标</w:t>
      </w:r>
      <w:r>
        <w:rPr>
          <w:rFonts w:hint="eastAsia" w:ascii="宋体" w:hAnsi="宋体" w:eastAsia="宋体" w:cs="宋体"/>
          <w:color w:val="auto"/>
          <w:spacing w:val="-2"/>
          <w:sz w:val="24"/>
          <w:szCs w:val="24"/>
          <w:highlight w:val="none"/>
        </w:rPr>
        <w:t>工程量清单中暂定并包括在合同价款中的一笔款项，用于工程合同签订时尚未确定或</w:t>
      </w:r>
      <w:r>
        <w:rPr>
          <w:rFonts w:hint="eastAsia" w:ascii="宋体" w:hAnsi="宋体" w:eastAsia="宋体" w:cs="宋体"/>
          <w:color w:val="auto"/>
          <w:spacing w:val="-3"/>
          <w:sz w:val="24"/>
          <w:szCs w:val="24"/>
          <w:highlight w:val="none"/>
        </w:rPr>
        <w:t>者不可预见的所需材料、</w:t>
      </w:r>
      <w:r>
        <w:rPr>
          <w:rFonts w:hint="eastAsia" w:ascii="宋体" w:hAnsi="宋体" w:eastAsia="宋体" w:cs="宋体"/>
          <w:color w:val="auto"/>
          <w:spacing w:val="-1"/>
          <w:sz w:val="24"/>
          <w:szCs w:val="24"/>
          <w:highlight w:val="none"/>
        </w:rPr>
        <w:t>工程设备、服务的采购，施工中可能发生的工程变更、合同约</w:t>
      </w:r>
      <w:r>
        <w:rPr>
          <w:rFonts w:hint="eastAsia" w:ascii="宋体" w:hAnsi="宋体" w:eastAsia="宋体" w:cs="宋体"/>
          <w:color w:val="auto"/>
          <w:spacing w:val="-2"/>
          <w:sz w:val="24"/>
          <w:szCs w:val="24"/>
          <w:highlight w:val="none"/>
        </w:rPr>
        <w:t>定调整因素出现时的合</w:t>
      </w:r>
      <w:r>
        <w:rPr>
          <w:rFonts w:hint="eastAsia" w:ascii="宋体" w:hAnsi="宋体" w:eastAsia="宋体" w:cs="宋体"/>
          <w:color w:val="auto"/>
          <w:spacing w:val="-1"/>
          <w:sz w:val="24"/>
          <w:szCs w:val="24"/>
          <w:highlight w:val="none"/>
        </w:rPr>
        <w:t>同价款调整以及发生的索赔、现场签证确认等的费用。</w:t>
      </w:r>
    </w:p>
    <w:p w14:paraId="1F29C3EF">
      <w:pPr>
        <w:spacing w:before="36" w:line="278" w:lineRule="auto"/>
        <w:ind w:left="10" w:right="200" w:firstLine="48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4</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本招标项目以暂估价形式列入招标工程量清单中的材料、工程设备、专业工</w:t>
      </w:r>
      <w:r>
        <w:rPr>
          <w:rFonts w:hint="eastAsia" w:ascii="宋体" w:hAnsi="宋体" w:eastAsia="宋体" w:cs="宋体"/>
          <w:color w:val="auto"/>
          <w:spacing w:val="-2"/>
          <w:sz w:val="24"/>
          <w:szCs w:val="24"/>
          <w:highlight w:val="none"/>
        </w:rPr>
        <w:t>程（以下统称“暂估价项目</w:t>
      </w:r>
      <w:r>
        <w:rPr>
          <w:rFonts w:hint="eastAsia" w:ascii="宋体" w:hAnsi="宋体" w:eastAsia="宋体" w:cs="宋体"/>
          <w:color w:val="auto"/>
          <w:spacing w:val="-80"/>
          <w:sz w:val="24"/>
          <w:szCs w:val="24"/>
          <w:highlight w:val="none"/>
        </w:rPr>
        <w:t xml:space="preserve"> </w:t>
      </w:r>
      <w:r>
        <w:rPr>
          <w:rFonts w:hint="eastAsia" w:ascii="宋体" w:hAnsi="宋体" w:eastAsia="宋体" w:cs="宋体"/>
          <w:color w:val="auto"/>
          <w:spacing w:val="-2"/>
          <w:sz w:val="24"/>
          <w:szCs w:val="24"/>
          <w:highlight w:val="none"/>
        </w:rPr>
        <w:t>”）包括：</w:t>
      </w:r>
      <w:r>
        <w:rPr>
          <w:rFonts w:hint="eastAsia" w:ascii="宋体" w:hAnsi="宋体" w:eastAsia="宋体" w:cs="宋体"/>
          <w:color w:val="auto"/>
          <w:sz w:val="24"/>
          <w:szCs w:val="24"/>
          <w:highlight w:val="none"/>
          <w:u w:val="single"/>
        </w:rPr>
        <w:t>为招标人在工程量清单中提供的用于支付必然发生但暂时不能确定价格的材料、工程设备的单价以及专业工程的金额。投标人必须按招标工程量清单中列出的单价、金额统一报价，其结算原则按本招标文件相关条款执行。</w:t>
      </w:r>
    </w:p>
    <w:p w14:paraId="12FE5072">
      <w:pPr>
        <w:spacing w:before="154" w:line="280" w:lineRule="auto"/>
        <w:ind w:left="12" w:right="200" w:firstLine="47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5</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当暂估价项目的内容、标准、要求在项目实施过程中得以深化、明确、固定</w:t>
      </w:r>
      <w:r>
        <w:rPr>
          <w:rFonts w:hint="eastAsia" w:ascii="宋体" w:hAnsi="宋体" w:eastAsia="宋体" w:cs="宋体"/>
          <w:color w:val="auto"/>
          <w:spacing w:val="-2"/>
          <w:sz w:val="24"/>
          <w:szCs w:val="24"/>
          <w:highlight w:val="none"/>
        </w:rPr>
        <w:t>后，按以下原则发包：</w:t>
      </w:r>
    </w:p>
    <w:p w14:paraId="0DB4AC8D">
      <w:pPr>
        <w:spacing w:before="153" w:line="219" w:lineRule="auto"/>
        <w:ind w:left="-3" w:leftChars="0" w:firstLine="48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（1）暂估价项目按工程、货物（指材料或工程设备，下同）的类别分类汇总的金额，达到必须</w:t>
      </w:r>
      <w:r>
        <w:rPr>
          <w:rFonts w:hint="eastAsia" w:ascii="宋体" w:hAnsi="宋体" w:eastAsia="宋体" w:cs="宋体"/>
          <w:color w:val="auto"/>
          <w:spacing w:val="-3"/>
          <w:sz w:val="24"/>
          <w:szCs w:val="24"/>
          <w:highlight w:val="none"/>
        </w:rPr>
        <w:t>招标规模标准的，由</w:t>
      </w:r>
      <w:r>
        <w:rPr>
          <w:rFonts w:hint="eastAsia" w:ascii="宋体" w:hAnsi="宋体" w:eastAsia="宋体" w:cs="宋体"/>
          <w:b/>
          <w:bCs/>
          <w:color w:val="auto"/>
          <w:spacing w:val="21"/>
          <w:sz w:val="24"/>
          <w:szCs w:val="24"/>
          <w:highlight w:val="none"/>
          <w:u w:val="single"/>
        </w:rPr>
        <w:t xml:space="preserve"> </w:t>
      </w:r>
      <w:r>
        <w:rPr>
          <w:rFonts w:hint="eastAsia" w:ascii="宋体" w:hAnsi="宋体" w:eastAsia="宋体" w:cs="宋体"/>
          <w:bCs/>
          <w:color w:val="auto"/>
          <w:spacing w:val="-1"/>
          <w:sz w:val="24"/>
          <w:szCs w:val="24"/>
          <w:highlight w:val="none"/>
          <w:u w:val="single"/>
        </w:rPr>
        <w:t xml:space="preserve">中标人招标，招标人参与管理 </w:t>
      </w:r>
      <w:r>
        <w:rPr>
          <w:rFonts w:hint="eastAsia" w:ascii="宋体" w:hAnsi="宋体" w:eastAsia="宋体" w:cs="宋体"/>
          <w:bCs/>
          <w:color w:val="auto"/>
          <w:spacing w:val="-1"/>
          <w:sz w:val="24"/>
          <w:szCs w:val="24"/>
          <w:highlight w:val="none"/>
        </w:rPr>
        <w:t>，</w:t>
      </w:r>
      <w:r>
        <w:rPr>
          <w:rFonts w:hint="eastAsia" w:ascii="宋体" w:hAnsi="宋体" w:eastAsia="宋体" w:cs="宋体"/>
          <w:color w:val="auto"/>
          <w:spacing w:val="-1"/>
          <w:sz w:val="24"/>
          <w:szCs w:val="24"/>
          <w:highlight w:val="none"/>
        </w:rPr>
        <w:t>确定专业工程承包人（或材料、工程</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
          <w:sz w:val="24"/>
          <w:szCs w:val="24"/>
          <w:highlight w:val="none"/>
        </w:rPr>
        <w:t>设备供应商）和合同价格。</w:t>
      </w:r>
    </w:p>
    <w:p w14:paraId="5F60C25D">
      <w:pPr>
        <w:spacing w:before="30" w:line="299" w:lineRule="auto"/>
        <w:ind w:left="11" w:right="65"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准但适用政府采购规定的，按照政府采购规定确定专业工</w:t>
      </w:r>
      <w:r>
        <w:rPr>
          <w:rFonts w:hint="eastAsia" w:ascii="宋体" w:hAnsi="宋体" w:eastAsia="宋体" w:cs="宋体"/>
          <w:color w:val="auto"/>
          <w:spacing w:val="-2"/>
          <w:sz w:val="24"/>
          <w:szCs w:val="24"/>
          <w:highlight w:val="none"/>
        </w:rPr>
        <w:t>程承包人（或材料、工程设备供应商）和合同价格。</w:t>
      </w:r>
    </w:p>
    <w:p w14:paraId="02BF48BB">
      <w:pPr>
        <w:spacing w:before="154" w:line="309" w:lineRule="auto"/>
        <w:ind w:left="11" w:right="65"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准也不适用政府采购规定，中标人具备相应资格条件的，</w:t>
      </w:r>
      <w:r>
        <w:rPr>
          <w:rFonts w:hint="eastAsia" w:ascii="宋体" w:hAnsi="宋体" w:eastAsia="宋体" w:cs="宋体"/>
          <w:color w:val="auto"/>
          <w:spacing w:val="-2"/>
          <w:sz w:val="24"/>
          <w:szCs w:val="24"/>
          <w:highlight w:val="none"/>
        </w:rPr>
        <w:t>由中标人承包；中标人不具</w:t>
      </w:r>
      <w:r>
        <w:rPr>
          <w:rFonts w:hint="eastAsia" w:ascii="宋体" w:hAnsi="宋体" w:eastAsia="宋体" w:cs="宋体"/>
          <w:color w:val="auto"/>
          <w:spacing w:val="-1"/>
          <w:sz w:val="24"/>
          <w:szCs w:val="24"/>
          <w:highlight w:val="none"/>
        </w:rPr>
        <w:t>备相应资格条件但具备分包权的，由中标人分包，招标人</w:t>
      </w:r>
      <w:r>
        <w:rPr>
          <w:rFonts w:hint="eastAsia" w:ascii="宋体" w:hAnsi="宋体" w:eastAsia="宋体" w:cs="宋体"/>
          <w:color w:val="auto"/>
          <w:spacing w:val="-2"/>
          <w:sz w:val="24"/>
          <w:szCs w:val="24"/>
          <w:highlight w:val="none"/>
        </w:rPr>
        <w:t>同中标人结算原则按本招标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文件相关条款执行。</w:t>
      </w:r>
    </w:p>
    <w:p w14:paraId="3698C443">
      <w:pPr>
        <w:spacing w:before="154" w:line="299" w:lineRule="auto"/>
        <w:ind w:left="11" w:right="65"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准也不适用政府采购规定，中标人既不具备相应资格条件</w:t>
      </w:r>
      <w:r>
        <w:rPr>
          <w:rFonts w:hint="eastAsia" w:ascii="宋体" w:hAnsi="宋体" w:eastAsia="宋体" w:cs="宋体"/>
          <w:color w:val="auto"/>
          <w:spacing w:val="-2"/>
          <w:sz w:val="24"/>
          <w:szCs w:val="24"/>
          <w:highlight w:val="none"/>
        </w:rPr>
        <w:t>又不具备分包权的，由招标人另行发包。</w:t>
      </w:r>
    </w:p>
    <w:p w14:paraId="475FBF4C">
      <w:pPr>
        <w:spacing w:before="155" w:line="279" w:lineRule="auto"/>
        <w:ind w:left="9" w:right="66"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（5）暂估价项目由其他承包人承包的，纳入中标人的管理</w:t>
      </w:r>
      <w:r>
        <w:rPr>
          <w:rFonts w:hint="eastAsia" w:ascii="宋体" w:hAnsi="宋体" w:eastAsia="宋体" w:cs="宋体"/>
          <w:color w:val="auto"/>
          <w:spacing w:val="1"/>
          <w:sz w:val="24"/>
          <w:szCs w:val="24"/>
          <w:highlight w:val="none"/>
        </w:rPr>
        <w:t>和协调范围，由其他</w:t>
      </w:r>
      <w:r>
        <w:rPr>
          <w:rFonts w:hint="eastAsia" w:ascii="宋体" w:hAnsi="宋体" w:eastAsia="宋体" w:cs="宋体"/>
          <w:color w:val="auto"/>
          <w:spacing w:val="-1"/>
          <w:sz w:val="24"/>
          <w:szCs w:val="24"/>
          <w:highlight w:val="none"/>
        </w:rPr>
        <w:t>承包人向中标人承担质量、安全、文明施工、工期责任，中标</w:t>
      </w:r>
      <w:r>
        <w:rPr>
          <w:rFonts w:hint="eastAsia" w:ascii="宋体" w:hAnsi="宋体" w:eastAsia="宋体" w:cs="宋体"/>
          <w:color w:val="auto"/>
          <w:spacing w:val="-2"/>
          <w:sz w:val="24"/>
          <w:szCs w:val="24"/>
          <w:highlight w:val="none"/>
        </w:rPr>
        <w:t>人向招标人承担责任。</w:t>
      </w:r>
    </w:p>
    <w:p w14:paraId="34DBC168">
      <w:pPr>
        <w:spacing w:before="155" w:line="333" w:lineRule="auto"/>
        <w:ind w:left="10" w:right="65" w:firstLine="478"/>
        <w:jc w:val="both"/>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本招标项目以暂列金额形式列入招标工程量清单中的所需货物和服务的采购</w:t>
      </w:r>
      <w:r>
        <w:rPr>
          <w:rFonts w:hint="eastAsia" w:ascii="宋体" w:hAnsi="宋体" w:eastAsia="宋体" w:cs="宋体"/>
          <w:color w:val="auto"/>
          <w:spacing w:val="-1"/>
          <w:sz w:val="24"/>
          <w:szCs w:val="24"/>
          <w:highlight w:val="none"/>
        </w:rPr>
        <w:t>（以下统称“暂列金额项目</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1"/>
          <w:sz w:val="24"/>
          <w:szCs w:val="24"/>
          <w:highlight w:val="none"/>
        </w:rPr>
        <w:t>”）若有发生，按照本节第</w:t>
      </w:r>
      <w:r>
        <w:rPr>
          <w:rFonts w:hint="eastAsia" w:ascii="宋体" w:hAnsi="宋体" w:eastAsia="宋体" w:cs="宋体"/>
          <w:color w:val="auto"/>
          <w:spacing w:val="-52"/>
          <w:sz w:val="24"/>
          <w:szCs w:val="24"/>
          <w:highlight w:val="none"/>
        </w:rPr>
        <w:t xml:space="preserve"> </w:t>
      </w:r>
      <w:r>
        <w:rPr>
          <w:rFonts w:hint="eastAsia" w:ascii="宋体" w:hAnsi="宋体" w:eastAsia="宋体" w:cs="宋体"/>
          <w:b/>
          <w:bCs/>
          <w:color w:val="auto"/>
          <w:spacing w:val="-1"/>
          <w:sz w:val="24"/>
          <w:szCs w:val="24"/>
          <w:highlight w:val="none"/>
        </w:rPr>
        <w:t xml:space="preserve">8.5 </w:t>
      </w:r>
      <w:r>
        <w:rPr>
          <w:rFonts w:hint="eastAsia" w:ascii="宋体" w:hAnsi="宋体" w:eastAsia="宋体" w:cs="宋体"/>
          <w:color w:val="auto"/>
          <w:spacing w:val="-1"/>
          <w:sz w:val="24"/>
          <w:szCs w:val="24"/>
          <w:highlight w:val="none"/>
        </w:rPr>
        <w:t>条的规定确定货物（或服务）供应商和合同价格。暂列金额项目由其他承包人承包的</w:t>
      </w:r>
      <w:r>
        <w:rPr>
          <w:rFonts w:hint="eastAsia" w:ascii="宋体" w:hAnsi="宋体" w:eastAsia="宋体" w:cs="宋体"/>
          <w:color w:val="auto"/>
          <w:spacing w:val="-2"/>
          <w:sz w:val="24"/>
          <w:szCs w:val="24"/>
          <w:highlight w:val="none"/>
        </w:rPr>
        <w:t>，纳入中标人的管理和协</w:t>
      </w:r>
      <w:r>
        <w:rPr>
          <w:rFonts w:hint="eastAsia" w:ascii="宋体" w:hAnsi="宋体" w:eastAsia="宋体" w:cs="宋体"/>
          <w:color w:val="auto"/>
          <w:spacing w:val="-1"/>
          <w:sz w:val="24"/>
          <w:szCs w:val="24"/>
          <w:highlight w:val="none"/>
        </w:rPr>
        <w:t>调范围</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由其他承包人向中标人承担质量、安全、文明</w:t>
      </w:r>
      <w:r>
        <w:rPr>
          <w:rFonts w:hint="eastAsia" w:ascii="宋体" w:hAnsi="宋体" w:eastAsia="宋体" w:cs="宋体"/>
          <w:color w:val="auto"/>
          <w:spacing w:val="-2"/>
          <w:sz w:val="24"/>
          <w:szCs w:val="24"/>
          <w:highlight w:val="none"/>
        </w:rPr>
        <w:t>施工、工期责任，中标人向招标人承担责任。</w:t>
      </w:r>
    </w:p>
    <w:p w14:paraId="2AB78D5F">
      <w:pPr>
        <w:spacing w:before="79" w:line="219" w:lineRule="auto"/>
        <w:ind w:left="487"/>
        <w:outlineLvl w:val="2"/>
        <w:rPr>
          <w:rFonts w:hint="eastAsia" w:ascii="宋体" w:hAnsi="宋体" w:eastAsia="宋体" w:cs="宋体"/>
          <w:color w:val="auto"/>
          <w:sz w:val="24"/>
          <w:szCs w:val="24"/>
          <w:highlight w:val="none"/>
        </w:rPr>
      </w:pPr>
      <w:bookmarkStart w:id="39" w:name="_Toc22978"/>
      <w:bookmarkStart w:id="40" w:name="_Toc6911"/>
      <w:r>
        <w:rPr>
          <w:rFonts w:hint="eastAsia" w:ascii="宋体" w:hAnsi="宋体" w:eastAsia="宋体" w:cs="宋体"/>
          <w:b/>
          <w:bCs/>
          <w:color w:val="auto"/>
          <w:spacing w:val="-8"/>
          <w:sz w:val="24"/>
          <w:szCs w:val="24"/>
          <w:highlight w:val="none"/>
        </w:rPr>
        <w:t>9</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8"/>
          <w:sz w:val="24"/>
          <w:szCs w:val="24"/>
          <w:highlight w:val="none"/>
        </w:rPr>
        <w:t>．投标报价</w:t>
      </w:r>
      <w:bookmarkEnd w:id="39"/>
      <w:bookmarkEnd w:id="40"/>
    </w:p>
    <w:p w14:paraId="0CB59245">
      <w:pPr>
        <w:spacing w:before="157" w:line="219"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9.1  </w:t>
      </w:r>
      <w:r>
        <w:rPr>
          <w:rFonts w:hint="eastAsia" w:ascii="宋体" w:hAnsi="宋体" w:eastAsia="宋体" w:cs="宋体"/>
          <w:color w:val="auto"/>
          <w:spacing w:val="-1"/>
          <w:sz w:val="24"/>
          <w:szCs w:val="24"/>
          <w:highlight w:val="none"/>
        </w:rPr>
        <w:t>投标人应按照以下依据编制投标报价：</w:t>
      </w:r>
    </w:p>
    <w:p w14:paraId="324CCCE9">
      <w:pPr>
        <w:spacing w:before="155"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（1）《建设工程工程量清单计价标准》（GB/T 50500-2024）</w:t>
      </w:r>
      <w:r>
        <w:rPr>
          <w:rFonts w:hint="eastAsia" w:ascii="宋体" w:hAnsi="宋体" w:eastAsia="宋体" w:cs="宋体"/>
          <w:color w:val="auto"/>
          <w:spacing w:val="4"/>
          <w:sz w:val="24"/>
          <w:szCs w:val="24"/>
          <w:highlight w:val="none"/>
        </w:rPr>
        <w:t>；</w:t>
      </w:r>
    </w:p>
    <w:p w14:paraId="1F123386">
      <w:pPr>
        <w:spacing w:before="153" w:line="309" w:lineRule="auto"/>
        <w:ind w:left="9" w:right="65"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市政工程工程量计算标准》(GB/T50857-2024）、《园林绿化工程工程量计算标准》(GB/T50858-2024）、2018年《广东省市政工程综合定额》、2018年《广东省园林绿化工程综合定额》及现行的建筑施工规范和省市有关文件、规定为编制依据进行编制</w:t>
      </w:r>
      <w:r>
        <w:rPr>
          <w:rFonts w:hint="eastAsia" w:ascii="宋体" w:hAnsi="宋体" w:eastAsia="宋体" w:cs="宋体"/>
          <w:color w:val="auto"/>
          <w:spacing w:val="-1"/>
          <w:sz w:val="24"/>
          <w:szCs w:val="24"/>
          <w:highlight w:val="none"/>
        </w:rPr>
        <w:t>；</w:t>
      </w:r>
    </w:p>
    <w:p w14:paraId="4CCDAD2F">
      <w:pPr>
        <w:spacing w:before="78" w:line="220" w:lineRule="auto"/>
        <w:ind w:left="501"/>
        <w:rPr>
          <w:rFonts w:hint="eastAsia" w:ascii="宋体" w:hAnsi="宋体" w:eastAsia="宋体" w:cs="宋体"/>
          <w:color w:val="auto"/>
          <w:sz w:val="24"/>
          <w:szCs w:val="24"/>
          <w:highlight w:val="none"/>
        </w:rPr>
      </w:pPr>
      <w:bookmarkStart w:id="41" w:name="bookmark120"/>
      <w:bookmarkEnd w:id="41"/>
      <w:r>
        <w:rPr>
          <w:rFonts w:hint="eastAsia" w:ascii="宋体" w:hAnsi="宋体" w:eastAsia="宋体" w:cs="宋体"/>
          <w:color w:val="auto"/>
          <w:spacing w:val="-3"/>
          <w:sz w:val="24"/>
          <w:szCs w:val="24"/>
          <w:highlight w:val="none"/>
        </w:rPr>
        <w:t>（3）企业定额；</w:t>
      </w:r>
    </w:p>
    <w:p w14:paraId="44753B79">
      <w:pPr>
        <w:spacing w:before="155"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（4）招标文件及其答疑（或修改）公告、招标工程量清单；</w:t>
      </w:r>
    </w:p>
    <w:p w14:paraId="3CFD144F">
      <w:pPr>
        <w:spacing w:before="154" w:line="221"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（5）施工图及相关资料；</w:t>
      </w:r>
    </w:p>
    <w:p w14:paraId="3970D688">
      <w:pPr>
        <w:spacing w:before="152"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（6）施工现场情况、工程特点及投标时拟定的施工组织设计或施工方案；</w:t>
      </w:r>
    </w:p>
    <w:p w14:paraId="248C998C">
      <w:pPr>
        <w:spacing w:before="156"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（7）市场价格信息或项目所在地工程造价管理机构发布的工程造价信息；</w:t>
      </w:r>
    </w:p>
    <w:p w14:paraId="7BBE6412">
      <w:pPr>
        <w:spacing w:before="155"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（8）与建设项目相关的标准、规范、技术资料。</w:t>
      </w:r>
    </w:p>
    <w:p w14:paraId="5884AFD7">
      <w:pPr>
        <w:spacing w:before="153" w:line="309" w:lineRule="auto"/>
        <w:ind w:left="8" w:right="150"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9.2  </w:t>
      </w:r>
      <w:r>
        <w:rPr>
          <w:rFonts w:hint="eastAsia" w:ascii="宋体" w:hAnsi="宋体" w:eastAsia="宋体" w:cs="宋体"/>
          <w:color w:val="auto"/>
          <w:spacing w:val="-2"/>
          <w:sz w:val="24"/>
          <w:szCs w:val="24"/>
          <w:highlight w:val="none"/>
        </w:rPr>
        <w:t>投标人应根据招标工程量清单、工程量清单计价规范中的工作内容、设计文</w:t>
      </w:r>
      <w:r>
        <w:rPr>
          <w:rFonts w:hint="eastAsia" w:ascii="宋体" w:hAnsi="宋体" w:eastAsia="宋体" w:cs="宋体"/>
          <w:color w:val="auto"/>
          <w:spacing w:val="-1"/>
          <w:sz w:val="24"/>
          <w:szCs w:val="24"/>
          <w:highlight w:val="none"/>
        </w:rPr>
        <w:t>件和有关要求、施工现场实际情况、投标人拟定的施工组织设计</w:t>
      </w:r>
      <w:r>
        <w:rPr>
          <w:rFonts w:hint="eastAsia" w:ascii="宋体" w:hAnsi="宋体" w:eastAsia="宋体" w:cs="宋体"/>
          <w:color w:val="auto"/>
          <w:spacing w:val="-2"/>
          <w:sz w:val="24"/>
          <w:szCs w:val="24"/>
          <w:highlight w:val="none"/>
        </w:rPr>
        <w:t>、本单位的企业定额</w:t>
      </w:r>
      <w:r>
        <w:rPr>
          <w:rFonts w:hint="eastAsia" w:ascii="宋体" w:hAnsi="宋体" w:eastAsia="宋体" w:cs="宋体"/>
          <w:color w:val="auto"/>
          <w:spacing w:val="-1"/>
          <w:sz w:val="24"/>
          <w:szCs w:val="24"/>
          <w:highlight w:val="none"/>
        </w:rPr>
        <w:t>和市场价格进行编制，自行报价，并承担一定范围内的风险费用</w:t>
      </w:r>
      <w:r>
        <w:rPr>
          <w:rFonts w:hint="eastAsia" w:ascii="宋体" w:hAnsi="宋体" w:eastAsia="宋体" w:cs="宋体"/>
          <w:color w:val="auto"/>
          <w:spacing w:val="-2"/>
          <w:sz w:val="24"/>
          <w:szCs w:val="24"/>
          <w:highlight w:val="none"/>
        </w:rPr>
        <w:t>。所谓“一定范围内</w:t>
      </w:r>
      <w:r>
        <w:rPr>
          <w:rFonts w:hint="eastAsia" w:ascii="宋体" w:hAnsi="宋体" w:eastAsia="宋体" w:cs="宋体"/>
          <w:color w:val="auto"/>
          <w:spacing w:val="-3"/>
          <w:sz w:val="24"/>
          <w:szCs w:val="24"/>
          <w:highlight w:val="none"/>
        </w:rPr>
        <w:t>的风险</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”是指合同约定的风险。</w:t>
      </w:r>
    </w:p>
    <w:p w14:paraId="6F48F6C5">
      <w:pPr>
        <w:spacing w:before="152" w:line="309" w:lineRule="auto"/>
        <w:ind w:left="9" w:right="150" w:firstLine="557"/>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9.3  </w:t>
      </w:r>
      <w:r>
        <w:rPr>
          <w:rFonts w:hint="eastAsia" w:ascii="宋体" w:hAnsi="宋体" w:eastAsia="宋体" w:cs="宋体"/>
          <w:color w:val="auto"/>
          <w:spacing w:val="-2"/>
          <w:sz w:val="24"/>
          <w:szCs w:val="24"/>
          <w:highlight w:val="none"/>
        </w:rPr>
        <w:t>招标人及招标代理机构不集中组织现场踏勘，投标人需要了解现场情况的，</w:t>
      </w:r>
      <w:r>
        <w:rPr>
          <w:rFonts w:hint="eastAsia" w:ascii="宋体" w:hAnsi="宋体" w:eastAsia="宋体" w:cs="宋体"/>
          <w:color w:val="auto"/>
          <w:spacing w:val="-1"/>
          <w:sz w:val="24"/>
          <w:szCs w:val="24"/>
          <w:highlight w:val="none"/>
        </w:rPr>
        <w:t>可自行进行现场踏勘。各投标人应勘察施工现场及周围环</w:t>
      </w:r>
      <w:r>
        <w:rPr>
          <w:rFonts w:hint="eastAsia" w:ascii="宋体" w:hAnsi="宋体" w:eastAsia="宋体" w:cs="宋体"/>
          <w:color w:val="auto"/>
          <w:spacing w:val="-2"/>
          <w:sz w:val="24"/>
          <w:szCs w:val="24"/>
          <w:highlight w:val="none"/>
        </w:rPr>
        <w:t>境、地形、地貌、水文、交</w:t>
      </w:r>
      <w:r>
        <w:rPr>
          <w:rFonts w:hint="eastAsia" w:ascii="宋体" w:hAnsi="宋体" w:eastAsia="宋体" w:cs="宋体"/>
          <w:color w:val="auto"/>
          <w:spacing w:val="-1"/>
          <w:sz w:val="24"/>
          <w:szCs w:val="24"/>
          <w:highlight w:val="none"/>
        </w:rPr>
        <w:t>通等情况，以获得一切可能影响到投标的直接资料。投标人应</w:t>
      </w:r>
      <w:r>
        <w:rPr>
          <w:rFonts w:hint="eastAsia" w:ascii="宋体" w:hAnsi="宋体" w:eastAsia="宋体" w:cs="宋体"/>
          <w:color w:val="auto"/>
          <w:spacing w:val="-2"/>
          <w:sz w:val="24"/>
          <w:szCs w:val="24"/>
          <w:highlight w:val="none"/>
        </w:rPr>
        <w:t>针对现场情况编制施工</w:t>
      </w:r>
      <w:r>
        <w:rPr>
          <w:rFonts w:hint="eastAsia" w:ascii="宋体" w:hAnsi="宋体" w:eastAsia="宋体" w:cs="宋体"/>
          <w:color w:val="auto"/>
          <w:spacing w:val="-1"/>
          <w:sz w:val="24"/>
          <w:szCs w:val="24"/>
          <w:highlight w:val="none"/>
        </w:rPr>
        <w:t>组织设计，并在编制投标报价时考虑现场情况的影响。</w:t>
      </w:r>
    </w:p>
    <w:p w14:paraId="17C6A9C4">
      <w:pPr>
        <w:spacing w:before="155" w:line="279" w:lineRule="auto"/>
        <w:ind w:left="10" w:right="150" w:firstLine="55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9.4  </w:t>
      </w:r>
      <w:r>
        <w:rPr>
          <w:rFonts w:hint="eastAsia" w:ascii="宋体" w:hAnsi="宋体" w:eastAsia="宋体" w:cs="宋体"/>
          <w:color w:val="auto"/>
          <w:spacing w:val="-2"/>
          <w:sz w:val="24"/>
          <w:szCs w:val="24"/>
          <w:highlight w:val="none"/>
        </w:rPr>
        <w:t>招标人向投标人提供的有关现场的数据和资料，是招标人现有的能被投标人</w:t>
      </w:r>
      <w:r>
        <w:rPr>
          <w:rFonts w:hint="eastAsia" w:ascii="宋体" w:hAnsi="宋体" w:eastAsia="宋体" w:cs="宋体"/>
          <w:color w:val="auto"/>
          <w:sz w:val="24"/>
          <w:szCs w:val="24"/>
          <w:highlight w:val="none"/>
        </w:rPr>
        <w:t>利用的资料，招标人对投标人做出的任何推论</w:t>
      </w:r>
      <w:r>
        <w:rPr>
          <w:rFonts w:hint="eastAsia" w:ascii="宋体" w:hAnsi="宋体" w:eastAsia="宋体" w:cs="宋体"/>
          <w:color w:val="auto"/>
          <w:spacing w:val="-1"/>
          <w:sz w:val="24"/>
          <w:szCs w:val="24"/>
          <w:highlight w:val="none"/>
        </w:rPr>
        <w:t>、理解和结论均不负责任。</w:t>
      </w:r>
    </w:p>
    <w:p w14:paraId="58AFE0B2">
      <w:pPr>
        <w:spacing w:before="154" w:line="299" w:lineRule="auto"/>
        <w:ind w:left="12" w:firstLine="554"/>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9.5  </w:t>
      </w:r>
      <w:r>
        <w:rPr>
          <w:rFonts w:hint="eastAsia" w:ascii="宋体" w:hAnsi="宋体" w:eastAsia="宋体" w:cs="宋体"/>
          <w:color w:val="auto"/>
          <w:spacing w:val="-2"/>
          <w:sz w:val="24"/>
          <w:szCs w:val="24"/>
          <w:highlight w:val="none"/>
        </w:rPr>
        <w:t>投标人必须按照招标工程量清单及表格填报价格。项目编码、项目名称、项</w:t>
      </w:r>
      <w:r>
        <w:rPr>
          <w:rFonts w:hint="eastAsia" w:ascii="宋体" w:hAnsi="宋体" w:eastAsia="宋体" w:cs="宋体"/>
          <w:color w:val="auto"/>
          <w:spacing w:val="2"/>
          <w:sz w:val="24"/>
          <w:szCs w:val="24"/>
          <w:highlight w:val="none"/>
        </w:rPr>
        <w:t>目特征、计量单位、工程量必须与招标工程量清单一致。所有报价均以人</w:t>
      </w:r>
      <w:r>
        <w:rPr>
          <w:rFonts w:hint="eastAsia" w:ascii="宋体" w:hAnsi="宋体" w:eastAsia="宋体" w:cs="宋体"/>
          <w:color w:val="auto"/>
          <w:spacing w:val="1"/>
          <w:sz w:val="24"/>
          <w:szCs w:val="24"/>
          <w:highlight w:val="none"/>
        </w:rPr>
        <w:t>民币“元</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rPr>
        <w:t>为单位，并保留小数点后两位。</w:t>
      </w:r>
    </w:p>
    <w:p w14:paraId="7A5201E3">
      <w:pPr>
        <w:spacing w:before="158" w:line="314" w:lineRule="auto"/>
        <w:ind w:left="9" w:right="150" w:firstLine="557"/>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9.6  </w:t>
      </w:r>
      <w:r>
        <w:rPr>
          <w:rFonts w:hint="eastAsia" w:ascii="宋体" w:hAnsi="宋体" w:eastAsia="宋体" w:cs="宋体"/>
          <w:color w:val="auto"/>
          <w:spacing w:val="-2"/>
          <w:sz w:val="24"/>
          <w:szCs w:val="24"/>
          <w:highlight w:val="none"/>
        </w:rPr>
        <w:t>投标人只允许有一个投标总价。投标总价必须同时用大、小写表示，大、小</w:t>
      </w:r>
      <w:r>
        <w:rPr>
          <w:rFonts w:hint="eastAsia" w:ascii="宋体" w:hAnsi="宋体" w:eastAsia="宋体" w:cs="宋体"/>
          <w:color w:val="auto"/>
          <w:spacing w:val="-1"/>
          <w:sz w:val="24"/>
          <w:szCs w:val="24"/>
          <w:highlight w:val="none"/>
        </w:rPr>
        <w:t>写报价应保持一致，若不一致，以大写报价为准。招标工程量</w:t>
      </w:r>
      <w:r>
        <w:rPr>
          <w:rFonts w:hint="eastAsia" w:ascii="宋体" w:hAnsi="宋体" w:eastAsia="宋体" w:cs="宋体"/>
          <w:color w:val="auto"/>
          <w:spacing w:val="-2"/>
          <w:sz w:val="24"/>
          <w:szCs w:val="24"/>
          <w:highlight w:val="none"/>
        </w:rPr>
        <w:t>清单与计价表中列明的</w:t>
      </w:r>
      <w:r>
        <w:rPr>
          <w:rFonts w:hint="eastAsia" w:ascii="宋体" w:hAnsi="宋体" w:eastAsia="宋体" w:cs="宋体"/>
          <w:color w:val="auto"/>
          <w:spacing w:val="-1"/>
          <w:sz w:val="24"/>
          <w:szCs w:val="24"/>
          <w:highlight w:val="none"/>
        </w:rPr>
        <w:t>所有需要填写单价和合价的项目，投标人均应填写且只允许有</w:t>
      </w:r>
      <w:r>
        <w:rPr>
          <w:rFonts w:hint="eastAsia" w:ascii="宋体" w:hAnsi="宋体" w:eastAsia="宋体" w:cs="宋体"/>
          <w:color w:val="auto"/>
          <w:spacing w:val="-2"/>
          <w:sz w:val="24"/>
          <w:szCs w:val="24"/>
          <w:highlight w:val="none"/>
        </w:rPr>
        <w:t>一个报价。未填写单价</w:t>
      </w:r>
      <w:r>
        <w:rPr>
          <w:rFonts w:hint="eastAsia" w:ascii="宋体" w:hAnsi="宋体" w:eastAsia="宋体" w:cs="宋体"/>
          <w:color w:val="auto"/>
          <w:spacing w:val="-1"/>
          <w:sz w:val="24"/>
          <w:szCs w:val="24"/>
          <w:highlight w:val="none"/>
        </w:rPr>
        <w:t>和合价的项目，视为此项费用已包含在已标价工程量清单其他</w:t>
      </w:r>
      <w:r>
        <w:rPr>
          <w:rFonts w:hint="eastAsia" w:ascii="宋体" w:hAnsi="宋体" w:eastAsia="宋体" w:cs="宋体"/>
          <w:color w:val="auto"/>
          <w:spacing w:val="-2"/>
          <w:sz w:val="24"/>
          <w:szCs w:val="24"/>
          <w:highlight w:val="none"/>
        </w:rPr>
        <w:t>项目的单价和合价中，</w:t>
      </w:r>
      <w:r>
        <w:rPr>
          <w:rFonts w:hint="eastAsia" w:ascii="宋体" w:hAnsi="宋体" w:eastAsia="宋体" w:cs="宋体"/>
          <w:color w:val="auto"/>
          <w:spacing w:val="-1"/>
          <w:sz w:val="24"/>
          <w:szCs w:val="24"/>
          <w:highlight w:val="none"/>
        </w:rPr>
        <w:t>竣工结算时不得重新组价和调整。</w:t>
      </w:r>
    </w:p>
    <w:p w14:paraId="680D700B">
      <w:pPr>
        <w:spacing w:before="152" w:line="309" w:lineRule="auto"/>
        <w:ind w:left="7" w:right="120" w:firstLine="480"/>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z w:val="24"/>
          <w:szCs w:val="24"/>
          <w:highlight w:val="none"/>
        </w:rPr>
        <w:t xml:space="preserve">9.7  </w:t>
      </w:r>
      <w:r>
        <w:rPr>
          <w:rFonts w:hint="eastAsia" w:ascii="宋体" w:hAnsi="宋体" w:eastAsia="宋体" w:cs="宋体"/>
          <w:color w:val="auto"/>
          <w:sz w:val="24"/>
          <w:szCs w:val="24"/>
          <w:highlight w:val="none"/>
        </w:rPr>
        <w:t>投标人的投标总价不得高于</w:t>
      </w:r>
      <w:r>
        <w:rPr>
          <w:rFonts w:hint="eastAsia" w:ascii="宋体" w:hAnsi="宋体" w:eastAsia="宋体" w:cs="宋体"/>
          <w:b/>
          <w:bCs/>
          <w:color w:val="auto"/>
          <w:sz w:val="24"/>
          <w:szCs w:val="24"/>
          <w:highlight w:val="none"/>
          <w:lang w:val="en-US" w:eastAsia="zh-CN"/>
        </w:rPr>
        <w:t>最高投标限价</w:t>
      </w:r>
      <w:r>
        <w:rPr>
          <w:rFonts w:hint="eastAsia" w:ascii="宋体" w:hAnsi="宋体" w:eastAsia="宋体" w:cs="宋体"/>
          <w:color w:val="auto"/>
          <w:sz w:val="24"/>
          <w:szCs w:val="24"/>
          <w:highlight w:val="none"/>
        </w:rPr>
        <w:t>，也不得低于工程成本。投标人对</w:t>
      </w:r>
      <w:r>
        <w:rPr>
          <w:rFonts w:hint="eastAsia" w:ascii="宋体" w:hAnsi="宋体" w:eastAsia="宋体" w:cs="宋体"/>
          <w:color w:val="auto"/>
          <w:spacing w:val="-1"/>
          <w:sz w:val="24"/>
          <w:szCs w:val="24"/>
          <w:highlight w:val="none"/>
        </w:rPr>
        <w:t>投标总价的所有优惠（降价、让利等</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1"/>
          <w:sz w:val="24"/>
          <w:szCs w:val="24"/>
          <w:highlight w:val="none"/>
        </w:rPr>
        <w:t>均应当反映在具体清单项目或其综合</w:t>
      </w:r>
      <w:r>
        <w:rPr>
          <w:rFonts w:hint="eastAsia" w:ascii="宋体" w:hAnsi="宋体" w:eastAsia="宋体" w:cs="宋体"/>
          <w:color w:val="auto"/>
          <w:spacing w:val="-2"/>
          <w:sz w:val="24"/>
          <w:szCs w:val="24"/>
          <w:highlight w:val="none"/>
        </w:rPr>
        <w:t>单价的</w:t>
      </w:r>
      <w:r>
        <w:rPr>
          <w:rFonts w:hint="eastAsia" w:ascii="宋体" w:hAnsi="宋体" w:eastAsia="宋体" w:cs="宋体"/>
          <w:color w:val="auto"/>
          <w:spacing w:val="1"/>
          <w:sz w:val="24"/>
          <w:szCs w:val="24"/>
          <w:highlight w:val="none"/>
        </w:rPr>
        <w:t>报价上。</w:t>
      </w:r>
      <w:r>
        <w:rPr>
          <w:rFonts w:hint="eastAsia" w:ascii="宋体" w:hAnsi="宋体" w:eastAsia="宋体" w:cs="宋体"/>
          <w:b/>
          <w:bCs/>
          <w:color w:val="auto"/>
          <w:spacing w:val="1"/>
          <w:sz w:val="24"/>
          <w:szCs w:val="24"/>
          <w:highlight w:val="none"/>
        </w:rPr>
        <w:t>如果投标人的投标总价下浮率高于</w:t>
      </w:r>
      <w:r>
        <w:rPr>
          <w:rFonts w:hint="eastAsia" w:ascii="宋体" w:hAnsi="宋体" w:eastAsia="宋体" w:cs="宋体"/>
          <w:color w:val="auto"/>
          <w:spacing w:val="-40"/>
          <w:sz w:val="24"/>
          <w:szCs w:val="24"/>
          <w:highlight w:val="none"/>
        </w:rPr>
        <w:t xml:space="preserve"> </w:t>
      </w:r>
      <w:r>
        <w:rPr>
          <w:rFonts w:hint="eastAsia" w:ascii="宋体" w:hAnsi="宋体" w:eastAsia="宋体" w:cs="宋体"/>
          <w:b/>
          <w:bCs/>
          <w:color w:val="auto"/>
          <w:spacing w:val="1"/>
          <w:sz w:val="24"/>
          <w:szCs w:val="24"/>
          <w:highlight w:val="none"/>
        </w:rPr>
        <w:t>15%时，投标人必须在投标文件中专项</w:t>
      </w:r>
      <w:r>
        <w:rPr>
          <w:rFonts w:hint="eastAsia" w:ascii="宋体" w:hAnsi="宋体" w:eastAsia="宋体" w:cs="宋体"/>
          <w:b/>
          <w:bCs/>
          <w:color w:val="auto"/>
          <w:spacing w:val="-3"/>
          <w:sz w:val="24"/>
          <w:szCs w:val="24"/>
          <w:highlight w:val="none"/>
        </w:rPr>
        <w:t>作出详细合理的书面说明并提供以往类似工程详细成本分析报告供评标委员会审查。</w:t>
      </w:r>
    </w:p>
    <w:p w14:paraId="25ACD444">
      <w:pPr>
        <w:outlineLvl w:val="9"/>
        <w:rPr>
          <w:rFonts w:hint="eastAsia" w:ascii="宋体" w:hAnsi="宋体" w:eastAsia="宋体" w:cs="宋体"/>
          <w:color w:val="auto"/>
          <w:highlight w:val="none"/>
          <w:lang w:eastAsia="zh-CN"/>
        </w:rPr>
      </w:pPr>
      <w:r>
        <w:rPr>
          <w:rFonts w:hint="eastAsia" w:ascii="宋体" w:hAnsi="宋体" w:eastAsia="宋体" w:cs="宋体"/>
          <w:b/>
          <w:bCs/>
          <w:color w:val="auto"/>
          <w:spacing w:val="-3"/>
          <w:sz w:val="24"/>
          <w:szCs w:val="24"/>
          <w:highlight w:val="none"/>
          <w:lang w:eastAsia="zh-CN"/>
        </w:rPr>
        <w:t>投标总价下浮率=（1-投标总价</w:t>
      </w:r>
      <w:r>
        <w:rPr>
          <w:rFonts w:hint="eastAsia" w:ascii="宋体" w:hAnsi="宋体" w:eastAsia="宋体" w:cs="宋体"/>
          <w:b/>
          <w:bCs/>
          <w:color w:val="auto"/>
          <w:spacing w:val="-1"/>
          <w:sz w:val="24"/>
          <w:szCs w:val="24"/>
          <w:highlight w:val="none"/>
        </w:rPr>
        <w:t>÷</w:t>
      </w:r>
      <w:r>
        <w:rPr>
          <w:rFonts w:hint="eastAsia" w:ascii="宋体" w:hAnsi="宋体" w:eastAsia="宋体" w:cs="宋体"/>
          <w:b/>
          <w:bCs/>
          <w:color w:val="auto"/>
          <w:spacing w:val="-1"/>
          <w:sz w:val="24"/>
          <w:szCs w:val="24"/>
          <w:highlight w:val="none"/>
          <w:lang w:eastAsia="zh-CN"/>
        </w:rPr>
        <w:t>最高投标限价）</w:t>
      </w:r>
      <w:r>
        <w:rPr>
          <w:rFonts w:hint="eastAsia" w:ascii="宋体" w:hAnsi="宋体" w:eastAsia="宋体" w:cs="宋体"/>
          <w:b/>
          <w:bCs/>
          <w:color w:val="auto"/>
          <w:spacing w:val="-1"/>
          <w:sz w:val="24"/>
          <w:szCs w:val="24"/>
          <w:highlight w:val="none"/>
        </w:rPr>
        <w:t>×</w:t>
      </w:r>
      <w:r>
        <w:rPr>
          <w:rFonts w:hint="eastAsia" w:ascii="宋体" w:hAnsi="宋体" w:eastAsia="宋体" w:cs="宋体"/>
          <w:b/>
          <w:bCs/>
          <w:color w:val="auto"/>
          <w:spacing w:val="-1"/>
          <w:sz w:val="24"/>
          <w:szCs w:val="24"/>
          <w:highlight w:val="none"/>
          <w:lang w:eastAsia="zh-CN"/>
        </w:rPr>
        <w:t>100%</w:t>
      </w:r>
    </w:p>
    <w:p w14:paraId="5ABB7F86">
      <w:pPr>
        <w:spacing w:before="146" w:line="325" w:lineRule="auto"/>
        <w:ind w:left="29" w:right="153" w:firstLine="458"/>
        <w:rPr>
          <w:rFonts w:hint="eastAsia" w:ascii="宋体" w:hAnsi="宋体" w:eastAsia="宋体" w:cs="宋体"/>
          <w:b/>
          <w:bCs/>
          <w:color w:val="auto"/>
          <w:highlight w:val="none"/>
        </w:rPr>
      </w:pPr>
      <w:r>
        <w:rPr>
          <w:rFonts w:hint="eastAsia" w:ascii="宋体" w:hAnsi="宋体" w:eastAsia="宋体" w:cs="宋体"/>
          <w:b/>
          <w:bCs/>
          <w:color w:val="auto"/>
          <w:sz w:val="24"/>
          <w:szCs w:val="24"/>
          <w:highlight w:val="none"/>
        </w:rPr>
        <w:t>9.8  投标人的安全生产措施费报价必须达到或超过</w:t>
      </w:r>
      <w:r>
        <w:rPr>
          <w:rFonts w:hint="eastAsia" w:ascii="宋体" w:hAnsi="宋体" w:eastAsia="宋体" w:cs="宋体"/>
          <w:b/>
          <w:bCs/>
          <w:color w:val="auto"/>
          <w:sz w:val="24"/>
          <w:szCs w:val="24"/>
          <w:highlight w:val="none"/>
          <w:lang w:val="en-US" w:eastAsia="zh-CN"/>
        </w:rPr>
        <w:t>最高投标限价</w:t>
      </w:r>
      <w:r>
        <w:rPr>
          <w:rFonts w:hint="eastAsia" w:ascii="宋体" w:hAnsi="宋体" w:eastAsia="宋体" w:cs="宋体"/>
          <w:b/>
          <w:bCs/>
          <w:color w:val="auto"/>
          <w:sz w:val="24"/>
          <w:szCs w:val="24"/>
          <w:highlight w:val="none"/>
        </w:rPr>
        <w:t>中</w:t>
      </w:r>
      <w:r>
        <w:rPr>
          <w:rFonts w:hint="eastAsia" w:ascii="宋体" w:hAnsi="宋体" w:eastAsia="宋体" w:cs="宋体"/>
          <w:b/>
          <w:bCs/>
          <w:color w:val="auto"/>
          <w:spacing w:val="-1"/>
          <w:sz w:val="24"/>
          <w:szCs w:val="24"/>
          <w:highlight w:val="none"/>
        </w:rPr>
        <w:t>提供</w:t>
      </w:r>
      <w:r>
        <w:rPr>
          <w:rFonts w:hint="eastAsia" w:ascii="宋体" w:hAnsi="宋体" w:eastAsia="宋体" w:cs="宋体"/>
          <w:b/>
          <w:bCs/>
          <w:color w:val="auto"/>
          <w:spacing w:val="-3"/>
          <w:sz w:val="24"/>
          <w:szCs w:val="24"/>
          <w:highlight w:val="none"/>
        </w:rPr>
        <w:t>的安全生产措施费。</w:t>
      </w:r>
    </w:p>
    <w:p w14:paraId="235C1669">
      <w:pPr>
        <w:spacing w:before="78" w:line="309" w:lineRule="auto"/>
        <w:ind w:right="99"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9.9  </w:t>
      </w:r>
      <w:r>
        <w:rPr>
          <w:rFonts w:hint="eastAsia" w:ascii="宋体" w:hAnsi="宋体" w:eastAsia="宋体" w:cs="宋体"/>
          <w:color w:val="auto"/>
          <w:sz w:val="24"/>
          <w:szCs w:val="24"/>
          <w:highlight w:val="none"/>
        </w:rPr>
        <w:t>投标人必须按照招标工程量清单中提供的暂列金额和暂估价统一报价。投标</w:t>
      </w:r>
      <w:r>
        <w:rPr>
          <w:rFonts w:hint="eastAsia" w:ascii="宋体" w:hAnsi="宋体" w:eastAsia="宋体" w:cs="宋体"/>
          <w:color w:val="auto"/>
          <w:spacing w:val="-1"/>
          <w:sz w:val="24"/>
          <w:szCs w:val="24"/>
          <w:highlight w:val="none"/>
        </w:rPr>
        <w:t>人应充分考虑暂估价项目（或暂列金额项目）的管理和协调所发</w:t>
      </w:r>
      <w:r>
        <w:rPr>
          <w:rFonts w:hint="eastAsia" w:ascii="宋体" w:hAnsi="宋体" w:eastAsia="宋体" w:cs="宋体"/>
          <w:color w:val="auto"/>
          <w:spacing w:val="-2"/>
          <w:sz w:val="24"/>
          <w:szCs w:val="24"/>
          <w:highlight w:val="none"/>
        </w:rPr>
        <w:t>生的费用，并将其纳</w:t>
      </w:r>
      <w:r>
        <w:rPr>
          <w:rFonts w:hint="eastAsia" w:ascii="宋体" w:hAnsi="宋体" w:eastAsia="宋体" w:cs="宋体"/>
          <w:color w:val="auto"/>
          <w:spacing w:val="-1"/>
          <w:sz w:val="24"/>
          <w:szCs w:val="24"/>
          <w:highlight w:val="none"/>
        </w:rPr>
        <w:t>入已标价工程量清单中的适当项目。招标人视该项管理和协调所</w:t>
      </w:r>
      <w:r>
        <w:rPr>
          <w:rFonts w:hint="eastAsia" w:ascii="宋体" w:hAnsi="宋体" w:eastAsia="宋体" w:cs="宋体"/>
          <w:color w:val="auto"/>
          <w:spacing w:val="-2"/>
          <w:sz w:val="24"/>
          <w:szCs w:val="24"/>
          <w:highlight w:val="none"/>
        </w:rPr>
        <w:t>发生的费用已包含在</w:t>
      </w:r>
      <w:r>
        <w:rPr>
          <w:rFonts w:hint="eastAsia" w:ascii="宋体" w:hAnsi="宋体" w:eastAsia="宋体" w:cs="宋体"/>
          <w:color w:val="auto"/>
          <w:spacing w:val="-1"/>
          <w:sz w:val="24"/>
          <w:szCs w:val="24"/>
          <w:highlight w:val="none"/>
        </w:rPr>
        <w:t>其它有价款的竞争性报价内，不再另行支付。</w:t>
      </w:r>
    </w:p>
    <w:p w14:paraId="0DB0421A">
      <w:pPr>
        <w:pStyle w:val="5"/>
        <w:spacing w:line="253" w:lineRule="auto"/>
        <w:ind w:firstLine="422" w:firstLineChars="200"/>
        <w:rPr>
          <w:rFonts w:hint="eastAsia" w:ascii="宋体" w:hAnsi="宋体" w:eastAsia="宋体" w:cs="宋体"/>
          <w:snapToGrid w:val="0"/>
          <w:color w:val="auto"/>
          <w:sz w:val="24"/>
          <w:szCs w:val="24"/>
          <w:highlight w:val="none"/>
          <w:lang w:val="en-US" w:eastAsia="en-US" w:bidi="ar-SA"/>
        </w:rPr>
      </w:pPr>
      <w:r>
        <w:rPr>
          <w:rFonts w:hint="eastAsia" w:ascii="宋体" w:hAnsi="宋体" w:eastAsia="宋体" w:cs="宋体"/>
          <w:b/>
          <w:bCs/>
          <w:color w:val="auto"/>
          <w:highlight w:val="none"/>
        </w:rPr>
        <w:t xml:space="preserve">9.10 </w:t>
      </w:r>
      <w:r>
        <w:rPr>
          <w:rFonts w:hint="eastAsia" w:ascii="宋体" w:hAnsi="宋体" w:eastAsia="宋体" w:cs="宋体"/>
          <w:snapToGrid w:val="0"/>
          <w:color w:val="auto"/>
          <w:sz w:val="24"/>
          <w:szCs w:val="24"/>
          <w:highlight w:val="none"/>
          <w:lang w:val="en-US" w:eastAsia="en-US" w:bidi="ar-SA"/>
        </w:rPr>
        <w:t>预算包干费：根据《市政工程工程量计算标准》（GB/T 50857-2024）、《房屋建筑与装饰工程工程量计算标准》（GB/T 50854-2024）、《通用安装工程工程量计算标准》（GB/T 50856-2024）、《园林绿化工程工程量计算标准》（GB/T 50858-2024），以各专业分部分项的人工费与施工机具费之和为基础计算预算包干费。本工程的预算包干内容包括：按《广东省建设工程计价依据（2024）》相关规定。若发生工程签证变更，应按合同约定计取预算包干费。</w:t>
      </w:r>
    </w:p>
    <w:p w14:paraId="105B0490">
      <w:pPr>
        <w:spacing w:before="78" w:line="220" w:lineRule="auto"/>
        <w:ind w:left="496"/>
        <w:outlineLvl w:val="2"/>
        <w:rPr>
          <w:rFonts w:hint="eastAsia" w:ascii="宋体" w:hAnsi="宋体" w:eastAsia="宋体" w:cs="宋体"/>
          <w:color w:val="auto"/>
          <w:sz w:val="24"/>
          <w:szCs w:val="24"/>
          <w:highlight w:val="none"/>
        </w:rPr>
      </w:pPr>
      <w:bookmarkStart w:id="42" w:name="_Toc23711"/>
      <w:bookmarkStart w:id="43" w:name="_Toc16322"/>
      <w:r>
        <w:rPr>
          <w:rFonts w:hint="eastAsia" w:ascii="宋体" w:hAnsi="宋体" w:eastAsia="宋体" w:cs="宋体"/>
          <w:b/>
          <w:bCs/>
          <w:color w:val="auto"/>
          <w:spacing w:val="-6"/>
          <w:sz w:val="24"/>
          <w:szCs w:val="24"/>
          <w:highlight w:val="none"/>
        </w:rPr>
        <w:t>10</w:t>
      </w:r>
      <w:r>
        <w:rPr>
          <w:rFonts w:hint="eastAsia" w:ascii="宋体" w:hAnsi="宋体" w:eastAsia="宋体" w:cs="宋体"/>
          <w:b/>
          <w:bCs/>
          <w:color w:val="auto"/>
          <w:spacing w:val="-21"/>
          <w:sz w:val="24"/>
          <w:szCs w:val="24"/>
          <w:highlight w:val="none"/>
        </w:rPr>
        <w:t xml:space="preserve"> </w:t>
      </w:r>
      <w:r>
        <w:rPr>
          <w:rFonts w:hint="eastAsia" w:ascii="宋体" w:hAnsi="宋体" w:eastAsia="宋体" w:cs="宋体"/>
          <w:b/>
          <w:bCs/>
          <w:color w:val="auto"/>
          <w:spacing w:val="-6"/>
          <w:sz w:val="24"/>
          <w:szCs w:val="24"/>
          <w:highlight w:val="none"/>
        </w:rPr>
        <w:t>．投标文件的编制要求</w:t>
      </w:r>
      <w:bookmarkEnd w:id="42"/>
      <w:bookmarkEnd w:id="43"/>
    </w:p>
    <w:p w14:paraId="717359E1">
      <w:pPr>
        <w:spacing w:before="152" w:line="222" w:lineRule="auto"/>
        <w:ind w:left="496"/>
        <w:outlineLvl w:val="3"/>
        <w:rPr>
          <w:rFonts w:hint="eastAsia" w:ascii="宋体" w:hAnsi="宋体" w:eastAsia="宋体" w:cs="宋体"/>
          <w:color w:val="auto"/>
          <w:sz w:val="24"/>
          <w:szCs w:val="24"/>
          <w:highlight w:val="none"/>
        </w:rPr>
      </w:pPr>
      <w:bookmarkStart w:id="44" w:name="_Toc20590"/>
      <w:bookmarkStart w:id="45" w:name="_Toc22937"/>
      <w:r>
        <w:rPr>
          <w:rFonts w:hint="eastAsia" w:ascii="宋体" w:hAnsi="宋体" w:eastAsia="宋体" w:cs="宋体"/>
          <w:b/>
          <w:bCs/>
          <w:color w:val="auto"/>
          <w:spacing w:val="-4"/>
          <w:sz w:val="24"/>
          <w:szCs w:val="24"/>
          <w:highlight w:val="none"/>
        </w:rPr>
        <w:t>10.1</w:t>
      </w:r>
      <w:r>
        <w:rPr>
          <w:rFonts w:hint="eastAsia" w:ascii="宋体" w:hAnsi="宋体" w:eastAsia="宋体" w:cs="宋体"/>
          <w:b/>
          <w:bCs/>
          <w:color w:val="auto"/>
          <w:spacing w:val="7"/>
          <w:sz w:val="24"/>
          <w:szCs w:val="24"/>
          <w:highlight w:val="none"/>
        </w:rPr>
        <w:t xml:space="preserve">  </w:t>
      </w:r>
      <w:r>
        <w:rPr>
          <w:rFonts w:hint="eastAsia" w:ascii="宋体" w:hAnsi="宋体" w:eastAsia="宋体" w:cs="宋体"/>
          <w:color w:val="auto"/>
          <w:spacing w:val="-4"/>
          <w:sz w:val="24"/>
          <w:szCs w:val="24"/>
          <w:highlight w:val="none"/>
        </w:rPr>
        <w:t>一般要求</w:t>
      </w:r>
      <w:bookmarkEnd w:id="44"/>
      <w:bookmarkEnd w:id="45"/>
    </w:p>
    <w:p w14:paraId="4800233A">
      <w:pPr>
        <w:spacing w:before="118" w:line="295" w:lineRule="auto"/>
        <w:ind w:left="11" w:right="99"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投标文件应按第六章投标文件格式规定的内容，投标人提交的投标文件应当使</w:t>
      </w:r>
      <w:r>
        <w:rPr>
          <w:rFonts w:hint="eastAsia" w:ascii="宋体" w:hAnsi="宋体" w:eastAsia="宋体" w:cs="宋体"/>
          <w:color w:val="auto"/>
          <w:spacing w:val="-1"/>
          <w:sz w:val="24"/>
          <w:szCs w:val="24"/>
          <w:highlight w:val="none"/>
        </w:rPr>
        <w:t>用招标文件所提供的投标文件全部格式。</w:t>
      </w:r>
    </w:p>
    <w:p w14:paraId="1E2CE420">
      <w:pPr>
        <w:spacing w:before="68" w:line="299" w:lineRule="auto"/>
        <w:ind w:left="11" w:right="99" w:firstLine="563"/>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10.1.1  </w:t>
      </w:r>
      <w:r>
        <w:rPr>
          <w:rFonts w:hint="eastAsia" w:ascii="宋体" w:hAnsi="宋体" w:eastAsia="宋体" w:cs="宋体"/>
          <w:color w:val="auto"/>
          <w:spacing w:val="-3"/>
          <w:sz w:val="24"/>
          <w:szCs w:val="24"/>
          <w:highlight w:val="none"/>
        </w:rPr>
        <w:t>投标人必须响应招标文件，并在充分理解招</w:t>
      </w:r>
      <w:r>
        <w:rPr>
          <w:rFonts w:hint="eastAsia" w:ascii="宋体" w:hAnsi="宋体" w:eastAsia="宋体" w:cs="宋体"/>
          <w:color w:val="auto"/>
          <w:spacing w:val="-4"/>
          <w:sz w:val="24"/>
          <w:szCs w:val="24"/>
          <w:highlight w:val="none"/>
        </w:rPr>
        <w:t>标人提供的全部文件、设计图</w:t>
      </w:r>
      <w:r>
        <w:rPr>
          <w:rFonts w:hint="eastAsia" w:ascii="宋体" w:hAnsi="宋体" w:eastAsia="宋体" w:cs="宋体"/>
          <w:color w:val="auto"/>
          <w:spacing w:val="-1"/>
          <w:sz w:val="24"/>
          <w:szCs w:val="24"/>
          <w:highlight w:val="none"/>
        </w:rPr>
        <w:t>纸、资料及现场条件的基础上编制投标文件。因投标文件</w:t>
      </w:r>
      <w:r>
        <w:rPr>
          <w:rFonts w:hint="eastAsia" w:ascii="宋体" w:hAnsi="宋体" w:eastAsia="宋体" w:cs="宋体"/>
          <w:color w:val="auto"/>
          <w:spacing w:val="-2"/>
          <w:sz w:val="24"/>
          <w:szCs w:val="24"/>
          <w:highlight w:val="none"/>
        </w:rPr>
        <w:t>不符合招标文件的要求而造</w:t>
      </w:r>
      <w:r>
        <w:rPr>
          <w:rFonts w:hint="eastAsia" w:ascii="宋体" w:hAnsi="宋体" w:eastAsia="宋体" w:cs="宋体"/>
          <w:color w:val="auto"/>
          <w:spacing w:val="-1"/>
          <w:sz w:val="24"/>
          <w:szCs w:val="24"/>
          <w:highlight w:val="none"/>
        </w:rPr>
        <w:t>成的损失和后果，由投标人自行承担。</w:t>
      </w:r>
    </w:p>
    <w:p w14:paraId="5DF6C785">
      <w:pPr>
        <w:spacing w:before="123" w:line="290" w:lineRule="auto"/>
        <w:ind w:left="8" w:firstLine="566"/>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10.1.2  投标文件包括商务标书、经济标书、施工组织设计和定标文件四个分册，</w:t>
      </w:r>
      <w:r>
        <w:rPr>
          <w:rFonts w:hint="eastAsia" w:ascii="宋体" w:hAnsi="宋体" w:eastAsia="宋体" w:cs="宋体"/>
          <w:color w:val="auto"/>
          <w:spacing w:val="-3"/>
          <w:sz w:val="24"/>
          <w:szCs w:val="24"/>
          <w:highlight w:val="none"/>
        </w:rPr>
        <w:t>投标文件全部采用电子文档，投标文件所附</w:t>
      </w:r>
      <w:r>
        <w:rPr>
          <w:rFonts w:hint="eastAsia" w:ascii="宋体" w:hAnsi="宋体" w:eastAsia="宋体" w:cs="宋体"/>
          <w:color w:val="auto"/>
          <w:spacing w:val="-4"/>
          <w:sz w:val="24"/>
          <w:szCs w:val="24"/>
          <w:highlight w:val="none"/>
        </w:rPr>
        <w:t>证书证件均为原件扫描件，并</w:t>
      </w:r>
      <w:r>
        <w:rPr>
          <w:rFonts w:hint="eastAsia" w:ascii="宋体" w:hAnsi="宋体" w:eastAsia="宋体" w:cs="宋体"/>
          <w:color w:val="auto"/>
          <w:spacing w:val="-1"/>
          <w:sz w:val="24"/>
          <w:szCs w:val="24"/>
          <w:highlight w:val="none"/>
        </w:rPr>
        <w:t>采用单位数字证书，按招标文件要求在相应位置加盖电子印章。</w:t>
      </w:r>
      <w:r>
        <w:rPr>
          <w:rFonts w:hint="eastAsia" w:ascii="宋体" w:hAnsi="宋体" w:eastAsia="宋体" w:cs="宋体"/>
          <w:color w:val="auto"/>
          <w:spacing w:val="-2"/>
          <w:sz w:val="24"/>
          <w:szCs w:val="24"/>
          <w:highlight w:val="none"/>
        </w:rPr>
        <w:t>投标文件中需个人签</w:t>
      </w:r>
      <w:r>
        <w:rPr>
          <w:rFonts w:hint="eastAsia" w:ascii="宋体" w:hAnsi="宋体" w:eastAsia="宋体" w:cs="宋体"/>
          <w:color w:val="auto"/>
          <w:spacing w:val="-1"/>
          <w:sz w:val="24"/>
          <w:szCs w:val="24"/>
          <w:highlight w:val="none"/>
        </w:rPr>
        <w:t>字或盖章的，应加盖个人电子印章或在线下完成后扫描上传。按</w:t>
      </w:r>
      <w:r>
        <w:rPr>
          <w:rFonts w:hint="eastAsia" w:ascii="宋体" w:hAnsi="宋体" w:eastAsia="宋体" w:cs="宋体"/>
          <w:color w:val="auto"/>
          <w:spacing w:val="-2"/>
          <w:sz w:val="24"/>
          <w:szCs w:val="24"/>
          <w:highlight w:val="none"/>
        </w:rPr>
        <w:t>照交易平台关于全流</w:t>
      </w:r>
      <w:r>
        <w:rPr>
          <w:rFonts w:hint="eastAsia" w:ascii="宋体" w:hAnsi="宋体" w:eastAsia="宋体" w:cs="宋体"/>
          <w:color w:val="auto"/>
          <w:spacing w:val="-7"/>
          <w:sz w:val="24"/>
          <w:szCs w:val="24"/>
          <w:highlight w:val="none"/>
        </w:rPr>
        <w:t>程电子化项目的相关指南进行操作。详见：全国公共资源</w:t>
      </w:r>
      <w:r>
        <w:rPr>
          <w:rFonts w:hint="eastAsia" w:ascii="宋体" w:hAnsi="宋体" w:eastAsia="宋体" w:cs="宋体"/>
          <w:color w:val="auto"/>
          <w:spacing w:val="-8"/>
          <w:sz w:val="24"/>
          <w:szCs w:val="24"/>
          <w:highlight w:val="none"/>
        </w:rPr>
        <w:t>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8"/>
          <w:sz w:val="24"/>
          <w:szCs w:val="24"/>
          <w:highlight w:val="none"/>
        </w:rPr>
        <w:t>·韶关市）</w:t>
      </w:r>
      <w:r>
        <w:rPr>
          <w:rFonts w:hint="eastAsia" w:ascii="宋体" w:hAnsi="宋体" w:eastAsia="宋体" w:cs="宋体"/>
          <w:color w:val="auto"/>
          <w:spacing w:val="-2"/>
          <w:sz w:val="24"/>
          <w:szCs w:val="24"/>
          <w:highlight w:val="none"/>
        </w:rPr>
        <w:t>交易指引。</w:t>
      </w:r>
    </w:p>
    <w:p w14:paraId="217CF466">
      <w:pPr>
        <w:spacing w:before="1" w:line="219" w:lineRule="auto"/>
        <w:ind w:left="57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10.1.3  </w:t>
      </w:r>
      <w:r>
        <w:rPr>
          <w:rFonts w:hint="eastAsia" w:ascii="宋体" w:hAnsi="宋体" w:eastAsia="宋体" w:cs="宋体"/>
          <w:color w:val="auto"/>
          <w:spacing w:val="-1"/>
          <w:sz w:val="24"/>
          <w:szCs w:val="24"/>
          <w:highlight w:val="none"/>
        </w:rPr>
        <w:t>投标文件需按以下要求签字、盖章：电子投标文件：</w:t>
      </w:r>
    </w:p>
    <w:p w14:paraId="4EB2C279">
      <w:pPr>
        <w:spacing w:before="111" w:line="279" w:lineRule="auto"/>
        <w:ind w:right="133" w:firstLine="579"/>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10.1.3.1</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投标文件封面、组成</w:t>
      </w:r>
      <w:r>
        <w:rPr>
          <w:rFonts w:hint="eastAsia" w:ascii="宋体" w:hAnsi="宋体" w:eastAsia="宋体" w:cs="宋体"/>
          <w:color w:val="auto"/>
          <w:spacing w:val="-3"/>
          <w:sz w:val="24"/>
          <w:szCs w:val="24"/>
          <w:highlight w:val="none"/>
        </w:rPr>
        <w:t>内容中凡注明“签字</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3"/>
          <w:sz w:val="24"/>
          <w:szCs w:val="24"/>
          <w:highlight w:val="none"/>
        </w:rPr>
        <w:t>”处由要求的人员签字或电子</w:t>
      </w:r>
      <w:r>
        <w:rPr>
          <w:rFonts w:hint="eastAsia" w:ascii="宋体" w:hAnsi="宋体" w:eastAsia="宋体" w:cs="宋体"/>
          <w:color w:val="auto"/>
          <w:spacing w:val="-2"/>
          <w:sz w:val="24"/>
          <w:szCs w:val="24"/>
          <w:highlight w:val="none"/>
        </w:rPr>
        <w:t>签章；凡注明“签字或盖章</w:t>
      </w:r>
      <w:r>
        <w:rPr>
          <w:rFonts w:hint="eastAsia" w:ascii="宋体" w:hAnsi="宋体" w:eastAsia="宋体" w:cs="宋体"/>
          <w:color w:val="auto"/>
          <w:spacing w:val="-87"/>
          <w:sz w:val="24"/>
          <w:szCs w:val="24"/>
          <w:highlight w:val="none"/>
        </w:rPr>
        <w:t xml:space="preserve"> </w:t>
      </w:r>
      <w:r>
        <w:rPr>
          <w:rFonts w:hint="eastAsia" w:ascii="宋体" w:hAnsi="宋体" w:eastAsia="宋体" w:cs="宋体"/>
          <w:color w:val="auto"/>
          <w:spacing w:val="-2"/>
          <w:sz w:val="24"/>
          <w:szCs w:val="24"/>
          <w:highlight w:val="none"/>
        </w:rPr>
        <w:t>”处由要求的人员签字或盖其私章（电子印章</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2"/>
          <w:sz w:val="24"/>
          <w:szCs w:val="24"/>
          <w:highlight w:val="none"/>
        </w:rPr>
        <w:t>凡注明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“签字并盖执业印章</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”处由要求的人员签字并盖其执业印</w:t>
      </w:r>
      <w:r>
        <w:rPr>
          <w:rFonts w:hint="eastAsia" w:ascii="宋体" w:hAnsi="宋体" w:eastAsia="宋体" w:cs="宋体"/>
          <w:color w:val="auto"/>
          <w:spacing w:val="-2"/>
          <w:sz w:val="24"/>
          <w:szCs w:val="24"/>
          <w:highlight w:val="none"/>
        </w:rPr>
        <w:t>章。</w:t>
      </w:r>
    </w:p>
    <w:p w14:paraId="0B072D3C">
      <w:pPr>
        <w:spacing w:before="112" w:line="264" w:lineRule="auto"/>
        <w:ind w:left="13" w:right="133" w:firstLine="565"/>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10.1.3.2</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投标文件封套、封面、组成内容中凡要求录入投标人名称且注明“盖单</w:t>
      </w:r>
      <w:r>
        <w:rPr>
          <w:rFonts w:hint="eastAsia" w:ascii="宋体" w:hAnsi="宋体" w:eastAsia="宋体" w:cs="宋体"/>
          <w:color w:val="auto"/>
          <w:spacing w:val="-3"/>
          <w:sz w:val="24"/>
          <w:szCs w:val="24"/>
          <w:highlight w:val="none"/>
        </w:rPr>
        <w:t>位章</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3"/>
          <w:sz w:val="24"/>
          <w:szCs w:val="24"/>
          <w:highlight w:val="none"/>
        </w:rPr>
        <w:t>”处盖单位法人公章（电子印章）。</w:t>
      </w:r>
    </w:p>
    <w:p w14:paraId="0CBE0BD0">
      <w:pPr>
        <w:spacing w:before="146" w:line="279" w:lineRule="auto"/>
        <w:ind w:left="16" w:right="135" w:firstLine="562"/>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10.1.3.3</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投标文件的签字均为签字人本人亲笔署名或签章</w:t>
      </w:r>
      <w:r>
        <w:rPr>
          <w:rFonts w:hint="eastAsia" w:ascii="宋体" w:hAnsi="宋体" w:eastAsia="宋体" w:cs="宋体"/>
          <w:color w:val="auto"/>
          <w:spacing w:val="-2"/>
          <w:sz w:val="24"/>
          <w:szCs w:val="24"/>
          <w:highlight w:val="none"/>
        </w:rPr>
        <w:t>（电子印章</w:t>
      </w:r>
      <w:r>
        <w:rPr>
          <w:rFonts w:hint="eastAsia" w:ascii="宋体" w:hAnsi="宋体" w:eastAsia="宋体" w:cs="宋体"/>
          <w:color w:val="auto"/>
          <w:spacing w:val="-14"/>
          <w:sz w:val="24"/>
          <w:szCs w:val="24"/>
          <w:highlight w:val="none"/>
        </w:rPr>
        <w:t>），</w:t>
      </w:r>
      <w:r>
        <w:rPr>
          <w:rFonts w:hint="eastAsia" w:ascii="宋体" w:hAnsi="宋体" w:eastAsia="宋体" w:cs="宋体"/>
          <w:color w:val="auto"/>
          <w:spacing w:val="-2"/>
          <w:sz w:val="24"/>
          <w:szCs w:val="24"/>
          <w:highlight w:val="none"/>
        </w:rPr>
        <w:t>其余部</w:t>
      </w:r>
      <w:r>
        <w:rPr>
          <w:rFonts w:hint="eastAsia" w:ascii="宋体" w:hAnsi="宋体" w:eastAsia="宋体" w:cs="宋体"/>
          <w:color w:val="auto"/>
          <w:spacing w:val="-1"/>
          <w:sz w:val="24"/>
          <w:szCs w:val="24"/>
          <w:highlight w:val="none"/>
        </w:rPr>
        <w:t>分的复印件无须另行签字、盖章。</w:t>
      </w:r>
    </w:p>
    <w:p w14:paraId="35B67328">
      <w:pPr>
        <w:spacing w:before="155" w:line="219" w:lineRule="auto"/>
        <w:ind w:left="0" w:leftChars="0" w:firstLine="474" w:firstLineChars="200"/>
        <w:outlineLvl w:val="3"/>
        <w:rPr>
          <w:rFonts w:hint="eastAsia" w:ascii="宋体" w:hAnsi="宋体" w:eastAsia="宋体" w:cs="宋体"/>
          <w:b w:val="0"/>
          <w:bCs w:val="0"/>
          <w:color w:val="auto"/>
          <w:spacing w:val="-2"/>
          <w:sz w:val="24"/>
          <w:szCs w:val="24"/>
          <w:highlight w:val="none"/>
        </w:rPr>
      </w:pPr>
      <w:bookmarkStart w:id="46" w:name="_Toc20223"/>
      <w:bookmarkStart w:id="47" w:name="_Toc21271"/>
      <w:r>
        <w:rPr>
          <w:rFonts w:hint="eastAsia" w:ascii="宋体" w:hAnsi="宋体" w:eastAsia="宋体" w:cs="宋体"/>
          <w:b/>
          <w:bCs/>
          <w:color w:val="auto"/>
          <w:spacing w:val="-2"/>
          <w:sz w:val="24"/>
          <w:szCs w:val="24"/>
          <w:highlight w:val="none"/>
        </w:rPr>
        <w:t xml:space="preserve">10.1.3.4 </w:t>
      </w:r>
      <w:r>
        <w:rPr>
          <w:rFonts w:hint="eastAsia" w:ascii="宋体" w:hAnsi="宋体" w:eastAsia="宋体" w:cs="宋体"/>
          <w:color w:val="auto"/>
          <w:spacing w:val="-3"/>
          <w:sz w:val="24"/>
          <w:szCs w:val="24"/>
          <w:highlight w:val="none"/>
        </w:rPr>
        <w:t>联合体投标的，除《联合体协议书》外，由联合体牵头人按以上要求签亲笔署名或签章（电子印章）即可。</w:t>
      </w:r>
    </w:p>
    <w:p w14:paraId="149EA5DD">
      <w:pPr>
        <w:spacing w:before="155" w:line="219" w:lineRule="auto"/>
        <w:ind w:left="500"/>
        <w:outlineLvl w:val="3"/>
        <w:rPr>
          <w:rFonts w:hint="eastAsia" w:ascii="宋体" w:hAnsi="宋体" w:eastAsia="宋体" w:cs="宋体"/>
          <w:b/>
          <w:bCs/>
          <w:color w:val="auto"/>
          <w:sz w:val="24"/>
          <w:szCs w:val="24"/>
          <w:highlight w:val="none"/>
        </w:rPr>
      </w:pPr>
      <w:r>
        <w:rPr>
          <w:rFonts w:hint="eastAsia" w:ascii="宋体" w:hAnsi="宋体" w:eastAsia="宋体" w:cs="宋体"/>
          <w:b/>
          <w:bCs/>
          <w:color w:val="auto"/>
          <w:spacing w:val="-2"/>
          <w:sz w:val="24"/>
          <w:szCs w:val="24"/>
          <w:highlight w:val="none"/>
        </w:rPr>
        <w:t>10.2  商务标书的编制要求</w:t>
      </w:r>
      <w:bookmarkEnd w:id="46"/>
      <w:bookmarkEnd w:id="47"/>
    </w:p>
    <w:p w14:paraId="09D418EF">
      <w:pPr>
        <w:spacing w:before="157" w:line="219" w:lineRule="auto"/>
        <w:ind w:left="581"/>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10.2.1 </w:t>
      </w:r>
      <w:r>
        <w:rPr>
          <w:rFonts w:hint="eastAsia" w:ascii="宋体" w:hAnsi="宋体" w:eastAsia="宋体" w:cs="宋体"/>
          <w:color w:val="auto"/>
          <w:spacing w:val="-1"/>
          <w:sz w:val="24"/>
          <w:szCs w:val="24"/>
          <w:highlight w:val="none"/>
        </w:rPr>
        <w:t>商务标书包括但不限于以下内容：</w:t>
      </w:r>
    </w:p>
    <w:p w14:paraId="7A133846">
      <w:pPr>
        <w:spacing w:before="154"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2ADBEC65">
      <w:pPr>
        <w:spacing w:before="153" w:line="222"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796DB9CA">
      <w:pPr>
        <w:spacing w:before="153"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（3）《投标函》（格式二</w:t>
      </w:r>
      <w:r>
        <w:rPr>
          <w:rFonts w:hint="eastAsia" w:ascii="宋体" w:hAnsi="宋体" w:eastAsia="宋体" w:cs="宋体"/>
          <w:color w:val="auto"/>
          <w:spacing w:val="1"/>
          <w:sz w:val="24"/>
          <w:szCs w:val="24"/>
          <w:highlight w:val="none"/>
        </w:rPr>
        <w:t>）；</w:t>
      </w:r>
    </w:p>
    <w:p w14:paraId="5EEB9573">
      <w:pPr>
        <w:spacing w:before="153"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（4）《各项承诺一览表》（格式三</w:t>
      </w:r>
      <w:r>
        <w:rPr>
          <w:rFonts w:hint="eastAsia" w:ascii="宋体" w:hAnsi="宋体" w:eastAsia="宋体" w:cs="宋体"/>
          <w:color w:val="auto"/>
          <w:spacing w:val="5"/>
          <w:sz w:val="24"/>
          <w:szCs w:val="24"/>
          <w:highlight w:val="none"/>
        </w:rPr>
        <w:t>）；</w:t>
      </w:r>
    </w:p>
    <w:p w14:paraId="2EEF341D">
      <w:pPr>
        <w:spacing w:before="154"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（5）《授权委托书》（格式四</w:t>
      </w:r>
      <w:r>
        <w:rPr>
          <w:rFonts w:hint="eastAsia" w:ascii="宋体" w:hAnsi="宋体" w:eastAsia="宋体" w:cs="宋体"/>
          <w:color w:val="auto"/>
          <w:spacing w:val="3"/>
          <w:sz w:val="24"/>
          <w:szCs w:val="24"/>
          <w:highlight w:val="none"/>
        </w:rPr>
        <w:t>）；</w:t>
      </w:r>
    </w:p>
    <w:p w14:paraId="7D3A1941">
      <w:pPr>
        <w:spacing w:before="156"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（6）《法定代表人身份证明》（格式五</w:t>
      </w:r>
      <w:r>
        <w:rPr>
          <w:rFonts w:hint="eastAsia" w:ascii="宋体" w:hAnsi="宋体" w:eastAsia="宋体" w:cs="宋体"/>
          <w:color w:val="auto"/>
          <w:spacing w:val="7"/>
          <w:sz w:val="24"/>
          <w:szCs w:val="24"/>
          <w:highlight w:val="none"/>
        </w:rPr>
        <w:t>）；</w:t>
      </w:r>
    </w:p>
    <w:p w14:paraId="49C24569">
      <w:pPr>
        <w:spacing w:before="154"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（7）《联合体协议书》（格式六）及所附资料；</w:t>
      </w:r>
    </w:p>
    <w:p w14:paraId="7065F65E">
      <w:pPr>
        <w:spacing w:before="153" w:line="309" w:lineRule="auto"/>
        <w:ind w:left="13" w:right="133"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（8）投标保证缴纳证明（投标人采用投标保证金的，附建</w:t>
      </w:r>
      <w:r>
        <w:rPr>
          <w:rFonts w:hint="eastAsia" w:ascii="宋体" w:hAnsi="宋体" w:eastAsia="宋体" w:cs="宋体"/>
          <w:color w:val="auto"/>
          <w:spacing w:val="1"/>
          <w:sz w:val="24"/>
          <w:szCs w:val="24"/>
          <w:highlight w:val="none"/>
        </w:rPr>
        <w:t>设工程交易系统《缴</w:t>
      </w:r>
      <w:r>
        <w:rPr>
          <w:rFonts w:hint="eastAsia" w:ascii="宋体" w:hAnsi="宋体" w:eastAsia="宋体" w:cs="宋体"/>
          <w:color w:val="auto"/>
          <w:spacing w:val="-1"/>
          <w:sz w:val="24"/>
          <w:szCs w:val="24"/>
          <w:highlight w:val="none"/>
        </w:rPr>
        <w:t>纳投标保证金通知书》页面截图和银行转账单彩色扫描件；采</w:t>
      </w:r>
      <w:r>
        <w:rPr>
          <w:rFonts w:hint="eastAsia" w:ascii="宋体" w:hAnsi="宋体" w:eastAsia="宋体" w:cs="宋体"/>
          <w:color w:val="auto"/>
          <w:spacing w:val="-2"/>
          <w:sz w:val="24"/>
          <w:szCs w:val="24"/>
          <w:highlight w:val="none"/>
        </w:rPr>
        <w:t>用投标保证担保的，附银行保函彩色扫描件；采用投标保证保险的，附电子保单和</w:t>
      </w:r>
      <w:r>
        <w:rPr>
          <w:rFonts w:hint="eastAsia" w:ascii="宋体" w:hAnsi="宋体" w:eastAsia="宋体" w:cs="宋体"/>
          <w:b/>
          <w:bCs/>
          <w:color w:val="auto"/>
          <w:spacing w:val="-2"/>
          <w:sz w:val="24"/>
          <w:szCs w:val="24"/>
          <w:highlight w:val="none"/>
        </w:rPr>
        <w:t>《韶关市公共资源交易一</w:t>
      </w:r>
      <w:r>
        <w:rPr>
          <w:rFonts w:hint="eastAsia" w:ascii="宋体" w:hAnsi="宋体" w:eastAsia="宋体" w:cs="宋体"/>
          <w:b/>
          <w:bCs/>
          <w:color w:val="auto"/>
          <w:spacing w:val="-3"/>
          <w:sz w:val="24"/>
          <w:szCs w:val="24"/>
          <w:highlight w:val="none"/>
        </w:rPr>
        <w:t>体化平台保证金缴纳信息》页面截图</w:t>
      </w:r>
      <w:r>
        <w:rPr>
          <w:rFonts w:hint="eastAsia" w:ascii="宋体" w:hAnsi="宋体" w:eastAsia="宋体" w:cs="宋体"/>
          <w:color w:val="auto"/>
          <w:spacing w:val="4"/>
          <w:sz w:val="24"/>
          <w:szCs w:val="24"/>
          <w:highlight w:val="none"/>
        </w:rPr>
        <w:t>）；</w:t>
      </w:r>
    </w:p>
    <w:p w14:paraId="1196EDC9">
      <w:pPr>
        <w:spacing w:before="156"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（9）《投标人基本情况表》（格式七）及所附资料；</w:t>
      </w:r>
    </w:p>
    <w:p w14:paraId="625E3C02">
      <w:pPr>
        <w:spacing w:before="155"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（10）《项目经理简历表》（格式八）及所附资料；</w:t>
      </w:r>
    </w:p>
    <w:p w14:paraId="43069717">
      <w:pPr>
        <w:spacing w:before="154"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（11）《项目经理任职声明》（格式九</w:t>
      </w:r>
      <w:r>
        <w:rPr>
          <w:rFonts w:hint="eastAsia" w:ascii="宋体" w:hAnsi="宋体" w:eastAsia="宋体" w:cs="宋体"/>
          <w:color w:val="auto"/>
          <w:spacing w:val="7"/>
          <w:sz w:val="24"/>
          <w:szCs w:val="24"/>
          <w:highlight w:val="none"/>
        </w:rPr>
        <w:t>）；</w:t>
      </w:r>
    </w:p>
    <w:p w14:paraId="5600AAC3">
      <w:pPr>
        <w:spacing w:before="156"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（12）《项目技术负责人简历表》（格式十）及所附资料；</w:t>
      </w:r>
    </w:p>
    <w:p w14:paraId="4A2E911F">
      <w:pPr>
        <w:spacing w:before="154"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（13）《项</w:t>
      </w:r>
      <w:bookmarkStart w:id="48" w:name="OLE_LINK7"/>
      <w:r>
        <w:rPr>
          <w:rFonts w:hint="eastAsia" w:ascii="宋体" w:hAnsi="宋体" w:eastAsia="宋体" w:cs="宋体"/>
          <w:color w:val="auto"/>
          <w:spacing w:val="-1"/>
          <w:sz w:val="24"/>
          <w:szCs w:val="24"/>
          <w:highlight w:val="none"/>
        </w:rPr>
        <w:t>目管理机构组成表》（格式十一）及</w:t>
      </w:r>
      <w:bookmarkEnd w:id="48"/>
      <w:r>
        <w:rPr>
          <w:rFonts w:hint="eastAsia" w:ascii="宋体" w:hAnsi="宋体" w:eastAsia="宋体" w:cs="宋体"/>
          <w:color w:val="auto"/>
          <w:spacing w:val="-1"/>
          <w:sz w:val="24"/>
          <w:szCs w:val="24"/>
          <w:highlight w:val="none"/>
        </w:rPr>
        <w:t>所附资料；</w:t>
      </w:r>
    </w:p>
    <w:p w14:paraId="58C0C275">
      <w:pPr>
        <w:spacing w:before="155"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（14）本节第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4"/>
          <w:sz w:val="24"/>
          <w:szCs w:val="24"/>
          <w:highlight w:val="none"/>
        </w:rPr>
        <w:t>15.5.1</w:t>
      </w:r>
      <w:r>
        <w:rPr>
          <w:rFonts w:hint="eastAsia" w:ascii="宋体" w:hAnsi="宋体" w:eastAsia="宋体" w:cs="宋体"/>
          <w:color w:val="auto"/>
          <w:spacing w:val="-4"/>
          <w:sz w:val="24"/>
          <w:szCs w:val="24"/>
          <w:highlight w:val="none"/>
        </w:rPr>
        <w:t>目“评标方法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”要求提供的</w:t>
      </w:r>
      <w:r>
        <w:rPr>
          <w:rFonts w:hint="eastAsia" w:ascii="宋体" w:hAnsi="宋体" w:eastAsia="宋体" w:cs="宋体"/>
          <w:color w:val="auto"/>
          <w:spacing w:val="-5"/>
          <w:sz w:val="24"/>
          <w:szCs w:val="24"/>
          <w:highlight w:val="none"/>
        </w:rPr>
        <w:t>评审资料；</w:t>
      </w:r>
    </w:p>
    <w:p w14:paraId="47D20E97">
      <w:pPr>
        <w:spacing w:before="78" w:line="299" w:lineRule="auto"/>
        <w:ind w:left="8" w:right="61" w:firstLine="49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（15）投标人认为有必要补充的其他资料。（例如投标人已经工商变更，但其企</w:t>
      </w:r>
      <w:r>
        <w:rPr>
          <w:rFonts w:hint="eastAsia" w:ascii="宋体" w:hAnsi="宋体" w:eastAsia="宋体" w:cs="宋体"/>
          <w:color w:val="auto"/>
          <w:spacing w:val="-1"/>
          <w:sz w:val="24"/>
          <w:szCs w:val="24"/>
          <w:highlight w:val="none"/>
        </w:rPr>
        <w:t>业资质证书、安全生产许可证或其员工执业资格注册证书上的企</w:t>
      </w:r>
      <w:r>
        <w:rPr>
          <w:rFonts w:hint="eastAsia" w:ascii="宋体" w:hAnsi="宋体" w:eastAsia="宋体" w:cs="宋体"/>
          <w:color w:val="auto"/>
          <w:spacing w:val="-2"/>
          <w:sz w:val="24"/>
          <w:szCs w:val="24"/>
          <w:highlight w:val="none"/>
        </w:rPr>
        <w:t>业名称未能在投标期</w:t>
      </w:r>
      <w:r>
        <w:rPr>
          <w:rFonts w:hint="eastAsia" w:ascii="宋体" w:hAnsi="宋体" w:eastAsia="宋体" w:cs="宋体"/>
          <w:color w:val="auto"/>
          <w:spacing w:val="-1"/>
          <w:sz w:val="24"/>
          <w:szCs w:val="24"/>
          <w:highlight w:val="none"/>
        </w:rPr>
        <w:t>间完成变更的书面说明和佐证材料等）</w:t>
      </w:r>
    </w:p>
    <w:p w14:paraId="24149AB2">
      <w:pPr>
        <w:spacing w:before="155" w:line="262" w:lineRule="auto"/>
        <w:ind w:left="9" w:right="61" w:firstLine="48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10.2.2  </w:t>
      </w:r>
      <w:r>
        <w:rPr>
          <w:rFonts w:hint="eastAsia" w:ascii="宋体" w:hAnsi="宋体" w:eastAsia="宋体" w:cs="宋体"/>
          <w:color w:val="auto"/>
          <w:sz w:val="24"/>
          <w:szCs w:val="24"/>
          <w:highlight w:val="none"/>
        </w:rPr>
        <w:t>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z w:val="24"/>
          <w:szCs w:val="24"/>
          <w:highlight w:val="none"/>
        </w:rPr>
        <w:t>10.2.1</w:t>
      </w:r>
      <w:r>
        <w:rPr>
          <w:rFonts w:hint="eastAsia" w:ascii="宋体" w:hAnsi="宋体" w:eastAsia="宋体" w:cs="宋体"/>
          <w:color w:val="auto"/>
          <w:sz w:val="24"/>
          <w:szCs w:val="24"/>
          <w:highlight w:val="none"/>
        </w:rPr>
        <w:t>目中所列出的商务标书组成内容中，第（</w:t>
      </w:r>
      <w:r>
        <w:rPr>
          <w:rFonts w:hint="eastAsia" w:ascii="宋体" w:hAnsi="宋体" w:eastAsia="宋体" w:cs="宋体"/>
          <w:color w:val="auto"/>
          <w:spacing w:val="-1"/>
          <w:sz w:val="24"/>
          <w:szCs w:val="24"/>
          <w:highlight w:val="none"/>
        </w:rPr>
        <w:t>1）至第（13）项</w:t>
      </w:r>
      <w:r>
        <w:rPr>
          <w:rFonts w:hint="eastAsia" w:ascii="宋体" w:hAnsi="宋体" w:eastAsia="宋体" w:cs="宋体"/>
          <w:color w:val="auto"/>
          <w:sz w:val="24"/>
          <w:szCs w:val="24"/>
          <w:highlight w:val="none"/>
        </w:rPr>
        <w:t>所有投标人均应提供，</w:t>
      </w:r>
      <w:r>
        <w:rPr>
          <w:rFonts w:hint="eastAsia" w:ascii="宋体" w:hAnsi="宋体" w:eastAsia="宋体" w:cs="宋体"/>
          <w:b/>
          <w:bCs/>
          <w:color w:val="auto"/>
          <w:sz w:val="24"/>
          <w:szCs w:val="24"/>
          <w:highlight w:val="none"/>
        </w:rPr>
        <w:t>但非联合体投标的，</w:t>
      </w:r>
      <w:r>
        <w:rPr>
          <w:rFonts w:hint="eastAsia" w:ascii="宋体" w:hAnsi="宋体" w:eastAsia="宋体" w:cs="宋体"/>
          <w:b/>
          <w:bCs/>
          <w:color w:val="auto"/>
          <w:spacing w:val="-1"/>
          <w:sz w:val="24"/>
          <w:szCs w:val="24"/>
          <w:highlight w:val="none"/>
        </w:rPr>
        <w:t>无需提供第（7）项内容。</w:t>
      </w:r>
    </w:p>
    <w:p w14:paraId="189FCE5F">
      <w:pPr>
        <w:spacing w:before="199" w:line="279" w:lineRule="auto"/>
        <w:ind w:right="61"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10.2.3 </w:t>
      </w:r>
      <w:r>
        <w:rPr>
          <w:rFonts w:hint="eastAsia" w:ascii="宋体" w:hAnsi="宋体" w:eastAsia="宋体" w:cs="宋体"/>
          <w:color w:val="auto"/>
          <w:spacing w:val="-8"/>
          <w:sz w:val="24"/>
          <w:szCs w:val="24"/>
          <w:highlight w:val="none"/>
        </w:rPr>
        <w:t>商务标书的组成内容按本节第 10.2.1 目规定的顺序整理、编排后，逐页（页</w:t>
      </w:r>
      <w:r>
        <w:rPr>
          <w:rFonts w:hint="eastAsia" w:ascii="宋体" w:hAnsi="宋体" w:eastAsia="宋体" w:cs="宋体"/>
          <w:color w:val="auto"/>
          <w:spacing w:val="-1"/>
          <w:sz w:val="24"/>
          <w:szCs w:val="24"/>
          <w:highlight w:val="none"/>
        </w:rPr>
        <w:t>码起始从封面开始）连续标记页码。</w:t>
      </w:r>
    </w:p>
    <w:p w14:paraId="00D341F8">
      <w:pPr>
        <w:pStyle w:val="5"/>
        <w:spacing w:line="257" w:lineRule="auto"/>
        <w:rPr>
          <w:rFonts w:hint="eastAsia" w:ascii="宋体" w:hAnsi="宋体" w:eastAsia="宋体" w:cs="宋体"/>
          <w:color w:val="auto"/>
          <w:highlight w:val="none"/>
        </w:rPr>
      </w:pPr>
    </w:p>
    <w:p w14:paraId="05E2DA61">
      <w:pPr>
        <w:spacing w:before="78" w:line="219" w:lineRule="auto"/>
        <w:ind w:left="496"/>
        <w:outlineLvl w:val="3"/>
        <w:rPr>
          <w:rFonts w:hint="eastAsia" w:ascii="宋体" w:hAnsi="宋体" w:eastAsia="宋体" w:cs="宋体"/>
          <w:b/>
          <w:bCs/>
          <w:color w:val="auto"/>
          <w:sz w:val="24"/>
          <w:szCs w:val="24"/>
          <w:highlight w:val="none"/>
        </w:rPr>
      </w:pPr>
      <w:bookmarkStart w:id="49" w:name="_Toc29370"/>
      <w:bookmarkStart w:id="50" w:name="_Toc10602"/>
      <w:r>
        <w:rPr>
          <w:rFonts w:hint="eastAsia" w:ascii="宋体" w:hAnsi="宋体" w:eastAsia="宋体" w:cs="宋体"/>
          <w:b/>
          <w:bCs/>
          <w:color w:val="auto"/>
          <w:spacing w:val="-2"/>
          <w:sz w:val="24"/>
          <w:szCs w:val="24"/>
          <w:highlight w:val="none"/>
        </w:rPr>
        <w:t>10.3  经济标书的编制要求</w:t>
      </w:r>
      <w:bookmarkEnd w:id="49"/>
      <w:bookmarkEnd w:id="50"/>
    </w:p>
    <w:p w14:paraId="4D7F8054">
      <w:pPr>
        <w:spacing w:before="154"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10.3.1  </w:t>
      </w:r>
      <w:r>
        <w:rPr>
          <w:rFonts w:hint="eastAsia" w:ascii="宋体" w:hAnsi="宋体" w:eastAsia="宋体" w:cs="宋体"/>
          <w:color w:val="auto"/>
          <w:spacing w:val="-1"/>
          <w:sz w:val="24"/>
          <w:szCs w:val="24"/>
          <w:highlight w:val="none"/>
        </w:rPr>
        <w:t>经济标书包括以下内容：</w:t>
      </w:r>
    </w:p>
    <w:p w14:paraId="047BAC7D">
      <w:pPr>
        <w:spacing w:before="156"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6558A67D">
      <w:pPr>
        <w:spacing w:before="153" w:line="222"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31ADD06E">
      <w:pPr>
        <w:spacing w:before="150"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（3）《投标总价》；</w:t>
      </w:r>
    </w:p>
    <w:p w14:paraId="0D903CB7">
      <w:pPr>
        <w:spacing w:before="157" w:line="219" w:lineRule="auto"/>
        <w:ind w:left="4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说明：《投标总价》的格式按照《建设工程工程量</w:t>
      </w:r>
      <w:r>
        <w:rPr>
          <w:rFonts w:hint="eastAsia" w:ascii="宋体" w:hAnsi="宋体" w:eastAsia="宋体" w:cs="宋体"/>
          <w:color w:val="auto"/>
          <w:spacing w:val="-1"/>
          <w:sz w:val="24"/>
          <w:szCs w:val="24"/>
          <w:highlight w:val="none"/>
        </w:rPr>
        <w:t>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》（GB50500—</w:t>
      </w:r>
    </w:p>
    <w:p w14:paraId="19D1E9E0">
      <w:pPr>
        <w:spacing w:before="155" w:line="220" w:lineRule="auto"/>
        <w:ind w:left="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20</w:t>
      </w:r>
      <w:r>
        <w:rPr>
          <w:rFonts w:hint="eastAsia" w:ascii="宋体" w:hAnsi="宋体" w:eastAsia="宋体" w:cs="宋体"/>
          <w:color w:val="auto"/>
          <w:spacing w:val="-1"/>
          <w:sz w:val="24"/>
          <w:szCs w:val="24"/>
          <w:highlight w:val="none"/>
          <w:lang w:val="en-US" w:eastAsia="zh-CN"/>
        </w:rPr>
        <w:t>24</w:t>
      </w:r>
      <w:r>
        <w:rPr>
          <w:rFonts w:hint="eastAsia" w:ascii="宋体" w:hAnsi="宋体" w:eastAsia="宋体" w:cs="宋体"/>
          <w:color w:val="auto"/>
          <w:spacing w:val="-1"/>
          <w:sz w:val="24"/>
          <w:szCs w:val="24"/>
          <w:highlight w:val="none"/>
        </w:rPr>
        <w:t>）执行，并应满足以下要求：</w:t>
      </w:r>
    </w:p>
    <w:p w14:paraId="578C4661">
      <w:pPr>
        <w:spacing w:before="150" w:line="309" w:lineRule="auto"/>
        <w:ind w:left="8" w:firstLine="482"/>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a</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color w:val="auto"/>
          <w:spacing w:val="-2"/>
          <w:sz w:val="24"/>
          <w:szCs w:val="24"/>
          <w:highlight w:val="none"/>
        </w:rPr>
        <w:t>．《投标总价扉页》后应附编制人的造价工程师注册证书彩色扫描件（须扫描至变更注册栏，</w:t>
      </w:r>
      <w:r>
        <w:rPr>
          <w:rFonts w:hint="eastAsia" w:ascii="宋体" w:hAnsi="宋体" w:eastAsia="宋体" w:cs="宋体"/>
          <w:b/>
          <w:bCs/>
          <w:color w:val="auto"/>
          <w:spacing w:val="-2"/>
          <w:sz w:val="24"/>
          <w:szCs w:val="24"/>
          <w:highlight w:val="none"/>
        </w:rPr>
        <w:t>一级造价师或二级造价师均可提供电子证书</w:t>
      </w:r>
      <w:r>
        <w:rPr>
          <w:rFonts w:hint="eastAsia" w:ascii="宋体" w:hAnsi="宋体" w:eastAsia="宋体" w:cs="宋体"/>
          <w:color w:val="auto"/>
          <w:spacing w:val="-2"/>
          <w:sz w:val="24"/>
          <w:szCs w:val="24"/>
          <w:highlight w:val="none"/>
        </w:rPr>
        <w:t>）；投标人委托造价咨询单位编制《投标总价》的，在该扉页“投标人 ”栏目加盖造价</w:t>
      </w:r>
      <w:r>
        <w:rPr>
          <w:rFonts w:hint="eastAsia" w:ascii="宋体" w:hAnsi="宋体" w:eastAsia="宋体" w:cs="宋体"/>
          <w:color w:val="auto"/>
          <w:spacing w:val="-7"/>
          <w:sz w:val="24"/>
          <w:szCs w:val="24"/>
          <w:highlight w:val="none"/>
        </w:rPr>
        <w:t>咨询人公章，</w:t>
      </w:r>
      <w:r>
        <w:rPr>
          <w:rFonts w:hint="eastAsia" w:ascii="宋体" w:hAnsi="宋体" w:eastAsia="宋体" w:cs="宋体"/>
          <w:color w:val="auto"/>
          <w:spacing w:val="-1"/>
          <w:sz w:val="24"/>
          <w:szCs w:val="24"/>
          <w:highlight w:val="none"/>
        </w:rPr>
        <w:t>并在该扉页后附造价咨询人的营业执照副本彩色扫描件。</w:t>
      </w:r>
    </w:p>
    <w:p w14:paraId="5A9B40CD">
      <w:pPr>
        <w:spacing w:before="119" w:line="314" w:lineRule="auto"/>
        <w:ind w:left="10" w:right="6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b.  </w:t>
      </w:r>
      <w:r>
        <w:rPr>
          <w:rFonts w:hint="eastAsia" w:ascii="宋体" w:hAnsi="宋体" w:eastAsia="宋体" w:cs="宋体"/>
          <w:color w:val="auto"/>
          <w:spacing w:val="2"/>
          <w:sz w:val="24"/>
          <w:szCs w:val="24"/>
          <w:highlight w:val="none"/>
        </w:rPr>
        <w:t>投标人认为有必要补充的其他资料（例如关于投标总价下浮率超过</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1"/>
          <w:sz w:val="24"/>
          <w:szCs w:val="24"/>
          <w:highlight w:val="none"/>
        </w:rPr>
        <w:t>15%的书</w:t>
      </w:r>
      <w:r>
        <w:rPr>
          <w:rFonts w:hint="eastAsia" w:ascii="宋体" w:hAnsi="宋体" w:eastAsia="宋体" w:cs="宋体"/>
          <w:color w:val="auto"/>
          <w:spacing w:val="-2"/>
          <w:sz w:val="24"/>
          <w:szCs w:val="24"/>
          <w:highlight w:val="none"/>
        </w:rPr>
        <w:t>面说明和佐证材料）。</w:t>
      </w:r>
    </w:p>
    <w:p w14:paraId="2F5BB681">
      <w:pPr>
        <w:spacing w:before="99" w:line="280" w:lineRule="auto"/>
        <w:ind w:left="10" w:right="63" w:firstLine="485"/>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10.3.2  </w:t>
      </w:r>
      <w:r>
        <w:rPr>
          <w:rFonts w:hint="eastAsia" w:ascii="宋体" w:hAnsi="宋体" w:eastAsia="宋体" w:cs="宋体"/>
          <w:color w:val="auto"/>
          <w:spacing w:val="-3"/>
          <w:sz w:val="24"/>
          <w:szCs w:val="24"/>
          <w:highlight w:val="none"/>
        </w:rPr>
        <w:t>本节第</w:t>
      </w:r>
      <w:r>
        <w:rPr>
          <w:rFonts w:hint="eastAsia" w:ascii="宋体" w:hAnsi="宋体" w:eastAsia="宋体" w:cs="宋体"/>
          <w:color w:val="auto"/>
          <w:spacing w:val="-38"/>
          <w:sz w:val="24"/>
          <w:szCs w:val="24"/>
          <w:highlight w:val="none"/>
        </w:rPr>
        <w:t xml:space="preserve"> </w:t>
      </w:r>
      <w:r>
        <w:rPr>
          <w:rFonts w:hint="eastAsia" w:ascii="宋体" w:hAnsi="宋体" w:eastAsia="宋体" w:cs="宋体"/>
          <w:b/>
          <w:bCs/>
          <w:color w:val="auto"/>
          <w:spacing w:val="-3"/>
          <w:sz w:val="24"/>
          <w:szCs w:val="24"/>
          <w:highlight w:val="none"/>
        </w:rPr>
        <w:t>10.3.1</w:t>
      </w:r>
      <w:r>
        <w:rPr>
          <w:rFonts w:hint="eastAsia" w:ascii="宋体" w:hAnsi="宋体" w:eastAsia="宋体" w:cs="宋体"/>
          <w:color w:val="auto"/>
          <w:spacing w:val="-3"/>
          <w:sz w:val="24"/>
          <w:szCs w:val="24"/>
          <w:highlight w:val="none"/>
        </w:rPr>
        <w:t>目中所列出的经济标书组成内容中，第（1）至第（3）项所</w:t>
      </w:r>
      <w:r>
        <w:rPr>
          <w:rFonts w:hint="eastAsia" w:ascii="宋体" w:hAnsi="宋体" w:eastAsia="宋体" w:cs="宋体"/>
          <w:color w:val="auto"/>
          <w:spacing w:val="-2"/>
          <w:sz w:val="24"/>
          <w:szCs w:val="24"/>
          <w:highlight w:val="none"/>
        </w:rPr>
        <w:t>有投标人均应提供。</w:t>
      </w:r>
    </w:p>
    <w:p w14:paraId="755A525F">
      <w:pPr>
        <w:spacing w:before="155" w:line="279" w:lineRule="auto"/>
        <w:ind w:left="8" w:right="61" w:firstLine="487"/>
        <w:rPr>
          <w:rFonts w:hint="eastAsia" w:ascii="宋体" w:hAnsi="宋体" w:eastAsia="宋体" w:cs="宋体"/>
          <w:color w:val="auto"/>
          <w:sz w:val="24"/>
          <w:szCs w:val="24"/>
          <w:highlight w:val="none"/>
        </w:rPr>
      </w:pPr>
      <w:r>
        <w:rPr>
          <w:rFonts w:hint="eastAsia" w:ascii="宋体" w:hAnsi="宋体" w:eastAsia="宋体" w:cs="宋体"/>
          <w:b/>
          <w:bCs/>
          <w:color w:val="auto"/>
          <w:spacing w:val="-10"/>
          <w:sz w:val="24"/>
          <w:szCs w:val="24"/>
          <w:highlight w:val="none"/>
        </w:rPr>
        <w:t>10.3.3</w:t>
      </w:r>
      <w:r>
        <w:rPr>
          <w:rFonts w:hint="eastAsia" w:ascii="宋体" w:hAnsi="宋体" w:eastAsia="宋体" w:cs="宋体"/>
          <w:b/>
          <w:bCs/>
          <w:color w:val="auto"/>
          <w:spacing w:val="12"/>
          <w:sz w:val="24"/>
          <w:szCs w:val="24"/>
          <w:highlight w:val="none"/>
        </w:rPr>
        <w:t xml:space="preserve"> </w:t>
      </w:r>
      <w:r>
        <w:rPr>
          <w:rFonts w:hint="eastAsia" w:ascii="宋体" w:hAnsi="宋体" w:eastAsia="宋体" w:cs="宋体"/>
          <w:color w:val="auto"/>
          <w:spacing w:val="-10"/>
          <w:sz w:val="24"/>
          <w:szCs w:val="24"/>
          <w:highlight w:val="none"/>
        </w:rPr>
        <w:t>经济标书的组成内容按本节第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10"/>
          <w:sz w:val="24"/>
          <w:szCs w:val="24"/>
          <w:highlight w:val="none"/>
        </w:rPr>
        <w:t>10</w:t>
      </w:r>
      <w:r>
        <w:rPr>
          <w:rFonts w:hint="eastAsia" w:ascii="宋体" w:hAnsi="宋体" w:eastAsia="宋体" w:cs="宋体"/>
          <w:color w:val="auto"/>
          <w:spacing w:val="-11"/>
          <w:sz w:val="24"/>
          <w:szCs w:val="24"/>
          <w:highlight w:val="none"/>
        </w:rPr>
        <w:t>.3.1 目规定的顺序整理、编排后，逐页（页</w:t>
      </w:r>
      <w:r>
        <w:rPr>
          <w:rFonts w:hint="eastAsia" w:ascii="宋体" w:hAnsi="宋体" w:eastAsia="宋体" w:cs="宋体"/>
          <w:color w:val="auto"/>
          <w:spacing w:val="-1"/>
          <w:sz w:val="24"/>
          <w:szCs w:val="24"/>
          <w:highlight w:val="none"/>
        </w:rPr>
        <w:t>码起始从封面开始）连续标记页码。</w:t>
      </w:r>
    </w:p>
    <w:p w14:paraId="06BCCAAB">
      <w:pPr>
        <w:spacing w:before="82" w:line="213" w:lineRule="auto"/>
        <w:ind w:left="496"/>
        <w:outlineLvl w:val="3"/>
        <w:rPr>
          <w:rFonts w:hint="eastAsia" w:ascii="宋体" w:hAnsi="宋体" w:eastAsia="宋体" w:cs="宋体"/>
          <w:b/>
          <w:bCs/>
          <w:color w:val="auto"/>
          <w:sz w:val="25"/>
          <w:szCs w:val="25"/>
          <w:highlight w:val="none"/>
        </w:rPr>
      </w:pPr>
      <w:r>
        <w:rPr>
          <w:rFonts w:hint="eastAsia" w:ascii="宋体" w:hAnsi="宋体" w:eastAsia="宋体" w:cs="宋体"/>
          <w:b/>
          <w:bCs/>
          <w:color w:val="auto"/>
          <w:spacing w:val="-3"/>
          <w:sz w:val="24"/>
          <w:szCs w:val="24"/>
          <w:highlight w:val="none"/>
        </w:rPr>
        <w:t>10.4  施工组织设计的编制要求</w:t>
      </w:r>
    </w:p>
    <w:p w14:paraId="768CF899">
      <w:pPr>
        <w:spacing w:before="151"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10.4.1 </w:t>
      </w:r>
      <w:r>
        <w:rPr>
          <w:rFonts w:hint="eastAsia" w:ascii="宋体" w:hAnsi="宋体" w:eastAsia="宋体" w:cs="宋体"/>
          <w:color w:val="auto"/>
          <w:spacing w:val="-1"/>
          <w:sz w:val="24"/>
          <w:szCs w:val="24"/>
          <w:highlight w:val="none"/>
        </w:rPr>
        <w:t>施工组织设计的编制依据包括且不限于：</w:t>
      </w:r>
    </w:p>
    <w:p w14:paraId="1E40B774">
      <w:pPr>
        <w:spacing w:before="156"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（1）招标文件及其答疑（或修改）公告；</w:t>
      </w:r>
    </w:p>
    <w:p w14:paraId="4975F0E4">
      <w:pPr>
        <w:spacing w:before="155" w:line="221"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（2）施工图及相关资料；</w:t>
      </w:r>
    </w:p>
    <w:p w14:paraId="6E3E7330">
      <w:pPr>
        <w:spacing w:before="152"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（3）施工现场情况、工程特点；</w:t>
      </w:r>
    </w:p>
    <w:p w14:paraId="1323D629">
      <w:pPr>
        <w:spacing w:before="78"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（4）相关法律、法规、规定；</w:t>
      </w:r>
    </w:p>
    <w:p w14:paraId="546827BB">
      <w:pPr>
        <w:spacing w:before="153" w:line="299" w:lineRule="auto"/>
        <w:ind w:left="10" w:right="211" w:firstLine="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（5）国家、广东省、韶关市关于施工现场管理、施工工艺</w:t>
      </w:r>
      <w:r>
        <w:rPr>
          <w:rFonts w:hint="eastAsia" w:ascii="宋体" w:hAnsi="宋体" w:eastAsia="宋体" w:cs="宋体"/>
          <w:color w:val="auto"/>
          <w:spacing w:val="1"/>
          <w:sz w:val="24"/>
          <w:szCs w:val="24"/>
          <w:highlight w:val="none"/>
        </w:rPr>
        <w:t>、绿色施工、安全防</w:t>
      </w:r>
      <w:r>
        <w:rPr>
          <w:rFonts w:hint="eastAsia" w:ascii="宋体" w:hAnsi="宋体" w:eastAsia="宋体" w:cs="宋体"/>
          <w:color w:val="auto"/>
          <w:spacing w:val="-1"/>
          <w:sz w:val="24"/>
          <w:szCs w:val="24"/>
          <w:highlight w:val="none"/>
        </w:rPr>
        <w:t>护、文明施工、环境保护等方面的标准、规范、技术资料。</w:t>
      </w:r>
      <w:r>
        <w:rPr>
          <w:rFonts w:hint="eastAsia" w:ascii="宋体" w:hAnsi="宋体" w:eastAsia="宋体" w:cs="宋体"/>
          <w:color w:val="auto"/>
          <w:spacing w:val="-2"/>
          <w:sz w:val="24"/>
          <w:szCs w:val="24"/>
          <w:highlight w:val="none"/>
        </w:rPr>
        <w:t>如《广东省住房和城乡建</w:t>
      </w:r>
      <w:r>
        <w:rPr>
          <w:rFonts w:hint="eastAsia" w:ascii="宋体" w:hAnsi="宋体" w:eastAsia="宋体" w:cs="宋体"/>
          <w:color w:val="auto"/>
          <w:sz w:val="24"/>
          <w:szCs w:val="24"/>
          <w:highlight w:val="none"/>
        </w:rPr>
        <w:t>设厅绿色施工导则》《广东省建设工程施工扬尘污染防</w:t>
      </w:r>
      <w:r>
        <w:rPr>
          <w:rFonts w:hint="eastAsia" w:ascii="宋体" w:hAnsi="宋体" w:eastAsia="宋体" w:cs="宋体"/>
          <w:color w:val="auto"/>
          <w:spacing w:val="-1"/>
          <w:sz w:val="24"/>
          <w:szCs w:val="24"/>
          <w:highlight w:val="none"/>
        </w:rPr>
        <w:t>治管理办法（试行）》等；</w:t>
      </w:r>
    </w:p>
    <w:p w14:paraId="7973C375">
      <w:pPr>
        <w:spacing w:before="155"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（6）企业内部标准、工法。</w:t>
      </w:r>
    </w:p>
    <w:p w14:paraId="43414437">
      <w:pPr>
        <w:spacing w:before="153"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10.4.2 </w:t>
      </w:r>
      <w:r>
        <w:rPr>
          <w:rFonts w:hint="eastAsia" w:ascii="宋体" w:hAnsi="宋体" w:eastAsia="宋体" w:cs="宋体"/>
          <w:color w:val="auto"/>
          <w:spacing w:val="-1"/>
          <w:sz w:val="24"/>
          <w:szCs w:val="24"/>
          <w:highlight w:val="none"/>
        </w:rPr>
        <w:t>施工组织设计包括但不限于以下内容：</w:t>
      </w:r>
    </w:p>
    <w:p w14:paraId="4448288D">
      <w:pPr>
        <w:spacing w:before="153"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3BC2A7E8">
      <w:pPr>
        <w:spacing w:before="156" w:line="222"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3D46DDF6">
      <w:pPr>
        <w:spacing w:before="150"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（3）总体概述（包括施工程序总体设想及施工段划分等内容</w:t>
      </w:r>
      <w:r>
        <w:rPr>
          <w:rFonts w:hint="eastAsia" w:ascii="宋体" w:hAnsi="宋体" w:eastAsia="宋体" w:cs="宋体"/>
          <w:color w:val="auto"/>
          <w:spacing w:val="2"/>
          <w:sz w:val="24"/>
          <w:szCs w:val="24"/>
          <w:highlight w:val="none"/>
        </w:rPr>
        <w:t>）；</w:t>
      </w:r>
    </w:p>
    <w:p w14:paraId="23C15B5F">
      <w:pPr>
        <w:spacing w:before="154" w:line="299" w:lineRule="auto"/>
        <w:ind w:left="9" w:right="211"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（4）施工总进度计划及保证措施（包括进度管理目标；以</w:t>
      </w:r>
      <w:r>
        <w:rPr>
          <w:rFonts w:hint="eastAsia" w:ascii="宋体" w:hAnsi="宋体" w:eastAsia="宋体" w:cs="宋体"/>
          <w:color w:val="auto"/>
          <w:spacing w:val="1"/>
          <w:sz w:val="24"/>
          <w:szCs w:val="24"/>
          <w:highlight w:val="none"/>
        </w:rPr>
        <w:t>横道图或标明关键线</w:t>
      </w:r>
      <w:r>
        <w:rPr>
          <w:rFonts w:hint="eastAsia" w:ascii="宋体" w:hAnsi="宋体" w:eastAsia="宋体" w:cs="宋体"/>
          <w:color w:val="auto"/>
          <w:spacing w:val="-1"/>
          <w:sz w:val="24"/>
          <w:szCs w:val="24"/>
          <w:highlight w:val="none"/>
        </w:rPr>
        <w:t>路的网络进度计划；保障进度计划需要的人、材、机需求计划</w:t>
      </w:r>
      <w:r>
        <w:rPr>
          <w:rFonts w:hint="eastAsia" w:ascii="宋体" w:hAnsi="宋体" w:eastAsia="宋体" w:cs="宋体"/>
          <w:color w:val="auto"/>
          <w:spacing w:val="-2"/>
          <w:sz w:val="24"/>
          <w:szCs w:val="24"/>
          <w:highlight w:val="none"/>
        </w:rPr>
        <w:t>及保证措施；违约责任承诺等内容</w:t>
      </w:r>
      <w:r>
        <w:rPr>
          <w:rFonts w:hint="eastAsia" w:ascii="宋体" w:hAnsi="宋体" w:eastAsia="宋体" w:cs="宋体"/>
          <w:color w:val="auto"/>
          <w:sz w:val="24"/>
          <w:szCs w:val="24"/>
          <w:highlight w:val="none"/>
        </w:rPr>
        <w:t>）；</w:t>
      </w:r>
    </w:p>
    <w:p w14:paraId="413C1EC3">
      <w:pPr>
        <w:spacing w:before="153"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（5）质量保证措施（包括质量管理目标；相应保证措施；违约责任承诺</w:t>
      </w:r>
      <w:r>
        <w:rPr>
          <w:rFonts w:hint="eastAsia" w:ascii="宋体" w:hAnsi="宋体" w:eastAsia="宋体" w:cs="宋体"/>
          <w:color w:val="auto"/>
          <w:spacing w:val="-6"/>
          <w:sz w:val="24"/>
          <w:szCs w:val="24"/>
          <w:highlight w:val="none"/>
        </w:rPr>
        <w:t>等内容</w:t>
      </w:r>
      <w:r>
        <w:rPr>
          <w:rFonts w:hint="eastAsia" w:ascii="宋体" w:hAnsi="宋体" w:eastAsia="宋体" w:cs="宋体"/>
          <w:color w:val="auto"/>
          <w:spacing w:val="-62"/>
          <w:w w:val="97"/>
          <w:sz w:val="24"/>
          <w:szCs w:val="24"/>
          <w:highlight w:val="none"/>
        </w:rPr>
        <w:t>）；</w:t>
      </w:r>
    </w:p>
    <w:p w14:paraId="63DC62FA">
      <w:pPr>
        <w:spacing w:before="156" w:line="279" w:lineRule="auto"/>
        <w:ind w:left="11" w:right="211"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（6）施工技术措施（包括关键施工技术、工艺及工程项目</w:t>
      </w:r>
      <w:r>
        <w:rPr>
          <w:rFonts w:hint="eastAsia" w:ascii="宋体" w:hAnsi="宋体" w:eastAsia="宋体" w:cs="宋体"/>
          <w:color w:val="auto"/>
          <w:spacing w:val="1"/>
          <w:sz w:val="24"/>
          <w:szCs w:val="24"/>
          <w:highlight w:val="none"/>
        </w:rPr>
        <w:t>实施的重点、难点分</w:t>
      </w:r>
      <w:r>
        <w:rPr>
          <w:rFonts w:hint="eastAsia" w:ascii="宋体" w:hAnsi="宋体" w:eastAsia="宋体" w:cs="宋体"/>
          <w:color w:val="auto"/>
          <w:spacing w:val="-1"/>
          <w:sz w:val="24"/>
          <w:szCs w:val="24"/>
          <w:highlight w:val="none"/>
        </w:rPr>
        <w:t>析和解决方案；新技术应用与承诺等内容</w:t>
      </w:r>
      <w:r>
        <w:rPr>
          <w:rFonts w:hint="eastAsia" w:ascii="宋体" w:hAnsi="宋体" w:eastAsia="宋体" w:cs="宋体"/>
          <w:color w:val="auto"/>
          <w:spacing w:val="2"/>
          <w:sz w:val="24"/>
          <w:szCs w:val="24"/>
          <w:highlight w:val="none"/>
        </w:rPr>
        <w:t>）；</w:t>
      </w:r>
    </w:p>
    <w:p w14:paraId="7BB5E824">
      <w:pPr>
        <w:spacing w:before="118" w:line="297" w:lineRule="auto"/>
        <w:ind w:left="11" w:right="31" w:firstLine="489"/>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（7）绿色施工、安全防护、文明施工措施计划(应对建设单位组织的勘察设计等单位在施工招标文件中列出的危大工程清单(详见格式十三)进行投标文件回应，如有)</w:t>
      </w:r>
      <w:r>
        <w:rPr>
          <w:rFonts w:hint="eastAsia" w:ascii="宋体" w:hAnsi="宋体" w:eastAsia="宋体" w:cs="宋体"/>
          <w:color w:val="auto"/>
          <w:spacing w:val="-3"/>
          <w:sz w:val="24"/>
          <w:szCs w:val="24"/>
          <w:highlight w:val="none"/>
        </w:rPr>
        <w:t>；</w:t>
      </w:r>
    </w:p>
    <w:p w14:paraId="02E9B450">
      <w:pPr>
        <w:spacing w:before="118" w:line="297" w:lineRule="auto"/>
        <w:ind w:left="11" w:right="31"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（8）施工现场总平面布置（</w:t>
      </w:r>
      <w:bookmarkStart w:id="51" w:name="OLE_LINK8"/>
      <w:r>
        <w:rPr>
          <w:rFonts w:hint="eastAsia" w:ascii="宋体" w:hAnsi="宋体" w:eastAsia="宋体" w:cs="宋体"/>
          <w:color w:val="auto"/>
          <w:spacing w:val="2"/>
          <w:sz w:val="24"/>
          <w:szCs w:val="24"/>
          <w:highlight w:val="none"/>
        </w:rPr>
        <w:t>投标人应递交一份施工现场总</w:t>
      </w:r>
      <w:r>
        <w:rPr>
          <w:rFonts w:hint="eastAsia" w:ascii="宋体" w:hAnsi="宋体" w:eastAsia="宋体" w:cs="宋体"/>
          <w:color w:val="auto"/>
          <w:spacing w:val="1"/>
          <w:sz w:val="24"/>
          <w:szCs w:val="24"/>
          <w:highlight w:val="none"/>
        </w:rPr>
        <w:t>平面布置图，绘出现</w:t>
      </w:r>
      <w:r>
        <w:rPr>
          <w:rFonts w:hint="eastAsia" w:ascii="宋体" w:hAnsi="宋体" w:eastAsia="宋体" w:cs="宋体"/>
          <w:color w:val="auto"/>
          <w:spacing w:val="-1"/>
          <w:sz w:val="24"/>
          <w:szCs w:val="24"/>
          <w:highlight w:val="none"/>
        </w:rPr>
        <w:t>场临时设施布置图表并附文字说明，说明临时设施、加工车间、</w:t>
      </w:r>
      <w:r>
        <w:rPr>
          <w:rFonts w:hint="eastAsia" w:ascii="宋体" w:hAnsi="宋体" w:eastAsia="宋体" w:cs="宋体"/>
          <w:color w:val="auto"/>
          <w:spacing w:val="-2"/>
          <w:sz w:val="24"/>
          <w:szCs w:val="24"/>
          <w:highlight w:val="none"/>
        </w:rPr>
        <w:t>现场办公、设备及仓</w:t>
      </w:r>
      <w:r>
        <w:rPr>
          <w:rFonts w:hint="eastAsia" w:ascii="宋体" w:hAnsi="宋体" w:eastAsia="宋体" w:cs="宋体"/>
          <w:color w:val="auto"/>
          <w:spacing w:val="-1"/>
          <w:sz w:val="24"/>
          <w:szCs w:val="24"/>
          <w:highlight w:val="none"/>
        </w:rPr>
        <w:t>储、供电、供水、卫生、生活、道路、消防等设施的情况和布置</w:t>
      </w:r>
      <w:bookmarkEnd w:id="51"/>
      <w:r>
        <w:rPr>
          <w:rFonts w:hint="eastAsia" w:ascii="宋体" w:hAnsi="宋体" w:eastAsia="宋体" w:cs="宋体"/>
          <w:color w:val="auto"/>
          <w:spacing w:val="9"/>
          <w:sz w:val="24"/>
          <w:szCs w:val="24"/>
          <w:highlight w:val="none"/>
        </w:rPr>
        <w:t>）；</w:t>
      </w:r>
    </w:p>
    <w:p w14:paraId="5E69FD0B">
      <w:pPr>
        <w:spacing w:before="155"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（9）项目管理机构。</w:t>
      </w:r>
    </w:p>
    <w:p w14:paraId="10315D49">
      <w:pPr>
        <w:spacing w:before="154" w:line="280" w:lineRule="auto"/>
        <w:ind w:right="211"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（10）投标人认为有必要补充的其他内容（例如对总包管理的认识以及对专业分</w:t>
      </w:r>
      <w:r>
        <w:rPr>
          <w:rFonts w:hint="eastAsia" w:ascii="宋体" w:hAnsi="宋体" w:eastAsia="宋体" w:cs="宋体"/>
          <w:color w:val="auto"/>
          <w:spacing w:val="-1"/>
          <w:sz w:val="24"/>
          <w:szCs w:val="24"/>
          <w:highlight w:val="none"/>
        </w:rPr>
        <w:t>包工程的管理、协调、配合、服务方案）。</w:t>
      </w:r>
    </w:p>
    <w:p w14:paraId="33E7EB44">
      <w:pPr>
        <w:spacing w:before="152" w:line="279" w:lineRule="auto"/>
        <w:ind w:right="196" w:firstLine="474"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10.4.3  </w:t>
      </w:r>
      <w:r>
        <w:rPr>
          <w:rFonts w:hint="eastAsia" w:ascii="宋体" w:hAnsi="宋体" w:eastAsia="宋体" w:cs="宋体"/>
          <w:color w:val="auto"/>
          <w:spacing w:val="-2"/>
          <w:sz w:val="24"/>
          <w:szCs w:val="24"/>
          <w:highlight w:val="none"/>
        </w:rPr>
        <w:t>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2"/>
          <w:sz w:val="24"/>
          <w:szCs w:val="24"/>
          <w:highlight w:val="none"/>
        </w:rPr>
        <w:t>10.4.2</w:t>
      </w:r>
      <w:r>
        <w:rPr>
          <w:rFonts w:hint="eastAsia" w:ascii="宋体" w:hAnsi="宋体" w:eastAsia="宋体" w:cs="宋体"/>
          <w:color w:val="auto"/>
          <w:spacing w:val="-2"/>
          <w:sz w:val="24"/>
          <w:szCs w:val="24"/>
          <w:highlight w:val="none"/>
        </w:rPr>
        <w:t>目中所列出</w:t>
      </w:r>
      <w:r>
        <w:rPr>
          <w:rFonts w:hint="eastAsia" w:ascii="宋体" w:hAnsi="宋体" w:eastAsia="宋体" w:cs="宋体"/>
          <w:color w:val="auto"/>
          <w:spacing w:val="-3"/>
          <w:sz w:val="24"/>
          <w:szCs w:val="24"/>
          <w:highlight w:val="none"/>
        </w:rPr>
        <w:t>的施工组织设计组成内容中，第（1）至第（9）</w:t>
      </w:r>
      <w:r>
        <w:rPr>
          <w:rFonts w:hint="eastAsia" w:ascii="宋体" w:hAnsi="宋体" w:eastAsia="宋体" w:cs="宋体"/>
          <w:color w:val="auto"/>
          <w:spacing w:val="-2"/>
          <w:sz w:val="24"/>
          <w:szCs w:val="24"/>
          <w:highlight w:val="none"/>
        </w:rPr>
        <w:t>项所有投标人均应提供。</w:t>
      </w:r>
    </w:p>
    <w:p w14:paraId="56491334">
      <w:pPr>
        <w:spacing w:before="157" w:line="279" w:lineRule="auto"/>
        <w:ind w:right="211" w:firstLine="462" w:firstLineChars="200"/>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5"/>
          <w:sz w:val="24"/>
          <w:szCs w:val="24"/>
          <w:highlight w:val="none"/>
        </w:rPr>
        <w:t xml:space="preserve">10.4.4 </w:t>
      </w:r>
      <w:r>
        <w:rPr>
          <w:rFonts w:hint="eastAsia" w:ascii="宋体" w:hAnsi="宋体" w:eastAsia="宋体" w:cs="宋体"/>
          <w:color w:val="auto"/>
          <w:spacing w:val="-5"/>
          <w:sz w:val="24"/>
          <w:szCs w:val="24"/>
          <w:highlight w:val="none"/>
        </w:rPr>
        <w:t>施工组织设计的组成内容按本节第</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5"/>
          <w:sz w:val="24"/>
          <w:szCs w:val="24"/>
          <w:highlight w:val="none"/>
        </w:rPr>
        <w:t>10.4.2 目规定的顺序整理、编排后，逐</w:t>
      </w:r>
      <w:r>
        <w:rPr>
          <w:rFonts w:hint="eastAsia" w:ascii="宋体" w:hAnsi="宋体" w:eastAsia="宋体" w:cs="宋体"/>
          <w:color w:val="auto"/>
          <w:spacing w:val="-1"/>
          <w:sz w:val="24"/>
          <w:szCs w:val="24"/>
          <w:highlight w:val="none"/>
        </w:rPr>
        <w:t>页（页码起始从封面开始）连续标记页码。</w:t>
      </w:r>
    </w:p>
    <w:p w14:paraId="702A1AEA">
      <w:pPr>
        <w:ind w:firstLine="472"/>
        <w:outlineLvl w:val="9"/>
        <w:rPr>
          <w:rFonts w:hint="eastAsia" w:ascii="宋体" w:hAnsi="宋体" w:eastAsia="宋体" w:cs="宋体"/>
          <w:color w:val="auto"/>
          <w:spacing w:val="-1"/>
          <w:sz w:val="24"/>
          <w:szCs w:val="24"/>
          <w:highlight w:val="none"/>
          <w:lang w:eastAsia="zh-CN"/>
        </w:rPr>
      </w:pPr>
      <w:r>
        <w:rPr>
          <w:rFonts w:hint="eastAsia" w:ascii="宋体" w:hAnsi="宋体" w:eastAsia="宋体" w:cs="宋体"/>
          <w:b/>
          <w:bCs/>
          <w:color w:val="auto"/>
          <w:spacing w:val="-1"/>
          <w:sz w:val="24"/>
          <w:szCs w:val="24"/>
          <w:highlight w:val="none"/>
        </w:rPr>
        <w:t>10.4.5</w:t>
      </w:r>
      <w:bookmarkStart w:id="52" w:name="OLE_LINK9"/>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施工组织设计的正文不得超过</w:t>
      </w:r>
      <w:r>
        <w:rPr>
          <w:rFonts w:hint="eastAsia"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1"/>
          <w:sz w:val="24"/>
          <w:szCs w:val="24"/>
          <w:highlight w:val="none"/>
          <w:u w:val="single"/>
          <w:lang w:val="en-US" w:eastAsia="zh-CN"/>
        </w:rPr>
        <w:t>150</w:t>
      </w:r>
      <w:r>
        <w:rPr>
          <w:rFonts w:hint="eastAsia"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1"/>
          <w:sz w:val="24"/>
          <w:szCs w:val="24"/>
          <w:highlight w:val="none"/>
        </w:rPr>
        <w:t>页</w:t>
      </w:r>
      <w:r>
        <w:rPr>
          <w:rFonts w:hint="eastAsia" w:ascii="宋体" w:hAnsi="宋体" w:eastAsia="宋体" w:cs="宋体"/>
          <w:color w:val="auto"/>
          <w:spacing w:val="-1"/>
          <w:sz w:val="24"/>
          <w:szCs w:val="24"/>
          <w:highlight w:val="none"/>
          <w:lang w:eastAsia="zh-CN"/>
        </w:rPr>
        <w:t>。</w:t>
      </w:r>
      <w:bookmarkEnd w:id="52"/>
      <w:bookmarkStart w:id="53" w:name="bookmark121"/>
      <w:bookmarkEnd w:id="53"/>
    </w:p>
    <w:p w14:paraId="1EF41116">
      <w:pPr>
        <w:keepNext w:val="0"/>
        <w:keepLines w:val="0"/>
        <w:pageBreakBefore w:val="0"/>
        <w:widowControl w:val="0"/>
        <w:kinsoku/>
        <w:wordWrap w:val="0"/>
        <w:overflowPunct/>
        <w:topLinePunct w:val="0"/>
        <w:autoSpaceDE/>
        <w:autoSpaceDN/>
        <w:bidi w:val="0"/>
        <w:adjustRightInd/>
        <w:snapToGrid/>
        <w:spacing w:line="400" w:lineRule="exact"/>
        <w:ind w:firstLine="482" w:firstLineChars="200"/>
        <w:textAlignment w:val="baseline"/>
        <w:rPr>
          <w:rFonts w:hint="eastAsia" w:ascii="宋体" w:hAnsi="宋体" w:eastAsia="宋体" w:cs="宋体"/>
          <w:b/>
          <w:bCs/>
          <w:snapToGrid w:val="0"/>
          <w:color w:val="auto"/>
          <w:kern w:val="0"/>
          <w:sz w:val="24"/>
          <w:szCs w:val="24"/>
          <w:highlight w:val="none"/>
          <w:lang w:val="en-US" w:eastAsia="zh-CN"/>
        </w:rPr>
      </w:pPr>
      <w:bookmarkStart w:id="54" w:name="_Toc20579"/>
      <w:r>
        <w:rPr>
          <w:rFonts w:hint="eastAsia" w:ascii="宋体" w:hAnsi="宋体" w:eastAsia="宋体" w:cs="宋体"/>
          <w:b/>
          <w:bCs/>
          <w:snapToGrid w:val="0"/>
          <w:color w:val="auto"/>
          <w:kern w:val="0"/>
          <w:sz w:val="24"/>
          <w:szCs w:val="24"/>
          <w:highlight w:val="none"/>
          <w:lang w:val="en-US" w:eastAsia="zh-CN"/>
        </w:rPr>
        <w:t>10.5定标文件的编制要求：</w:t>
      </w:r>
    </w:p>
    <w:p w14:paraId="21C55D8F">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 xml:space="preserve">.1 </w:t>
      </w:r>
      <w:r>
        <w:rPr>
          <w:rFonts w:hint="eastAsia" w:ascii="宋体" w:hAnsi="宋体" w:eastAsia="宋体" w:cs="宋体"/>
          <w:snapToGrid w:val="0"/>
          <w:color w:val="auto"/>
          <w:kern w:val="0"/>
          <w:sz w:val="24"/>
          <w:szCs w:val="24"/>
          <w:highlight w:val="none"/>
          <w:lang w:val="en-US" w:eastAsia="zh-CN"/>
        </w:rPr>
        <w:t>定标文件</w:t>
      </w:r>
      <w:r>
        <w:rPr>
          <w:rFonts w:hint="eastAsia" w:ascii="宋体" w:hAnsi="宋体" w:eastAsia="宋体" w:cs="宋体"/>
          <w:snapToGrid w:val="0"/>
          <w:color w:val="auto"/>
          <w:kern w:val="0"/>
          <w:sz w:val="24"/>
          <w:szCs w:val="24"/>
          <w:highlight w:val="none"/>
        </w:rPr>
        <w:t>包括以下内容：</w:t>
      </w:r>
    </w:p>
    <w:p w14:paraId="6FD4CA21">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default" w:ascii="宋体" w:hAnsi="宋体" w:eastAsia="宋体" w:cs="宋体"/>
          <w:snapToGrid w:val="0"/>
          <w:color w:val="auto"/>
          <w:kern w:val="0"/>
          <w:sz w:val="24"/>
          <w:szCs w:val="24"/>
          <w:highlight w:val="none"/>
          <w:lang w:val="en-US"/>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1) 封面（格式一）</w:t>
      </w:r>
    </w:p>
    <w:p w14:paraId="78BAC76A">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2) 定标因素评审资料（格式十七）</w:t>
      </w:r>
    </w:p>
    <w:p w14:paraId="20163D0A">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 xml:space="preserve"> 本节第1</w:t>
      </w:r>
      <w:r>
        <w:rPr>
          <w:rFonts w:hint="eastAsia" w:ascii="宋体" w:hAnsi="宋体" w:eastAsia="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目中所列出的组成内容中，第（1）项所有投标人均应提供。</w:t>
      </w:r>
    </w:p>
    <w:bookmarkEnd w:id="54"/>
    <w:p w14:paraId="02DC3960">
      <w:pPr>
        <w:spacing w:before="78" w:line="221" w:lineRule="auto"/>
        <w:ind w:left="496"/>
        <w:outlineLvl w:val="2"/>
        <w:rPr>
          <w:rFonts w:hint="eastAsia" w:ascii="宋体" w:hAnsi="宋体" w:eastAsia="宋体" w:cs="宋体"/>
          <w:color w:val="auto"/>
          <w:sz w:val="24"/>
          <w:szCs w:val="24"/>
          <w:highlight w:val="none"/>
        </w:rPr>
      </w:pPr>
      <w:bookmarkStart w:id="55" w:name="_Toc21936"/>
      <w:bookmarkStart w:id="56" w:name="_Toc10599"/>
      <w:r>
        <w:rPr>
          <w:rFonts w:hint="eastAsia" w:ascii="宋体" w:hAnsi="宋体" w:eastAsia="宋体" w:cs="宋体"/>
          <w:b/>
          <w:bCs/>
          <w:color w:val="auto"/>
          <w:spacing w:val="-9"/>
          <w:sz w:val="24"/>
          <w:szCs w:val="24"/>
          <w:highlight w:val="none"/>
        </w:rPr>
        <w:t>11.</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color w:val="auto"/>
          <w:spacing w:val="-9"/>
          <w:sz w:val="24"/>
          <w:szCs w:val="24"/>
          <w:highlight w:val="none"/>
        </w:rPr>
        <w:t>电子投标：</w:t>
      </w:r>
      <w:bookmarkEnd w:id="55"/>
      <w:bookmarkEnd w:id="56"/>
    </w:p>
    <w:p w14:paraId="3D405C38">
      <w:pPr>
        <w:spacing w:before="112" w:line="295" w:lineRule="auto"/>
        <w:ind w:left="10" w:firstLine="485"/>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11.1  </w:t>
      </w:r>
      <w:r>
        <w:rPr>
          <w:rFonts w:hint="eastAsia" w:ascii="宋体" w:hAnsi="宋体" w:eastAsia="宋体" w:cs="宋体"/>
          <w:color w:val="auto"/>
          <w:spacing w:val="-3"/>
          <w:sz w:val="24"/>
          <w:szCs w:val="24"/>
          <w:highlight w:val="none"/>
        </w:rPr>
        <w:t>在建设工程交易系统上传加盖了电子印章的投标文件、录入相关信息及标书</w:t>
      </w:r>
      <w:r>
        <w:rPr>
          <w:rFonts w:hint="eastAsia" w:ascii="宋体" w:hAnsi="宋体" w:eastAsia="宋体" w:cs="宋体"/>
          <w:color w:val="auto"/>
          <w:spacing w:val="2"/>
          <w:sz w:val="24"/>
          <w:szCs w:val="24"/>
          <w:highlight w:val="none"/>
        </w:rPr>
        <w:t>页码信息</w:t>
      </w:r>
      <w:r>
        <w:rPr>
          <w:rFonts w:hint="eastAsia" w:ascii="宋体" w:hAnsi="宋体" w:eastAsia="宋体" w:cs="宋体"/>
          <w:color w:val="auto"/>
          <w:spacing w:val="-25"/>
          <w:sz w:val="24"/>
          <w:szCs w:val="24"/>
          <w:highlight w:val="none"/>
        </w:rPr>
        <w:t>，（</w:t>
      </w:r>
      <w:r>
        <w:rPr>
          <w:rFonts w:hint="eastAsia" w:ascii="宋体" w:hAnsi="宋体" w:eastAsia="宋体" w:cs="宋体"/>
          <w:color w:val="auto"/>
          <w:spacing w:val="2"/>
          <w:sz w:val="24"/>
          <w:szCs w:val="24"/>
          <w:highlight w:val="none"/>
        </w:rPr>
        <w:t>页码起始从封面开始）并提交投标标书。提交标书为已加密投标文件。</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2"/>
          <w:sz w:val="24"/>
          <w:szCs w:val="24"/>
          <w:highlight w:val="none"/>
        </w:rPr>
        <w:t>具体操作参照《韶关市公共资源建设工程交易系统-投标人操</w:t>
      </w:r>
      <w:r>
        <w:rPr>
          <w:rFonts w:hint="eastAsia" w:ascii="宋体" w:hAnsi="宋体" w:eastAsia="宋体" w:cs="宋体"/>
          <w:color w:val="auto"/>
          <w:spacing w:val="-3"/>
          <w:sz w:val="24"/>
          <w:szCs w:val="24"/>
          <w:highlight w:val="none"/>
        </w:rPr>
        <w:t>作指南（电子评标）》。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本项目评标采用全流程电子化进行招标投标（投标人应根据</w:t>
      </w:r>
      <w:r>
        <w:rPr>
          <w:rFonts w:hint="eastAsia" w:ascii="宋体" w:hAnsi="宋体" w:eastAsia="宋体" w:cs="宋体"/>
          <w:color w:val="auto"/>
          <w:spacing w:val="-2"/>
          <w:sz w:val="24"/>
          <w:szCs w:val="24"/>
          <w:highlight w:val="none"/>
        </w:rPr>
        <w:t>韶关市公共资源建设工程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交易系统进行编辑投标相关内容、按招标文件电子投标要求</w:t>
      </w:r>
      <w:r>
        <w:rPr>
          <w:rFonts w:hint="eastAsia" w:ascii="宋体" w:hAnsi="宋体" w:eastAsia="宋体" w:cs="宋体"/>
          <w:color w:val="auto"/>
          <w:spacing w:val="-2"/>
          <w:sz w:val="24"/>
          <w:szCs w:val="24"/>
          <w:highlight w:val="none"/>
        </w:rPr>
        <w:t>上传已加盖电子印章投标</w:t>
      </w:r>
      <w:r>
        <w:rPr>
          <w:rFonts w:hint="eastAsia" w:ascii="宋体" w:hAnsi="宋体" w:eastAsia="宋体" w:cs="宋体"/>
          <w:color w:val="auto"/>
          <w:spacing w:val="-1"/>
          <w:sz w:val="24"/>
          <w:szCs w:val="24"/>
          <w:highlight w:val="none"/>
        </w:rPr>
        <w:t>文件，否则将自行承担不利后果）。投标文件完成上传后，投标人应</w:t>
      </w:r>
      <w:r>
        <w:rPr>
          <w:rFonts w:hint="eastAsia" w:ascii="宋体" w:hAnsi="宋体" w:eastAsia="宋体" w:cs="宋体"/>
          <w:color w:val="auto"/>
          <w:spacing w:val="-2"/>
          <w:sz w:val="24"/>
          <w:szCs w:val="24"/>
          <w:highlight w:val="none"/>
        </w:rPr>
        <w:t>使用 CA 数字证</w:t>
      </w:r>
      <w:r>
        <w:rPr>
          <w:rFonts w:hint="eastAsia" w:ascii="宋体" w:hAnsi="宋体" w:eastAsia="宋体" w:cs="宋体"/>
          <w:color w:val="auto"/>
          <w:spacing w:val="-1"/>
          <w:sz w:val="24"/>
          <w:szCs w:val="24"/>
          <w:highlight w:val="none"/>
        </w:rPr>
        <w:t>书对投标文件进行文件加密，形成加密的投标文件并提交标书。</w:t>
      </w:r>
    </w:p>
    <w:p w14:paraId="6868FCA9">
      <w:pPr>
        <w:spacing w:before="115" w:line="286" w:lineRule="auto"/>
        <w:ind w:left="10" w:right="81" w:firstLine="485"/>
        <w:rPr>
          <w:rFonts w:hint="eastAsia" w:ascii="宋体" w:hAnsi="宋体" w:eastAsia="宋体" w:cs="宋体"/>
          <w:color w:val="auto"/>
          <w:highlight w:val="none"/>
        </w:rPr>
      </w:pPr>
      <w:r>
        <w:rPr>
          <w:rFonts w:hint="eastAsia" w:ascii="宋体" w:hAnsi="宋体" w:eastAsia="宋体" w:cs="宋体"/>
          <w:b/>
          <w:bCs/>
          <w:color w:val="auto"/>
          <w:spacing w:val="-4"/>
          <w:sz w:val="24"/>
          <w:szCs w:val="24"/>
          <w:highlight w:val="none"/>
        </w:rPr>
        <w:t>11.2</w:t>
      </w:r>
      <w:r>
        <w:rPr>
          <w:rFonts w:hint="eastAsia" w:ascii="宋体" w:hAnsi="宋体" w:eastAsia="宋体" w:cs="宋体"/>
          <w:b/>
          <w:bCs/>
          <w:color w:val="auto"/>
          <w:spacing w:val="19"/>
          <w:sz w:val="24"/>
          <w:szCs w:val="24"/>
          <w:highlight w:val="none"/>
        </w:rPr>
        <w:t xml:space="preserve">  </w:t>
      </w:r>
      <w:r>
        <w:rPr>
          <w:rFonts w:hint="eastAsia" w:ascii="宋体" w:hAnsi="宋体" w:eastAsia="宋体" w:cs="宋体"/>
          <w:color w:val="auto"/>
          <w:spacing w:val="-4"/>
          <w:sz w:val="24"/>
          <w:szCs w:val="24"/>
          <w:highlight w:val="none"/>
        </w:rPr>
        <w:t>电子投标文件的修改、撤回：在提交投标文件截止时间前，投标人可</w:t>
      </w:r>
      <w:r>
        <w:rPr>
          <w:rFonts w:hint="eastAsia" w:ascii="宋体" w:hAnsi="宋体" w:eastAsia="宋体" w:cs="宋体"/>
          <w:color w:val="auto"/>
          <w:spacing w:val="-5"/>
          <w:sz w:val="24"/>
          <w:szCs w:val="24"/>
          <w:highlight w:val="none"/>
        </w:rPr>
        <w:t>以修改</w:t>
      </w:r>
      <w:r>
        <w:rPr>
          <w:rFonts w:hint="eastAsia" w:ascii="宋体" w:hAnsi="宋体" w:eastAsia="宋体" w:cs="宋体"/>
          <w:color w:val="auto"/>
          <w:spacing w:val="-1"/>
          <w:sz w:val="24"/>
          <w:szCs w:val="24"/>
          <w:highlight w:val="none"/>
        </w:rPr>
        <w:t>或撤回未解密的电子投标文件，并于提交投标文件截止时间</w:t>
      </w:r>
      <w:r>
        <w:rPr>
          <w:rFonts w:hint="eastAsia" w:ascii="宋体" w:hAnsi="宋体" w:eastAsia="宋体" w:cs="宋体"/>
          <w:color w:val="auto"/>
          <w:spacing w:val="-2"/>
          <w:sz w:val="24"/>
          <w:szCs w:val="24"/>
          <w:highlight w:val="none"/>
        </w:rPr>
        <w:t>前将重新上传修改后的电</w:t>
      </w:r>
      <w:r>
        <w:rPr>
          <w:rFonts w:hint="eastAsia" w:ascii="宋体" w:hAnsi="宋体" w:eastAsia="宋体" w:cs="宋体"/>
          <w:color w:val="auto"/>
          <w:spacing w:val="-1"/>
          <w:sz w:val="24"/>
          <w:szCs w:val="24"/>
          <w:highlight w:val="none"/>
        </w:rPr>
        <w:t>子投标文件至系统，到达投标文件提交截止时间后投标人不</w:t>
      </w:r>
      <w:r>
        <w:rPr>
          <w:rFonts w:hint="eastAsia" w:ascii="宋体" w:hAnsi="宋体" w:eastAsia="宋体" w:cs="宋体"/>
          <w:color w:val="auto"/>
          <w:spacing w:val="-2"/>
          <w:sz w:val="24"/>
          <w:szCs w:val="24"/>
          <w:highlight w:val="none"/>
        </w:rPr>
        <w:t>得撤回、补充、修改和更换投标文件。</w:t>
      </w:r>
    </w:p>
    <w:p w14:paraId="1F5F4AB1">
      <w:pPr>
        <w:numPr>
          <w:ilvl w:val="0"/>
          <w:numId w:val="0"/>
        </w:numPr>
        <w:spacing w:before="78" w:line="220" w:lineRule="auto"/>
        <w:ind w:firstLine="446" w:firstLineChars="200"/>
        <w:outlineLvl w:val="2"/>
        <w:rPr>
          <w:rFonts w:hint="eastAsia" w:ascii="宋体" w:hAnsi="宋体" w:eastAsia="宋体" w:cs="宋体"/>
          <w:b/>
          <w:bCs/>
          <w:color w:val="auto"/>
          <w:spacing w:val="-4"/>
          <w:sz w:val="24"/>
          <w:szCs w:val="24"/>
          <w:highlight w:val="none"/>
        </w:rPr>
      </w:pPr>
      <w:bookmarkStart w:id="57" w:name="_Toc5126"/>
      <w:r>
        <w:rPr>
          <w:rFonts w:hint="eastAsia" w:ascii="宋体" w:hAnsi="宋体" w:eastAsia="宋体" w:cs="宋体"/>
          <w:b/>
          <w:bCs/>
          <w:color w:val="auto"/>
          <w:spacing w:val="-9"/>
          <w:sz w:val="24"/>
          <w:szCs w:val="24"/>
          <w:highlight w:val="none"/>
          <w:lang w:val="en-US" w:eastAsia="zh-CN"/>
        </w:rPr>
        <w:t>12.</w:t>
      </w:r>
      <w:r>
        <w:rPr>
          <w:rFonts w:hint="eastAsia" w:ascii="宋体" w:hAnsi="宋体" w:eastAsia="宋体" w:cs="宋体"/>
          <w:b/>
          <w:bCs/>
          <w:color w:val="auto"/>
          <w:spacing w:val="22"/>
          <w:w w:val="101"/>
          <w:sz w:val="24"/>
          <w:szCs w:val="24"/>
          <w:highlight w:val="none"/>
        </w:rPr>
        <w:t xml:space="preserve"> </w:t>
      </w:r>
      <w:bookmarkStart w:id="58" w:name="_Toc29834"/>
      <w:r>
        <w:rPr>
          <w:rFonts w:hint="eastAsia" w:ascii="宋体" w:hAnsi="宋体" w:eastAsia="宋体" w:cs="宋体"/>
          <w:b/>
          <w:bCs/>
          <w:color w:val="auto"/>
          <w:spacing w:val="-4"/>
          <w:sz w:val="24"/>
          <w:szCs w:val="24"/>
          <w:highlight w:val="none"/>
        </w:rPr>
        <w:t>电子投标及投标解密失败及突发情况的补救方案</w:t>
      </w:r>
      <w:bookmarkEnd w:id="57"/>
      <w:bookmarkEnd w:id="58"/>
    </w:p>
    <w:p w14:paraId="6462F20A">
      <w:pPr>
        <w:keepNext w:val="0"/>
        <w:keepLines w:val="0"/>
        <w:pageBreakBefore w:val="0"/>
        <w:widowControl/>
        <w:kinsoku w:val="0"/>
        <w:wordWrap/>
        <w:overflowPunct/>
        <w:topLinePunct w:val="0"/>
        <w:autoSpaceDE w:val="0"/>
        <w:autoSpaceDN w:val="0"/>
        <w:bidi w:val="0"/>
        <w:adjustRightInd w:val="0"/>
        <w:snapToGrid w:val="0"/>
        <w:spacing w:before="78" w:line="360" w:lineRule="auto"/>
        <w:ind w:firstLine="47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12.1 </w:t>
      </w:r>
      <w:r>
        <w:rPr>
          <w:rFonts w:hint="eastAsia" w:ascii="宋体" w:hAnsi="宋体" w:eastAsia="宋体" w:cs="宋体"/>
          <w:color w:val="auto"/>
          <w:spacing w:val="-1"/>
          <w:sz w:val="24"/>
          <w:szCs w:val="24"/>
          <w:highlight w:val="none"/>
        </w:rPr>
        <w:t>按照交易平台关于全流程电子化项目的相</w:t>
      </w:r>
      <w:r>
        <w:rPr>
          <w:rFonts w:hint="eastAsia" w:ascii="宋体" w:hAnsi="宋体" w:eastAsia="宋体" w:cs="宋体"/>
          <w:color w:val="auto"/>
          <w:spacing w:val="-2"/>
          <w:sz w:val="24"/>
          <w:szCs w:val="24"/>
          <w:highlight w:val="none"/>
        </w:rPr>
        <w:t>关指南进行操作。详见：全国公共</w:t>
      </w:r>
      <w:r>
        <w:rPr>
          <w:rFonts w:hint="eastAsia" w:ascii="宋体" w:hAnsi="宋体" w:eastAsia="宋体" w:cs="宋体"/>
          <w:color w:val="auto"/>
          <w:spacing w:val="-1"/>
          <w:sz w:val="24"/>
          <w:szCs w:val="24"/>
          <w:highlight w:val="none"/>
        </w:rPr>
        <w:t>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·韶关市</w:t>
      </w:r>
      <w:r>
        <w:rPr>
          <w:rFonts w:hint="eastAsia" w:ascii="宋体" w:hAnsi="宋体" w:eastAsia="宋体" w:cs="宋体"/>
          <w:color w:val="auto"/>
          <w:spacing w:val="-26"/>
          <w:sz w:val="24"/>
          <w:szCs w:val="24"/>
          <w:highlight w:val="none"/>
        </w:rPr>
        <w:t>）（</w:t>
      </w:r>
      <w:r>
        <w:rPr>
          <w:rFonts w:hint="eastAsia" w:ascii="宋体" w:hAnsi="宋体" w:eastAsia="宋体" w:cs="宋体"/>
          <w:color w:val="auto"/>
          <w:spacing w:val="-1"/>
          <w:sz w:val="24"/>
          <w:szCs w:val="24"/>
          <w:highlight w:val="none"/>
        </w:rPr>
        <w:t>https://y</w:t>
      </w:r>
      <w:r>
        <w:rPr>
          <w:rFonts w:hint="eastAsia" w:ascii="宋体" w:hAnsi="宋体" w:eastAsia="宋体" w:cs="宋体"/>
          <w:color w:val="auto"/>
          <w:spacing w:val="-2"/>
          <w:sz w:val="24"/>
          <w:szCs w:val="24"/>
          <w:highlight w:val="none"/>
        </w:rPr>
        <w:t>gp.gdzwfw.gov.cn/ggzy-portal/#/44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0200/index）服务指南栏目发布的最新版操作指引。</w:t>
      </w:r>
    </w:p>
    <w:p w14:paraId="5443024B">
      <w:pPr>
        <w:spacing w:before="113"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12.2  </w:t>
      </w:r>
      <w:r>
        <w:rPr>
          <w:rFonts w:hint="eastAsia" w:ascii="宋体" w:hAnsi="宋体" w:eastAsia="宋体" w:cs="宋体"/>
          <w:color w:val="auto"/>
          <w:spacing w:val="-2"/>
          <w:sz w:val="24"/>
          <w:szCs w:val="24"/>
          <w:highlight w:val="none"/>
        </w:rPr>
        <w:t>补救方案：</w:t>
      </w:r>
    </w:p>
    <w:p w14:paraId="67019C1A">
      <w:pPr>
        <w:spacing w:before="115"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12.2.1  </w:t>
      </w:r>
      <w:r>
        <w:rPr>
          <w:rFonts w:hint="eastAsia" w:ascii="宋体" w:hAnsi="宋体" w:eastAsia="宋体" w:cs="宋体"/>
          <w:color w:val="auto"/>
          <w:spacing w:val="-1"/>
          <w:sz w:val="24"/>
          <w:szCs w:val="24"/>
          <w:highlight w:val="none"/>
        </w:rPr>
        <w:t>投标文件解密失败的补救方案：</w:t>
      </w:r>
    </w:p>
    <w:p w14:paraId="1EDCE6E7">
      <w:pPr>
        <w:spacing w:before="115" w:line="298" w:lineRule="auto"/>
        <w:ind w:right="81" w:firstLine="48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在规定时间内，因投标人之外原因(指网络瘫痪、服务器损坏、交易系统故障短期无法恢复)等导致的电子投标文件解密失败，在开标现场解密环节由代理授权后，</w:t>
      </w:r>
      <w:r>
        <w:rPr>
          <w:rFonts w:hint="eastAsia" w:ascii="宋体" w:hAnsi="宋体" w:eastAsia="宋体" w:cs="宋体"/>
          <w:color w:val="auto"/>
          <w:spacing w:val="1"/>
          <w:sz w:val="24"/>
          <w:szCs w:val="24"/>
          <w:highlight w:val="none"/>
        </w:rPr>
        <w:t>解密失败投标人可在建设工程交易系统在规定时间（代理机构授权后</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1"/>
          <w:sz w:val="24"/>
          <w:szCs w:val="24"/>
          <w:highlight w:val="none"/>
        </w:rPr>
        <w:t>30</w:t>
      </w:r>
      <w:r>
        <w:rPr>
          <w:rFonts w:hint="eastAsia" w:ascii="宋体" w:hAnsi="宋体" w:eastAsia="宋体" w:cs="宋体"/>
          <w:color w:val="auto"/>
          <w:spacing w:val="-43"/>
          <w:sz w:val="24"/>
          <w:szCs w:val="24"/>
          <w:highlight w:val="none"/>
        </w:rPr>
        <w:t xml:space="preserve"> </w:t>
      </w:r>
      <w:r>
        <w:rPr>
          <w:rFonts w:hint="eastAsia" w:ascii="宋体" w:hAnsi="宋体" w:eastAsia="宋体" w:cs="宋体"/>
          <w:color w:val="auto"/>
          <w:spacing w:val="1"/>
          <w:sz w:val="24"/>
          <w:szCs w:val="24"/>
          <w:highlight w:val="none"/>
        </w:rPr>
        <w:t>分钟内）内</w:t>
      </w:r>
      <w:bookmarkStart w:id="59" w:name="bookmark122"/>
      <w:bookmarkEnd w:id="59"/>
      <w:r>
        <w:rPr>
          <w:rFonts w:hint="eastAsia" w:ascii="宋体" w:hAnsi="宋体" w:eastAsia="宋体" w:cs="宋体"/>
          <w:color w:val="auto"/>
          <w:spacing w:val="-1"/>
          <w:sz w:val="24"/>
          <w:szCs w:val="24"/>
          <w:highlight w:val="none"/>
        </w:rPr>
        <w:t>重新提交投标文件继续开标程序。</w:t>
      </w:r>
    </w:p>
    <w:p w14:paraId="6A128606">
      <w:pPr>
        <w:spacing w:before="114"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12.2.2  </w:t>
      </w:r>
      <w:r>
        <w:rPr>
          <w:rFonts w:hint="eastAsia" w:ascii="宋体" w:hAnsi="宋体" w:eastAsia="宋体" w:cs="宋体"/>
          <w:color w:val="auto"/>
          <w:spacing w:val="-1"/>
          <w:sz w:val="24"/>
          <w:szCs w:val="24"/>
          <w:highlight w:val="none"/>
        </w:rPr>
        <w:t>评标时突发情况的补救方案</w:t>
      </w:r>
    </w:p>
    <w:p w14:paraId="389EEFFD">
      <w:pPr>
        <w:spacing w:before="114" w:line="303" w:lineRule="auto"/>
        <w:ind w:right="81"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在评标过程中，因主场或副场网络故障、电子设备或者</w:t>
      </w:r>
      <w:r>
        <w:rPr>
          <w:rFonts w:hint="eastAsia" w:ascii="宋体" w:hAnsi="宋体" w:eastAsia="宋体" w:cs="宋体"/>
          <w:color w:val="auto"/>
          <w:spacing w:val="-2"/>
          <w:sz w:val="24"/>
          <w:szCs w:val="24"/>
          <w:highlight w:val="none"/>
        </w:rPr>
        <w:t>评标系统故障，以及其他</w:t>
      </w:r>
      <w:r>
        <w:rPr>
          <w:rFonts w:hint="eastAsia" w:ascii="宋体" w:hAnsi="宋体" w:eastAsia="宋体" w:cs="宋体"/>
          <w:color w:val="auto"/>
          <w:spacing w:val="-3"/>
          <w:sz w:val="24"/>
          <w:szCs w:val="24"/>
          <w:highlight w:val="none"/>
        </w:rPr>
        <w:t>原因导致无法继续进行评标时，在</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3"/>
          <w:sz w:val="24"/>
          <w:szCs w:val="24"/>
          <w:highlight w:val="none"/>
        </w:rPr>
        <w:t>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3"/>
          <w:sz w:val="24"/>
          <w:szCs w:val="24"/>
          <w:highlight w:val="none"/>
        </w:rPr>
        <w:t>小时以内解除故障的可继续评标，超过</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3"/>
          <w:sz w:val="24"/>
          <w:szCs w:val="24"/>
          <w:highlight w:val="none"/>
        </w:rPr>
        <w:t>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3"/>
          <w:sz w:val="24"/>
          <w:szCs w:val="24"/>
          <w:highlight w:val="none"/>
        </w:rPr>
        <w:t>小时无</w:t>
      </w:r>
      <w:r>
        <w:rPr>
          <w:rFonts w:hint="eastAsia" w:ascii="宋体" w:hAnsi="宋体" w:eastAsia="宋体" w:cs="宋体"/>
          <w:color w:val="auto"/>
          <w:spacing w:val="-1"/>
          <w:sz w:val="24"/>
          <w:szCs w:val="24"/>
          <w:highlight w:val="none"/>
        </w:rPr>
        <w:t>法解除故障的，由招标人确定是否进行评标。如延期评标，</w:t>
      </w:r>
      <w:r>
        <w:rPr>
          <w:rFonts w:hint="eastAsia" w:ascii="宋体" w:hAnsi="宋体" w:eastAsia="宋体" w:cs="宋体"/>
          <w:color w:val="auto"/>
          <w:spacing w:val="-2"/>
          <w:sz w:val="24"/>
          <w:szCs w:val="24"/>
          <w:highlight w:val="none"/>
        </w:rPr>
        <w:t>招标人及参与评标活动的</w:t>
      </w:r>
      <w:r>
        <w:rPr>
          <w:rFonts w:hint="eastAsia" w:ascii="宋体" w:hAnsi="宋体" w:eastAsia="宋体" w:cs="宋体"/>
          <w:color w:val="auto"/>
          <w:spacing w:val="-1"/>
          <w:sz w:val="24"/>
          <w:szCs w:val="24"/>
          <w:highlight w:val="none"/>
        </w:rPr>
        <w:t>各方主体及其有关工作人员应当配合主场、副场做好招投标</w:t>
      </w:r>
      <w:r>
        <w:rPr>
          <w:rFonts w:hint="eastAsia" w:ascii="宋体" w:hAnsi="宋体" w:eastAsia="宋体" w:cs="宋体"/>
          <w:color w:val="auto"/>
          <w:spacing w:val="-2"/>
          <w:sz w:val="24"/>
          <w:szCs w:val="24"/>
          <w:highlight w:val="none"/>
        </w:rPr>
        <w:t>资料的封存和保密工作，</w:t>
      </w:r>
      <w:r>
        <w:rPr>
          <w:rFonts w:hint="eastAsia" w:ascii="宋体" w:hAnsi="宋体" w:eastAsia="宋体" w:cs="宋体"/>
          <w:color w:val="auto"/>
          <w:spacing w:val="-1"/>
          <w:sz w:val="24"/>
          <w:szCs w:val="24"/>
          <w:highlight w:val="none"/>
        </w:rPr>
        <w:t>另行组建评标委员会重新评标。原评标委员会成员应当对评</w:t>
      </w:r>
      <w:r>
        <w:rPr>
          <w:rFonts w:hint="eastAsia" w:ascii="宋体" w:hAnsi="宋体" w:eastAsia="宋体" w:cs="宋体"/>
          <w:color w:val="auto"/>
          <w:spacing w:val="-2"/>
          <w:sz w:val="24"/>
          <w:szCs w:val="24"/>
          <w:highlight w:val="none"/>
        </w:rPr>
        <w:t>标情况保密，不得对外透</w:t>
      </w:r>
      <w:r>
        <w:rPr>
          <w:rFonts w:hint="eastAsia" w:ascii="宋体" w:hAnsi="宋体" w:eastAsia="宋体" w:cs="宋体"/>
          <w:color w:val="auto"/>
          <w:spacing w:val="-1"/>
          <w:sz w:val="24"/>
          <w:szCs w:val="24"/>
          <w:highlight w:val="none"/>
        </w:rPr>
        <w:t>露与评标有关的任何信息与情况。</w:t>
      </w:r>
    </w:p>
    <w:p w14:paraId="432398B9">
      <w:pPr>
        <w:spacing w:before="69" w:line="324" w:lineRule="auto"/>
        <w:ind w:left="11" w:right="81" w:firstLine="484"/>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12.2.3  </w:t>
      </w:r>
      <w:r>
        <w:rPr>
          <w:rFonts w:hint="eastAsia" w:ascii="宋体" w:hAnsi="宋体" w:eastAsia="宋体" w:cs="宋体"/>
          <w:color w:val="auto"/>
          <w:spacing w:val="-1"/>
          <w:sz w:val="24"/>
          <w:szCs w:val="24"/>
          <w:highlight w:val="none"/>
        </w:rPr>
        <w:t>除发生上述情况外，开标评标均以投标人（联合体投标的，由联合体牵头人）通过交易平台网上递交的电子投标文件为准。</w:t>
      </w:r>
    </w:p>
    <w:p w14:paraId="4746E39E">
      <w:pPr>
        <w:spacing w:before="78" w:line="220" w:lineRule="auto"/>
        <w:ind w:left="496"/>
        <w:outlineLvl w:val="2"/>
        <w:rPr>
          <w:rFonts w:hint="eastAsia" w:ascii="宋体" w:hAnsi="宋体" w:eastAsia="宋体" w:cs="宋体"/>
          <w:color w:val="auto"/>
          <w:sz w:val="24"/>
          <w:szCs w:val="24"/>
          <w:highlight w:val="none"/>
        </w:rPr>
      </w:pPr>
      <w:bookmarkStart w:id="60" w:name="_Toc3957"/>
      <w:bookmarkStart w:id="61" w:name="_Toc27195"/>
      <w:r>
        <w:rPr>
          <w:rFonts w:hint="eastAsia" w:ascii="宋体" w:hAnsi="宋体" w:eastAsia="宋体" w:cs="宋体"/>
          <w:b/>
          <w:bCs/>
          <w:color w:val="auto"/>
          <w:spacing w:val="-7"/>
          <w:sz w:val="24"/>
          <w:szCs w:val="24"/>
          <w:highlight w:val="none"/>
        </w:rPr>
        <w:t>13</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7"/>
          <w:sz w:val="24"/>
          <w:szCs w:val="24"/>
          <w:highlight w:val="none"/>
        </w:rPr>
        <w:t>．投标文件的提交</w:t>
      </w:r>
      <w:bookmarkEnd w:id="60"/>
      <w:bookmarkEnd w:id="61"/>
    </w:p>
    <w:p w14:paraId="63ACB3FA">
      <w:pPr>
        <w:spacing w:before="123" w:line="278" w:lineRule="auto"/>
        <w:ind w:left="13" w:right="81" w:firstLine="482"/>
        <w:rPr>
          <w:rFonts w:hint="eastAsia" w:ascii="宋体" w:hAnsi="宋体" w:eastAsia="宋体" w:cs="宋体"/>
          <w:color w:val="auto"/>
          <w:sz w:val="24"/>
          <w:szCs w:val="24"/>
          <w:highlight w:val="none"/>
        </w:rPr>
      </w:pPr>
      <w:r>
        <w:rPr>
          <w:rFonts w:hint="eastAsia" w:ascii="宋体" w:hAnsi="宋体" w:eastAsia="宋体" w:cs="宋体"/>
          <w:b/>
          <w:bCs/>
          <w:color w:val="auto"/>
          <w:spacing w:val="-11"/>
          <w:sz w:val="24"/>
          <w:szCs w:val="24"/>
          <w:highlight w:val="none"/>
        </w:rPr>
        <w:t xml:space="preserve">13.1  </w:t>
      </w:r>
      <w:r>
        <w:rPr>
          <w:rFonts w:hint="eastAsia" w:ascii="宋体" w:hAnsi="宋体" w:eastAsia="宋体" w:cs="宋体"/>
          <w:color w:val="auto"/>
          <w:spacing w:val="-11"/>
          <w:sz w:val="24"/>
          <w:szCs w:val="24"/>
          <w:highlight w:val="none"/>
        </w:rPr>
        <w:t>在投标文件提交截止时间前，投标人通过全国公共资源交易平台（</w:t>
      </w:r>
      <w:r>
        <w:rPr>
          <w:rFonts w:hint="eastAsia" w:ascii="宋体" w:hAnsi="宋体" w:eastAsia="宋体" w:cs="宋体"/>
          <w:color w:val="auto"/>
          <w:spacing w:val="-12"/>
          <w:sz w:val="24"/>
          <w:szCs w:val="24"/>
          <w:highlight w:val="none"/>
        </w:rPr>
        <w:t>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2"/>
          <w:sz w:val="24"/>
          <w:szCs w:val="24"/>
          <w:highlight w:val="none"/>
        </w:rPr>
        <w:t>·韶</w:t>
      </w:r>
      <w:r>
        <w:rPr>
          <w:rFonts w:hint="eastAsia" w:ascii="宋体" w:hAnsi="宋体" w:eastAsia="宋体" w:cs="宋体"/>
          <w:color w:val="auto"/>
          <w:spacing w:val="-1"/>
          <w:sz w:val="24"/>
          <w:szCs w:val="24"/>
          <w:highlight w:val="none"/>
        </w:rPr>
        <w:t>关市）提交已加密投标文件。逾期提交的电子投标文</w:t>
      </w:r>
      <w:r>
        <w:rPr>
          <w:rFonts w:hint="eastAsia" w:ascii="宋体" w:hAnsi="宋体" w:eastAsia="宋体" w:cs="宋体"/>
          <w:color w:val="auto"/>
          <w:spacing w:val="-2"/>
          <w:sz w:val="24"/>
          <w:szCs w:val="24"/>
          <w:highlight w:val="none"/>
        </w:rPr>
        <w:t>件，全国公共资源交易平台（广</w:t>
      </w:r>
      <w:r>
        <w:rPr>
          <w:rFonts w:hint="eastAsia" w:ascii="宋体" w:hAnsi="宋体" w:eastAsia="宋体" w:cs="宋体"/>
          <w:color w:val="auto"/>
          <w:spacing w:val="-9"/>
          <w:sz w:val="24"/>
          <w:szCs w:val="24"/>
          <w:highlight w:val="none"/>
        </w:rPr>
        <w:t>东省</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9"/>
          <w:sz w:val="24"/>
          <w:szCs w:val="24"/>
          <w:highlight w:val="none"/>
        </w:rPr>
        <w:t>·韶关市）将予以拒收。</w:t>
      </w:r>
    </w:p>
    <w:p w14:paraId="6051D660">
      <w:pPr>
        <w:spacing w:before="115"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13.2  </w:t>
      </w:r>
      <w:r>
        <w:rPr>
          <w:rFonts w:hint="eastAsia" w:ascii="宋体" w:hAnsi="宋体" w:eastAsia="宋体" w:cs="宋体"/>
          <w:color w:val="auto"/>
          <w:spacing w:val="2"/>
          <w:sz w:val="24"/>
          <w:szCs w:val="24"/>
          <w:highlight w:val="none"/>
        </w:rPr>
        <w:t>提交时间和地点：见本章第二节“重要事项时间地点一览表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p>
    <w:p w14:paraId="00486459">
      <w:pPr>
        <w:spacing w:before="113" w:line="279" w:lineRule="auto"/>
        <w:ind w:left="9" w:right="24" w:firstLine="48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13.3  </w:t>
      </w:r>
      <w:r>
        <w:rPr>
          <w:rFonts w:hint="eastAsia" w:ascii="宋体" w:hAnsi="宋体" w:eastAsia="宋体" w:cs="宋体"/>
          <w:color w:val="auto"/>
          <w:spacing w:val="-1"/>
          <w:sz w:val="24"/>
          <w:szCs w:val="24"/>
          <w:highlight w:val="none"/>
        </w:rPr>
        <w:t>递交时间和地点：投标人如有招标</w:t>
      </w:r>
      <w:r>
        <w:rPr>
          <w:rFonts w:hint="eastAsia" w:ascii="宋体" w:hAnsi="宋体" w:eastAsia="宋体" w:cs="宋体"/>
          <w:color w:val="auto"/>
          <w:spacing w:val="-2"/>
          <w:sz w:val="24"/>
          <w:szCs w:val="24"/>
          <w:highlight w:val="none"/>
        </w:rPr>
        <w:t>文件要求提交的用于评审的证书、证件、证明原件（附一式两份清单</w:t>
      </w:r>
      <w:r>
        <w:rPr>
          <w:rFonts w:hint="eastAsia" w:ascii="宋体" w:hAnsi="宋体" w:eastAsia="宋体" w:cs="宋体"/>
          <w:color w:val="auto"/>
          <w:spacing w:val="11"/>
          <w:sz w:val="24"/>
          <w:szCs w:val="24"/>
          <w:highlight w:val="none"/>
        </w:rPr>
        <w:t>），</w:t>
      </w:r>
      <w:r>
        <w:rPr>
          <w:rFonts w:hint="eastAsia" w:ascii="宋体" w:hAnsi="宋体" w:eastAsia="宋体" w:cs="宋体"/>
          <w:color w:val="auto"/>
          <w:spacing w:val="-2"/>
          <w:sz w:val="24"/>
          <w:szCs w:val="24"/>
          <w:highlight w:val="none"/>
        </w:rPr>
        <w:t>由投标人法定代表人或其委托代理人在指定的时间和</w:t>
      </w:r>
      <w:r>
        <w:rPr>
          <w:rFonts w:hint="eastAsia" w:ascii="宋体" w:hAnsi="宋体" w:eastAsia="宋体" w:cs="宋体"/>
          <w:color w:val="auto"/>
          <w:spacing w:val="-1"/>
          <w:sz w:val="24"/>
          <w:szCs w:val="24"/>
          <w:highlight w:val="none"/>
        </w:rPr>
        <w:t>地点递交（见“重要事项时间地点一览表</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2"/>
          <w:sz w:val="24"/>
          <w:szCs w:val="24"/>
          <w:highlight w:val="none"/>
        </w:rPr>
        <w:t>）。</w:t>
      </w:r>
    </w:p>
    <w:p w14:paraId="3B37374D">
      <w:pPr>
        <w:spacing w:before="112" w:line="219" w:lineRule="auto"/>
        <w:ind w:firstLine="478"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13.4  </w:t>
      </w:r>
      <w:r>
        <w:rPr>
          <w:rFonts w:hint="eastAsia" w:ascii="宋体" w:hAnsi="宋体" w:eastAsia="宋体" w:cs="宋体"/>
          <w:color w:val="auto"/>
          <w:spacing w:val="-1"/>
          <w:sz w:val="24"/>
          <w:szCs w:val="24"/>
          <w:highlight w:val="none"/>
        </w:rPr>
        <w:t>代理机构对因不可抗力事件造成的投</w:t>
      </w:r>
      <w:r>
        <w:rPr>
          <w:rFonts w:hint="eastAsia" w:ascii="宋体" w:hAnsi="宋体" w:eastAsia="宋体" w:cs="宋体"/>
          <w:color w:val="auto"/>
          <w:spacing w:val="-2"/>
          <w:sz w:val="24"/>
          <w:szCs w:val="24"/>
          <w:highlight w:val="none"/>
        </w:rPr>
        <w:t>标文件的损坏、丢失的，不承担责任。</w:t>
      </w:r>
    </w:p>
    <w:p w14:paraId="4AB75F24">
      <w:pPr>
        <w:spacing w:before="116"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13.5</w:t>
      </w:r>
      <w:r>
        <w:rPr>
          <w:rFonts w:hint="eastAsia" w:ascii="宋体" w:hAnsi="宋体" w:eastAsia="宋体" w:cs="宋体"/>
          <w:b/>
          <w:bCs/>
          <w:color w:val="auto"/>
          <w:spacing w:val="15"/>
          <w:sz w:val="24"/>
          <w:szCs w:val="24"/>
          <w:highlight w:val="none"/>
        </w:rPr>
        <w:t xml:space="preserve">  </w:t>
      </w:r>
      <w:r>
        <w:rPr>
          <w:rFonts w:hint="eastAsia" w:ascii="宋体" w:hAnsi="宋体" w:eastAsia="宋体" w:cs="宋体"/>
          <w:color w:val="auto"/>
          <w:spacing w:val="-1"/>
          <w:sz w:val="24"/>
          <w:szCs w:val="24"/>
          <w:highlight w:val="none"/>
        </w:rPr>
        <w:t>出现下述情形之一，属于未成功提</w:t>
      </w:r>
      <w:r>
        <w:rPr>
          <w:rFonts w:hint="eastAsia" w:ascii="宋体" w:hAnsi="宋体" w:eastAsia="宋体" w:cs="宋体"/>
          <w:color w:val="auto"/>
          <w:spacing w:val="-2"/>
          <w:sz w:val="24"/>
          <w:szCs w:val="24"/>
          <w:highlight w:val="none"/>
        </w:rPr>
        <w:t>交投标文件，按无效投标处理：</w:t>
      </w:r>
    </w:p>
    <w:p w14:paraId="7078EE47">
      <w:pPr>
        <w:spacing w:before="115" w:line="219" w:lineRule="auto"/>
        <w:ind w:left="74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（1）至提交投标文件截止时，投标文件未完整上传及提交标书；</w:t>
      </w:r>
    </w:p>
    <w:p w14:paraId="182F51BA">
      <w:pPr>
        <w:spacing w:before="114" w:line="220" w:lineRule="auto"/>
        <w:ind w:left="74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（2）解密失败且在规定时间内未重新提交投标文件的；</w:t>
      </w:r>
    </w:p>
    <w:p w14:paraId="42D26110">
      <w:pPr>
        <w:spacing w:before="115" w:line="220" w:lineRule="auto"/>
        <w:ind w:left="74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（3）投标文件损坏或格式不正确的；</w:t>
      </w:r>
    </w:p>
    <w:p w14:paraId="375241E2">
      <w:pPr>
        <w:spacing w:before="115"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13.6  </w:t>
      </w:r>
      <w:r>
        <w:rPr>
          <w:rFonts w:hint="eastAsia" w:ascii="宋体" w:hAnsi="宋体" w:eastAsia="宋体" w:cs="宋体"/>
          <w:color w:val="auto"/>
          <w:spacing w:val="-1"/>
          <w:sz w:val="24"/>
          <w:szCs w:val="24"/>
          <w:highlight w:val="none"/>
        </w:rPr>
        <w:t>联合体投标的，由联合体牵头人按以上要求递交相关资料。</w:t>
      </w:r>
    </w:p>
    <w:p w14:paraId="3A0B8A8C">
      <w:pPr>
        <w:spacing w:before="113" w:line="279" w:lineRule="auto"/>
        <w:ind w:left="9" w:right="24" w:firstLine="48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13.7  </w:t>
      </w:r>
      <w:r>
        <w:rPr>
          <w:rFonts w:hint="eastAsia" w:ascii="宋体" w:hAnsi="宋体" w:eastAsia="宋体" w:cs="宋体"/>
          <w:color w:val="auto"/>
          <w:spacing w:val="-2"/>
          <w:sz w:val="24"/>
          <w:szCs w:val="24"/>
          <w:highlight w:val="none"/>
        </w:rPr>
        <w:t>招标人或其授权的招标代理机构核对、接收投标人递交的投标相关资料后，</w:t>
      </w:r>
      <w:r>
        <w:rPr>
          <w:rFonts w:hint="eastAsia" w:ascii="宋体" w:hAnsi="宋体" w:eastAsia="宋体" w:cs="宋体"/>
          <w:color w:val="auto"/>
          <w:spacing w:val="-1"/>
          <w:sz w:val="24"/>
          <w:szCs w:val="24"/>
          <w:highlight w:val="none"/>
        </w:rPr>
        <w:t>应向投标人出具标明签收</w:t>
      </w:r>
      <w:r>
        <w:rPr>
          <w:rFonts w:hint="eastAsia" w:ascii="宋体" w:hAnsi="宋体" w:eastAsia="宋体" w:cs="宋体"/>
          <w:color w:val="auto"/>
          <w:spacing w:val="-2"/>
          <w:sz w:val="24"/>
          <w:szCs w:val="24"/>
          <w:highlight w:val="none"/>
        </w:rPr>
        <w:t>人和签收时间的凭证，并妥善保管。</w:t>
      </w:r>
    </w:p>
    <w:p w14:paraId="4E2CDC3E">
      <w:pPr>
        <w:spacing w:before="113" w:line="279" w:lineRule="auto"/>
        <w:ind w:left="9" w:right="24" w:firstLine="48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13.8 </w:t>
      </w:r>
      <w:r>
        <w:rPr>
          <w:rFonts w:hint="eastAsia" w:ascii="宋体" w:hAnsi="宋体" w:eastAsia="宋体" w:cs="宋体"/>
          <w:color w:val="auto"/>
          <w:spacing w:val="-2"/>
          <w:sz w:val="24"/>
          <w:szCs w:val="24"/>
          <w:highlight w:val="none"/>
        </w:rPr>
        <w:t xml:space="preserve"> 本次招标投标有效期为</w:t>
      </w:r>
      <w:r>
        <w:rPr>
          <w:rFonts w:hint="eastAsia" w:ascii="宋体" w:hAnsi="宋体" w:eastAsia="宋体" w:cs="宋体"/>
          <w:color w:val="auto"/>
          <w:spacing w:val="-2"/>
          <w:sz w:val="24"/>
          <w:szCs w:val="24"/>
          <w:highlight w:val="none"/>
          <w:u w:val="single"/>
          <w:lang w:eastAsia="zh-CN"/>
        </w:rPr>
        <w:t>90</w:t>
      </w:r>
      <w:r>
        <w:rPr>
          <w:rFonts w:hint="eastAsia" w:ascii="宋体" w:hAnsi="宋体" w:eastAsia="宋体" w:cs="宋体"/>
          <w:color w:val="auto"/>
          <w:spacing w:val="-2"/>
          <w:sz w:val="24"/>
          <w:szCs w:val="24"/>
          <w:highlight w:val="none"/>
        </w:rPr>
        <w:t>个日历天，投标有效期从提交投标文件的截止之日起计算。在此期间，投标人不得撤销或修改其</w:t>
      </w:r>
      <w:r>
        <w:rPr>
          <w:rFonts w:hint="eastAsia" w:ascii="宋体" w:hAnsi="宋体" w:eastAsia="宋体" w:cs="宋体"/>
          <w:color w:val="auto"/>
          <w:spacing w:val="-7"/>
          <w:sz w:val="24"/>
          <w:szCs w:val="24"/>
          <w:highlight w:val="none"/>
        </w:rPr>
        <w:t>投标文件，否则其投标保证不予退还。</w:t>
      </w:r>
    </w:p>
    <w:p w14:paraId="2A2F821B">
      <w:pPr>
        <w:spacing w:before="145" w:line="221" w:lineRule="auto"/>
        <w:ind w:left="496"/>
        <w:outlineLvl w:val="2"/>
        <w:rPr>
          <w:rFonts w:hint="eastAsia" w:ascii="宋体" w:hAnsi="宋体" w:eastAsia="宋体" w:cs="宋体"/>
          <w:color w:val="auto"/>
          <w:sz w:val="24"/>
          <w:szCs w:val="24"/>
          <w:highlight w:val="none"/>
        </w:rPr>
      </w:pPr>
      <w:bookmarkStart w:id="62" w:name="_Toc22047"/>
      <w:bookmarkStart w:id="63" w:name="_Toc8365"/>
      <w:r>
        <w:rPr>
          <w:rFonts w:hint="eastAsia" w:ascii="宋体" w:hAnsi="宋体" w:eastAsia="宋体" w:cs="宋体"/>
          <w:b/>
          <w:bCs/>
          <w:color w:val="auto"/>
          <w:spacing w:val="-11"/>
          <w:sz w:val="24"/>
          <w:szCs w:val="24"/>
          <w:highlight w:val="none"/>
        </w:rPr>
        <w:t>14</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11"/>
          <w:sz w:val="24"/>
          <w:szCs w:val="24"/>
          <w:highlight w:val="none"/>
        </w:rPr>
        <w:t>．开标</w:t>
      </w:r>
      <w:bookmarkEnd w:id="62"/>
      <w:bookmarkEnd w:id="63"/>
    </w:p>
    <w:p w14:paraId="792BE085">
      <w:pPr>
        <w:spacing w:before="155" w:line="329" w:lineRule="auto"/>
        <w:ind w:left="10" w:right="81" w:firstLine="485"/>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14.1  </w:t>
      </w:r>
      <w:r>
        <w:rPr>
          <w:rFonts w:hint="eastAsia" w:ascii="宋体" w:hAnsi="宋体" w:eastAsia="宋体" w:cs="宋体"/>
          <w:color w:val="auto"/>
          <w:spacing w:val="-3"/>
          <w:sz w:val="24"/>
          <w:szCs w:val="24"/>
          <w:highlight w:val="none"/>
        </w:rPr>
        <w:t>招标人邀请所有正确获取招标文件、电子投标、缴纳投标保证的投标人参加</w:t>
      </w:r>
      <w:r>
        <w:rPr>
          <w:rFonts w:hint="eastAsia" w:ascii="宋体" w:hAnsi="宋体" w:eastAsia="宋体" w:cs="宋体"/>
          <w:color w:val="auto"/>
          <w:spacing w:val="-1"/>
          <w:sz w:val="24"/>
          <w:szCs w:val="24"/>
          <w:highlight w:val="none"/>
        </w:rPr>
        <w:t>开标，投标人可自主决定是否参加。投标人可登陆交易平台</w:t>
      </w:r>
      <w:r>
        <w:rPr>
          <w:rFonts w:hint="eastAsia" w:ascii="宋体" w:hAnsi="宋体" w:eastAsia="宋体" w:cs="宋体"/>
          <w:color w:val="auto"/>
          <w:spacing w:val="-2"/>
          <w:sz w:val="24"/>
          <w:szCs w:val="24"/>
          <w:highlight w:val="none"/>
        </w:rPr>
        <w:t>观看开标实况、提出异议</w:t>
      </w:r>
      <w:r>
        <w:rPr>
          <w:rFonts w:hint="eastAsia" w:ascii="宋体" w:hAnsi="宋体" w:eastAsia="宋体" w:cs="宋体"/>
          <w:color w:val="auto"/>
          <w:spacing w:val="-1"/>
          <w:sz w:val="24"/>
          <w:szCs w:val="24"/>
          <w:highlight w:val="none"/>
        </w:rPr>
        <w:t>或进行澄清、确认等操作（具体按招标文件和系统操作手册</w:t>
      </w:r>
      <w:r>
        <w:rPr>
          <w:rFonts w:hint="eastAsia" w:ascii="宋体" w:hAnsi="宋体" w:eastAsia="宋体" w:cs="宋体"/>
          <w:color w:val="auto"/>
          <w:spacing w:val="-2"/>
          <w:sz w:val="24"/>
          <w:szCs w:val="24"/>
          <w:highlight w:val="none"/>
        </w:rPr>
        <w:t>为准）。投标人不参加开</w:t>
      </w:r>
      <w:bookmarkStart w:id="64" w:name="bookmark123"/>
      <w:bookmarkEnd w:id="64"/>
      <w:r>
        <w:rPr>
          <w:rFonts w:hint="eastAsia" w:ascii="宋体" w:hAnsi="宋体" w:eastAsia="宋体" w:cs="宋体"/>
          <w:color w:val="auto"/>
          <w:sz w:val="24"/>
          <w:szCs w:val="24"/>
          <w:highlight w:val="none"/>
        </w:rPr>
        <w:t>标的，视其默认开标结果，以及放弃在开标期间见证、</w:t>
      </w:r>
      <w:r>
        <w:rPr>
          <w:rFonts w:hint="eastAsia" w:ascii="宋体" w:hAnsi="宋体" w:eastAsia="宋体" w:cs="宋体"/>
          <w:color w:val="auto"/>
          <w:spacing w:val="-1"/>
          <w:sz w:val="24"/>
          <w:szCs w:val="24"/>
          <w:highlight w:val="none"/>
        </w:rPr>
        <w:t>监督、投诉、申辩的权利。</w:t>
      </w:r>
    </w:p>
    <w:p w14:paraId="3DC2018F">
      <w:pPr>
        <w:spacing w:before="156"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14.1.1  </w:t>
      </w:r>
      <w:r>
        <w:rPr>
          <w:rFonts w:hint="eastAsia" w:ascii="宋体" w:hAnsi="宋体" w:eastAsia="宋体" w:cs="宋体"/>
          <w:color w:val="auto"/>
          <w:sz w:val="24"/>
          <w:szCs w:val="24"/>
          <w:highlight w:val="none"/>
        </w:rPr>
        <w:t>开标时间和地点：见本章第</w:t>
      </w:r>
      <w:r>
        <w:rPr>
          <w:rFonts w:hint="eastAsia" w:ascii="宋体" w:hAnsi="宋体" w:eastAsia="宋体" w:cs="宋体"/>
          <w:color w:val="auto"/>
          <w:spacing w:val="-1"/>
          <w:sz w:val="24"/>
          <w:szCs w:val="24"/>
          <w:highlight w:val="none"/>
        </w:rPr>
        <w:t>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w:t>
      </w:r>
    </w:p>
    <w:p w14:paraId="652A2E38">
      <w:pPr>
        <w:keepNext w:val="0"/>
        <w:keepLines w:val="0"/>
        <w:pageBreakBefore w:val="0"/>
        <w:widowControl/>
        <w:kinsoku w:val="0"/>
        <w:wordWrap w:val="0"/>
        <w:overflowPunct/>
        <w:topLinePunct w:val="0"/>
        <w:autoSpaceDE w:val="0"/>
        <w:autoSpaceDN w:val="0"/>
        <w:bidi w:val="0"/>
        <w:adjustRightInd w:val="0"/>
        <w:snapToGrid w:val="0"/>
        <w:spacing w:before="153" w:line="320" w:lineRule="auto"/>
        <w:ind w:left="11" w:firstLine="488"/>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 xml:space="preserve">14.1.2 </w:t>
      </w:r>
      <w:r>
        <w:rPr>
          <w:rFonts w:hint="eastAsia" w:ascii="宋体" w:hAnsi="宋体" w:eastAsia="宋体" w:cs="宋体"/>
          <w:color w:val="auto"/>
          <w:spacing w:val="-7"/>
          <w:sz w:val="24"/>
          <w:szCs w:val="24"/>
          <w:highlight w:val="none"/>
        </w:rPr>
        <w:t>开标前</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7"/>
          <w:sz w:val="24"/>
          <w:szCs w:val="24"/>
          <w:highlight w:val="none"/>
        </w:rPr>
        <w:t>24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7"/>
          <w:sz w:val="24"/>
          <w:szCs w:val="24"/>
          <w:highlight w:val="none"/>
        </w:rPr>
        <w:t>小时，若建设工程交易系统显示缴</w:t>
      </w:r>
      <w:r>
        <w:rPr>
          <w:rFonts w:hint="eastAsia" w:ascii="宋体" w:hAnsi="宋体" w:eastAsia="宋体" w:cs="宋体"/>
          <w:color w:val="auto"/>
          <w:spacing w:val="-8"/>
          <w:sz w:val="24"/>
          <w:szCs w:val="24"/>
          <w:highlight w:val="none"/>
        </w:rPr>
        <w:t>纳投标保证（包括投标保证金、</w:t>
      </w:r>
      <w:r>
        <w:rPr>
          <w:rFonts w:hint="eastAsia" w:ascii="宋体" w:hAnsi="宋体" w:eastAsia="宋体" w:cs="宋体"/>
          <w:color w:val="auto"/>
          <w:spacing w:val="-2"/>
          <w:sz w:val="24"/>
          <w:szCs w:val="24"/>
          <w:highlight w:val="none"/>
        </w:rPr>
        <w:t>投标保证担保、投标保证保险）的投标人数量不足</w:t>
      </w:r>
      <w:r>
        <w:rPr>
          <w:rFonts w:hint="eastAsia" w:ascii="宋体" w:hAnsi="宋体" w:eastAsia="宋体" w:cs="宋体"/>
          <w:color w:val="auto"/>
          <w:spacing w:val="-42"/>
          <w:sz w:val="24"/>
          <w:szCs w:val="24"/>
          <w:highlight w:val="none"/>
        </w:rPr>
        <w:t xml:space="preserve"> </w:t>
      </w:r>
      <w:r>
        <w:rPr>
          <w:rFonts w:hint="eastAsia" w:ascii="宋体" w:hAnsi="宋体" w:eastAsia="宋体" w:cs="宋体"/>
          <w:color w:val="auto"/>
          <w:spacing w:val="-2"/>
          <w:sz w:val="24"/>
          <w:szCs w:val="24"/>
          <w:highlight w:val="none"/>
        </w:rPr>
        <w:t>3</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个时，招标人将取消原定于次日</w:t>
      </w:r>
      <w:r>
        <w:rPr>
          <w:rFonts w:hint="eastAsia" w:ascii="宋体" w:hAnsi="宋体" w:eastAsia="宋体" w:cs="宋体"/>
          <w:color w:val="auto"/>
          <w:spacing w:val="-1"/>
          <w:sz w:val="24"/>
          <w:szCs w:val="24"/>
          <w:highlight w:val="none"/>
        </w:rPr>
        <w:t>召开的开标活动。投标人可在投标保证缴纳截止时间（见本章</w:t>
      </w:r>
      <w:r>
        <w:rPr>
          <w:rFonts w:hint="eastAsia" w:ascii="宋体" w:hAnsi="宋体" w:eastAsia="宋体" w:cs="宋体"/>
          <w:color w:val="auto"/>
          <w:spacing w:val="-2"/>
          <w:sz w:val="24"/>
          <w:szCs w:val="24"/>
          <w:highlight w:val="none"/>
        </w:rPr>
        <w:t>第二节“重要事项时间</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”）至电子投标截止时间（见本章第二节“重要事项时间地点一览</w:t>
      </w:r>
      <w:r>
        <w:rPr>
          <w:rFonts w:hint="eastAsia" w:ascii="宋体" w:hAnsi="宋体" w:eastAsia="宋体" w:cs="宋体"/>
          <w:color w:val="auto"/>
          <w:spacing w:val="-2"/>
          <w:sz w:val="24"/>
          <w:szCs w:val="24"/>
          <w:highlight w:val="none"/>
        </w:rPr>
        <w:t>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期间登录全国公共资源交易平台（广东省</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22"/>
          <w:sz w:val="24"/>
          <w:szCs w:val="24"/>
          <w:highlight w:val="none"/>
        </w:rPr>
        <w:t>）（</w:t>
      </w:r>
      <w:r>
        <w:rPr>
          <w:rFonts w:hint="eastAsia" w:ascii="宋体" w:hAnsi="宋体" w:eastAsia="宋体" w:cs="宋体"/>
          <w:color w:val="auto"/>
          <w:spacing w:val="-2"/>
          <w:sz w:val="24"/>
          <w:szCs w:val="24"/>
          <w:highlight w:val="none"/>
        </w:rPr>
        <w:t>https://ygp.gdzwfw.gov.cn/</w:t>
      </w:r>
      <w:r>
        <w:rPr>
          <w:rFonts w:hint="eastAsia" w:ascii="宋体" w:hAnsi="宋体" w:eastAsia="宋体" w:cs="宋体"/>
          <w:color w:val="auto"/>
          <w:sz w:val="24"/>
          <w:szCs w:val="24"/>
          <w:highlight w:val="none"/>
        </w:rPr>
        <w:t xml:space="preserve"> ggzy-portal/#/440200/index）查询是否发布了取</w:t>
      </w:r>
      <w:r>
        <w:rPr>
          <w:rFonts w:hint="eastAsia" w:ascii="宋体" w:hAnsi="宋体" w:eastAsia="宋体" w:cs="宋体"/>
          <w:color w:val="auto"/>
          <w:spacing w:val="-1"/>
          <w:sz w:val="24"/>
          <w:szCs w:val="24"/>
          <w:highlight w:val="none"/>
        </w:rPr>
        <w:t>消开标活动的相关信息。</w:t>
      </w:r>
    </w:p>
    <w:p w14:paraId="30562814">
      <w:pPr>
        <w:spacing w:before="159" w:line="319" w:lineRule="auto"/>
        <w:ind w:left="10" w:right="80" w:firstLine="496"/>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14.1.3</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4"/>
          <w:sz w:val="24"/>
          <w:szCs w:val="24"/>
          <w:highlight w:val="none"/>
        </w:rPr>
        <w:t>本项目实行全流程电子化招标投标，投标人在交易平台按要求上传加盖电</w:t>
      </w:r>
      <w:r>
        <w:rPr>
          <w:rFonts w:hint="eastAsia" w:ascii="宋体" w:hAnsi="宋体" w:eastAsia="宋体" w:cs="宋体"/>
          <w:color w:val="auto"/>
          <w:spacing w:val="-1"/>
          <w:sz w:val="24"/>
          <w:szCs w:val="24"/>
          <w:highlight w:val="none"/>
        </w:rPr>
        <w:t>子印章并经加密的电子投标文件，并在交易平台录入准确的</w:t>
      </w:r>
      <w:r>
        <w:rPr>
          <w:rFonts w:hint="eastAsia" w:ascii="宋体" w:hAnsi="宋体" w:eastAsia="宋体" w:cs="宋体"/>
          <w:color w:val="auto"/>
          <w:spacing w:val="-2"/>
          <w:sz w:val="24"/>
          <w:szCs w:val="24"/>
          <w:highlight w:val="none"/>
        </w:rPr>
        <w:t>页码信息即可完成在线投</w:t>
      </w:r>
      <w:r>
        <w:rPr>
          <w:rFonts w:hint="eastAsia" w:ascii="宋体" w:hAnsi="宋体" w:eastAsia="宋体" w:cs="宋体"/>
          <w:color w:val="auto"/>
          <w:spacing w:val="-1"/>
          <w:sz w:val="24"/>
          <w:szCs w:val="24"/>
          <w:highlight w:val="none"/>
        </w:rPr>
        <w:t>标</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由于投标人原因导致未按投标截至时限上传完整投标文</w:t>
      </w:r>
      <w:r>
        <w:rPr>
          <w:rFonts w:hint="eastAsia" w:ascii="宋体" w:hAnsi="宋体" w:eastAsia="宋体" w:cs="宋体"/>
          <w:color w:val="auto"/>
          <w:spacing w:val="-2"/>
          <w:sz w:val="24"/>
          <w:szCs w:val="24"/>
          <w:highlight w:val="none"/>
        </w:rPr>
        <w:t>件、在交易平台中上传的</w:t>
      </w:r>
      <w:r>
        <w:rPr>
          <w:rFonts w:hint="eastAsia" w:ascii="宋体" w:hAnsi="宋体" w:eastAsia="宋体" w:cs="宋体"/>
          <w:color w:val="auto"/>
          <w:spacing w:val="-1"/>
          <w:sz w:val="24"/>
          <w:szCs w:val="24"/>
          <w:highlight w:val="none"/>
        </w:rPr>
        <w:t>投标文件无法解密、投标文件损坏或格式不正确、投标文件</w:t>
      </w:r>
      <w:r>
        <w:rPr>
          <w:rFonts w:hint="eastAsia" w:ascii="宋体" w:hAnsi="宋体" w:eastAsia="宋体" w:cs="宋体"/>
          <w:color w:val="auto"/>
          <w:spacing w:val="-2"/>
          <w:sz w:val="24"/>
          <w:szCs w:val="24"/>
          <w:highlight w:val="none"/>
        </w:rPr>
        <w:t>未按招标文件要求加盖电</w:t>
      </w:r>
      <w:r>
        <w:rPr>
          <w:rFonts w:hint="eastAsia" w:ascii="宋体" w:hAnsi="宋体" w:eastAsia="宋体" w:cs="宋体"/>
          <w:color w:val="auto"/>
          <w:spacing w:val="-1"/>
          <w:sz w:val="24"/>
          <w:szCs w:val="24"/>
          <w:highlight w:val="none"/>
        </w:rPr>
        <w:t>子印章或电子印章不完整、电子投标文件解密失败且未按要</w:t>
      </w:r>
      <w:r>
        <w:rPr>
          <w:rFonts w:hint="eastAsia" w:ascii="宋体" w:hAnsi="宋体" w:eastAsia="宋体" w:cs="宋体"/>
          <w:color w:val="auto"/>
          <w:spacing w:val="-2"/>
          <w:sz w:val="24"/>
          <w:szCs w:val="24"/>
          <w:highlight w:val="none"/>
        </w:rPr>
        <w:t>求上传备用投标文件等情</w:t>
      </w:r>
      <w:r>
        <w:rPr>
          <w:rFonts w:hint="eastAsia" w:ascii="宋体" w:hAnsi="宋体" w:eastAsia="宋体" w:cs="宋体"/>
          <w:color w:val="auto"/>
          <w:spacing w:val="-1"/>
          <w:sz w:val="24"/>
          <w:szCs w:val="24"/>
          <w:highlight w:val="none"/>
        </w:rPr>
        <w:t>形导致投标无效的，由投标人自行负责。</w:t>
      </w:r>
    </w:p>
    <w:p w14:paraId="16B5CEF9">
      <w:pPr>
        <w:spacing w:before="152" w:line="221"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14.2  </w:t>
      </w:r>
      <w:r>
        <w:rPr>
          <w:rFonts w:hint="eastAsia" w:ascii="宋体" w:hAnsi="宋体" w:eastAsia="宋体" w:cs="宋体"/>
          <w:color w:val="auto"/>
          <w:spacing w:val="-2"/>
          <w:sz w:val="24"/>
          <w:szCs w:val="24"/>
          <w:highlight w:val="none"/>
        </w:rPr>
        <w:t>开标程序</w:t>
      </w:r>
    </w:p>
    <w:p w14:paraId="497CFDD0">
      <w:pPr>
        <w:spacing w:before="42" w:line="219" w:lineRule="auto"/>
        <w:ind w:left="501"/>
        <w:outlineLvl w:val="9"/>
        <w:rPr>
          <w:rFonts w:hint="eastAsia" w:ascii="宋体" w:hAnsi="宋体" w:eastAsia="宋体" w:cs="宋体"/>
          <w:color w:val="auto"/>
          <w:sz w:val="24"/>
          <w:szCs w:val="24"/>
          <w:highlight w:val="none"/>
        </w:rPr>
      </w:pPr>
      <w:bookmarkStart w:id="65" w:name="_Toc10291"/>
      <w:bookmarkStart w:id="66" w:name="_Toc10685"/>
      <w:bookmarkStart w:id="67" w:name="_Toc15587"/>
      <w:bookmarkStart w:id="68" w:name="_Toc8314"/>
      <w:r>
        <w:rPr>
          <w:rFonts w:hint="eastAsia" w:ascii="宋体" w:hAnsi="宋体" w:eastAsia="宋体" w:cs="宋体"/>
          <w:color w:val="auto"/>
          <w:spacing w:val="-1"/>
          <w:sz w:val="24"/>
          <w:szCs w:val="24"/>
          <w:highlight w:val="none"/>
        </w:rPr>
        <w:t>（1）主持人（招标人代表或招标人授权的招标代理机构人员）宣读开标纪律。</w:t>
      </w:r>
      <w:bookmarkEnd w:id="65"/>
      <w:bookmarkEnd w:id="66"/>
      <w:bookmarkEnd w:id="67"/>
      <w:bookmarkEnd w:id="68"/>
    </w:p>
    <w:p w14:paraId="5EAC246A">
      <w:pPr>
        <w:spacing w:before="181" w:line="219" w:lineRule="auto"/>
        <w:ind w:left="501"/>
        <w:outlineLvl w:val="9"/>
        <w:rPr>
          <w:rFonts w:hint="eastAsia" w:ascii="宋体" w:hAnsi="宋体" w:eastAsia="宋体" w:cs="宋体"/>
          <w:color w:val="auto"/>
          <w:sz w:val="24"/>
          <w:szCs w:val="24"/>
          <w:highlight w:val="none"/>
        </w:rPr>
      </w:pPr>
      <w:bookmarkStart w:id="69" w:name="_Toc2011"/>
      <w:bookmarkStart w:id="70" w:name="_Toc20238"/>
      <w:bookmarkStart w:id="71" w:name="_Toc30853"/>
      <w:bookmarkStart w:id="72" w:name="_Toc16292"/>
      <w:r>
        <w:rPr>
          <w:rFonts w:hint="eastAsia" w:ascii="宋体" w:hAnsi="宋体" w:eastAsia="宋体" w:cs="宋体"/>
          <w:color w:val="auto"/>
          <w:spacing w:val="-1"/>
          <w:sz w:val="24"/>
          <w:szCs w:val="24"/>
          <w:highlight w:val="none"/>
        </w:rPr>
        <w:t>（2）主持人宣布唱标人、记录人、见证人、监督人等有关人员姓名。</w:t>
      </w:r>
      <w:bookmarkEnd w:id="69"/>
      <w:bookmarkEnd w:id="70"/>
      <w:bookmarkEnd w:id="71"/>
      <w:bookmarkEnd w:id="72"/>
    </w:p>
    <w:p w14:paraId="7443DF73">
      <w:pPr>
        <w:spacing w:before="183" w:line="219" w:lineRule="auto"/>
        <w:ind w:left="501"/>
        <w:outlineLvl w:val="9"/>
        <w:rPr>
          <w:rFonts w:hint="eastAsia" w:ascii="宋体" w:hAnsi="宋体" w:eastAsia="宋体" w:cs="宋体"/>
          <w:color w:val="auto"/>
          <w:sz w:val="24"/>
          <w:szCs w:val="24"/>
          <w:highlight w:val="none"/>
        </w:rPr>
      </w:pPr>
      <w:bookmarkStart w:id="73" w:name="_Toc1974"/>
      <w:bookmarkStart w:id="74" w:name="_Toc31716"/>
      <w:bookmarkStart w:id="75" w:name="_Toc26494"/>
      <w:bookmarkStart w:id="76" w:name="_Toc17462"/>
      <w:r>
        <w:rPr>
          <w:rFonts w:hint="eastAsia" w:ascii="宋体" w:hAnsi="宋体" w:eastAsia="宋体" w:cs="宋体"/>
          <w:color w:val="auto"/>
          <w:spacing w:val="-1"/>
          <w:sz w:val="24"/>
          <w:szCs w:val="24"/>
          <w:highlight w:val="none"/>
        </w:rPr>
        <w:t>（3）唱标人公布在投标截止时间前进行投标文件的投标人数量和名称</w:t>
      </w:r>
      <w:bookmarkEnd w:id="73"/>
      <w:bookmarkEnd w:id="74"/>
      <w:bookmarkEnd w:id="75"/>
      <w:bookmarkEnd w:id="76"/>
    </w:p>
    <w:p w14:paraId="3324CC32">
      <w:pPr>
        <w:spacing w:before="181" w:line="219" w:lineRule="auto"/>
        <w:ind w:left="501"/>
        <w:outlineLvl w:val="9"/>
        <w:rPr>
          <w:rFonts w:hint="eastAsia" w:ascii="宋体" w:hAnsi="宋体" w:eastAsia="宋体" w:cs="宋体"/>
          <w:color w:val="auto"/>
          <w:sz w:val="24"/>
          <w:szCs w:val="24"/>
          <w:highlight w:val="none"/>
        </w:rPr>
      </w:pPr>
      <w:bookmarkStart w:id="77" w:name="_Toc27967"/>
      <w:bookmarkStart w:id="78" w:name="_Toc15860"/>
      <w:bookmarkStart w:id="79" w:name="_Toc8179"/>
      <w:bookmarkStart w:id="80" w:name="_Toc20559"/>
      <w:r>
        <w:rPr>
          <w:rFonts w:hint="eastAsia" w:ascii="宋体" w:hAnsi="宋体" w:eastAsia="宋体" w:cs="宋体"/>
          <w:color w:val="auto"/>
          <w:spacing w:val="2"/>
          <w:sz w:val="24"/>
          <w:szCs w:val="24"/>
          <w:highlight w:val="none"/>
        </w:rPr>
        <w:t>（4）招标代理机构会同交易场所工作人员对投标人的</w:t>
      </w:r>
      <w:r>
        <w:rPr>
          <w:rFonts w:hint="eastAsia" w:ascii="宋体" w:hAnsi="宋体" w:eastAsia="宋体" w:cs="宋体"/>
          <w:color w:val="auto"/>
          <w:spacing w:val="1"/>
          <w:sz w:val="24"/>
          <w:szCs w:val="24"/>
          <w:highlight w:val="none"/>
        </w:rPr>
        <w:t>电子投标信息进行解密，</w:t>
      </w:r>
      <w:bookmarkEnd w:id="77"/>
      <w:bookmarkEnd w:id="78"/>
      <w:bookmarkEnd w:id="79"/>
      <w:bookmarkEnd w:id="80"/>
    </w:p>
    <w:p w14:paraId="2BAFEA97">
      <w:pPr>
        <w:spacing w:before="183" w:line="220" w:lineRule="auto"/>
        <w:ind w:left="1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建设工程交易系统自动生成《投标保证缴纳情况表》和《开标一览表》。</w:t>
      </w:r>
    </w:p>
    <w:p w14:paraId="03A06962">
      <w:pPr>
        <w:spacing w:before="182" w:line="360" w:lineRule="auto"/>
        <w:ind w:firstLine="466" w:firstLineChars="200"/>
        <w:outlineLvl w:val="9"/>
        <w:rPr>
          <w:rFonts w:hint="eastAsia" w:ascii="宋体" w:hAnsi="宋体" w:eastAsia="宋体" w:cs="宋体"/>
          <w:color w:val="auto"/>
          <w:sz w:val="24"/>
          <w:szCs w:val="24"/>
          <w:highlight w:val="none"/>
        </w:rPr>
      </w:pPr>
      <w:bookmarkStart w:id="81" w:name="_Toc2199"/>
      <w:bookmarkStart w:id="82" w:name="_Toc28266"/>
      <w:bookmarkStart w:id="83" w:name="_Toc28812"/>
      <w:bookmarkStart w:id="84" w:name="_Toc26216"/>
      <w:r>
        <w:rPr>
          <w:rFonts w:hint="eastAsia" w:ascii="宋体" w:hAnsi="宋体" w:eastAsia="宋体" w:cs="宋体"/>
          <w:b/>
          <w:bCs/>
          <w:color w:val="auto"/>
          <w:spacing w:val="-4"/>
          <w:sz w:val="24"/>
          <w:szCs w:val="24"/>
          <w:highlight w:val="none"/>
        </w:rPr>
        <w:t>温馨提示：因本项目实行全流程电子化招标投标，投标人无须进行现场签到，可</w:t>
      </w:r>
      <w:bookmarkEnd w:id="81"/>
      <w:bookmarkEnd w:id="82"/>
      <w:bookmarkEnd w:id="83"/>
      <w:r>
        <w:rPr>
          <w:rFonts w:hint="eastAsia" w:ascii="宋体" w:hAnsi="宋体" w:eastAsia="宋体" w:cs="宋体"/>
          <w:b/>
          <w:bCs/>
          <w:color w:val="auto"/>
          <w:spacing w:val="-4"/>
          <w:sz w:val="24"/>
          <w:szCs w:val="24"/>
          <w:highlight w:val="none"/>
        </w:rPr>
        <w:t>登录交易平台观看开标实况、提出异议或进行澄清、确认等操作，对开标事项的异议</w:t>
      </w:r>
      <w:r>
        <w:rPr>
          <w:rFonts w:hint="eastAsia" w:ascii="宋体" w:hAnsi="宋体" w:eastAsia="宋体" w:cs="宋体"/>
          <w:b/>
          <w:bCs/>
          <w:color w:val="auto"/>
          <w:spacing w:val="-2"/>
          <w:sz w:val="24"/>
          <w:szCs w:val="24"/>
          <w:highlight w:val="none"/>
        </w:rPr>
        <w:t>未在开标期间提出的，招标</w:t>
      </w:r>
      <w:r>
        <w:rPr>
          <w:rFonts w:hint="eastAsia" w:ascii="宋体" w:hAnsi="宋体" w:eastAsia="宋体" w:cs="宋体"/>
          <w:b/>
          <w:bCs/>
          <w:color w:val="auto"/>
          <w:spacing w:val="-2"/>
          <w:sz w:val="24"/>
          <w:szCs w:val="24"/>
          <w:highlight w:val="none"/>
          <w:lang w:eastAsia="zh-CN"/>
        </w:rPr>
        <w:t>人不</w:t>
      </w:r>
      <w:r>
        <w:rPr>
          <w:rFonts w:hint="eastAsia" w:ascii="宋体" w:hAnsi="宋体" w:eastAsia="宋体" w:cs="宋体"/>
          <w:b/>
          <w:bCs/>
          <w:color w:val="auto"/>
          <w:spacing w:val="-2"/>
          <w:sz w:val="24"/>
          <w:szCs w:val="24"/>
          <w:highlight w:val="none"/>
        </w:rPr>
        <w:t>予受理。具体按招标文件和系统操作手册为</w:t>
      </w:r>
      <w:r>
        <w:rPr>
          <w:rFonts w:hint="eastAsia" w:ascii="宋体" w:hAnsi="宋体" w:eastAsia="宋体" w:cs="宋体"/>
          <w:b/>
          <w:bCs/>
          <w:color w:val="auto"/>
          <w:spacing w:val="-3"/>
          <w:sz w:val="24"/>
          <w:szCs w:val="24"/>
          <w:highlight w:val="none"/>
        </w:rPr>
        <w:t>准。</w:t>
      </w:r>
      <w:bookmarkEnd w:id="84"/>
    </w:p>
    <w:p w14:paraId="40440713">
      <w:pPr>
        <w:spacing w:before="143" w:line="299" w:lineRule="auto"/>
        <w:ind w:left="11" w:right="80" w:firstLine="48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14.3  </w:t>
      </w:r>
      <w:r>
        <w:rPr>
          <w:rFonts w:hint="eastAsia" w:ascii="宋体" w:hAnsi="宋体" w:eastAsia="宋体" w:cs="宋体"/>
          <w:color w:val="auto"/>
          <w:spacing w:val="-3"/>
          <w:sz w:val="24"/>
          <w:szCs w:val="24"/>
          <w:highlight w:val="none"/>
        </w:rPr>
        <w:t>投标人对开标相关事项（如开标程序等）有异议的，必须在开标期间和开标</w:t>
      </w:r>
      <w:r>
        <w:rPr>
          <w:rFonts w:hint="eastAsia" w:ascii="宋体" w:hAnsi="宋体" w:eastAsia="宋体" w:cs="宋体"/>
          <w:color w:val="auto"/>
          <w:spacing w:val="-1"/>
          <w:sz w:val="24"/>
          <w:szCs w:val="24"/>
          <w:highlight w:val="none"/>
        </w:rPr>
        <w:t>现场提出，招标人或其授权的招标代理机构应当场作出答</w:t>
      </w:r>
      <w:r>
        <w:rPr>
          <w:rFonts w:hint="eastAsia" w:ascii="宋体" w:hAnsi="宋体" w:eastAsia="宋体" w:cs="宋体"/>
          <w:color w:val="auto"/>
          <w:spacing w:val="-2"/>
          <w:sz w:val="24"/>
          <w:szCs w:val="24"/>
          <w:highlight w:val="none"/>
        </w:rPr>
        <w:t>复，并记录在案。对开标事</w:t>
      </w:r>
      <w:r>
        <w:rPr>
          <w:rFonts w:hint="eastAsia" w:ascii="宋体" w:hAnsi="宋体" w:eastAsia="宋体" w:cs="宋体"/>
          <w:color w:val="auto"/>
          <w:spacing w:val="-1"/>
          <w:sz w:val="24"/>
          <w:szCs w:val="24"/>
          <w:highlight w:val="none"/>
        </w:rPr>
        <w:t>项的异议未在开标期间和开标现场提出的，招标人不予受理。</w:t>
      </w:r>
    </w:p>
    <w:p w14:paraId="203FF0F7">
      <w:pPr>
        <w:spacing w:before="155" w:line="279" w:lineRule="auto"/>
        <w:ind w:left="8" w:right="82" w:firstLine="487"/>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14.4 </w:t>
      </w:r>
      <w:r>
        <w:rPr>
          <w:rFonts w:hint="eastAsia" w:ascii="宋体" w:hAnsi="宋体" w:eastAsia="宋体" w:cs="宋体"/>
          <w:color w:val="auto"/>
          <w:spacing w:val="-1"/>
          <w:sz w:val="24"/>
          <w:szCs w:val="24"/>
          <w:highlight w:val="none"/>
        </w:rPr>
        <w:t>招标代理机构将资料原件（如有）</w:t>
      </w:r>
      <w:r>
        <w:rPr>
          <w:rFonts w:hint="eastAsia" w:ascii="宋体" w:hAnsi="宋体" w:eastAsia="宋体" w:cs="宋体"/>
          <w:color w:val="auto"/>
          <w:spacing w:val="-2"/>
          <w:sz w:val="24"/>
          <w:szCs w:val="24"/>
          <w:highlight w:val="none"/>
        </w:rPr>
        <w:t>、《开标一览表》以及其他有关资料移交评标委员会。</w:t>
      </w:r>
    </w:p>
    <w:p w14:paraId="47BF78F2">
      <w:pPr>
        <w:spacing w:before="78" w:line="221" w:lineRule="auto"/>
        <w:ind w:left="496"/>
        <w:outlineLvl w:val="2"/>
        <w:rPr>
          <w:rFonts w:hint="eastAsia" w:ascii="宋体" w:hAnsi="宋体" w:eastAsia="宋体" w:cs="宋体"/>
          <w:color w:val="auto"/>
          <w:highlight w:val="none"/>
        </w:rPr>
      </w:pPr>
      <w:bookmarkStart w:id="85" w:name="_Toc961"/>
      <w:bookmarkStart w:id="86" w:name="_Toc554"/>
      <w:r>
        <w:rPr>
          <w:rFonts w:hint="eastAsia" w:ascii="宋体" w:hAnsi="宋体" w:eastAsia="宋体" w:cs="宋体"/>
          <w:b/>
          <w:bCs/>
          <w:color w:val="auto"/>
          <w:spacing w:val="-11"/>
          <w:sz w:val="24"/>
          <w:szCs w:val="24"/>
          <w:highlight w:val="none"/>
        </w:rPr>
        <w:t>15</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11"/>
          <w:sz w:val="24"/>
          <w:szCs w:val="24"/>
          <w:highlight w:val="none"/>
        </w:rPr>
        <w:t>．评标</w:t>
      </w:r>
      <w:bookmarkEnd w:id="85"/>
      <w:bookmarkEnd w:id="86"/>
    </w:p>
    <w:p w14:paraId="5CEBE6C5">
      <w:pPr>
        <w:keepNext w:val="0"/>
        <w:keepLines w:val="0"/>
        <w:pageBreakBefore w:val="0"/>
        <w:widowControl w:val="0"/>
        <w:kinsoku/>
        <w:wordWrap w:val="0"/>
        <w:overflowPunct/>
        <w:topLinePunct w:val="0"/>
        <w:autoSpaceDE w:val="0"/>
        <w:autoSpaceDN w:val="0"/>
        <w:bidi w:val="0"/>
        <w:adjustRightInd/>
        <w:snapToGrid/>
        <w:spacing w:before="0" w:beforeLines="50" w:line="360" w:lineRule="auto"/>
        <w:ind w:firstLine="480" w:firstLineChars="200"/>
        <w:textAlignment w:val="baseline"/>
        <w:rPr>
          <w:rFonts w:hint="eastAsia" w:ascii="宋体" w:hAnsi="宋体" w:eastAsia="宋体" w:cs="宋体"/>
          <w:snapToGrid w:val="0"/>
          <w:color w:val="auto"/>
          <w:kern w:val="0"/>
          <w:sz w:val="24"/>
          <w:szCs w:val="24"/>
          <w:highlight w:val="none"/>
        </w:rPr>
      </w:pPr>
      <w:bookmarkStart w:id="87" w:name="bookmark124"/>
      <w:bookmarkEnd w:id="87"/>
      <w:r>
        <w:rPr>
          <w:rFonts w:hint="eastAsia" w:ascii="宋体" w:hAnsi="宋体" w:eastAsia="宋体" w:cs="宋体"/>
          <w:snapToGrid w:val="0"/>
          <w:color w:val="auto"/>
          <w:kern w:val="0"/>
          <w:sz w:val="24"/>
          <w:szCs w:val="24"/>
          <w:highlight w:val="none"/>
        </w:rPr>
        <w:t>评标分为初步评审和详细评审两个阶段，由评标委员会在有关部门的监督下，严格按照本招标文件指定的评标方法，对投标人的投标文件进行审查、评审。评标委员会完成评标后，评标委员会按照</w:t>
      </w:r>
      <w:r>
        <w:rPr>
          <w:rFonts w:hint="eastAsia" w:ascii="宋体" w:hAnsi="宋体" w:eastAsia="宋体" w:cs="宋体"/>
          <w:snapToGrid w:val="0"/>
          <w:color w:val="auto"/>
          <w:kern w:val="0"/>
          <w:sz w:val="24"/>
          <w:szCs w:val="24"/>
          <w:highlight w:val="none"/>
          <w:lang w:eastAsia="zh-CN"/>
        </w:rPr>
        <w:t>投标人</w:t>
      </w:r>
      <w:r>
        <w:rPr>
          <w:rFonts w:hint="eastAsia" w:ascii="宋体" w:hAnsi="宋体" w:eastAsia="宋体" w:cs="宋体"/>
          <w:snapToGrid w:val="0"/>
          <w:color w:val="auto"/>
          <w:kern w:val="0"/>
          <w:sz w:val="24"/>
          <w:szCs w:val="24"/>
          <w:highlight w:val="none"/>
        </w:rPr>
        <w:t>评审综合总得分</w:t>
      </w:r>
      <w:r>
        <w:rPr>
          <w:rFonts w:hint="eastAsia" w:ascii="宋体" w:hAnsi="宋体" w:eastAsia="宋体" w:cs="宋体"/>
          <w:snapToGrid w:val="0"/>
          <w:color w:val="auto"/>
          <w:kern w:val="0"/>
          <w:sz w:val="24"/>
          <w:szCs w:val="24"/>
          <w:highlight w:val="none"/>
          <w:lang w:eastAsia="zh-CN"/>
        </w:rPr>
        <w:t>由</w:t>
      </w:r>
      <w:r>
        <w:rPr>
          <w:rFonts w:hint="eastAsia" w:ascii="宋体" w:hAnsi="宋体" w:eastAsia="宋体" w:cs="宋体"/>
          <w:snapToGrid w:val="0"/>
          <w:color w:val="auto"/>
          <w:kern w:val="0"/>
          <w:sz w:val="24"/>
          <w:szCs w:val="24"/>
          <w:highlight w:val="none"/>
        </w:rPr>
        <w:t>高</w:t>
      </w:r>
      <w:r>
        <w:rPr>
          <w:rFonts w:hint="eastAsia" w:ascii="宋体" w:hAnsi="宋体" w:eastAsia="宋体" w:cs="宋体"/>
          <w:snapToGrid w:val="0"/>
          <w:color w:val="auto"/>
          <w:kern w:val="0"/>
          <w:sz w:val="24"/>
          <w:szCs w:val="24"/>
          <w:highlight w:val="none"/>
          <w:lang w:eastAsia="zh-CN"/>
        </w:rPr>
        <w:t>到</w:t>
      </w:r>
      <w:r>
        <w:rPr>
          <w:rFonts w:hint="eastAsia" w:ascii="宋体" w:hAnsi="宋体" w:eastAsia="宋体" w:cs="宋体"/>
          <w:snapToGrid w:val="0"/>
          <w:color w:val="auto"/>
          <w:kern w:val="0"/>
          <w:sz w:val="24"/>
          <w:szCs w:val="24"/>
          <w:highlight w:val="none"/>
        </w:rPr>
        <w:t>低的</w:t>
      </w:r>
      <w:r>
        <w:rPr>
          <w:rFonts w:hint="eastAsia" w:ascii="宋体" w:hAnsi="宋体" w:eastAsia="宋体" w:cs="宋体"/>
          <w:snapToGrid w:val="0"/>
          <w:color w:val="auto"/>
          <w:kern w:val="0"/>
          <w:sz w:val="24"/>
          <w:szCs w:val="24"/>
          <w:highlight w:val="none"/>
          <w:lang w:eastAsia="zh-CN"/>
        </w:rPr>
        <w:t>原则</w:t>
      </w:r>
      <w:r>
        <w:rPr>
          <w:rFonts w:hint="eastAsia" w:ascii="宋体" w:hAnsi="宋体" w:eastAsia="宋体" w:cs="宋体"/>
          <w:snapToGrid w:val="0"/>
          <w:color w:val="auto"/>
          <w:kern w:val="0"/>
          <w:sz w:val="24"/>
          <w:szCs w:val="24"/>
          <w:highlight w:val="none"/>
        </w:rPr>
        <w:t>,向招标人推荐</w:t>
      </w:r>
      <w:r>
        <w:rPr>
          <w:rFonts w:hint="eastAsia" w:ascii="宋体" w:hAnsi="宋体" w:eastAsia="宋体" w:cs="宋体"/>
          <w:snapToGrid w:val="0"/>
          <w:color w:val="auto"/>
          <w:kern w:val="0"/>
          <w:sz w:val="24"/>
          <w:szCs w:val="24"/>
          <w:highlight w:val="none"/>
          <w:lang w:val="en-US" w:eastAsia="zh-CN"/>
        </w:rPr>
        <w:t>已明确的</w:t>
      </w:r>
      <w:r>
        <w:rPr>
          <w:rFonts w:hint="eastAsia" w:ascii="宋体" w:hAnsi="宋体" w:eastAsia="宋体" w:cs="宋体"/>
          <w:snapToGrid w:val="0"/>
          <w:color w:val="auto"/>
          <w:kern w:val="0"/>
          <w:sz w:val="24"/>
          <w:szCs w:val="24"/>
          <w:highlight w:val="none"/>
        </w:rPr>
        <w:t>定标候选人</w:t>
      </w:r>
      <w:r>
        <w:rPr>
          <w:rFonts w:hint="eastAsia" w:ascii="宋体" w:hAnsi="宋体" w:eastAsia="宋体" w:cs="宋体"/>
          <w:snapToGrid w:val="0"/>
          <w:color w:val="auto"/>
          <w:kern w:val="0"/>
          <w:sz w:val="24"/>
          <w:szCs w:val="24"/>
          <w:highlight w:val="none"/>
          <w:lang w:eastAsia="zh-CN"/>
        </w:rPr>
        <w:t>数量</w:t>
      </w:r>
      <w:r>
        <w:rPr>
          <w:rFonts w:hint="eastAsia" w:ascii="宋体" w:hAnsi="宋体" w:eastAsia="宋体" w:cs="宋体"/>
          <w:snapToGrid w:val="0"/>
          <w:color w:val="auto"/>
          <w:kern w:val="0"/>
          <w:sz w:val="24"/>
          <w:szCs w:val="24"/>
          <w:highlight w:val="none"/>
        </w:rPr>
        <w:t>（不</w:t>
      </w:r>
      <w:r>
        <w:rPr>
          <w:rFonts w:hint="eastAsia" w:ascii="宋体" w:hAnsi="宋体" w:eastAsia="宋体" w:cs="宋体"/>
          <w:snapToGrid w:val="0"/>
          <w:color w:val="auto"/>
          <w:kern w:val="0"/>
          <w:sz w:val="24"/>
          <w:szCs w:val="24"/>
          <w:highlight w:val="none"/>
          <w:lang w:val="en-US" w:eastAsia="zh-CN"/>
        </w:rPr>
        <w:t>标明</w:t>
      </w:r>
      <w:r>
        <w:rPr>
          <w:rFonts w:hint="eastAsia" w:ascii="宋体" w:hAnsi="宋体" w:eastAsia="宋体" w:cs="宋体"/>
          <w:snapToGrid w:val="0"/>
          <w:color w:val="auto"/>
          <w:kern w:val="0"/>
          <w:sz w:val="24"/>
          <w:szCs w:val="24"/>
          <w:highlight w:val="none"/>
        </w:rPr>
        <w:t>排序），并向招标人提交由全体评标委员会成员签字的评标报告。</w:t>
      </w:r>
    </w:p>
    <w:p w14:paraId="74FE6A41">
      <w:pPr>
        <w:spacing w:before="38"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15.1  </w:t>
      </w:r>
      <w:r>
        <w:rPr>
          <w:rFonts w:hint="eastAsia" w:ascii="宋体" w:hAnsi="宋体" w:eastAsia="宋体" w:cs="宋体"/>
          <w:color w:val="auto"/>
          <w:spacing w:val="-2"/>
          <w:sz w:val="24"/>
          <w:szCs w:val="24"/>
          <w:highlight w:val="none"/>
        </w:rPr>
        <w:t>评标委员会</w:t>
      </w:r>
    </w:p>
    <w:p w14:paraId="7E586CA1">
      <w:pPr>
        <w:spacing w:before="155" w:line="324" w:lineRule="auto"/>
        <w:ind w:left="10" w:right="65" w:firstLine="48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15.1.1 </w:t>
      </w:r>
      <w:r>
        <w:rPr>
          <w:rFonts w:hint="eastAsia" w:ascii="宋体" w:hAnsi="宋体" w:eastAsia="宋体" w:cs="宋体"/>
          <w:color w:val="auto"/>
          <w:sz w:val="24"/>
          <w:szCs w:val="24"/>
          <w:highlight w:val="none"/>
        </w:rPr>
        <w:t>评标委员会由</w:t>
      </w:r>
      <w:r>
        <w:rPr>
          <w:rFonts w:hint="eastAsia" w:ascii="宋体" w:hAnsi="宋体" w:eastAsia="宋体" w:cs="宋体"/>
          <w:color w:val="auto"/>
          <w:sz w:val="24"/>
          <w:szCs w:val="24"/>
          <w:highlight w:val="none"/>
          <w:u w:val="single"/>
        </w:rPr>
        <w:t xml:space="preserve"> 5 </w:t>
      </w:r>
      <w:r>
        <w:rPr>
          <w:rFonts w:hint="eastAsia" w:ascii="宋体" w:hAnsi="宋体" w:eastAsia="宋体" w:cs="宋体"/>
          <w:color w:val="auto"/>
          <w:sz w:val="24"/>
          <w:szCs w:val="24"/>
          <w:highlight w:val="none"/>
        </w:rPr>
        <w:t>人组成，其中招标人代表</w:t>
      </w:r>
      <w:r>
        <w:rPr>
          <w:rFonts w:hint="eastAsia" w:ascii="宋体" w:hAnsi="宋体" w:eastAsia="宋体" w:cs="宋体"/>
          <w:color w:val="auto"/>
          <w:sz w:val="24"/>
          <w:szCs w:val="24"/>
          <w:highlight w:val="none"/>
          <w:u w:val="single"/>
        </w:rPr>
        <w:t xml:space="preserve"> 0 </w:t>
      </w:r>
      <w:r>
        <w:rPr>
          <w:rFonts w:hint="eastAsia" w:ascii="宋体" w:hAnsi="宋体" w:eastAsia="宋体" w:cs="宋体"/>
          <w:color w:val="auto"/>
          <w:sz w:val="24"/>
          <w:szCs w:val="24"/>
          <w:highlight w:val="none"/>
        </w:rPr>
        <w:t>人，专家</w:t>
      </w:r>
      <w:r>
        <w:rPr>
          <w:rFonts w:hint="eastAsia" w:ascii="宋体" w:hAnsi="宋体" w:eastAsia="宋体" w:cs="宋体"/>
          <w:color w:val="auto"/>
          <w:sz w:val="24"/>
          <w:szCs w:val="24"/>
          <w:highlight w:val="none"/>
          <w:u w:val="single"/>
        </w:rPr>
        <w:t xml:space="preserve"> 5 </w:t>
      </w:r>
      <w:r>
        <w:rPr>
          <w:rFonts w:hint="eastAsia" w:ascii="宋体" w:hAnsi="宋体" w:eastAsia="宋体" w:cs="宋体"/>
          <w:color w:val="auto"/>
          <w:sz w:val="24"/>
          <w:szCs w:val="24"/>
          <w:highlight w:val="none"/>
        </w:rPr>
        <w:t>人。专家从</w:t>
      </w:r>
      <w:r>
        <w:rPr>
          <w:rFonts w:hint="eastAsia" w:ascii="宋体" w:hAnsi="宋体" w:eastAsia="宋体" w:cs="宋体"/>
          <w:color w:val="auto"/>
          <w:sz w:val="24"/>
          <w:szCs w:val="24"/>
          <w:highlight w:val="none"/>
          <w:u w:val="single"/>
        </w:rPr>
        <w:t>广东省综合评标评审专家库</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韶关区域</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rPr>
        <w:t>中随机抽取，其中技术类专家</w:t>
      </w:r>
      <w:r>
        <w:rPr>
          <w:rFonts w:hint="eastAsia" w:ascii="宋体" w:hAnsi="宋体" w:eastAsia="宋体" w:cs="宋体"/>
          <w:color w:val="auto"/>
          <w:sz w:val="24"/>
          <w:szCs w:val="24"/>
          <w:highlight w:val="none"/>
          <w:u w:val="single"/>
        </w:rPr>
        <w:t xml:space="preserve"> 3 </w:t>
      </w:r>
      <w:r>
        <w:rPr>
          <w:rFonts w:hint="eastAsia" w:ascii="宋体" w:hAnsi="宋体" w:eastAsia="宋体" w:cs="宋体"/>
          <w:color w:val="auto"/>
          <w:sz w:val="24"/>
          <w:szCs w:val="24"/>
          <w:highlight w:val="none"/>
        </w:rPr>
        <w:t>人，经济类专家</w:t>
      </w:r>
      <w:r>
        <w:rPr>
          <w:rFonts w:hint="eastAsia" w:ascii="宋体" w:hAnsi="宋体" w:eastAsia="宋体" w:cs="宋体"/>
          <w:color w:val="auto"/>
          <w:sz w:val="24"/>
          <w:szCs w:val="24"/>
          <w:highlight w:val="none"/>
          <w:u w:val="single"/>
        </w:rPr>
        <w:t xml:space="preserve"> 2 </w:t>
      </w:r>
      <w:r>
        <w:rPr>
          <w:rFonts w:hint="eastAsia" w:ascii="宋体" w:hAnsi="宋体" w:eastAsia="宋体" w:cs="宋体"/>
          <w:color w:val="auto"/>
          <w:sz w:val="24"/>
          <w:szCs w:val="24"/>
          <w:highlight w:val="none"/>
        </w:rPr>
        <w:t>人。</w:t>
      </w:r>
      <w:r>
        <w:rPr>
          <w:rFonts w:hint="eastAsia" w:ascii="宋体" w:hAnsi="宋体" w:eastAsia="宋体" w:cs="宋体"/>
          <w:color w:val="auto"/>
          <w:spacing w:val="-1"/>
          <w:sz w:val="24"/>
          <w:szCs w:val="24"/>
          <w:highlight w:val="none"/>
        </w:rPr>
        <w:t>评标委员会设负责人，由评标委员会成员推举产生</w:t>
      </w:r>
      <w:r>
        <w:rPr>
          <w:rFonts w:hint="eastAsia" w:ascii="宋体" w:hAnsi="宋体" w:eastAsia="宋体" w:cs="宋体"/>
          <w:color w:val="auto"/>
          <w:spacing w:val="-2"/>
          <w:sz w:val="24"/>
          <w:szCs w:val="24"/>
          <w:highlight w:val="none"/>
        </w:rPr>
        <w:t>。评标委员会负责人与评</w:t>
      </w:r>
      <w:r>
        <w:rPr>
          <w:rFonts w:hint="eastAsia" w:ascii="宋体" w:hAnsi="宋体" w:eastAsia="宋体" w:cs="宋体"/>
          <w:color w:val="auto"/>
          <w:spacing w:val="-1"/>
          <w:sz w:val="24"/>
          <w:szCs w:val="24"/>
          <w:highlight w:val="none"/>
        </w:rPr>
        <w:t>标委员会的其他成员有同等的表决权。</w:t>
      </w:r>
    </w:p>
    <w:p w14:paraId="6E04259D">
      <w:pPr>
        <w:spacing w:before="32" w:line="280" w:lineRule="auto"/>
        <w:ind w:left="13" w:right="7" w:firstLine="561"/>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15.1.2  </w:t>
      </w:r>
      <w:r>
        <w:rPr>
          <w:rFonts w:hint="eastAsia" w:ascii="宋体" w:hAnsi="宋体" w:eastAsia="宋体" w:cs="宋体"/>
          <w:color w:val="auto"/>
          <w:spacing w:val="-2"/>
          <w:sz w:val="24"/>
          <w:szCs w:val="24"/>
          <w:highlight w:val="none"/>
        </w:rPr>
        <w:t>评标委员会应认真、公正、诚实、廉洁地履行职责。有下列情形之一的，不得担任评标委员会成员：</w:t>
      </w:r>
    </w:p>
    <w:p w14:paraId="5B6D30EB">
      <w:pPr>
        <w:spacing w:before="154" w:line="220" w:lineRule="auto"/>
        <w:ind w:left="5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（1）投标人或投标人主要负责人的近亲属；</w:t>
      </w:r>
    </w:p>
    <w:p w14:paraId="311A3C6A">
      <w:pPr>
        <w:spacing w:before="153" w:line="220" w:lineRule="auto"/>
        <w:ind w:left="58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（2）项目主管部门或者行政监督部门的人员；</w:t>
      </w:r>
    </w:p>
    <w:p w14:paraId="5160DFA2">
      <w:pPr>
        <w:spacing w:before="155" w:line="221" w:lineRule="auto"/>
        <w:ind w:left="58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（3）与投标人有经济利益关系，可能影响对投标公正评审的；</w:t>
      </w:r>
    </w:p>
    <w:p w14:paraId="62119D0A">
      <w:pPr>
        <w:spacing w:before="153" w:line="279" w:lineRule="auto"/>
        <w:ind w:left="8" w:right="65" w:firstLine="57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（4）曾因在招标、评标以及其他与招标投标有关活动中从事违法行为而受过行政处罚或刑事处罚的。</w:t>
      </w:r>
    </w:p>
    <w:p w14:paraId="029A4248">
      <w:pPr>
        <w:spacing w:before="155" w:line="219" w:lineRule="auto"/>
        <w:ind w:left="48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评标委员会成员有以上情形之一的，应主动提出回避。</w:t>
      </w:r>
    </w:p>
    <w:p w14:paraId="4433A9EB">
      <w:pPr>
        <w:spacing w:before="154" w:line="279" w:lineRule="auto"/>
        <w:ind w:left="8" w:right="65" w:firstLine="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15.1.3  </w:t>
      </w:r>
      <w:r>
        <w:rPr>
          <w:rFonts w:hint="eastAsia" w:ascii="宋体" w:hAnsi="宋体" w:eastAsia="宋体" w:cs="宋体"/>
          <w:color w:val="auto"/>
          <w:spacing w:val="-1"/>
          <w:sz w:val="24"/>
          <w:szCs w:val="24"/>
          <w:highlight w:val="none"/>
        </w:rPr>
        <w:t>评标全过程实行封闭式管理，在中标结果公</w:t>
      </w:r>
      <w:r>
        <w:rPr>
          <w:rFonts w:hint="eastAsia" w:ascii="宋体" w:hAnsi="宋体" w:eastAsia="宋体" w:cs="宋体"/>
          <w:color w:val="auto"/>
          <w:spacing w:val="-2"/>
          <w:sz w:val="24"/>
          <w:szCs w:val="24"/>
          <w:highlight w:val="none"/>
        </w:rPr>
        <w:t>布前，禁止评标委员会成员以</w:t>
      </w:r>
      <w:r>
        <w:rPr>
          <w:rFonts w:hint="eastAsia" w:ascii="宋体" w:hAnsi="宋体" w:eastAsia="宋体" w:cs="宋体"/>
          <w:color w:val="auto"/>
          <w:spacing w:val="-1"/>
          <w:sz w:val="24"/>
          <w:szCs w:val="24"/>
          <w:highlight w:val="none"/>
        </w:rPr>
        <w:t>任何方式私下接触投标人。</w:t>
      </w:r>
    </w:p>
    <w:p w14:paraId="103791E4">
      <w:pPr>
        <w:spacing w:before="157" w:line="298" w:lineRule="auto"/>
        <w:ind w:left="11" w:right="65" w:firstLine="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15.1.4  </w:t>
      </w:r>
      <w:r>
        <w:rPr>
          <w:rFonts w:hint="eastAsia" w:ascii="宋体" w:hAnsi="宋体" w:eastAsia="宋体" w:cs="宋体"/>
          <w:color w:val="auto"/>
          <w:spacing w:val="-1"/>
          <w:sz w:val="24"/>
          <w:szCs w:val="24"/>
          <w:highlight w:val="none"/>
        </w:rPr>
        <w:t>在评标过程中，评标委员会可以书面形式要</w:t>
      </w:r>
      <w:r>
        <w:rPr>
          <w:rFonts w:hint="eastAsia" w:ascii="宋体" w:hAnsi="宋体" w:eastAsia="宋体" w:cs="宋体"/>
          <w:color w:val="auto"/>
          <w:spacing w:val="-2"/>
          <w:sz w:val="24"/>
          <w:szCs w:val="24"/>
          <w:highlight w:val="none"/>
        </w:rPr>
        <w:t>求投标人对所提交的投标文件</w:t>
      </w:r>
      <w:r>
        <w:rPr>
          <w:rFonts w:hint="eastAsia" w:ascii="宋体" w:hAnsi="宋体" w:eastAsia="宋体" w:cs="宋体"/>
          <w:color w:val="auto"/>
          <w:spacing w:val="-1"/>
          <w:sz w:val="24"/>
          <w:szCs w:val="24"/>
          <w:highlight w:val="none"/>
        </w:rPr>
        <w:t>中不明确的内容进行书面澄清或说明，但不接受投标人主</w:t>
      </w:r>
      <w:r>
        <w:rPr>
          <w:rFonts w:hint="eastAsia" w:ascii="宋体" w:hAnsi="宋体" w:eastAsia="宋体" w:cs="宋体"/>
          <w:color w:val="auto"/>
          <w:spacing w:val="-2"/>
          <w:sz w:val="24"/>
          <w:szCs w:val="24"/>
          <w:highlight w:val="none"/>
        </w:rPr>
        <w:t>动提出的澄清或说明。投标</w:t>
      </w:r>
      <w:r>
        <w:rPr>
          <w:rFonts w:hint="eastAsia" w:ascii="宋体" w:hAnsi="宋体" w:eastAsia="宋体" w:cs="宋体"/>
          <w:color w:val="auto"/>
          <w:spacing w:val="-1"/>
          <w:sz w:val="24"/>
          <w:szCs w:val="24"/>
          <w:highlight w:val="none"/>
        </w:rPr>
        <w:t>人的书面澄清或说明不得改变投标文件的实质性内容，并</w:t>
      </w:r>
      <w:r>
        <w:rPr>
          <w:rFonts w:hint="eastAsia" w:ascii="宋体" w:hAnsi="宋体" w:eastAsia="宋体" w:cs="宋体"/>
          <w:color w:val="auto"/>
          <w:spacing w:val="-2"/>
          <w:sz w:val="24"/>
          <w:szCs w:val="24"/>
          <w:highlight w:val="none"/>
        </w:rPr>
        <w:t>作为投标文件的组成部分。</w:t>
      </w:r>
    </w:p>
    <w:p w14:paraId="4EE9F1E7">
      <w:pPr>
        <w:spacing w:before="156" w:line="309" w:lineRule="auto"/>
        <w:ind w:left="8" w:right="65" w:firstLine="569"/>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15.1.5  </w:t>
      </w:r>
      <w:r>
        <w:rPr>
          <w:rFonts w:hint="eastAsia" w:ascii="宋体" w:hAnsi="宋体" w:eastAsia="宋体" w:cs="宋体"/>
          <w:color w:val="auto"/>
          <w:spacing w:val="-3"/>
          <w:sz w:val="24"/>
          <w:szCs w:val="24"/>
          <w:highlight w:val="none"/>
        </w:rPr>
        <w:t>在任何评标环节中，当评标委员会就某</w:t>
      </w:r>
      <w:r>
        <w:rPr>
          <w:rFonts w:hint="eastAsia" w:ascii="宋体" w:hAnsi="宋体" w:eastAsia="宋体" w:cs="宋体"/>
          <w:color w:val="auto"/>
          <w:spacing w:val="-4"/>
          <w:sz w:val="24"/>
          <w:szCs w:val="24"/>
          <w:highlight w:val="none"/>
        </w:rPr>
        <w:t>项定性的评审结论不统一、需要做</w:t>
      </w:r>
      <w:r>
        <w:rPr>
          <w:rFonts w:hint="eastAsia" w:ascii="宋体" w:hAnsi="宋体" w:eastAsia="宋体" w:cs="宋体"/>
          <w:color w:val="auto"/>
          <w:spacing w:val="-1"/>
          <w:sz w:val="24"/>
          <w:szCs w:val="24"/>
          <w:highlight w:val="none"/>
        </w:rPr>
        <w:t>出表决时，由评标委员会全体成员按照少数服从多数的原则，以</w:t>
      </w:r>
      <w:r>
        <w:rPr>
          <w:rFonts w:hint="eastAsia" w:ascii="宋体" w:hAnsi="宋体" w:eastAsia="宋体" w:cs="宋体"/>
          <w:color w:val="auto"/>
          <w:spacing w:val="-2"/>
          <w:sz w:val="24"/>
          <w:szCs w:val="24"/>
          <w:highlight w:val="none"/>
        </w:rPr>
        <w:t>记名投票方式表决。</w:t>
      </w:r>
      <w:r>
        <w:rPr>
          <w:rFonts w:hint="eastAsia" w:ascii="宋体" w:hAnsi="宋体" w:eastAsia="宋体" w:cs="宋体"/>
          <w:color w:val="auto"/>
          <w:spacing w:val="-1"/>
          <w:sz w:val="24"/>
          <w:szCs w:val="24"/>
          <w:highlight w:val="none"/>
        </w:rPr>
        <w:t>评标委员会全体成员应共同遵守和执行表决结果，严禁评标委员</w:t>
      </w:r>
      <w:r>
        <w:rPr>
          <w:rFonts w:hint="eastAsia" w:ascii="宋体" w:hAnsi="宋体" w:eastAsia="宋体" w:cs="宋体"/>
          <w:color w:val="auto"/>
          <w:spacing w:val="-2"/>
          <w:sz w:val="24"/>
          <w:szCs w:val="24"/>
          <w:highlight w:val="none"/>
        </w:rPr>
        <w:t>会任何成员将个人意</w:t>
      </w:r>
      <w:r>
        <w:rPr>
          <w:rFonts w:hint="eastAsia" w:ascii="宋体" w:hAnsi="宋体" w:eastAsia="宋体" w:cs="宋体"/>
          <w:color w:val="auto"/>
          <w:spacing w:val="-1"/>
          <w:sz w:val="24"/>
          <w:szCs w:val="24"/>
          <w:highlight w:val="none"/>
        </w:rPr>
        <w:t>见强加给他人、影响评标正常秩序和妨碍评审结论的公正性。</w:t>
      </w:r>
    </w:p>
    <w:p w14:paraId="43D102BA">
      <w:pPr>
        <w:spacing w:before="79" w:line="221" w:lineRule="auto"/>
        <w:ind w:left="577"/>
        <w:rPr>
          <w:rFonts w:hint="eastAsia" w:ascii="宋体" w:hAnsi="宋体" w:eastAsia="宋体" w:cs="宋体"/>
          <w:color w:val="auto"/>
          <w:highlight w:val="none"/>
        </w:rPr>
      </w:pPr>
      <w:r>
        <w:rPr>
          <w:rFonts w:hint="eastAsia" w:ascii="宋体" w:hAnsi="宋体" w:eastAsia="宋体" w:cs="宋体"/>
          <w:b/>
          <w:bCs/>
          <w:color w:val="auto"/>
          <w:spacing w:val="-2"/>
          <w:sz w:val="24"/>
          <w:szCs w:val="24"/>
          <w:highlight w:val="none"/>
        </w:rPr>
        <w:t xml:space="preserve">15.2  </w:t>
      </w:r>
      <w:r>
        <w:rPr>
          <w:rFonts w:hint="eastAsia" w:ascii="宋体" w:hAnsi="宋体" w:eastAsia="宋体" w:cs="宋体"/>
          <w:color w:val="auto"/>
          <w:spacing w:val="-2"/>
          <w:sz w:val="24"/>
          <w:szCs w:val="24"/>
          <w:highlight w:val="none"/>
        </w:rPr>
        <w:t>评标方法</w:t>
      </w:r>
    </w:p>
    <w:p w14:paraId="6D924BEF">
      <w:pPr>
        <w:spacing w:before="78" w:line="326" w:lineRule="auto"/>
        <w:ind w:left="231" w:right="181" w:firstLine="560"/>
        <w:rPr>
          <w:rFonts w:hint="eastAsia" w:ascii="宋体" w:hAnsi="宋体" w:eastAsia="宋体" w:cs="宋体"/>
          <w:color w:val="auto"/>
          <w:highlight w:val="none"/>
        </w:rPr>
      </w:pPr>
      <w:bookmarkStart w:id="88" w:name="bookmark125"/>
      <w:bookmarkEnd w:id="88"/>
      <w:r>
        <w:rPr>
          <w:rFonts w:hint="eastAsia" w:ascii="宋体" w:hAnsi="宋体" w:eastAsia="宋体" w:cs="宋体"/>
          <w:color w:val="auto"/>
          <w:spacing w:val="-4"/>
          <w:sz w:val="24"/>
          <w:szCs w:val="24"/>
          <w:highlight w:val="none"/>
        </w:rPr>
        <w:t>根据有关法律、法规的相关规定，结合本招标项目资金来源和规模特点，本次招</w:t>
      </w:r>
      <w:r>
        <w:rPr>
          <w:rFonts w:hint="eastAsia" w:ascii="宋体" w:hAnsi="宋体" w:eastAsia="宋体" w:cs="宋体"/>
          <w:color w:val="auto"/>
          <w:spacing w:val="-1"/>
          <w:sz w:val="24"/>
          <w:szCs w:val="24"/>
          <w:highlight w:val="none"/>
        </w:rPr>
        <w:t>标采用</w:t>
      </w:r>
      <w:r>
        <w:rPr>
          <w:rFonts w:hint="eastAsia" w:ascii="宋体" w:hAnsi="宋体" w:eastAsia="宋体" w:cs="宋体"/>
          <w:b/>
          <w:bCs/>
          <w:color w:val="auto"/>
          <w:spacing w:val="-4"/>
          <w:sz w:val="24"/>
          <w:szCs w:val="24"/>
          <w:highlight w:val="none"/>
          <w:u w:val="single"/>
        </w:rPr>
        <w:t xml:space="preserve"> 综合评估法 </w:t>
      </w:r>
      <w:r>
        <w:rPr>
          <w:rFonts w:hint="eastAsia" w:ascii="宋体" w:hAnsi="宋体" w:eastAsia="宋体" w:cs="宋体"/>
          <w:color w:val="auto"/>
          <w:spacing w:val="-4"/>
          <w:sz w:val="24"/>
          <w:szCs w:val="24"/>
          <w:highlight w:val="none"/>
          <w:u w:val="single"/>
        </w:rPr>
        <w:t>（</w:t>
      </w:r>
      <w:r>
        <w:rPr>
          <w:rFonts w:hint="eastAsia" w:ascii="宋体" w:hAnsi="宋体" w:eastAsia="宋体" w:cs="宋体"/>
          <w:color w:val="auto"/>
          <w:spacing w:val="-1"/>
          <w:sz w:val="24"/>
          <w:szCs w:val="24"/>
          <w:highlight w:val="none"/>
        </w:rPr>
        <w:t>评标方法名称）进行评标。</w:t>
      </w:r>
    </w:p>
    <w:p w14:paraId="083CCE6C">
      <w:pPr>
        <w:spacing w:before="154" w:line="269" w:lineRule="auto"/>
        <w:ind w:left="220" w:right="33" w:firstLine="496"/>
        <w:rPr>
          <w:rFonts w:hint="eastAsia" w:ascii="宋体" w:hAnsi="宋体" w:eastAsia="宋体" w:cs="宋体"/>
          <w:color w:val="auto"/>
          <w:sz w:val="25"/>
          <w:szCs w:val="25"/>
          <w:highlight w:val="none"/>
        </w:rPr>
      </w:pPr>
      <w:r>
        <w:rPr>
          <w:rFonts w:hint="eastAsia" w:ascii="宋体" w:hAnsi="宋体" w:eastAsia="宋体" w:cs="宋体"/>
          <w:b/>
          <w:bCs/>
          <w:color w:val="auto"/>
          <w:spacing w:val="-3"/>
          <w:sz w:val="24"/>
          <w:szCs w:val="24"/>
          <w:highlight w:val="none"/>
        </w:rPr>
        <w:t xml:space="preserve">15.3  </w:t>
      </w:r>
      <w:r>
        <w:rPr>
          <w:rFonts w:hint="eastAsia" w:ascii="宋体" w:hAnsi="宋体" w:eastAsia="宋体" w:cs="宋体"/>
          <w:color w:val="auto"/>
          <w:spacing w:val="-3"/>
          <w:sz w:val="24"/>
          <w:szCs w:val="24"/>
          <w:highlight w:val="none"/>
        </w:rPr>
        <w:t>评审范围：评标委员会应对所有投标人的投标文件进行评审。</w:t>
      </w:r>
    </w:p>
    <w:p w14:paraId="49E70C10">
      <w:pPr>
        <w:spacing w:before="153" w:line="220" w:lineRule="auto"/>
        <w:ind w:left="71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15.4  </w:t>
      </w:r>
      <w:r>
        <w:rPr>
          <w:rFonts w:hint="eastAsia" w:ascii="宋体" w:hAnsi="宋体" w:eastAsia="宋体" w:cs="宋体"/>
          <w:color w:val="auto"/>
          <w:spacing w:val="-2"/>
          <w:sz w:val="24"/>
          <w:szCs w:val="24"/>
          <w:highlight w:val="none"/>
        </w:rPr>
        <w:t>初步评审阶段</w:t>
      </w:r>
    </w:p>
    <w:p w14:paraId="5B763A9F">
      <w:pPr>
        <w:spacing w:before="153" w:line="220" w:lineRule="auto"/>
        <w:ind w:left="70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初步评审阶段分为资格评审、形式评审和响应性评审三个环节。</w:t>
      </w:r>
    </w:p>
    <w:p w14:paraId="12AA72C0">
      <w:pPr>
        <w:spacing w:before="155" w:line="279" w:lineRule="auto"/>
        <w:ind w:left="719" w:right="6303" w:hanging="3"/>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15.4.1</w:t>
      </w:r>
      <w:r>
        <w:rPr>
          <w:rFonts w:hint="eastAsia" w:ascii="宋体" w:hAnsi="宋体" w:eastAsia="宋体" w:cs="宋体"/>
          <w:b/>
          <w:bCs/>
          <w:color w:val="auto"/>
          <w:spacing w:val="9"/>
          <w:sz w:val="24"/>
          <w:szCs w:val="24"/>
          <w:highlight w:val="none"/>
        </w:rPr>
        <w:t xml:space="preserve"> </w:t>
      </w:r>
      <w:r>
        <w:rPr>
          <w:rFonts w:hint="eastAsia" w:ascii="宋体" w:hAnsi="宋体" w:eastAsia="宋体" w:cs="宋体"/>
          <w:color w:val="auto"/>
          <w:spacing w:val="-2"/>
          <w:sz w:val="24"/>
          <w:szCs w:val="24"/>
          <w:highlight w:val="none"/>
        </w:rPr>
        <w:t xml:space="preserve"> 资格评审环</w:t>
      </w:r>
      <w:r>
        <w:rPr>
          <w:rFonts w:hint="eastAsia" w:ascii="宋体" w:hAnsi="宋体" w:eastAsia="宋体" w:cs="宋体"/>
          <w:color w:val="auto"/>
          <w:spacing w:val="-3"/>
          <w:sz w:val="24"/>
          <w:szCs w:val="24"/>
          <w:highlight w:val="none"/>
        </w:rPr>
        <w:t>节</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3"/>
          <w:sz w:val="24"/>
          <w:szCs w:val="24"/>
          <w:highlight w:val="none"/>
        </w:rPr>
        <w:t>资格评审事项包括：</w:t>
      </w:r>
    </w:p>
    <w:p w14:paraId="3C2A7C1E">
      <w:pPr>
        <w:keepNext w:val="0"/>
        <w:keepLines w:val="0"/>
        <w:pageBreakBefore w:val="0"/>
        <w:widowControl/>
        <w:kinsoku w:val="0"/>
        <w:wordWrap/>
        <w:overflowPunct/>
        <w:topLinePunct w:val="0"/>
        <w:autoSpaceDE w:val="0"/>
        <w:autoSpaceDN w:val="0"/>
        <w:bidi w:val="0"/>
        <w:adjustRightInd w:val="0"/>
        <w:snapToGrid w:val="0"/>
        <w:spacing w:line="360" w:lineRule="auto"/>
        <w:ind w:left="232" w:firstLine="488"/>
        <w:textAlignment w:val="baseline"/>
        <w:rPr>
          <w:rFonts w:hint="eastAsia" w:asciiTheme="minorEastAsia" w:hAnsiTheme="minorEastAsia" w:eastAsiaTheme="minorEastAsia" w:cstheme="minorEastAsia"/>
          <w:color w:val="auto"/>
          <w:spacing w:val="-4"/>
          <w:sz w:val="24"/>
          <w:szCs w:val="24"/>
          <w:highlight w:val="none"/>
        </w:rPr>
      </w:pPr>
      <w:bookmarkStart w:id="89" w:name="_Toc22778"/>
      <w:r>
        <w:rPr>
          <w:rFonts w:hint="eastAsia" w:asciiTheme="minorEastAsia" w:hAnsiTheme="minorEastAsia" w:eastAsiaTheme="minorEastAsia" w:cstheme="minorEastAsia"/>
          <w:color w:val="auto"/>
          <w:spacing w:val="-4"/>
          <w:sz w:val="24"/>
          <w:szCs w:val="24"/>
          <w:highlight w:val="none"/>
        </w:rPr>
        <w:t>（1）投标人是否符合本章第三节第2.4条“禁止投标条款”规定。如果“禁止投标条款”包括严重失信主体名单的，投标人信用信息的获取采用现场实时查询的方式实施。由招标代理机构工作人员在评标委员会成员、交易场所工作人员共同见证下，登录信用中国网站（https://www.creditchina.gov.cn），在企业查询界面下载和打印《法人和非法人组织公共信用信息报告》，作为评审依据移交评标委员会。</w:t>
      </w:r>
    </w:p>
    <w:p w14:paraId="0BE4BA4B">
      <w:pPr>
        <w:keepNext w:val="0"/>
        <w:keepLines w:val="0"/>
        <w:pageBreakBefore w:val="0"/>
        <w:widowControl/>
        <w:kinsoku w:val="0"/>
        <w:overflowPunct/>
        <w:topLinePunct w:val="0"/>
        <w:autoSpaceDE w:val="0"/>
        <w:autoSpaceDN w:val="0"/>
        <w:bidi w:val="0"/>
        <w:adjustRightInd w:val="0"/>
        <w:snapToGrid w:val="0"/>
        <w:spacing w:line="360" w:lineRule="auto"/>
        <w:ind w:left="721"/>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（2）投标人名称是否与营业执照、资质证书、安全生产许可证一致。</w:t>
      </w:r>
    </w:p>
    <w:p w14:paraId="5C81E7D4">
      <w:pPr>
        <w:keepNext w:val="0"/>
        <w:keepLines w:val="0"/>
        <w:pageBreakBefore w:val="0"/>
        <w:widowControl/>
        <w:kinsoku w:val="0"/>
        <w:wordWrap w:val="0"/>
        <w:overflowPunct/>
        <w:topLinePunct w:val="0"/>
        <w:autoSpaceDE w:val="0"/>
        <w:autoSpaceDN w:val="0"/>
        <w:bidi w:val="0"/>
        <w:adjustRightInd w:val="0"/>
        <w:snapToGrid w:val="0"/>
        <w:spacing w:line="360" w:lineRule="auto"/>
        <w:ind w:left="232" w:right="96" w:firstLine="488"/>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（3）投标人的资质是否符合招标文件规定；其营业执照、资质证书、安全生产许可证（含实时网页查询页，可参考网址 https://zlaq.mohurd.gov.cn/fwmh/bjxcjgl/fwm</w:t>
      </w:r>
      <w:bookmarkStart w:id="90" w:name="bookmark126"/>
      <w:bookmarkEnd w:id="90"/>
      <w:r>
        <w:rPr>
          <w:rFonts w:hint="eastAsia" w:asciiTheme="minorEastAsia" w:hAnsiTheme="minorEastAsia" w:eastAsiaTheme="minorEastAsia" w:cstheme="minorEastAsia"/>
          <w:color w:val="auto"/>
          <w:spacing w:val="2"/>
          <w:sz w:val="24"/>
          <w:szCs w:val="24"/>
          <w:highlight w:val="none"/>
        </w:rPr>
        <w:t>h/pages/construction_safety/qyaqscxkz/qyaqscxkz）是否合法、有效、准确</w:t>
      </w:r>
      <w:r>
        <w:rPr>
          <w:rFonts w:hint="eastAsia" w:asciiTheme="minorEastAsia" w:hAnsiTheme="minorEastAsia" w:eastAsiaTheme="minorEastAsia" w:cstheme="minorEastAsia"/>
          <w:color w:val="auto"/>
          <w:spacing w:val="-1"/>
          <w:position w:val="3"/>
          <w:sz w:val="24"/>
          <w:szCs w:val="24"/>
          <w:highlight w:val="none"/>
        </w:rPr>
        <w:t>。</w:t>
      </w:r>
    </w:p>
    <w:p w14:paraId="46BDDC87">
      <w:pPr>
        <w:keepNext w:val="0"/>
        <w:keepLines w:val="0"/>
        <w:pageBreakBefore w:val="0"/>
        <w:widowControl/>
        <w:kinsoku w:val="0"/>
        <w:overflowPunct/>
        <w:topLinePunct w:val="0"/>
        <w:autoSpaceDE w:val="0"/>
        <w:autoSpaceDN w:val="0"/>
        <w:bidi w:val="0"/>
        <w:adjustRightInd w:val="0"/>
        <w:snapToGrid w:val="0"/>
        <w:spacing w:line="360" w:lineRule="auto"/>
        <w:ind w:left="501"/>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（4）《项目经理简历表》中拟派项目经理是否与《开标一览表》一致。</w:t>
      </w:r>
    </w:p>
    <w:p w14:paraId="3040E94A">
      <w:pPr>
        <w:keepNext w:val="0"/>
        <w:keepLines w:val="0"/>
        <w:pageBreakBefore w:val="0"/>
        <w:widowControl/>
        <w:kinsoku w:val="0"/>
        <w:overflowPunct/>
        <w:topLinePunct w:val="0"/>
        <w:autoSpaceDE w:val="0"/>
        <w:autoSpaceDN w:val="0"/>
        <w:bidi w:val="0"/>
        <w:adjustRightInd w:val="0"/>
        <w:snapToGrid w:val="0"/>
        <w:spacing w:line="360" w:lineRule="auto"/>
        <w:ind w:left="11" w:firstLine="489"/>
        <w:textAlignment w:val="baseline"/>
        <w:rPr>
          <w:rFonts w:hint="eastAsia" w:asciiTheme="minorEastAsia" w:hAnsiTheme="minorEastAsia" w:eastAsiaTheme="minorEastAsia" w:cstheme="minorEastAsia"/>
          <w:color w:val="auto"/>
          <w:spacing w:val="-1"/>
          <w:sz w:val="24"/>
          <w:szCs w:val="24"/>
          <w:highlight w:val="none"/>
        </w:rPr>
      </w:pPr>
      <w:r>
        <w:rPr>
          <w:rFonts w:hint="eastAsia" w:asciiTheme="minorEastAsia" w:hAnsiTheme="minorEastAsia" w:eastAsiaTheme="minorEastAsia" w:cstheme="minorEastAsia"/>
          <w:color w:val="auto"/>
          <w:spacing w:val="2"/>
          <w:sz w:val="24"/>
          <w:szCs w:val="24"/>
          <w:highlight w:val="none"/>
        </w:rPr>
        <w:t>（5）拟派项目经理、项目技术负责人、专职安全员的条件</w:t>
      </w:r>
      <w:r>
        <w:rPr>
          <w:rFonts w:hint="eastAsia" w:asciiTheme="minorEastAsia" w:hAnsiTheme="minorEastAsia" w:eastAsiaTheme="minorEastAsia" w:cstheme="minorEastAsia"/>
          <w:color w:val="auto"/>
          <w:spacing w:val="1"/>
          <w:sz w:val="24"/>
          <w:szCs w:val="24"/>
          <w:highlight w:val="none"/>
        </w:rPr>
        <w:t>是否符合招标文件规</w:t>
      </w:r>
      <w:r>
        <w:rPr>
          <w:rFonts w:hint="eastAsia" w:asciiTheme="minorEastAsia" w:hAnsiTheme="minorEastAsia" w:eastAsiaTheme="minorEastAsia" w:cstheme="minorEastAsia"/>
          <w:color w:val="auto"/>
          <w:spacing w:val="-1"/>
          <w:sz w:val="24"/>
          <w:szCs w:val="24"/>
          <w:highlight w:val="none"/>
        </w:rPr>
        <w:t>定；拟派的项目经理是否在投标文件《项目经理简历表》中签字确认；项目技术负责人是否在投标文件《项目技术负责人简历表》中签字确认；项目管理机构组成人员的各类证书、证件、证明是否合法、有效、准确；是否擅自修改、遗漏《项目经理任职声明》的实质性内容。</w:t>
      </w:r>
    </w:p>
    <w:p w14:paraId="27910BA3">
      <w:pPr>
        <w:keepNext w:val="0"/>
        <w:keepLines w:val="0"/>
        <w:pageBreakBefore w:val="0"/>
        <w:widowControl/>
        <w:kinsoku w:val="0"/>
        <w:overflowPunct/>
        <w:topLinePunct w:val="0"/>
        <w:autoSpaceDE w:val="0"/>
        <w:autoSpaceDN w:val="0"/>
        <w:bidi w:val="0"/>
        <w:adjustRightInd w:val="0"/>
        <w:snapToGrid w:val="0"/>
        <w:spacing w:line="360" w:lineRule="auto"/>
        <w:ind w:left="8" w:right="2" w:firstLine="492"/>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w:t>
      </w:r>
      <w:r>
        <w:rPr>
          <w:rFonts w:hint="eastAsia" w:asciiTheme="minorEastAsia" w:hAnsiTheme="minorEastAsia" w:eastAsiaTheme="minorEastAsia" w:cstheme="minorEastAsia"/>
          <w:color w:val="auto"/>
          <w:spacing w:val="2"/>
          <w:sz w:val="24"/>
          <w:szCs w:val="24"/>
          <w:highlight w:val="none"/>
          <w:lang w:val="en-US" w:eastAsia="zh-CN"/>
        </w:rPr>
        <w:t>6</w:t>
      </w:r>
      <w:r>
        <w:rPr>
          <w:rFonts w:hint="eastAsia" w:asciiTheme="minorEastAsia" w:hAnsiTheme="minorEastAsia" w:eastAsiaTheme="minorEastAsia" w:cstheme="minorEastAsia"/>
          <w:color w:val="auto"/>
          <w:spacing w:val="2"/>
          <w:sz w:val="24"/>
          <w:szCs w:val="24"/>
          <w:highlight w:val="none"/>
        </w:rPr>
        <w:t>）投标人为外省建筑企业的，是否按规定在“进粤</w:t>
      </w:r>
      <w:r>
        <w:rPr>
          <w:rFonts w:hint="eastAsia" w:asciiTheme="minorEastAsia" w:hAnsiTheme="minorEastAsia" w:eastAsiaTheme="minorEastAsia" w:cstheme="minorEastAsia"/>
          <w:color w:val="auto"/>
          <w:spacing w:val="1"/>
          <w:sz w:val="24"/>
          <w:szCs w:val="24"/>
          <w:highlight w:val="none"/>
        </w:rPr>
        <w:t>企业和人员诚信信息登记</w:t>
      </w:r>
      <w:r>
        <w:rPr>
          <w:rFonts w:hint="eastAsia" w:asciiTheme="minorEastAsia" w:hAnsiTheme="minorEastAsia" w:eastAsiaTheme="minorEastAsia" w:cstheme="minorEastAsia"/>
          <w:color w:val="auto"/>
          <w:spacing w:val="-2"/>
          <w:sz w:val="24"/>
          <w:szCs w:val="24"/>
          <w:highlight w:val="none"/>
        </w:rPr>
        <w:t>平台</w:t>
      </w:r>
      <w:r>
        <w:rPr>
          <w:rFonts w:hint="eastAsia" w:asciiTheme="minorEastAsia" w:hAnsiTheme="minorEastAsia" w:eastAsiaTheme="minorEastAsia" w:cstheme="minorEastAsia"/>
          <w:color w:val="auto"/>
          <w:spacing w:val="-76"/>
          <w:sz w:val="24"/>
          <w:szCs w:val="24"/>
          <w:highlight w:val="none"/>
        </w:rPr>
        <w:t xml:space="preserve"> </w:t>
      </w:r>
      <w:r>
        <w:rPr>
          <w:rFonts w:hint="eastAsia" w:asciiTheme="minorEastAsia" w:hAnsiTheme="minorEastAsia" w:eastAsiaTheme="minorEastAsia" w:cstheme="minorEastAsia"/>
          <w:color w:val="auto"/>
          <w:spacing w:val="-2"/>
          <w:sz w:val="24"/>
          <w:szCs w:val="24"/>
          <w:highlight w:val="none"/>
        </w:rPr>
        <w:t>”录入企业及其拟派人员有关信息并通过数据规范检查。</w:t>
      </w:r>
    </w:p>
    <w:p w14:paraId="5E3A3AD8">
      <w:pPr>
        <w:spacing w:before="15" w:line="360" w:lineRule="auto"/>
        <w:ind w:right="2" w:firstLine="474" w:firstLineChars="200"/>
        <w:jc w:val="both"/>
        <w:outlineLvl w:val="9"/>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2"/>
          <w:sz w:val="24"/>
          <w:szCs w:val="24"/>
          <w:highlight w:val="none"/>
        </w:rPr>
        <w:t xml:space="preserve">15.4.2 </w:t>
      </w:r>
      <w:r>
        <w:rPr>
          <w:rFonts w:hint="eastAsia" w:ascii="宋体" w:hAnsi="宋体" w:eastAsia="宋体" w:cs="宋体"/>
          <w:color w:val="auto"/>
          <w:spacing w:val="1"/>
          <w:sz w:val="24"/>
          <w:szCs w:val="24"/>
          <w:highlight w:val="none"/>
        </w:rPr>
        <w:t xml:space="preserve"> 形式评审环节</w:t>
      </w:r>
    </w:p>
    <w:p w14:paraId="720A176D">
      <w:pPr>
        <w:spacing w:before="15" w:line="360" w:lineRule="auto"/>
        <w:ind w:right="2" w:firstLine="484" w:firstLineChars="200"/>
        <w:jc w:val="both"/>
        <w:outlineLvl w:val="9"/>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rPr>
        <w:t>形式评审事</w:t>
      </w:r>
      <w:r>
        <w:rPr>
          <w:rFonts w:hint="eastAsia" w:ascii="宋体" w:hAnsi="宋体" w:eastAsia="宋体" w:cs="宋体"/>
          <w:color w:val="auto"/>
          <w:spacing w:val="1"/>
          <w:sz w:val="24"/>
          <w:szCs w:val="24"/>
          <w:highlight w:val="none"/>
          <w:lang w:eastAsia="zh-CN"/>
        </w:rPr>
        <w:t>项包括</w:t>
      </w:r>
      <w:bookmarkEnd w:id="89"/>
    </w:p>
    <w:p w14:paraId="540DEAA8">
      <w:pPr>
        <w:spacing w:before="40" w:line="360" w:lineRule="auto"/>
        <w:ind w:left="501"/>
        <w:outlineLvl w:val="9"/>
        <w:rPr>
          <w:rFonts w:hint="eastAsia" w:ascii="宋体" w:hAnsi="宋体" w:eastAsia="宋体" w:cs="宋体"/>
          <w:color w:val="auto"/>
          <w:sz w:val="24"/>
          <w:szCs w:val="24"/>
          <w:highlight w:val="none"/>
        </w:rPr>
      </w:pPr>
      <w:bookmarkStart w:id="91" w:name="_Toc23632"/>
      <w:bookmarkStart w:id="92" w:name="_Toc4914"/>
      <w:bookmarkStart w:id="93" w:name="_Toc20481"/>
      <w:bookmarkStart w:id="94" w:name="_Toc13304"/>
      <w:r>
        <w:rPr>
          <w:rFonts w:hint="eastAsia" w:ascii="宋体" w:hAnsi="宋体" w:eastAsia="宋体" w:cs="宋体"/>
          <w:color w:val="auto"/>
          <w:spacing w:val="-1"/>
          <w:sz w:val="24"/>
          <w:szCs w:val="24"/>
          <w:highlight w:val="none"/>
        </w:rPr>
        <w:t>（1）各分册是否按招标文件规定加盖电子印章。</w:t>
      </w:r>
      <w:bookmarkEnd w:id="91"/>
      <w:bookmarkEnd w:id="92"/>
      <w:bookmarkEnd w:id="93"/>
      <w:bookmarkEnd w:id="94"/>
    </w:p>
    <w:p w14:paraId="64C926F3">
      <w:pPr>
        <w:spacing w:before="15" w:line="360" w:lineRule="auto"/>
        <w:ind w:firstLine="464" w:firstLineChars="200"/>
        <w:outlineLvl w:val="9"/>
        <w:rPr>
          <w:rFonts w:hint="eastAsia" w:ascii="宋体" w:hAnsi="宋体" w:eastAsia="宋体" w:cs="宋体"/>
          <w:color w:val="auto"/>
          <w:spacing w:val="-1"/>
          <w:sz w:val="24"/>
          <w:szCs w:val="24"/>
          <w:highlight w:val="none"/>
        </w:rPr>
      </w:pPr>
      <w:bookmarkStart w:id="95" w:name="_Toc27432"/>
      <w:bookmarkStart w:id="96" w:name="_Toc10806"/>
      <w:bookmarkStart w:id="97" w:name="_Toc28409"/>
      <w:bookmarkStart w:id="98" w:name="_Toc12756"/>
      <w:r>
        <w:rPr>
          <w:rFonts w:hint="eastAsia" w:ascii="宋体" w:hAnsi="宋体" w:eastAsia="宋体" w:cs="宋体"/>
          <w:color w:val="auto"/>
          <w:spacing w:val="-4"/>
          <w:sz w:val="24"/>
          <w:szCs w:val="24"/>
          <w:highlight w:val="none"/>
        </w:rPr>
        <w:t>（2）本节第</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10.2.2 目、第</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4"/>
          <w:sz w:val="24"/>
          <w:szCs w:val="24"/>
          <w:highlight w:val="none"/>
        </w:rPr>
        <w:t>10.3.2 目、第</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10.4.3 目中规定</w:t>
      </w:r>
      <w:r>
        <w:rPr>
          <w:rFonts w:hint="eastAsia" w:ascii="宋体" w:hAnsi="宋体" w:eastAsia="宋体" w:cs="宋体"/>
          <w:color w:val="auto"/>
          <w:spacing w:val="-5"/>
          <w:sz w:val="24"/>
          <w:szCs w:val="24"/>
          <w:highlight w:val="none"/>
        </w:rPr>
        <w:t>的“所有投标人均应提</w:t>
      </w:r>
      <w:bookmarkEnd w:id="95"/>
      <w:bookmarkEnd w:id="96"/>
      <w:bookmarkEnd w:id="97"/>
      <w:r>
        <w:rPr>
          <w:rFonts w:hint="eastAsia" w:ascii="宋体" w:hAnsi="宋体" w:eastAsia="宋体" w:cs="宋体"/>
          <w:color w:val="auto"/>
          <w:spacing w:val="-1"/>
          <w:sz w:val="24"/>
          <w:szCs w:val="24"/>
          <w:highlight w:val="none"/>
        </w:rPr>
        <w:t>供</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1"/>
          <w:sz w:val="24"/>
          <w:szCs w:val="24"/>
          <w:highlight w:val="none"/>
        </w:rPr>
        <w:t>”的组成内容（包括该组成内容的所附资料）是否完整、齐全.</w:t>
      </w:r>
      <w:bookmarkEnd w:id="98"/>
    </w:p>
    <w:p w14:paraId="127DFB0D">
      <w:pPr>
        <w:spacing w:before="15" w:line="360" w:lineRule="auto"/>
        <w:ind w:right="2" w:firstLine="474" w:firstLineChars="200"/>
        <w:jc w:val="both"/>
        <w:outlineLvl w:val="9"/>
        <w:rPr>
          <w:rFonts w:hint="eastAsia" w:ascii="宋体" w:hAnsi="宋体" w:eastAsia="宋体" w:cs="宋体"/>
          <w:color w:val="auto"/>
          <w:spacing w:val="2"/>
          <w:sz w:val="24"/>
          <w:szCs w:val="24"/>
          <w:highlight w:val="none"/>
        </w:rPr>
      </w:pPr>
      <w:bookmarkStart w:id="99" w:name="_Toc22562"/>
      <w:bookmarkStart w:id="100" w:name="_Toc16645"/>
      <w:bookmarkStart w:id="101" w:name="_Toc22642"/>
      <w:bookmarkStart w:id="102" w:name="_Toc14202"/>
      <w:r>
        <w:rPr>
          <w:rFonts w:hint="eastAsia" w:ascii="宋体" w:hAnsi="宋体" w:eastAsia="宋体" w:cs="宋体"/>
          <w:b/>
          <w:bCs/>
          <w:color w:val="auto"/>
          <w:spacing w:val="-2"/>
          <w:sz w:val="24"/>
          <w:szCs w:val="24"/>
          <w:highlight w:val="none"/>
        </w:rPr>
        <w:t xml:space="preserve">15.4.3  </w:t>
      </w:r>
      <w:r>
        <w:rPr>
          <w:rFonts w:hint="eastAsia" w:ascii="宋体" w:hAnsi="宋体" w:eastAsia="宋体" w:cs="宋体"/>
          <w:color w:val="auto"/>
          <w:spacing w:val="2"/>
          <w:sz w:val="24"/>
          <w:szCs w:val="24"/>
          <w:highlight w:val="none"/>
        </w:rPr>
        <w:t xml:space="preserve">响应性评审环节 </w:t>
      </w:r>
    </w:p>
    <w:p w14:paraId="746226A2">
      <w:pPr>
        <w:spacing w:before="15" w:line="360" w:lineRule="auto"/>
        <w:ind w:right="2" w:firstLine="488" w:firstLineChars="200"/>
        <w:jc w:val="both"/>
        <w:outlineLvl w:val="9"/>
        <w:rPr>
          <w:rFonts w:hint="eastAsia" w:ascii="宋体" w:hAnsi="宋体" w:eastAsia="宋体" w:cs="宋体"/>
          <w:color w:val="auto"/>
          <w:spacing w:val="1"/>
          <w:sz w:val="24"/>
          <w:szCs w:val="24"/>
          <w:highlight w:val="none"/>
        </w:rPr>
      </w:pPr>
      <w:r>
        <w:rPr>
          <w:rFonts w:hint="eastAsia" w:ascii="宋体" w:hAnsi="宋体" w:eastAsia="宋体" w:cs="宋体"/>
          <w:color w:val="auto"/>
          <w:spacing w:val="2"/>
          <w:sz w:val="24"/>
          <w:szCs w:val="24"/>
          <w:highlight w:val="none"/>
        </w:rPr>
        <w:t>响应性评项包括：</w:t>
      </w:r>
      <w:bookmarkEnd w:id="99"/>
      <w:bookmarkEnd w:id="100"/>
      <w:bookmarkEnd w:id="101"/>
      <w:bookmarkEnd w:id="102"/>
    </w:p>
    <w:p w14:paraId="7C2C97F5">
      <w:pPr>
        <w:keepNext w:val="0"/>
        <w:keepLines w:val="0"/>
        <w:pageBreakBefore w:val="0"/>
        <w:widowControl/>
        <w:kinsoku w:val="0"/>
        <w:wordWrap/>
        <w:overflowPunct/>
        <w:topLinePunct w:val="0"/>
        <w:autoSpaceDE w:val="0"/>
        <w:autoSpaceDN w:val="0"/>
        <w:bidi w:val="0"/>
        <w:adjustRightInd w:val="0"/>
        <w:snapToGrid w:val="0"/>
        <w:spacing w:line="360" w:lineRule="auto"/>
        <w:ind w:left="11" w:firstLine="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（1）投标有效期、质量标准、工期等是否响应招标文件实</w:t>
      </w:r>
      <w:r>
        <w:rPr>
          <w:rFonts w:hint="eastAsia" w:ascii="宋体" w:hAnsi="宋体" w:eastAsia="宋体" w:cs="宋体"/>
          <w:color w:val="auto"/>
          <w:spacing w:val="1"/>
          <w:sz w:val="24"/>
          <w:szCs w:val="24"/>
          <w:highlight w:val="none"/>
        </w:rPr>
        <w:t>质性要求；是否擅自</w:t>
      </w:r>
      <w:r>
        <w:rPr>
          <w:rFonts w:hint="eastAsia" w:ascii="宋体" w:hAnsi="宋体" w:eastAsia="宋体" w:cs="宋体"/>
          <w:color w:val="auto"/>
          <w:spacing w:val="-1"/>
          <w:sz w:val="24"/>
          <w:szCs w:val="24"/>
          <w:highlight w:val="none"/>
        </w:rPr>
        <w:t>修改、遗漏《投标函》《各项承诺一览表》的实质性内容。</w:t>
      </w:r>
    </w:p>
    <w:p w14:paraId="0FC3EBE0">
      <w:pPr>
        <w:keepNext w:val="0"/>
        <w:keepLines w:val="0"/>
        <w:pageBreakBefore w:val="0"/>
        <w:widowControl/>
        <w:kinsoku w:val="0"/>
        <w:wordWrap/>
        <w:overflowPunct/>
        <w:topLinePunct w:val="0"/>
        <w:autoSpaceDE w:val="0"/>
        <w:autoSpaceDN w:val="0"/>
        <w:bidi w:val="0"/>
        <w:adjustRightInd w:val="0"/>
        <w:snapToGrid w:val="0"/>
        <w:spacing w:line="360"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（2）编制《投标总价》的造价工程师，其注册证书是否合法、有效。</w:t>
      </w:r>
    </w:p>
    <w:p w14:paraId="7272F12D">
      <w:pPr>
        <w:keepNext w:val="0"/>
        <w:keepLines w:val="0"/>
        <w:pageBreakBefore w:val="0"/>
        <w:widowControl/>
        <w:kinsoku w:val="0"/>
        <w:wordWrap/>
        <w:overflowPunct/>
        <w:topLinePunct w:val="0"/>
        <w:autoSpaceDE w:val="0"/>
        <w:autoSpaceDN w:val="0"/>
        <w:bidi w:val="0"/>
        <w:adjustRightInd w:val="0"/>
        <w:snapToGrid w:val="0"/>
        <w:spacing w:line="360" w:lineRule="auto"/>
        <w:ind w:left="23" w:right="0" w:firstLine="48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（3）投标人委托造价咨询单位编制《投标总价》的，是否在《投标总价扉页》“投标人</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”栏目加盖造价咨询人公章；是否提供</w:t>
      </w:r>
      <w:r>
        <w:rPr>
          <w:rFonts w:hint="eastAsia" w:ascii="宋体" w:hAnsi="宋体" w:eastAsia="宋体" w:cs="宋体"/>
          <w:color w:val="auto"/>
          <w:sz w:val="24"/>
          <w:szCs w:val="24"/>
          <w:highlight w:val="none"/>
        </w:rPr>
        <w:t>造价咨询人的营业执照</w:t>
      </w:r>
      <w:r>
        <w:rPr>
          <w:rFonts w:hint="eastAsia" w:ascii="宋体" w:hAnsi="宋体" w:eastAsia="宋体" w:cs="宋体"/>
          <w:color w:val="auto"/>
          <w:spacing w:val="-2"/>
          <w:sz w:val="24"/>
          <w:szCs w:val="24"/>
          <w:highlight w:val="none"/>
        </w:rPr>
        <w:t>副本彩色扫描件；</w:t>
      </w:r>
    </w:p>
    <w:p w14:paraId="1684033F">
      <w:pPr>
        <w:keepNext w:val="0"/>
        <w:keepLines w:val="0"/>
        <w:pageBreakBefore w:val="0"/>
        <w:widowControl/>
        <w:kinsoku w:val="0"/>
        <w:wordWrap/>
        <w:overflowPunct/>
        <w:topLinePunct w:val="0"/>
        <w:autoSpaceDE w:val="0"/>
        <w:autoSpaceDN w:val="0"/>
        <w:bidi w:val="0"/>
        <w:adjustRightInd w:val="0"/>
        <w:snapToGrid w:val="0"/>
        <w:spacing w:line="360" w:lineRule="auto"/>
        <w:ind w:left="11" w:firstLine="49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（4）投标总价是否唯一；投标总价是否超出</w:t>
      </w:r>
      <w:r>
        <w:rPr>
          <w:rFonts w:hint="eastAsia" w:ascii="宋体" w:hAnsi="宋体" w:eastAsia="宋体" w:cs="宋体"/>
          <w:b/>
          <w:bCs/>
          <w:color w:val="auto"/>
          <w:spacing w:val="1"/>
          <w:sz w:val="24"/>
          <w:szCs w:val="24"/>
          <w:highlight w:val="none"/>
          <w:lang w:val="en-US" w:eastAsia="zh-CN"/>
        </w:rPr>
        <w:t>最高投标限价</w:t>
      </w:r>
      <w:r>
        <w:rPr>
          <w:rFonts w:hint="eastAsia" w:ascii="宋体" w:hAnsi="宋体" w:eastAsia="宋体" w:cs="宋体"/>
          <w:color w:val="auto"/>
          <w:spacing w:val="1"/>
          <w:sz w:val="24"/>
          <w:szCs w:val="24"/>
          <w:highlight w:val="none"/>
        </w:rPr>
        <w:t>；</w:t>
      </w:r>
      <w:r>
        <w:rPr>
          <w:rFonts w:hint="eastAsia" w:ascii="宋体" w:hAnsi="宋体" w:eastAsia="宋体" w:cs="宋体"/>
          <w:b/>
          <w:bCs/>
          <w:color w:val="auto"/>
          <w:spacing w:val="1"/>
          <w:sz w:val="24"/>
          <w:szCs w:val="24"/>
          <w:highlight w:val="none"/>
        </w:rPr>
        <w:t>安全生产措施费</w:t>
      </w:r>
      <w:r>
        <w:rPr>
          <w:rFonts w:hint="eastAsia" w:ascii="宋体" w:hAnsi="宋体" w:eastAsia="宋体" w:cs="宋体"/>
          <w:color w:val="auto"/>
          <w:spacing w:val="-1"/>
          <w:sz w:val="24"/>
          <w:szCs w:val="24"/>
          <w:highlight w:val="none"/>
        </w:rPr>
        <w:t>是否达到最低要求；暂列金额、暂估价是否按照招标工</w:t>
      </w:r>
      <w:r>
        <w:rPr>
          <w:rFonts w:hint="eastAsia" w:ascii="宋体" w:hAnsi="宋体" w:eastAsia="宋体" w:cs="宋体"/>
          <w:color w:val="auto"/>
          <w:spacing w:val="-2"/>
          <w:sz w:val="24"/>
          <w:szCs w:val="24"/>
          <w:highlight w:val="none"/>
        </w:rPr>
        <w:t>程量清单统一报价；投</w:t>
      </w:r>
      <w:r>
        <w:rPr>
          <w:rFonts w:hint="eastAsia" w:ascii="宋体" w:hAnsi="宋体" w:eastAsia="宋体" w:cs="宋体"/>
          <w:color w:val="auto"/>
          <w:spacing w:val="-1"/>
          <w:sz w:val="24"/>
          <w:szCs w:val="24"/>
          <w:highlight w:val="none"/>
        </w:rPr>
        <w:t>标人是否以低于成本的价格竞标。</w:t>
      </w:r>
    </w:p>
    <w:p w14:paraId="07EB7BBE">
      <w:pPr>
        <w:spacing w:before="38" w:line="360" w:lineRule="auto"/>
        <w:ind w:right="2" w:firstLine="474" w:firstLineChars="200"/>
        <w:jc w:val="both"/>
        <w:rPr>
          <w:rFonts w:hint="eastAsia" w:ascii="宋体" w:hAnsi="宋体" w:eastAsia="宋体" w:cs="宋体"/>
          <w:color w:val="auto"/>
          <w:position w:val="-8"/>
          <w:sz w:val="24"/>
          <w:szCs w:val="24"/>
          <w:highlight w:val="none"/>
        </w:rPr>
      </w:pPr>
      <w:r>
        <w:rPr>
          <w:rFonts w:hint="eastAsia" w:ascii="宋体" w:hAnsi="宋体" w:eastAsia="宋体" w:cs="宋体"/>
          <w:b/>
          <w:bCs/>
          <w:color w:val="auto"/>
          <w:spacing w:val="-2"/>
          <w:sz w:val="24"/>
          <w:szCs w:val="24"/>
          <w:highlight w:val="none"/>
        </w:rPr>
        <w:t>注：如果某投标人的投标总价下浮率超过</w:t>
      </w:r>
      <w:r>
        <w:rPr>
          <w:rFonts w:hint="eastAsia" w:ascii="宋体" w:hAnsi="宋体" w:eastAsia="宋体" w:cs="宋体"/>
          <w:color w:val="auto"/>
          <w:spacing w:val="-41"/>
          <w:sz w:val="24"/>
          <w:szCs w:val="24"/>
          <w:highlight w:val="none"/>
        </w:rPr>
        <w:t xml:space="preserve"> </w:t>
      </w: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32"/>
          <w:sz w:val="24"/>
          <w:szCs w:val="24"/>
          <w:highlight w:val="none"/>
        </w:rPr>
        <w:t xml:space="preserve"> </w:t>
      </w:r>
      <w:r>
        <w:rPr>
          <w:rFonts w:hint="eastAsia" w:ascii="宋体" w:hAnsi="宋体" w:eastAsia="宋体" w:cs="宋体"/>
          <w:b/>
          <w:bCs/>
          <w:color w:val="auto"/>
          <w:spacing w:val="-2"/>
          <w:sz w:val="24"/>
          <w:szCs w:val="24"/>
          <w:highlight w:val="none"/>
        </w:rPr>
        <w:t>，又未提供</w:t>
      </w:r>
      <w:r>
        <w:rPr>
          <w:rFonts w:hint="eastAsia" w:ascii="宋体" w:hAnsi="宋体" w:eastAsia="宋体" w:cs="宋体"/>
          <w:b/>
          <w:bCs/>
          <w:color w:val="auto"/>
          <w:spacing w:val="-3"/>
          <w:sz w:val="24"/>
          <w:szCs w:val="24"/>
          <w:highlight w:val="none"/>
        </w:rPr>
        <w:t>相应书面说明和佐证</w:t>
      </w:r>
      <w:bookmarkStart w:id="103" w:name="bookmark127"/>
      <w:bookmarkEnd w:id="103"/>
      <w:r>
        <w:rPr>
          <w:rFonts w:hint="eastAsia" w:ascii="宋体" w:hAnsi="宋体" w:eastAsia="宋体" w:cs="宋体"/>
          <w:b/>
          <w:bCs/>
          <w:color w:val="auto"/>
          <w:spacing w:val="-4"/>
          <w:sz w:val="24"/>
          <w:szCs w:val="24"/>
          <w:highlight w:val="none"/>
        </w:rPr>
        <w:t>材料或提供的书面说明和佐证材料不能令人信服的，评标委员会应认定其以低于成本</w:t>
      </w:r>
      <w:r>
        <w:rPr>
          <w:rFonts w:hint="eastAsia" w:ascii="宋体" w:hAnsi="宋体" w:eastAsia="宋体" w:cs="宋体"/>
          <w:b/>
          <w:bCs/>
          <w:color w:val="auto"/>
          <w:spacing w:val="-9"/>
          <w:sz w:val="24"/>
          <w:szCs w:val="24"/>
          <w:highlight w:val="none"/>
        </w:rPr>
        <w:t>的价格竞标，并否决其投标。评</w:t>
      </w:r>
      <w:r>
        <w:rPr>
          <w:rFonts w:hint="eastAsia" w:ascii="宋体" w:hAnsi="宋体" w:eastAsia="宋体" w:cs="宋体"/>
          <w:b/>
          <w:bCs/>
          <w:color w:val="auto"/>
          <w:spacing w:val="-4"/>
          <w:sz w:val="24"/>
          <w:szCs w:val="24"/>
          <w:highlight w:val="none"/>
        </w:rPr>
        <w:t>标委员会接受该投标人的投标总价而未否决其投标的， 应在评标报告中说明判断理由。投标总价下浮率＝（1－投标总价÷</w:t>
      </w:r>
      <w:r>
        <w:rPr>
          <w:rFonts w:hint="eastAsia" w:ascii="宋体" w:hAnsi="宋体" w:eastAsia="宋体" w:cs="宋体"/>
          <w:b/>
          <w:bCs/>
          <w:color w:val="auto"/>
          <w:spacing w:val="-4"/>
          <w:sz w:val="24"/>
          <w:szCs w:val="24"/>
          <w:highlight w:val="none"/>
          <w:lang w:eastAsia="zh-CN"/>
        </w:rPr>
        <w:t>最高投标限价</w:t>
      </w:r>
      <w:r>
        <w:rPr>
          <w:rFonts w:hint="eastAsia" w:ascii="宋体" w:hAnsi="宋体" w:eastAsia="宋体" w:cs="宋体"/>
          <w:b/>
          <w:bCs/>
          <w:color w:val="auto"/>
          <w:spacing w:val="-4"/>
          <w:sz w:val="24"/>
          <w:szCs w:val="24"/>
          <w:highlight w:val="none"/>
        </w:rPr>
        <w:t>）×100% 。</w:t>
      </w:r>
    </w:p>
    <w:p w14:paraId="1B4A1888">
      <w:pPr>
        <w:spacing w:before="157" w:line="360" w:lineRule="auto"/>
        <w:ind w:left="11" w:right="114" w:firstLine="505" w:firstLineChars="209"/>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（5）施工组织设计的质量、进度保障措施是否符合国</w:t>
      </w:r>
      <w:r>
        <w:rPr>
          <w:rFonts w:hint="eastAsia" w:ascii="宋体" w:hAnsi="宋体" w:eastAsia="宋体" w:cs="宋体"/>
          <w:color w:val="auto"/>
          <w:sz w:val="24"/>
          <w:szCs w:val="24"/>
          <w:highlight w:val="none"/>
        </w:rPr>
        <w:t>家和省市现行有关规</w:t>
      </w:r>
      <w:r>
        <w:rPr>
          <w:rFonts w:hint="eastAsia" w:ascii="宋体" w:hAnsi="宋体" w:eastAsia="宋体" w:cs="宋体"/>
          <w:color w:val="auto"/>
          <w:spacing w:val="-1"/>
          <w:sz w:val="24"/>
          <w:szCs w:val="24"/>
          <w:highlight w:val="none"/>
        </w:rPr>
        <w:t>范、规定、标准，是否能实现工程质量、进度管理目标。</w:t>
      </w:r>
    </w:p>
    <w:p w14:paraId="123D5255">
      <w:pPr>
        <w:spacing w:before="82" w:line="211" w:lineRule="auto"/>
        <w:ind w:left="580"/>
        <w:outlineLvl w:val="9"/>
        <w:rPr>
          <w:rFonts w:hint="eastAsia" w:ascii="宋体" w:hAnsi="宋体" w:eastAsia="宋体" w:cs="宋体"/>
          <w:color w:val="auto"/>
          <w:sz w:val="25"/>
          <w:szCs w:val="25"/>
          <w:highlight w:val="none"/>
        </w:rPr>
      </w:pPr>
      <w:bookmarkStart w:id="104" w:name="_Toc19814"/>
      <w:bookmarkStart w:id="105" w:name="_Toc18204"/>
      <w:bookmarkStart w:id="106" w:name="_Toc32114"/>
      <w:bookmarkStart w:id="107" w:name="_Toc15367"/>
      <w:r>
        <w:rPr>
          <w:rFonts w:hint="eastAsia" w:ascii="宋体" w:hAnsi="宋体" w:eastAsia="宋体" w:cs="宋体"/>
          <w:b/>
          <w:bCs/>
          <w:color w:val="auto"/>
          <w:spacing w:val="-3"/>
          <w:sz w:val="24"/>
          <w:szCs w:val="24"/>
          <w:highlight w:val="none"/>
        </w:rPr>
        <w:t xml:space="preserve">15.4.4  </w:t>
      </w:r>
      <w:r>
        <w:rPr>
          <w:rFonts w:hint="eastAsia" w:ascii="宋体" w:hAnsi="宋体" w:eastAsia="宋体" w:cs="宋体"/>
          <w:color w:val="auto"/>
          <w:spacing w:val="-3"/>
          <w:sz w:val="24"/>
          <w:szCs w:val="24"/>
          <w:highlight w:val="none"/>
        </w:rPr>
        <w:t>否决投标说明</w:t>
      </w:r>
      <w:bookmarkEnd w:id="104"/>
      <w:bookmarkEnd w:id="105"/>
      <w:bookmarkEnd w:id="106"/>
      <w:bookmarkEnd w:id="107"/>
    </w:p>
    <w:p w14:paraId="0A7D0F98">
      <w:pPr>
        <w:spacing w:before="152" w:line="333" w:lineRule="auto"/>
        <w:ind w:left="11" w:right="175" w:firstLine="561"/>
        <w:rPr>
          <w:rFonts w:hint="eastAsia" w:ascii="宋体" w:hAnsi="宋体" w:eastAsia="宋体" w:cs="宋体"/>
          <w:color w:val="auto"/>
          <w:highlight w:val="none"/>
        </w:rPr>
      </w:pPr>
      <w:r>
        <w:rPr>
          <w:rFonts w:hint="eastAsia" w:ascii="宋体" w:hAnsi="宋体" w:eastAsia="宋体" w:cs="宋体"/>
          <w:color w:val="auto"/>
          <w:spacing w:val="-5"/>
          <w:sz w:val="24"/>
          <w:szCs w:val="24"/>
          <w:highlight w:val="none"/>
        </w:rPr>
        <w:t>初步评审阶段各个环节否决投标的全部条件，在本章第四节“否决投标条件</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5"/>
          <w:sz w:val="24"/>
          <w:szCs w:val="24"/>
          <w:highlight w:val="none"/>
        </w:rPr>
        <w:t>”第</w:t>
      </w:r>
      <w:r>
        <w:rPr>
          <w:rFonts w:hint="eastAsia" w:ascii="宋体" w:hAnsi="宋体" w:eastAsia="宋体" w:cs="宋体"/>
          <w:b/>
          <w:bCs/>
          <w:color w:val="auto"/>
          <w:sz w:val="24"/>
          <w:szCs w:val="24"/>
          <w:highlight w:val="none"/>
        </w:rPr>
        <w:t>1</w:t>
      </w:r>
      <w:r>
        <w:rPr>
          <w:rFonts w:hint="eastAsia" w:ascii="宋体" w:hAnsi="宋体" w:eastAsia="宋体" w:cs="宋体"/>
          <w:color w:val="auto"/>
          <w:sz w:val="24"/>
          <w:szCs w:val="24"/>
          <w:highlight w:val="none"/>
        </w:rPr>
        <w:t>条至第</w:t>
      </w:r>
      <w:r>
        <w:rPr>
          <w:rFonts w:hint="eastAsia" w:ascii="宋体" w:hAnsi="宋体" w:eastAsia="宋体" w:cs="宋体"/>
          <w:color w:val="auto"/>
          <w:spacing w:val="-46"/>
          <w:sz w:val="24"/>
          <w:szCs w:val="24"/>
          <w:highlight w:val="none"/>
        </w:rPr>
        <w:t xml:space="preserve"> </w:t>
      </w:r>
      <w:r>
        <w:rPr>
          <w:rFonts w:hint="eastAsia" w:ascii="宋体" w:hAnsi="宋体" w:eastAsia="宋体" w:cs="宋体"/>
          <w:b/>
          <w:bCs/>
          <w:color w:val="auto"/>
          <w:sz w:val="24"/>
          <w:szCs w:val="24"/>
          <w:highlight w:val="none"/>
        </w:rPr>
        <w:t>4</w:t>
      </w:r>
      <w:r>
        <w:rPr>
          <w:rFonts w:hint="eastAsia" w:ascii="宋体" w:hAnsi="宋体" w:eastAsia="宋体" w:cs="宋体"/>
          <w:color w:val="auto"/>
          <w:sz w:val="24"/>
          <w:szCs w:val="24"/>
          <w:highlight w:val="none"/>
        </w:rPr>
        <w:t>条中集中列示。投标人有其中所列任何一种情形的，由评标委员会否决其</w:t>
      </w:r>
      <w:r>
        <w:rPr>
          <w:rFonts w:hint="eastAsia" w:ascii="宋体" w:hAnsi="宋体" w:eastAsia="宋体" w:cs="宋体"/>
          <w:color w:val="auto"/>
          <w:spacing w:val="-1"/>
          <w:sz w:val="24"/>
          <w:szCs w:val="24"/>
          <w:highlight w:val="none"/>
        </w:rPr>
        <w:t>投标。在初步评审阶段任何环节被否决的投标人，不进入下一环</w:t>
      </w:r>
      <w:r>
        <w:rPr>
          <w:rFonts w:hint="eastAsia" w:ascii="宋体" w:hAnsi="宋体" w:eastAsia="宋体" w:cs="宋体"/>
          <w:color w:val="auto"/>
          <w:spacing w:val="-2"/>
          <w:sz w:val="24"/>
          <w:szCs w:val="24"/>
          <w:highlight w:val="none"/>
        </w:rPr>
        <w:t>节（或阶段）评审。</w:t>
      </w:r>
      <w:r>
        <w:rPr>
          <w:rFonts w:hint="eastAsia" w:ascii="宋体" w:hAnsi="宋体" w:eastAsia="宋体" w:cs="宋体"/>
          <w:color w:val="auto"/>
          <w:spacing w:val="-1"/>
          <w:sz w:val="24"/>
          <w:szCs w:val="24"/>
          <w:highlight w:val="none"/>
        </w:rPr>
        <w:t>在初步评审阶段任何环节。</w:t>
      </w:r>
      <w:r>
        <w:rPr>
          <w:rFonts w:hint="eastAsia" w:ascii="宋体" w:hAnsi="宋体" w:eastAsia="宋体" w:cs="宋体"/>
          <w:color w:val="auto"/>
          <w:sz w:val="24"/>
          <w:szCs w:val="24"/>
          <w:highlight w:val="none"/>
        </w:rPr>
        <w:t>评标委员会经评审，认为所有投标都不符合招标文件要求的，可否决所有投标，项目的所有投标被否决的，招标人应依法重新组织招标。</w:t>
      </w:r>
    </w:p>
    <w:p w14:paraId="4AB68C11">
      <w:pPr>
        <w:spacing w:before="78" w:line="221" w:lineRule="auto"/>
        <w:ind w:left="577"/>
        <w:rPr>
          <w:rFonts w:hint="eastAsia" w:ascii="宋体" w:hAnsi="宋体" w:eastAsia="宋体" w:cs="宋体"/>
          <w:color w:val="auto"/>
          <w:sz w:val="24"/>
          <w:szCs w:val="24"/>
          <w:highlight w:val="none"/>
        </w:rPr>
      </w:pPr>
      <w:r>
        <w:rPr>
          <w:rFonts w:hint="eastAsia" w:ascii="宋体" w:hAnsi="宋体" w:eastAsia="宋体" w:cs="宋体"/>
          <w:color w:val="auto"/>
          <w:highlight w:val="none"/>
        </w:rPr>
        <w:drawing>
          <wp:anchor distT="0" distB="0" distL="114300" distR="114300" simplePos="0" relativeHeight="251661312" behindDoc="1" locked="0" layoutInCell="1" allowOverlap="1">
            <wp:simplePos x="0" y="0"/>
            <wp:positionH relativeFrom="column">
              <wp:posOffset>4789170</wp:posOffset>
            </wp:positionH>
            <wp:positionV relativeFrom="paragraph">
              <wp:posOffset>236220</wp:posOffset>
            </wp:positionV>
            <wp:extent cx="6350" cy="279400"/>
            <wp:effectExtent l="0" t="0" r="0" b="0"/>
            <wp:wrapNone/>
            <wp:docPr id="31" name="IM 46"/>
            <wp:cNvGraphicFramePr/>
            <a:graphic xmlns:a="http://schemas.openxmlformats.org/drawingml/2006/main">
              <a:graphicData uri="http://schemas.openxmlformats.org/drawingml/2006/picture">
                <pic:pic xmlns:pic="http://schemas.openxmlformats.org/drawingml/2006/picture">
                  <pic:nvPicPr>
                    <pic:cNvPr id="31" name="IM 46"/>
                    <pic:cNvPicPr/>
                  </pic:nvPicPr>
                  <pic:blipFill>
                    <a:blip r:embed="rId28"/>
                    <a:stretch>
                      <a:fillRect/>
                    </a:stretch>
                  </pic:blipFill>
                  <pic:spPr>
                    <a:xfrm>
                      <a:off x="0" y="0"/>
                      <a:ext cx="6350" cy="279400"/>
                    </a:xfrm>
                    <a:prstGeom prst="rect">
                      <a:avLst/>
                    </a:prstGeom>
                    <a:noFill/>
                    <a:ln>
                      <a:noFill/>
                    </a:ln>
                  </pic:spPr>
                </pic:pic>
              </a:graphicData>
            </a:graphic>
          </wp:anchor>
        </w:drawing>
      </w:r>
      <w:bookmarkStart w:id="108" w:name="bookmark128"/>
      <w:bookmarkEnd w:id="108"/>
      <w:r>
        <w:rPr>
          <w:rFonts w:hint="eastAsia" w:ascii="宋体" w:hAnsi="宋体" w:eastAsia="宋体" w:cs="宋体"/>
          <w:b/>
          <w:bCs/>
          <w:color w:val="auto"/>
          <w:spacing w:val="-2"/>
          <w:sz w:val="24"/>
          <w:szCs w:val="24"/>
          <w:highlight w:val="none"/>
        </w:rPr>
        <w:t xml:space="preserve">15.5  </w:t>
      </w:r>
      <w:r>
        <w:rPr>
          <w:rFonts w:hint="eastAsia" w:ascii="宋体" w:hAnsi="宋体" w:eastAsia="宋体" w:cs="宋体"/>
          <w:color w:val="auto"/>
          <w:spacing w:val="-2"/>
          <w:sz w:val="24"/>
          <w:szCs w:val="24"/>
          <w:highlight w:val="none"/>
        </w:rPr>
        <w:t>详细评审阶段</w:t>
      </w:r>
    </w:p>
    <w:p w14:paraId="21AA4981">
      <w:pPr>
        <w:spacing w:before="81" w:line="211" w:lineRule="auto"/>
        <w:ind w:left="498"/>
        <w:outlineLvl w:val="9"/>
        <w:rPr>
          <w:rFonts w:hint="eastAsia" w:ascii="宋体" w:hAnsi="宋体" w:eastAsia="宋体" w:cs="宋体"/>
          <w:color w:val="auto"/>
          <w:sz w:val="25"/>
          <w:szCs w:val="25"/>
          <w:highlight w:val="none"/>
        </w:rPr>
      </w:pPr>
      <w:bookmarkStart w:id="109" w:name="_Toc14991"/>
      <w:bookmarkStart w:id="110" w:name="_Toc10503"/>
      <w:bookmarkStart w:id="111" w:name="_Toc28572"/>
      <w:bookmarkStart w:id="112" w:name="_Toc4119"/>
      <w:r>
        <w:rPr>
          <w:rFonts w:hint="eastAsia" w:ascii="宋体" w:hAnsi="宋体" w:eastAsia="宋体" w:cs="宋体"/>
          <w:b/>
          <w:bCs/>
          <w:color w:val="auto"/>
          <w:spacing w:val="-3"/>
          <w:sz w:val="24"/>
          <w:szCs w:val="24"/>
          <w:highlight w:val="none"/>
        </w:rPr>
        <w:t xml:space="preserve">15.5.1  </w:t>
      </w:r>
      <w:r>
        <w:rPr>
          <w:rFonts w:hint="eastAsia" w:ascii="宋体" w:hAnsi="宋体" w:eastAsia="宋体" w:cs="宋体"/>
          <w:color w:val="auto"/>
          <w:spacing w:val="-3"/>
          <w:sz w:val="24"/>
          <w:szCs w:val="24"/>
          <w:highlight w:val="none"/>
        </w:rPr>
        <w:t>“综合评估法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”评审程序</w:t>
      </w:r>
      <w:bookmarkEnd w:id="109"/>
      <w:bookmarkEnd w:id="110"/>
      <w:bookmarkEnd w:id="111"/>
      <w:bookmarkEnd w:id="112"/>
    </w:p>
    <w:p w14:paraId="5801B40B">
      <w:pPr>
        <w:spacing w:before="152" w:line="329" w:lineRule="auto"/>
        <w:ind w:left="14" w:right="81" w:firstLine="47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评审内容分为商务技术和投标报价两大部分。其中，商</w:t>
      </w:r>
      <w:r>
        <w:rPr>
          <w:rFonts w:hint="eastAsia" w:ascii="宋体" w:hAnsi="宋体" w:eastAsia="宋体" w:cs="宋体"/>
          <w:color w:val="auto"/>
          <w:spacing w:val="-2"/>
          <w:sz w:val="24"/>
          <w:szCs w:val="24"/>
          <w:highlight w:val="none"/>
        </w:rPr>
        <w:t>务技术合计满分</w:t>
      </w:r>
      <w:r>
        <w:rPr>
          <w:rFonts w:hint="eastAsia" w:ascii="宋体" w:hAnsi="宋体" w:eastAsia="宋体" w:cs="宋体"/>
          <w:color w:val="auto"/>
          <w:spacing w:val="-2"/>
          <w:sz w:val="24"/>
          <w:szCs w:val="24"/>
          <w:highlight w:val="none"/>
          <w:lang w:eastAsia="zh-CN"/>
        </w:rPr>
        <w:t>100</w:t>
      </w:r>
      <w:r>
        <w:rPr>
          <w:rFonts w:hint="eastAsia" w:ascii="宋体" w:hAnsi="宋体" w:eastAsia="宋体" w:cs="宋体"/>
          <w:color w:val="auto"/>
          <w:spacing w:val="-2"/>
          <w:sz w:val="24"/>
          <w:szCs w:val="24"/>
          <w:highlight w:val="none"/>
        </w:rPr>
        <w:t>分，权重</w:t>
      </w:r>
      <w:r>
        <w:rPr>
          <w:rFonts w:hint="eastAsia" w:ascii="宋体" w:hAnsi="宋体" w:eastAsia="宋体" w:cs="宋体"/>
          <w:color w:val="auto"/>
          <w:spacing w:val="-3"/>
          <w:sz w:val="24"/>
          <w:szCs w:val="24"/>
          <w:highlight w:val="none"/>
        </w:rPr>
        <w:t>为</w:t>
      </w:r>
      <w:r>
        <w:rPr>
          <w:rFonts w:hint="eastAsia" w:ascii="宋体" w:hAnsi="宋体" w:eastAsia="宋体" w:cs="宋体"/>
          <w:color w:val="auto"/>
          <w:spacing w:val="-3"/>
          <w:sz w:val="24"/>
          <w:szCs w:val="24"/>
          <w:highlight w:val="none"/>
          <w:lang w:eastAsia="zh-CN"/>
        </w:rPr>
        <w:t>40</w:t>
      </w:r>
      <w:r>
        <w:rPr>
          <w:rFonts w:hint="eastAsia" w:ascii="宋体" w:hAnsi="宋体" w:eastAsia="宋体" w:cs="宋体"/>
          <w:color w:val="auto"/>
          <w:spacing w:val="-3"/>
          <w:sz w:val="24"/>
          <w:szCs w:val="24"/>
          <w:highlight w:val="none"/>
        </w:rPr>
        <w:t>%；投标报价满分</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3"/>
          <w:sz w:val="24"/>
          <w:szCs w:val="24"/>
          <w:highlight w:val="none"/>
        </w:rPr>
        <w:t>100 分，权重为</w:t>
      </w:r>
      <w:r>
        <w:rPr>
          <w:rFonts w:hint="eastAsia" w:ascii="宋体" w:hAnsi="宋体" w:eastAsia="宋体" w:cs="宋体"/>
          <w:color w:val="auto"/>
          <w:spacing w:val="-3"/>
          <w:sz w:val="24"/>
          <w:szCs w:val="24"/>
          <w:highlight w:val="none"/>
          <w:lang w:eastAsia="zh-CN"/>
        </w:rPr>
        <w:t>60</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。两大部分权重之和应为</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3"/>
          <w:sz w:val="24"/>
          <w:szCs w:val="24"/>
          <w:highlight w:val="none"/>
        </w:rPr>
        <w:t>100%。</w:t>
      </w:r>
    </w:p>
    <w:p w14:paraId="7F93F86E">
      <w:pPr>
        <w:spacing w:before="153" w:line="324" w:lineRule="auto"/>
        <w:ind w:left="14" w:right="81"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除特别注明外，综合得分以及商务技术得分、投标报价得分的中间过程计算值和</w:t>
      </w:r>
      <w:r>
        <w:rPr>
          <w:rFonts w:hint="eastAsia" w:ascii="宋体" w:hAnsi="宋体" w:eastAsia="宋体" w:cs="宋体"/>
          <w:color w:val="auto"/>
          <w:spacing w:val="-4"/>
          <w:sz w:val="24"/>
          <w:szCs w:val="24"/>
          <w:highlight w:val="none"/>
        </w:rPr>
        <w:t>最终值，均按“</w:t>
      </w:r>
      <w:r>
        <w:rPr>
          <w:rFonts w:hint="eastAsia" w:ascii="宋体" w:hAnsi="宋体" w:eastAsia="宋体" w:cs="宋体"/>
          <w:color w:val="auto"/>
          <w:spacing w:val="-78"/>
          <w:sz w:val="24"/>
          <w:szCs w:val="24"/>
          <w:highlight w:val="none"/>
        </w:rPr>
        <w:t xml:space="preserve"> </w:t>
      </w:r>
      <w:r>
        <w:rPr>
          <w:rFonts w:hint="eastAsia" w:ascii="宋体" w:hAnsi="宋体" w:eastAsia="宋体" w:cs="宋体"/>
          <w:color w:val="auto"/>
          <w:spacing w:val="-4"/>
          <w:sz w:val="24"/>
          <w:szCs w:val="24"/>
          <w:highlight w:val="none"/>
        </w:rPr>
        <w:t>四舍五入</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”原则精确到两位小数。</w:t>
      </w:r>
    </w:p>
    <w:p w14:paraId="1F4AF271">
      <w:pPr>
        <w:spacing w:before="38" w:line="220" w:lineRule="auto"/>
        <w:ind w:left="503"/>
        <w:outlineLvl w:val="9"/>
        <w:rPr>
          <w:rFonts w:hint="eastAsia" w:ascii="宋体" w:hAnsi="宋体" w:eastAsia="宋体" w:cs="宋体"/>
          <w:color w:val="auto"/>
          <w:sz w:val="24"/>
          <w:szCs w:val="24"/>
          <w:highlight w:val="none"/>
        </w:rPr>
      </w:pPr>
      <w:bookmarkStart w:id="113" w:name="_Toc17510"/>
      <w:bookmarkStart w:id="114" w:name="_Toc10398"/>
      <w:bookmarkStart w:id="115" w:name="_Toc18029"/>
      <w:bookmarkStart w:id="116" w:name="_Toc22949"/>
      <w:r>
        <w:rPr>
          <w:rFonts w:hint="eastAsia" w:ascii="宋体" w:hAnsi="宋体" w:eastAsia="宋体" w:cs="宋体"/>
          <w:color w:val="auto"/>
          <w:spacing w:val="-3"/>
          <w:sz w:val="24"/>
          <w:szCs w:val="24"/>
          <w:highlight w:val="none"/>
        </w:rPr>
        <w:t>（1）商务技术得分</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M</w:t>
      </w:r>
      <w:bookmarkEnd w:id="113"/>
      <w:bookmarkEnd w:id="114"/>
      <w:bookmarkEnd w:id="115"/>
      <w:bookmarkEnd w:id="116"/>
    </w:p>
    <w:p w14:paraId="392026E4">
      <w:pPr>
        <w:spacing w:before="153" w:line="279" w:lineRule="auto"/>
        <w:ind w:left="15" w:right="81"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a</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color w:val="auto"/>
          <w:spacing w:val="1"/>
          <w:sz w:val="24"/>
          <w:szCs w:val="24"/>
          <w:highlight w:val="none"/>
        </w:rPr>
        <w:t>．评标委员会按照《综合评分表》商务部分指定的评分标准对各评分因素进行</w:t>
      </w:r>
      <w:r>
        <w:rPr>
          <w:rFonts w:hint="eastAsia" w:ascii="宋体" w:hAnsi="宋体" w:eastAsia="宋体" w:cs="宋体"/>
          <w:color w:val="auto"/>
          <w:spacing w:val="-1"/>
          <w:sz w:val="24"/>
          <w:szCs w:val="24"/>
          <w:highlight w:val="none"/>
        </w:rPr>
        <w:t>打分。各评分因素得分之和即为某投标人的商务得分</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1"/>
          <w:sz w:val="24"/>
          <w:szCs w:val="24"/>
          <w:highlight w:val="none"/>
        </w:rPr>
        <w:t>M</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1"/>
          <w:sz w:val="24"/>
          <w:szCs w:val="24"/>
          <w:highlight w:val="none"/>
        </w:rPr>
        <w:t>。</w:t>
      </w:r>
    </w:p>
    <w:p w14:paraId="2881815B">
      <w:pPr>
        <w:spacing w:before="154" w:line="299" w:lineRule="auto"/>
        <w:ind w:left="12" w:right="8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b</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color w:val="auto"/>
          <w:spacing w:val="1"/>
          <w:sz w:val="24"/>
          <w:szCs w:val="24"/>
          <w:highlight w:val="none"/>
        </w:rPr>
        <w:t>．评标委员会各成员独立按照《综合评分表》技术部分（施工组织设</w:t>
      </w:r>
      <w:r>
        <w:rPr>
          <w:rFonts w:hint="eastAsia" w:ascii="宋体" w:hAnsi="宋体" w:eastAsia="宋体" w:cs="宋体"/>
          <w:color w:val="auto"/>
          <w:sz w:val="24"/>
          <w:szCs w:val="24"/>
          <w:highlight w:val="none"/>
        </w:rPr>
        <w:t>计）指定</w:t>
      </w:r>
      <w:r>
        <w:rPr>
          <w:rFonts w:hint="eastAsia" w:ascii="宋体" w:hAnsi="宋体" w:eastAsia="宋体" w:cs="宋体"/>
          <w:color w:val="auto"/>
          <w:spacing w:val="-1"/>
          <w:sz w:val="24"/>
          <w:szCs w:val="24"/>
          <w:highlight w:val="none"/>
        </w:rPr>
        <w:t>的评分标准对各评分因素进行打分，累加后得出技术评分。</w:t>
      </w:r>
      <w:r>
        <w:rPr>
          <w:rFonts w:hint="eastAsia" w:ascii="宋体" w:hAnsi="宋体" w:eastAsia="宋体" w:cs="宋体"/>
          <w:color w:val="auto"/>
          <w:spacing w:val="-2"/>
          <w:sz w:val="24"/>
          <w:szCs w:val="24"/>
          <w:highlight w:val="none"/>
        </w:rPr>
        <w:t>将评标委员会所有成员的</w:t>
      </w:r>
      <w:r>
        <w:rPr>
          <w:rFonts w:hint="eastAsia" w:ascii="宋体" w:hAnsi="宋体" w:eastAsia="宋体" w:cs="宋体"/>
          <w:color w:val="auto"/>
          <w:sz w:val="24"/>
          <w:szCs w:val="24"/>
          <w:highlight w:val="none"/>
        </w:rPr>
        <w:t>技术评分去掉最高分和最低分后，取算术平均值，即</w:t>
      </w:r>
      <w:r>
        <w:rPr>
          <w:rFonts w:hint="eastAsia" w:ascii="宋体" w:hAnsi="宋体" w:eastAsia="宋体" w:cs="宋体"/>
          <w:color w:val="auto"/>
          <w:spacing w:val="-1"/>
          <w:sz w:val="24"/>
          <w:szCs w:val="24"/>
          <w:highlight w:val="none"/>
        </w:rPr>
        <w:t>为某投标人的技术得分</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1"/>
          <w:sz w:val="24"/>
          <w:szCs w:val="24"/>
          <w:highlight w:val="none"/>
        </w:rPr>
        <w:t>M</w:t>
      </w:r>
      <w:r>
        <w:rPr>
          <w:rFonts w:hint="eastAsia" w:ascii="宋体" w:hAnsi="宋体" w:eastAsia="宋体" w:cs="宋体"/>
          <w:color w:val="auto"/>
          <w:spacing w:val="-1"/>
          <w:position w:val="-1"/>
          <w:sz w:val="15"/>
          <w:szCs w:val="15"/>
          <w:highlight w:val="none"/>
        </w:rPr>
        <w:t>2</w:t>
      </w:r>
      <w:r>
        <w:rPr>
          <w:rFonts w:hint="eastAsia" w:ascii="宋体" w:hAnsi="宋体" w:eastAsia="宋体" w:cs="宋体"/>
          <w:color w:val="auto"/>
          <w:spacing w:val="-1"/>
          <w:sz w:val="24"/>
          <w:szCs w:val="24"/>
          <w:highlight w:val="none"/>
        </w:rPr>
        <w:t>。</w:t>
      </w:r>
    </w:p>
    <w:p w14:paraId="16A785CF">
      <w:pPr>
        <w:spacing w:before="155" w:line="231" w:lineRule="auto"/>
        <w:ind w:left="491"/>
        <w:rPr>
          <w:rFonts w:hint="eastAsia" w:ascii="宋体" w:hAnsi="宋体" w:eastAsia="宋体" w:cs="宋体"/>
          <w:color w:val="auto"/>
          <w:sz w:val="15"/>
          <w:szCs w:val="15"/>
          <w:highlight w:val="none"/>
        </w:rPr>
      </w:pPr>
      <w:r>
        <w:rPr>
          <w:rFonts w:hint="eastAsia" w:ascii="宋体" w:hAnsi="宋体" w:eastAsia="宋体" w:cs="宋体"/>
          <w:b/>
          <w:bCs/>
          <w:color w:val="auto"/>
          <w:spacing w:val="-12"/>
          <w:sz w:val="24"/>
          <w:szCs w:val="24"/>
          <w:highlight w:val="none"/>
        </w:rPr>
        <w:t>c</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color w:val="auto"/>
          <w:spacing w:val="-12"/>
          <w:sz w:val="24"/>
          <w:szCs w:val="24"/>
          <w:highlight w:val="none"/>
        </w:rPr>
        <w:t>．M</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12"/>
          <w:sz w:val="24"/>
          <w:szCs w:val="24"/>
          <w:highlight w:val="none"/>
        </w:rPr>
        <w:t>＝M</w:t>
      </w:r>
      <w:r>
        <w:rPr>
          <w:rFonts w:hint="eastAsia" w:ascii="宋体" w:hAnsi="宋体" w:eastAsia="宋体" w:cs="宋体"/>
          <w:color w:val="auto"/>
          <w:spacing w:val="-12"/>
          <w:position w:val="-1"/>
          <w:sz w:val="15"/>
          <w:szCs w:val="15"/>
          <w:highlight w:val="none"/>
        </w:rPr>
        <w:t>1</w:t>
      </w:r>
      <w:r>
        <w:rPr>
          <w:rFonts w:hint="eastAsia" w:ascii="宋体" w:hAnsi="宋体" w:eastAsia="宋体" w:cs="宋体"/>
          <w:color w:val="auto"/>
          <w:sz w:val="24"/>
          <w:szCs w:val="24"/>
          <w:highlight w:val="none"/>
        </w:rPr>
        <w:t>＋M</w:t>
      </w:r>
      <w:r>
        <w:rPr>
          <w:rFonts w:hint="eastAsia" w:ascii="宋体" w:hAnsi="宋体" w:eastAsia="宋体" w:cs="宋体"/>
          <w:color w:val="auto"/>
          <w:position w:val="-1"/>
          <w:sz w:val="15"/>
          <w:szCs w:val="15"/>
          <w:highlight w:val="none"/>
        </w:rPr>
        <w:t>2</w:t>
      </w:r>
    </w:p>
    <w:p w14:paraId="0A2F9F5C">
      <w:pPr>
        <w:spacing w:before="139" w:line="220" w:lineRule="auto"/>
        <w:ind w:left="49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式中：M</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12"/>
          <w:w w:val="101"/>
          <w:position w:val="-1"/>
          <w:sz w:val="15"/>
          <w:szCs w:val="15"/>
          <w:highlight w:val="none"/>
        </w:rPr>
        <w:t xml:space="preserve"> </w:t>
      </w:r>
      <w:r>
        <w:rPr>
          <w:rFonts w:hint="eastAsia" w:ascii="宋体" w:hAnsi="宋体" w:eastAsia="宋体" w:cs="宋体"/>
          <w:color w:val="auto"/>
          <w:spacing w:val="-1"/>
          <w:sz w:val="24"/>
          <w:szCs w:val="24"/>
          <w:highlight w:val="none"/>
        </w:rPr>
        <w:t>为某投标人的商务得分，M</w:t>
      </w:r>
      <w:r>
        <w:rPr>
          <w:rFonts w:hint="eastAsia" w:ascii="宋体" w:hAnsi="宋体" w:eastAsia="宋体" w:cs="宋体"/>
          <w:color w:val="auto"/>
          <w:spacing w:val="-1"/>
          <w:position w:val="-1"/>
          <w:sz w:val="15"/>
          <w:szCs w:val="15"/>
          <w:highlight w:val="none"/>
        </w:rPr>
        <w:t>2</w:t>
      </w:r>
      <w:r>
        <w:rPr>
          <w:rFonts w:hint="eastAsia" w:ascii="宋体" w:hAnsi="宋体" w:eastAsia="宋体" w:cs="宋体"/>
          <w:color w:val="auto"/>
          <w:spacing w:val="12"/>
          <w:position w:val="-1"/>
          <w:sz w:val="15"/>
          <w:szCs w:val="15"/>
          <w:highlight w:val="none"/>
        </w:rPr>
        <w:t xml:space="preserve"> </w:t>
      </w:r>
      <w:r>
        <w:rPr>
          <w:rFonts w:hint="eastAsia" w:ascii="宋体" w:hAnsi="宋体" w:eastAsia="宋体" w:cs="宋体"/>
          <w:color w:val="auto"/>
          <w:spacing w:val="-1"/>
          <w:sz w:val="24"/>
          <w:szCs w:val="24"/>
          <w:highlight w:val="none"/>
        </w:rPr>
        <w:t>为某投标人的</w:t>
      </w:r>
      <w:r>
        <w:rPr>
          <w:rFonts w:hint="eastAsia" w:ascii="宋体" w:hAnsi="宋体" w:eastAsia="宋体" w:cs="宋体"/>
          <w:color w:val="auto"/>
          <w:spacing w:val="-2"/>
          <w:sz w:val="24"/>
          <w:szCs w:val="24"/>
          <w:highlight w:val="none"/>
        </w:rPr>
        <w:t>技术得分。</w:t>
      </w:r>
    </w:p>
    <w:p w14:paraId="48783CD0">
      <w:pPr>
        <w:spacing w:before="153" w:line="219" w:lineRule="auto"/>
        <w:ind w:left="503"/>
        <w:outlineLvl w:val="9"/>
        <w:rPr>
          <w:rFonts w:hint="eastAsia" w:ascii="宋体" w:hAnsi="宋体" w:eastAsia="宋体" w:cs="宋体"/>
          <w:color w:val="auto"/>
          <w:sz w:val="24"/>
          <w:szCs w:val="24"/>
          <w:highlight w:val="none"/>
        </w:rPr>
      </w:pPr>
      <w:bookmarkStart w:id="117" w:name="_Toc14059"/>
      <w:bookmarkStart w:id="118" w:name="_Toc16136"/>
      <w:bookmarkStart w:id="119" w:name="_Toc27609"/>
      <w:bookmarkStart w:id="120" w:name="_Toc3958"/>
      <w:r>
        <w:rPr>
          <w:rFonts w:hint="eastAsia" w:ascii="宋体" w:hAnsi="宋体" w:eastAsia="宋体" w:cs="宋体"/>
          <w:color w:val="auto"/>
          <w:spacing w:val="-2"/>
          <w:sz w:val="24"/>
          <w:szCs w:val="24"/>
          <w:highlight w:val="none"/>
        </w:rPr>
        <w:t>（2）投标报价得分</w:t>
      </w:r>
      <w:r>
        <w:rPr>
          <w:rFonts w:hint="eastAsia" w:ascii="宋体" w:hAnsi="宋体" w:eastAsia="宋体" w:cs="宋体"/>
          <w:color w:val="auto"/>
          <w:spacing w:val="-62"/>
          <w:sz w:val="24"/>
          <w:szCs w:val="24"/>
          <w:highlight w:val="none"/>
        </w:rPr>
        <w:t xml:space="preserve"> </w:t>
      </w:r>
      <w:r>
        <w:rPr>
          <w:rFonts w:hint="eastAsia" w:ascii="宋体" w:hAnsi="宋体" w:eastAsia="宋体" w:cs="宋体"/>
          <w:color w:val="auto"/>
          <w:spacing w:val="-2"/>
          <w:sz w:val="24"/>
          <w:szCs w:val="24"/>
          <w:highlight w:val="none"/>
        </w:rPr>
        <w:t>N</w:t>
      </w:r>
      <w:bookmarkEnd w:id="117"/>
      <w:bookmarkEnd w:id="118"/>
      <w:bookmarkEnd w:id="119"/>
      <w:bookmarkEnd w:id="120"/>
    </w:p>
    <w:p w14:paraId="32CC3A83">
      <w:pPr>
        <w:spacing w:before="157" w:line="219" w:lineRule="auto"/>
        <w:ind w:firstLine="470"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a</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color w:val="auto"/>
          <w:spacing w:val="-3"/>
          <w:sz w:val="24"/>
          <w:szCs w:val="24"/>
          <w:highlight w:val="none"/>
        </w:rPr>
        <w:t>．评标委员会按照《综合评分表》投标报价部分指定的方法计</w:t>
      </w:r>
      <w:r>
        <w:rPr>
          <w:rFonts w:hint="eastAsia" w:ascii="宋体" w:hAnsi="宋体" w:eastAsia="宋体" w:cs="宋体"/>
          <w:color w:val="auto"/>
          <w:spacing w:val="-4"/>
          <w:sz w:val="24"/>
          <w:szCs w:val="24"/>
          <w:highlight w:val="none"/>
        </w:rPr>
        <w:t>算评标基准价</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pacing w:val="-4"/>
          <w:sz w:val="24"/>
          <w:szCs w:val="24"/>
          <w:highlight w:val="none"/>
        </w:rPr>
        <w:t>D。</w:t>
      </w:r>
    </w:p>
    <w:p w14:paraId="244C81B9">
      <w:pPr>
        <w:spacing w:before="155" w:line="299" w:lineRule="auto"/>
        <w:ind w:left="12" w:right="83"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b</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color w:val="auto"/>
          <w:sz w:val="24"/>
          <w:szCs w:val="24"/>
          <w:highlight w:val="none"/>
        </w:rPr>
        <w:t>．采用内插法计算某投标人的投标报价得分</w:t>
      </w:r>
      <w:r>
        <w:rPr>
          <w:rFonts w:hint="eastAsia" w:ascii="宋体" w:hAnsi="宋体" w:eastAsia="宋体" w:cs="宋体"/>
          <w:color w:val="auto"/>
          <w:spacing w:val="-60"/>
          <w:sz w:val="24"/>
          <w:szCs w:val="24"/>
          <w:highlight w:val="none"/>
        </w:rPr>
        <w:t xml:space="preserve"> </w:t>
      </w:r>
      <w:r>
        <w:rPr>
          <w:rFonts w:hint="eastAsia" w:ascii="宋体" w:hAnsi="宋体" w:eastAsia="宋体" w:cs="宋体"/>
          <w:color w:val="auto"/>
          <w:sz w:val="24"/>
          <w:szCs w:val="24"/>
          <w:highlight w:val="none"/>
        </w:rPr>
        <w:t>N</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z w:val="24"/>
          <w:szCs w:val="24"/>
          <w:highlight w:val="none"/>
        </w:rPr>
        <w:t>，即当投标人的投标总价等于评</w:t>
      </w:r>
      <w:r>
        <w:rPr>
          <w:rFonts w:hint="eastAsia" w:ascii="宋体" w:hAnsi="宋体" w:eastAsia="宋体" w:cs="宋体"/>
          <w:color w:val="auto"/>
          <w:spacing w:val="-1"/>
          <w:sz w:val="24"/>
          <w:szCs w:val="24"/>
          <w:highlight w:val="none"/>
        </w:rPr>
        <w:t>标基准价时得</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1"/>
          <w:sz w:val="24"/>
          <w:szCs w:val="24"/>
          <w:highlight w:val="none"/>
        </w:rPr>
        <w:t>100分，每高于评标基准价一个百分点扣</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1"/>
          <w:sz w:val="24"/>
          <w:szCs w:val="24"/>
          <w:highlight w:val="none"/>
        </w:rPr>
        <w:t xml:space="preserve">1分,  </w:t>
      </w:r>
      <w:r>
        <w:rPr>
          <w:rFonts w:hint="eastAsia" w:ascii="宋体" w:hAnsi="宋体" w:eastAsia="宋体" w:cs="宋体"/>
          <w:color w:val="auto"/>
          <w:spacing w:val="-2"/>
          <w:sz w:val="24"/>
          <w:szCs w:val="24"/>
          <w:highlight w:val="none"/>
        </w:rPr>
        <w:t>每低于评标基准价一个百分点扣</w:t>
      </w:r>
      <w:r>
        <w:rPr>
          <w:rFonts w:hint="eastAsia" w:ascii="宋体" w:hAnsi="宋体" w:eastAsia="宋体" w:cs="宋体"/>
          <w:color w:val="auto"/>
          <w:spacing w:val="-34"/>
          <w:sz w:val="24"/>
          <w:szCs w:val="24"/>
          <w:highlight w:val="none"/>
        </w:rPr>
        <w:t xml:space="preserve"> </w:t>
      </w:r>
      <w:r>
        <w:rPr>
          <w:rFonts w:hint="eastAsia" w:ascii="宋体" w:hAnsi="宋体" w:eastAsia="宋体" w:cs="宋体"/>
          <w:b/>
          <w:bCs/>
          <w:color w:val="auto"/>
          <w:spacing w:val="-2"/>
          <w:sz w:val="24"/>
          <w:szCs w:val="24"/>
          <w:highlight w:val="none"/>
        </w:rPr>
        <w:t>0.5 分</w:t>
      </w:r>
      <w:r>
        <w:rPr>
          <w:rFonts w:hint="eastAsia" w:ascii="宋体" w:hAnsi="宋体" w:eastAsia="宋体" w:cs="宋体"/>
          <w:color w:val="auto"/>
          <w:spacing w:val="-2"/>
          <w:sz w:val="24"/>
          <w:szCs w:val="24"/>
          <w:highlight w:val="none"/>
        </w:rPr>
        <w:t>，扣完为止。公式如下：</w:t>
      </w:r>
    </w:p>
    <w:p w14:paraId="7BBB0CF5">
      <w:pPr>
        <w:spacing w:before="118" w:line="333" w:lineRule="exact"/>
        <w:ind w:left="2418"/>
        <w:rPr>
          <w:rFonts w:hint="eastAsia" w:ascii="宋体" w:hAnsi="宋体" w:eastAsia="宋体" w:cs="宋体"/>
          <w:color w:val="auto"/>
          <w:sz w:val="24"/>
          <w:szCs w:val="24"/>
          <w:highlight w:val="none"/>
        </w:rPr>
      </w:pPr>
      <w:r>
        <w:rPr>
          <w:rFonts w:hint="eastAsia" w:ascii="宋体" w:hAnsi="宋体" w:eastAsia="宋体" w:cs="宋体"/>
          <w:color w:val="auto"/>
          <w:spacing w:val="-6"/>
          <w:position w:val="3"/>
          <w:sz w:val="24"/>
          <w:szCs w:val="24"/>
          <w:highlight w:val="none"/>
        </w:rPr>
        <w:t>N</w:t>
      </w:r>
      <w:r>
        <w:rPr>
          <w:rFonts w:hint="eastAsia" w:ascii="宋体" w:hAnsi="宋体" w:eastAsia="宋体" w:cs="宋体"/>
          <w:color w:val="auto"/>
          <w:spacing w:val="-27"/>
          <w:position w:val="3"/>
          <w:sz w:val="24"/>
          <w:szCs w:val="24"/>
          <w:highlight w:val="none"/>
        </w:rPr>
        <w:t xml:space="preserve"> </w:t>
      </w:r>
      <w:r>
        <w:rPr>
          <w:rFonts w:hint="eastAsia" w:ascii="宋体" w:hAnsi="宋体" w:eastAsia="宋体" w:cs="宋体"/>
          <w:color w:val="auto"/>
          <w:spacing w:val="-6"/>
          <w:position w:val="3"/>
          <w:sz w:val="24"/>
          <w:szCs w:val="24"/>
          <w:highlight w:val="none"/>
        </w:rPr>
        <w:t>＝100</w:t>
      </w:r>
      <w:r>
        <w:rPr>
          <w:rFonts w:hint="eastAsia" w:ascii="宋体" w:hAnsi="宋体" w:eastAsia="宋体" w:cs="宋体"/>
          <w:color w:val="auto"/>
          <w:spacing w:val="-12"/>
          <w:position w:val="3"/>
          <w:sz w:val="24"/>
          <w:szCs w:val="24"/>
          <w:highlight w:val="none"/>
        </w:rPr>
        <w:t>－（</w:t>
      </w:r>
      <w:r>
        <w:rPr>
          <w:rFonts w:hint="eastAsia" w:ascii="宋体" w:hAnsi="宋体" w:eastAsia="宋体" w:cs="宋体"/>
          <w:color w:val="auto"/>
          <w:spacing w:val="-6"/>
          <w:position w:val="3"/>
          <w:sz w:val="24"/>
          <w:szCs w:val="24"/>
          <w:highlight w:val="none"/>
        </w:rPr>
        <w:t>|  Di－D</w:t>
      </w:r>
      <w:r>
        <w:rPr>
          <w:rFonts w:hint="eastAsia" w:ascii="宋体" w:hAnsi="宋体" w:eastAsia="宋体" w:cs="宋体"/>
          <w:color w:val="auto"/>
          <w:spacing w:val="9"/>
          <w:position w:val="3"/>
          <w:sz w:val="24"/>
          <w:szCs w:val="24"/>
          <w:highlight w:val="none"/>
        </w:rPr>
        <w:t xml:space="preserve">  </w:t>
      </w:r>
      <w:r>
        <w:rPr>
          <w:rFonts w:hint="eastAsia" w:ascii="宋体" w:hAnsi="宋体" w:eastAsia="宋体" w:cs="宋体"/>
          <w:color w:val="auto"/>
          <w:spacing w:val="-6"/>
          <w:position w:val="3"/>
          <w:sz w:val="24"/>
          <w:szCs w:val="24"/>
          <w:highlight w:val="none"/>
        </w:rPr>
        <w:t>|</w:t>
      </w:r>
      <w:r>
        <w:rPr>
          <w:rFonts w:hint="eastAsia" w:ascii="宋体" w:hAnsi="宋体" w:eastAsia="宋体" w:cs="宋体"/>
          <w:color w:val="auto"/>
          <w:spacing w:val="17"/>
          <w:position w:val="3"/>
          <w:sz w:val="24"/>
          <w:szCs w:val="24"/>
          <w:highlight w:val="none"/>
        </w:rPr>
        <w:t xml:space="preserve">  </w:t>
      </w:r>
      <w:r>
        <w:rPr>
          <w:rFonts w:hint="eastAsia" w:ascii="宋体" w:hAnsi="宋体" w:eastAsia="宋体" w:cs="宋体"/>
          <w:color w:val="auto"/>
          <w:spacing w:val="-6"/>
          <w:position w:val="3"/>
          <w:sz w:val="24"/>
          <w:szCs w:val="24"/>
          <w:highlight w:val="none"/>
        </w:rPr>
        <w:t>÷D）</w:t>
      </w:r>
      <w:r>
        <w:rPr>
          <w:rFonts w:hint="eastAsia" w:ascii="宋体" w:hAnsi="宋体" w:eastAsia="宋体" w:cs="宋体"/>
          <w:color w:val="auto"/>
          <w:spacing w:val="-75"/>
          <w:position w:val="3"/>
          <w:sz w:val="24"/>
          <w:szCs w:val="24"/>
          <w:highlight w:val="none"/>
        </w:rPr>
        <w:t xml:space="preserve"> </w:t>
      </w:r>
      <w:r>
        <w:rPr>
          <w:rFonts w:hint="eastAsia" w:ascii="宋体" w:hAnsi="宋体" w:eastAsia="宋体" w:cs="宋体"/>
          <w:color w:val="auto"/>
          <w:spacing w:val="-6"/>
          <w:position w:val="3"/>
          <w:sz w:val="24"/>
          <w:szCs w:val="24"/>
          <w:highlight w:val="none"/>
        </w:rPr>
        <w:t>×</w:t>
      </w:r>
      <w:r>
        <w:rPr>
          <w:rFonts w:hint="eastAsia" w:ascii="宋体" w:hAnsi="宋体" w:eastAsia="宋体" w:cs="宋体"/>
          <w:color w:val="auto"/>
          <w:spacing w:val="-92"/>
          <w:position w:val="3"/>
          <w:sz w:val="24"/>
          <w:szCs w:val="24"/>
          <w:highlight w:val="none"/>
        </w:rPr>
        <w:t xml:space="preserve"> </w:t>
      </w:r>
      <w:r>
        <w:rPr>
          <w:rFonts w:hint="eastAsia" w:ascii="宋体" w:hAnsi="宋体" w:eastAsia="宋体" w:cs="宋体"/>
          <w:color w:val="auto"/>
          <w:spacing w:val="-6"/>
          <w:position w:val="3"/>
          <w:sz w:val="24"/>
          <w:szCs w:val="24"/>
          <w:highlight w:val="none"/>
        </w:rPr>
        <w:t>100×E</w:t>
      </w:r>
    </w:p>
    <w:p w14:paraId="2D2C5A9B">
      <w:pPr>
        <w:spacing w:before="106" w:line="316" w:lineRule="auto"/>
        <w:ind w:left="7" w:right="17" w:firstLine="48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式中：D 为评标基准价；Di</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为某投标人的投标总价；E</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9"/>
          <w:sz w:val="24"/>
          <w:szCs w:val="24"/>
          <w:highlight w:val="none"/>
        </w:rPr>
        <w:t>为扣分因子，当</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9"/>
          <w:sz w:val="24"/>
          <w:szCs w:val="24"/>
          <w:highlight w:val="none"/>
        </w:rPr>
        <w:t>Di＞D</w:t>
      </w:r>
      <w:r>
        <w:rPr>
          <w:rFonts w:hint="eastAsia" w:ascii="宋体" w:hAnsi="宋体" w:eastAsia="宋体" w:cs="宋体"/>
          <w:color w:val="auto"/>
          <w:spacing w:val="22"/>
          <w:w w:val="101"/>
          <w:sz w:val="24"/>
          <w:szCs w:val="24"/>
          <w:highlight w:val="none"/>
        </w:rPr>
        <w:t xml:space="preserve"> </w:t>
      </w:r>
      <w:r>
        <w:rPr>
          <w:rFonts w:hint="eastAsia" w:ascii="宋体" w:hAnsi="宋体" w:eastAsia="宋体" w:cs="宋体"/>
          <w:color w:val="auto"/>
          <w:spacing w:val="-10"/>
          <w:sz w:val="24"/>
          <w:szCs w:val="24"/>
          <w:highlight w:val="none"/>
        </w:rPr>
        <w:t>时，</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E</w:t>
      </w:r>
      <w:r>
        <w:rPr>
          <w:rFonts w:hint="eastAsia" w:ascii="宋体" w:hAnsi="宋体" w:eastAsia="宋体" w:cs="宋体"/>
          <w:color w:val="auto"/>
          <w:spacing w:val="-24"/>
          <w:sz w:val="24"/>
          <w:szCs w:val="24"/>
          <w:highlight w:val="none"/>
        </w:rPr>
        <w:t xml:space="preserve"> </w:t>
      </w:r>
      <w:r>
        <w:rPr>
          <w:rFonts w:hint="eastAsia" w:ascii="宋体" w:hAnsi="宋体" w:eastAsia="宋体" w:cs="宋体"/>
          <w:color w:val="auto"/>
          <w:spacing w:val="-8"/>
          <w:sz w:val="24"/>
          <w:szCs w:val="24"/>
          <w:highlight w:val="none"/>
        </w:rPr>
        <w:t>＝</w:t>
      </w:r>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30"/>
          <w:sz w:val="24"/>
          <w:szCs w:val="24"/>
          <w:highlight w:val="none"/>
        </w:rPr>
        <w:t xml:space="preserve"> </w:t>
      </w:r>
      <w:r>
        <w:rPr>
          <w:rFonts w:hint="eastAsia" w:ascii="宋体" w:hAnsi="宋体" w:eastAsia="宋体" w:cs="宋体"/>
          <w:b/>
          <w:bCs/>
          <w:color w:val="auto"/>
          <w:spacing w:val="-8"/>
          <w:sz w:val="24"/>
          <w:szCs w:val="24"/>
          <w:highlight w:val="none"/>
        </w:rPr>
        <w:t>；</w:t>
      </w:r>
      <w:r>
        <w:rPr>
          <w:rFonts w:hint="eastAsia" w:ascii="宋体" w:hAnsi="宋体" w:eastAsia="宋体" w:cs="宋体"/>
          <w:color w:val="auto"/>
          <w:spacing w:val="-8"/>
          <w:sz w:val="24"/>
          <w:szCs w:val="24"/>
          <w:highlight w:val="none"/>
        </w:rPr>
        <w:t>当</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8"/>
          <w:sz w:val="24"/>
          <w:szCs w:val="24"/>
          <w:highlight w:val="none"/>
        </w:rPr>
        <w:t>Di＜D</w:t>
      </w:r>
      <w:r>
        <w:rPr>
          <w:rFonts w:hint="eastAsia" w:ascii="宋体" w:hAnsi="宋体" w:eastAsia="宋体" w:cs="宋体"/>
          <w:color w:val="auto"/>
          <w:spacing w:val="20"/>
          <w:w w:val="101"/>
          <w:sz w:val="24"/>
          <w:szCs w:val="24"/>
          <w:highlight w:val="none"/>
        </w:rPr>
        <w:t xml:space="preserve"> </w:t>
      </w:r>
      <w:r>
        <w:rPr>
          <w:rFonts w:hint="eastAsia" w:ascii="宋体" w:hAnsi="宋体" w:eastAsia="宋体" w:cs="宋体"/>
          <w:color w:val="auto"/>
          <w:spacing w:val="-8"/>
          <w:sz w:val="24"/>
          <w:szCs w:val="24"/>
          <w:highlight w:val="none"/>
        </w:rPr>
        <w:t>时，E</w:t>
      </w:r>
      <w:r>
        <w:rPr>
          <w:rFonts w:hint="eastAsia" w:ascii="宋体" w:hAnsi="宋体" w:eastAsia="宋体" w:cs="宋体"/>
          <w:color w:val="auto"/>
          <w:spacing w:val="-27"/>
          <w:sz w:val="24"/>
          <w:szCs w:val="24"/>
          <w:highlight w:val="none"/>
        </w:rPr>
        <w:t xml:space="preserve"> </w:t>
      </w:r>
      <w:r>
        <w:rPr>
          <w:rFonts w:hint="eastAsia" w:ascii="宋体" w:hAnsi="宋体" w:eastAsia="宋体" w:cs="宋体"/>
          <w:b/>
          <w:bCs/>
          <w:color w:val="auto"/>
          <w:spacing w:val="-8"/>
          <w:sz w:val="24"/>
          <w:szCs w:val="24"/>
          <w:highlight w:val="none"/>
        </w:rPr>
        <w:t>＝0.5。</w:t>
      </w:r>
    </w:p>
    <w:p w14:paraId="25245EA0">
      <w:pPr>
        <w:spacing w:before="95" w:line="220" w:lineRule="auto"/>
        <w:ind w:left="503"/>
        <w:outlineLvl w:val="9"/>
        <w:rPr>
          <w:rFonts w:hint="eastAsia" w:ascii="宋体" w:hAnsi="宋体" w:eastAsia="宋体" w:cs="宋体"/>
          <w:color w:val="auto"/>
          <w:sz w:val="24"/>
          <w:szCs w:val="24"/>
          <w:highlight w:val="none"/>
        </w:rPr>
      </w:pPr>
      <w:bookmarkStart w:id="121" w:name="_Toc7915"/>
      <w:bookmarkStart w:id="122" w:name="_Toc4990"/>
      <w:bookmarkStart w:id="123" w:name="_Toc3861"/>
      <w:bookmarkStart w:id="124" w:name="_Toc576"/>
      <w:r>
        <w:rPr>
          <w:rFonts w:hint="eastAsia" w:ascii="宋体" w:hAnsi="宋体" w:eastAsia="宋体" w:cs="宋体"/>
          <w:color w:val="auto"/>
          <w:spacing w:val="-3"/>
          <w:sz w:val="24"/>
          <w:szCs w:val="24"/>
          <w:highlight w:val="none"/>
        </w:rPr>
        <w:t>（3）综合得分</w:t>
      </w:r>
      <w:bookmarkEnd w:id="121"/>
      <w:bookmarkEnd w:id="122"/>
      <w:bookmarkEnd w:id="123"/>
      <w:bookmarkEnd w:id="124"/>
    </w:p>
    <w:p w14:paraId="0F362937">
      <w:pPr>
        <w:spacing w:before="153" w:line="220" w:lineRule="auto"/>
        <w:ind w:left="49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综合得分换算为百分制，满分</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2"/>
          <w:sz w:val="24"/>
          <w:szCs w:val="24"/>
          <w:highlight w:val="none"/>
        </w:rPr>
        <w:t>100 分，公式如下：</w:t>
      </w:r>
    </w:p>
    <w:p w14:paraId="0C5D7075">
      <w:pPr>
        <w:spacing w:before="155" w:line="324" w:lineRule="auto"/>
        <w:ind w:left="496" w:right="532" w:hanging="33"/>
        <w:rPr>
          <w:rFonts w:hint="eastAsia" w:ascii="宋体" w:hAnsi="宋体" w:eastAsia="宋体" w:cs="宋体"/>
          <w:color w:val="auto"/>
          <w:spacing w:val="-1"/>
          <w:sz w:val="24"/>
          <w:szCs w:val="24"/>
          <w:highlight w:val="none"/>
        </w:rPr>
      </w:pPr>
      <w:r>
        <w:rPr>
          <w:rFonts w:hint="eastAsia" w:ascii="宋体" w:hAnsi="宋体" w:eastAsia="宋体" w:cs="宋体"/>
          <w:color w:val="auto"/>
          <w:sz w:val="24"/>
          <w:szCs w:val="24"/>
          <w:highlight w:val="none"/>
        </w:rPr>
        <w:t>综合得分＝M÷商务技术合计满分×100</w:t>
      </w:r>
      <w:r>
        <w:rPr>
          <w:rFonts w:hint="eastAsia" w:ascii="宋体" w:hAnsi="宋体" w:eastAsia="宋体" w:cs="宋体"/>
          <w:color w:val="auto"/>
          <w:spacing w:val="-1"/>
          <w:sz w:val="24"/>
          <w:szCs w:val="24"/>
          <w:highlight w:val="none"/>
        </w:rPr>
        <w:t>×商务技术权重＋N×投标报价权重</w:t>
      </w:r>
    </w:p>
    <w:p w14:paraId="22FAA7C0">
      <w:pPr>
        <w:spacing w:before="155" w:line="324" w:lineRule="auto"/>
        <w:ind w:left="496" w:right="532" w:hanging="3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式中：M 为商务技术得分，N 为投标报价得分。</w:t>
      </w:r>
    </w:p>
    <w:p w14:paraId="31F4B4FC">
      <w:pPr>
        <w:spacing w:before="78" w:line="329" w:lineRule="auto"/>
        <w:ind w:left="276" w:right="263" w:hanging="1"/>
        <w:jc w:val="both"/>
        <w:rPr>
          <w:rFonts w:hint="eastAsia" w:ascii="宋体" w:hAnsi="宋体" w:eastAsia="宋体" w:cs="宋体"/>
          <w:b/>
          <w:bCs/>
          <w:color w:val="auto"/>
          <w:spacing w:val="2"/>
          <w:sz w:val="24"/>
          <w:szCs w:val="24"/>
          <w:highlight w:val="none"/>
        </w:rPr>
      </w:pPr>
      <w:bookmarkStart w:id="125" w:name="_Toc32384"/>
      <w:bookmarkStart w:id="126" w:name="_Toc25214"/>
      <w:bookmarkStart w:id="127" w:name="_Toc30671"/>
      <w:bookmarkStart w:id="128" w:name="_Toc2885"/>
      <w:r>
        <w:rPr>
          <w:rFonts w:hint="eastAsia" w:ascii="宋体" w:hAnsi="宋体" w:eastAsia="宋体" w:cs="宋体"/>
          <w:b/>
          <w:bCs/>
          <w:color w:val="auto"/>
          <w:spacing w:val="2"/>
          <w:sz w:val="24"/>
          <w:szCs w:val="24"/>
          <w:highlight w:val="none"/>
        </w:rPr>
        <w:t>（4）</w:t>
      </w:r>
      <w:bookmarkEnd w:id="125"/>
      <w:bookmarkEnd w:id="126"/>
      <w:bookmarkEnd w:id="127"/>
      <w:bookmarkEnd w:id="128"/>
      <w:r>
        <w:rPr>
          <w:rFonts w:hint="eastAsia" w:ascii="宋体" w:hAnsi="宋体" w:eastAsia="宋体" w:cs="宋体"/>
          <w:b/>
          <w:bCs/>
          <w:color w:val="auto"/>
          <w:spacing w:val="2"/>
          <w:sz w:val="24"/>
          <w:szCs w:val="24"/>
          <w:highlight w:val="none"/>
        </w:rPr>
        <w:t>评标委员会根据招标文件规定的评分细则，对招标文件中的各评审因素进行评审、比较、打分，将得分前5名不排序（按企业统一社会信用代码后4位大小排位）的的投标人作为定标候选人推荐给招标人，并对每个定标候选人的优势、风险等评审情况进行说明。当投标人综合总得分相同时，以报价低为前；当投标人综合总得分相同且报价相同时，由评标委员会投票确定排前。</w:t>
      </w:r>
    </w:p>
    <w:p w14:paraId="70C32CE3">
      <w:pPr>
        <w:spacing w:before="78" w:line="329" w:lineRule="auto"/>
        <w:ind w:right="263" w:firstLine="490" w:firstLineChars="200"/>
        <w:jc w:val="both"/>
        <w:rPr>
          <w:rFonts w:hint="eastAsia" w:ascii="宋体" w:hAnsi="宋体" w:eastAsia="宋体" w:cs="宋体"/>
          <w:b/>
          <w:bCs/>
          <w:color w:val="auto"/>
          <w:sz w:val="24"/>
          <w:szCs w:val="24"/>
          <w:highlight w:val="none"/>
        </w:rPr>
      </w:pPr>
      <w:r>
        <w:rPr>
          <w:rFonts w:hint="eastAsia" w:ascii="宋体" w:hAnsi="宋体" w:eastAsia="宋体" w:cs="宋体"/>
          <w:b/>
          <w:bCs/>
          <w:color w:val="auto"/>
          <w:spacing w:val="2"/>
          <w:sz w:val="24"/>
          <w:szCs w:val="24"/>
          <w:highlight w:val="none"/>
        </w:rPr>
        <w:t>定标候选人得分只作为评标委员会的推荐依据，不作为定标委员会对中标候选人排序的依据。当有效投标人数量不足5名但满足法定要求时，所有通过评审的有效投标人均应作为定标候选人。</w:t>
      </w:r>
    </w:p>
    <w:p w14:paraId="018D3E19">
      <w:pPr>
        <w:pStyle w:val="5"/>
        <w:spacing w:line="304" w:lineRule="auto"/>
        <w:rPr>
          <w:rFonts w:hint="eastAsia" w:ascii="宋体" w:hAnsi="宋体" w:eastAsia="宋体" w:cs="宋体"/>
          <w:color w:val="auto"/>
          <w:highlight w:val="none"/>
        </w:rPr>
      </w:pPr>
    </w:p>
    <w:p w14:paraId="2C7B650C">
      <w:pPr>
        <w:rPr>
          <w:rFonts w:hint="eastAsia"/>
          <w:color w:val="auto"/>
          <w:highlight w:val="none"/>
        </w:rPr>
      </w:pPr>
    </w:p>
    <w:p w14:paraId="1DAED1C9">
      <w:pPr>
        <w:rPr>
          <w:rFonts w:hint="eastAsia" w:ascii="宋体" w:hAnsi="宋体" w:eastAsia="宋体" w:cs="宋体"/>
          <w:b/>
          <w:bCs/>
          <w:color w:val="auto"/>
          <w:spacing w:val="-6"/>
          <w:sz w:val="30"/>
          <w:szCs w:val="30"/>
          <w:highlight w:val="none"/>
        </w:rPr>
      </w:pPr>
      <w:bookmarkStart w:id="129" w:name="_Toc3020"/>
      <w:bookmarkStart w:id="130" w:name="_Toc17375"/>
      <w:bookmarkStart w:id="131" w:name="_Toc16801"/>
    </w:p>
    <w:p w14:paraId="40D4E59D">
      <w:pPr>
        <w:spacing w:before="98" w:line="221" w:lineRule="auto"/>
        <w:ind w:left="4248"/>
        <w:outlineLvl w:val="9"/>
        <w:rPr>
          <w:rFonts w:hint="eastAsia" w:ascii="宋体" w:hAnsi="宋体" w:eastAsia="宋体" w:cs="宋体"/>
          <w:b/>
          <w:bCs/>
          <w:color w:val="auto"/>
          <w:spacing w:val="-6"/>
          <w:sz w:val="30"/>
          <w:szCs w:val="30"/>
          <w:highlight w:val="none"/>
        </w:rPr>
      </w:pPr>
      <w:r>
        <w:rPr>
          <w:rFonts w:hint="eastAsia" w:ascii="宋体" w:hAnsi="宋体" w:eastAsia="宋体" w:cs="宋体"/>
          <w:b/>
          <w:bCs/>
          <w:color w:val="auto"/>
          <w:spacing w:val="-6"/>
          <w:sz w:val="30"/>
          <w:szCs w:val="30"/>
          <w:highlight w:val="none"/>
        </w:rPr>
        <w:t>综合评分表</w:t>
      </w:r>
      <w:bookmarkEnd w:id="129"/>
      <w:bookmarkEnd w:id="130"/>
      <w:bookmarkEnd w:id="131"/>
    </w:p>
    <w:tbl>
      <w:tblPr>
        <w:tblStyle w:val="14"/>
        <w:tblW w:w="1042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91"/>
        <w:gridCol w:w="168"/>
        <w:gridCol w:w="3700"/>
        <w:gridCol w:w="5065"/>
      </w:tblGrid>
      <w:tr w14:paraId="5FB65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exact"/>
          <w:jc w:val="center"/>
        </w:trPr>
        <w:tc>
          <w:tcPr>
            <w:tcW w:w="10424" w:type="dxa"/>
            <w:gridSpan w:val="4"/>
            <w:tcBorders>
              <w:top w:val="single" w:color="auto" w:sz="4" w:space="0"/>
              <w:left w:val="single" w:color="auto" w:sz="4" w:space="0"/>
              <w:bottom w:val="single" w:color="auto" w:sz="4" w:space="0"/>
              <w:right w:val="single" w:color="auto" w:sz="4" w:space="0"/>
            </w:tcBorders>
            <w:shd w:val="clear" w:color="auto" w:fill="D7D7D7"/>
            <w:noWrap w:val="0"/>
            <w:vAlign w:val="center"/>
          </w:tcPr>
          <w:p w14:paraId="248FBA9C">
            <w:pPr>
              <w:pStyle w:val="5"/>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both"/>
              <w:textAlignment w:val="auto"/>
              <w:rPr>
                <w:rFonts w:hint="eastAsia" w:ascii="宋体" w:hAnsi="宋体" w:eastAsia="宋体" w:cs="宋体"/>
                <w:b/>
                <w:bCs/>
                <w:caps w:val="0"/>
                <w:smallCaps w:val="0"/>
                <w:snapToGrid w:val="0"/>
                <w:color w:val="auto"/>
                <w:spacing w:val="0"/>
                <w:kern w:val="0"/>
                <w:sz w:val="24"/>
                <w:szCs w:val="24"/>
                <w:highlight w:val="none"/>
                <w:lang w:eastAsia="zh-CN"/>
              </w:rPr>
            </w:pPr>
            <w:bookmarkStart w:id="132" w:name="_Toc31744"/>
            <w:bookmarkStart w:id="133" w:name="_Toc9725"/>
            <w:bookmarkStart w:id="134" w:name="_Toc5769"/>
            <w:bookmarkStart w:id="135" w:name="_Toc17436"/>
            <w:r>
              <w:rPr>
                <w:rFonts w:hint="eastAsia" w:ascii="宋体" w:hAnsi="宋体" w:eastAsia="宋体" w:cs="宋体"/>
                <w:b/>
                <w:bCs/>
                <w:caps w:val="0"/>
                <w:smallCaps w:val="0"/>
                <w:snapToGrid w:val="0"/>
                <w:color w:val="auto"/>
                <w:spacing w:val="0"/>
                <w:kern w:val="0"/>
                <w:sz w:val="24"/>
                <w:szCs w:val="24"/>
                <w:highlight w:val="none"/>
                <w:lang w:eastAsia="zh-CN"/>
              </w:rPr>
              <w:t>商务部分，满分：</w:t>
            </w:r>
            <w:r>
              <w:rPr>
                <w:rFonts w:hint="eastAsia" w:ascii="宋体" w:hAnsi="宋体" w:eastAsia="宋体" w:cs="宋体"/>
                <w:b/>
                <w:bCs/>
                <w:caps w:val="0"/>
                <w:smallCaps w:val="0"/>
                <w:snapToGrid w:val="0"/>
                <w:color w:val="auto"/>
                <w:spacing w:val="0"/>
                <w:kern w:val="0"/>
                <w:sz w:val="24"/>
                <w:szCs w:val="24"/>
                <w:highlight w:val="none"/>
                <w:u w:val="single"/>
                <w:lang w:val="en-US" w:eastAsia="zh-CN"/>
              </w:rPr>
              <w:t xml:space="preserve"> 80 </w:t>
            </w:r>
            <w:r>
              <w:rPr>
                <w:rFonts w:hint="eastAsia" w:ascii="宋体" w:hAnsi="宋体" w:eastAsia="宋体" w:cs="宋体"/>
                <w:b/>
                <w:bCs/>
                <w:caps w:val="0"/>
                <w:smallCaps w:val="0"/>
                <w:snapToGrid w:val="0"/>
                <w:color w:val="auto"/>
                <w:spacing w:val="0"/>
                <w:kern w:val="0"/>
                <w:sz w:val="24"/>
                <w:szCs w:val="24"/>
                <w:highlight w:val="none"/>
                <w:lang w:val="en-US" w:eastAsia="zh-CN"/>
              </w:rPr>
              <w:t>分。</w:t>
            </w:r>
          </w:p>
        </w:tc>
      </w:tr>
      <w:tr w14:paraId="33626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exac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7835041F">
            <w:pPr>
              <w:pStyle w:val="5"/>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center"/>
              <w:textAlignment w:val="auto"/>
              <w:rPr>
                <w:rFonts w:hint="eastAsia" w:ascii="宋体" w:hAnsi="宋体" w:eastAsia="宋体" w:cs="宋体"/>
                <w:b/>
                <w:bCs/>
                <w:caps w:val="0"/>
                <w:smallCaps w:val="0"/>
                <w:snapToGrid w:val="0"/>
                <w:color w:val="auto"/>
                <w:spacing w:val="0"/>
                <w:kern w:val="0"/>
                <w:sz w:val="24"/>
                <w:szCs w:val="24"/>
                <w:highlight w:val="none"/>
                <w:lang w:eastAsia="zh-CN"/>
              </w:rPr>
            </w:pPr>
            <w:r>
              <w:rPr>
                <w:rFonts w:hint="eastAsia" w:ascii="宋体" w:hAnsi="宋体" w:eastAsia="宋体" w:cs="宋体"/>
                <w:b/>
                <w:bCs/>
                <w:caps w:val="0"/>
                <w:smallCaps w:val="0"/>
                <w:snapToGrid w:val="0"/>
                <w:color w:val="auto"/>
                <w:spacing w:val="0"/>
                <w:kern w:val="0"/>
                <w:sz w:val="24"/>
                <w:szCs w:val="24"/>
                <w:highlight w:val="none"/>
                <w:lang w:eastAsia="zh-CN"/>
              </w:rPr>
              <w:t>评分因素</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5109D750">
            <w:pPr>
              <w:pStyle w:val="5"/>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center"/>
              <w:textAlignment w:val="auto"/>
              <w:rPr>
                <w:rFonts w:hint="eastAsia" w:ascii="宋体" w:hAnsi="宋体" w:eastAsia="宋体" w:cs="宋体"/>
                <w:b/>
                <w:bCs/>
                <w:caps w:val="0"/>
                <w:smallCaps w:val="0"/>
                <w:snapToGrid w:val="0"/>
                <w:color w:val="auto"/>
                <w:spacing w:val="0"/>
                <w:kern w:val="0"/>
                <w:sz w:val="24"/>
                <w:szCs w:val="24"/>
                <w:highlight w:val="none"/>
                <w:lang w:eastAsia="zh-CN"/>
              </w:rPr>
            </w:pPr>
            <w:r>
              <w:rPr>
                <w:rFonts w:hint="eastAsia" w:ascii="宋体" w:hAnsi="宋体" w:eastAsia="宋体" w:cs="宋体"/>
                <w:b/>
                <w:bCs/>
                <w:caps w:val="0"/>
                <w:smallCaps w:val="0"/>
                <w:snapToGrid w:val="0"/>
                <w:color w:val="auto"/>
                <w:spacing w:val="0"/>
                <w:kern w:val="0"/>
                <w:sz w:val="24"/>
                <w:szCs w:val="24"/>
                <w:highlight w:val="none"/>
                <w:lang w:eastAsia="zh-CN"/>
              </w:rPr>
              <w:t>评分标准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72014B04">
            <w:pPr>
              <w:pStyle w:val="5"/>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center"/>
              <w:textAlignment w:val="auto"/>
              <w:rPr>
                <w:rFonts w:hint="eastAsia" w:ascii="宋体" w:hAnsi="宋体" w:eastAsia="宋体" w:cs="宋体"/>
                <w:b/>
                <w:bCs/>
                <w:caps w:val="0"/>
                <w:smallCaps w:val="0"/>
                <w:snapToGrid w:val="0"/>
                <w:color w:val="auto"/>
                <w:spacing w:val="0"/>
                <w:kern w:val="0"/>
                <w:sz w:val="24"/>
                <w:szCs w:val="24"/>
                <w:highlight w:val="none"/>
                <w:lang w:val="en-US" w:eastAsia="zh-CN"/>
              </w:rPr>
            </w:pPr>
            <w:r>
              <w:rPr>
                <w:rFonts w:hint="eastAsia" w:ascii="宋体" w:hAnsi="宋体" w:eastAsia="宋体" w:cs="宋体"/>
                <w:b/>
                <w:bCs/>
                <w:caps w:val="0"/>
                <w:smallCaps w:val="0"/>
                <w:snapToGrid w:val="0"/>
                <w:color w:val="auto"/>
                <w:spacing w:val="0"/>
                <w:kern w:val="0"/>
                <w:sz w:val="24"/>
                <w:szCs w:val="24"/>
                <w:highlight w:val="none"/>
                <w:lang w:val="en-US" w:eastAsia="zh-CN"/>
              </w:rPr>
              <w:t>备注</w:t>
            </w:r>
          </w:p>
        </w:tc>
      </w:tr>
      <w:tr w14:paraId="5BE33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21"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7819ADA1">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企业奖项</w:t>
            </w:r>
          </w:p>
          <w:p w14:paraId="796CA053">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rPr>
              <w:t>（</w:t>
            </w:r>
            <w:r>
              <w:rPr>
                <w:rFonts w:hint="eastAsia" w:asciiTheme="minorEastAsia" w:hAnsiTheme="minorEastAsia" w:eastAsiaTheme="minorEastAsia" w:cstheme="minorEastAsia"/>
                <w:snapToGrid w:val="0"/>
                <w:color w:val="auto"/>
                <w:kern w:val="0"/>
                <w:sz w:val="22"/>
                <w:szCs w:val="22"/>
                <w:highlight w:val="none"/>
              </w:rPr>
              <w:t>1</w:t>
            </w:r>
            <w:r>
              <w:rPr>
                <w:rFonts w:hint="eastAsia" w:asciiTheme="minorEastAsia" w:hAnsiTheme="minorEastAsia" w:eastAsiaTheme="minorEastAsia" w:cstheme="minorEastAsia"/>
                <w:snapToGrid w:val="0"/>
                <w:color w:val="auto"/>
                <w:kern w:val="0"/>
                <w:sz w:val="22"/>
                <w:szCs w:val="22"/>
                <w:highlight w:val="none"/>
                <w:lang w:val="en-US" w:eastAsia="zh-CN"/>
              </w:rPr>
              <w:t>0</w:t>
            </w:r>
            <w:r>
              <w:rPr>
                <w:rFonts w:hint="eastAsia" w:ascii="宋体" w:hAnsi="宋体" w:eastAsia="宋体" w:cs="宋体"/>
                <w:snapToGrid w:val="0"/>
                <w:color w:val="auto"/>
                <w:kern w:val="0"/>
                <w:sz w:val="22"/>
                <w:szCs w:val="22"/>
                <w:highlight w:val="none"/>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151F940C">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rPr>
            </w:pPr>
            <w:r>
              <w:rPr>
                <w:rFonts w:hint="eastAsia" w:asciiTheme="minorEastAsia" w:hAnsiTheme="minorEastAsia" w:eastAsiaTheme="minorEastAsia" w:cstheme="minorEastAsia"/>
                <w:snapToGrid w:val="0"/>
                <w:color w:val="auto"/>
                <w:kern w:val="0"/>
                <w:sz w:val="22"/>
                <w:szCs w:val="22"/>
                <w:highlight w:val="none"/>
              </w:rPr>
              <w:t>企业近</w:t>
            </w:r>
            <w:r>
              <w:rPr>
                <w:rFonts w:hint="eastAsia" w:asciiTheme="minorEastAsia" w:hAnsiTheme="minorEastAsia" w:eastAsiaTheme="minorEastAsia" w:cstheme="minorEastAsia"/>
                <w:snapToGrid w:val="0"/>
                <w:color w:val="auto"/>
                <w:kern w:val="0"/>
                <w:sz w:val="22"/>
                <w:szCs w:val="22"/>
                <w:highlight w:val="none"/>
                <w:u w:val="single"/>
              </w:rPr>
              <w:t xml:space="preserve"> </w:t>
            </w:r>
            <w:r>
              <w:rPr>
                <w:rFonts w:hint="eastAsia" w:asciiTheme="minorEastAsia" w:hAnsiTheme="minorEastAsia" w:eastAsiaTheme="minorEastAsia" w:cstheme="minorEastAsia"/>
                <w:snapToGrid w:val="0"/>
                <w:color w:val="auto"/>
                <w:kern w:val="0"/>
                <w:sz w:val="22"/>
                <w:szCs w:val="22"/>
                <w:highlight w:val="none"/>
                <w:u w:val="single"/>
                <w:lang w:val="en-US" w:eastAsia="zh-CN"/>
              </w:rPr>
              <w:t>5</w:t>
            </w:r>
            <w:r>
              <w:rPr>
                <w:rFonts w:hint="eastAsia" w:asciiTheme="minorEastAsia" w:hAnsiTheme="minorEastAsia" w:eastAsiaTheme="minorEastAsia" w:cstheme="minorEastAsia"/>
                <w:snapToGrid w:val="0"/>
                <w:color w:val="auto"/>
                <w:kern w:val="0"/>
                <w:sz w:val="22"/>
                <w:szCs w:val="22"/>
                <w:highlight w:val="none"/>
                <w:u w:val="single"/>
              </w:rPr>
              <w:t xml:space="preserve"> </w:t>
            </w:r>
            <w:r>
              <w:rPr>
                <w:rFonts w:hint="eastAsia" w:asciiTheme="minorEastAsia" w:hAnsiTheme="minorEastAsia" w:eastAsiaTheme="minorEastAsia" w:cstheme="minorEastAsia"/>
                <w:snapToGrid w:val="0"/>
                <w:color w:val="auto"/>
                <w:kern w:val="0"/>
                <w:sz w:val="22"/>
                <w:szCs w:val="22"/>
                <w:highlight w:val="none"/>
              </w:rPr>
              <w:t>年来（20</w:t>
            </w:r>
            <w:r>
              <w:rPr>
                <w:rFonts w:hint="eastAsia" w:asciiTheme="minorEastAsia" w:hAnsiTheme="minorEastAsia" w:eastAsiaTheme="minorEastAsia" w:cstheme="minorEastAsia"/>
                <w:snapToGrid w:val="0"/>
                <w:color w:val="auto"/>
                <w:kern w:val="0"/>
                <w:sz w:val="22"/>
                <w:szCs w:val="22"/>
                <w:highlight w:val="none"/>
                <w:lang w:val="en-US" w:eastAsia="zh-CN"/>
              </w:rPr>
              <w:t>21</w:t>
            </w:r>
            <w:r>
              <w:rPr>
                <w:rFonts w:hint="eastAsia" w:asciiTheme="minorEastAsia" w:hAnsiTheme="minorEastAsia" w:eastAsiaTheme="minorEastAsia" w:cstheme="minorEastAsia"/>
                <w:snapToGrid w:val="0"/>
                <w:color w:val="auto"/>
                <w:kern w:val="0"/>
                <w:sz w:val="22"/>
                <w:szCs w:val="22"/>
                <w:highlight w:val="none"/>
              </w:rPr>
              <w:t>年1月1日至今）获得</w:t>
            </w:r>
            <w:r>
              <w:rPr>
                <w:rFonts w:hint="eastAsia" w:asciiTheme="minorEastAsia" w:hAnsiTheme="minorEastAsia" w:eastAsiaTheme="minorEastAsia" w:cstheme="minorEastAsia"/>
                <w:snapToGrid w:val="0"/>
                <w:color w:val="auto"/>
                <w:kern w:val="0"/>
                <w:sz w:val="22"/>
                <w:szCs w:val="22"/>
                <w:highlight w:val="none"/>
                <w:u w:val="single"/>
              </w:rPr>
              <w:t xml:space="preserve"> 房屋建筑或市政 </w:t>
            </w:r>
            <w:r>
              <w:rPr>
                <w:rFonts w:hint="eastAsia" w:asciiTheme="minorEastAsia" w:hAnsiTheme="minorEastAsia" w:eastAsiaTheme="minorEastAsia" w:cstheme="minorEastAsia"/>
                <w:snapToGrid w:val="0"/>
                <w:color w:val="auto"/>
                <w:kern w:val="0"/>
                <w:sz w:val="22"/>
                <w:szCs w:val="22"/>
                <w:highlight w:val="none"/>
              </w:rPr>
              <w:t>工程类奖项情况（不含参建项目）：</w:t>
            </w:r>
          </w:p>
          <w:p w14:paraId="4A675574">
            <w:pPr>
              <w:spacing w:before="65" w:line="300" w:lineRule="auto"/>
              <w:ind w:right="106"/>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pacing w:val="8"/>
                <w:sz w:val="22"/>
                <w:szCs w:val="22"/>
                <w:highlight w:val="none"/>
              </w:rPr>
              <w:t>1</w:t>
            </w:r>
            <w:r>
              <w:rPr>
                <w:rFonts w:hint="eastAsia" w:asciiTheme="minorEastAsia" w:hAnsiTheme="minorEastAsia" w:eastAsiaTheme="minorEastAsia" w:cstheme="minorEastAsia"/>
                <w:color w:val="auto"/>
                <w:spacing w:val="-12"/>
                <w:sz w:val="22"/>
                <w:szCs w:val="22"/>
                <w:highlight w:val="none"/>
                <w:lang w:val="en-US" w:eastAsia="zh-CN"/>
              </w:rPr>
              <w:t>.</w:t>
            </w:r>
            <w:r>
              <w:rPr>
                <w:rFonts w:hint="eastAsia" w:asciiTheme="minorEastAsia" w:hAnsiTheme="minorEastAsia" w:eastAsiaTheme="minorEastAsia" w:cstheme="minorEastAsia"/>
                <w:color w:val="auto"/>
                <w:spacing w:val="8"/>
                <w:sz w:val="22"/>
                <w:szCs w:val="22"/>
                <w:highlight w:val="none"/>
              </w:rPr>
              <w:t>获得国家级奖项的，每个得</w:t>
            </w:r>
            <w:r>
              <w:rPr>
                <w:rFonts w:hint="eastAsia" w:asciiTheme="minorEastAsia" w:hAnsiTheme="minorEastAsia" w:eastAsiaTheme="minorEastAsia" w:cstheme="minorEastAsia"/>
                <w:color w:val="auto"/>
                <w:spacing w:val="8"/>
                <w:sz w:val="22"/>
                <w:szCs w:val="22"/>
                <w:highlight w:val="none"/>
                <w:u w:val="single"/>
                <w:lang w:val="en-US" w:eastAsia="zh-CN"/>
              </w:rPr>
              <w:t>10</w:t>
            </w:r>
            <w:r>
              <w:rPr>
                <w:rFonts w:hint="eastAsia" w:asciiTheme="minorEastAsia" w:hAnsiTheme="minorEastAsia" w:eastAsiaTheme="minorEastAsia" w:cstheme="minorEastAsia"/>
                <w:color w:val="auto"/>
                <w:spacing w:val="-1"/>
                <w:sz w:val="22"/>
                <w:szCs w:val="22"/>
                <w:highlight w:val="none"/>
              </w:rPr>
              <w:t>分。</w:t>
            </w:r>
          </w:p>
          <w:p w14:paraId="5C617CCE">
            <w:pPr>
              <w:spacing w:before="150" w:line="228" w:lineRule="auto"/>
              <w:ind w:right="10"/>
              <w:jc w:val="left"/>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pacing w:val="3"/>
                <w:sz w:val="22"/>
                <w:szCs w:val="22"/>
                <w:highlight w:val="none"/>
              </w:rPr>
              <w:t>2</w:t>
            </w:r>
            <w:r>
              <w:rPr>
                <w:rFonts w:hint="eastAsia" w:asciiTheme="minorEastAsia" w:hAnsiTheme="minorEastAsia" w:eastAsiaTheme="minorEastAsia" w:cstheme="minorEastAsia"/>
                <w:color w:val="auto"/>
                <w:spacing w:val="-12"/>
                <w:sz w:val="22"/>
                <w:szCs w:val="22"/>
                <w:highlight w:val="none"/>
                <w:lang w:val="en-US" w:eastAsia="zh-CN"/>
              </w:rPr>
              <w:t>.</w:t>
            </w:r>
            <w:r>
              <w:rPr>
                <w:rFonts w:hint="eastAsia" w:asciiTheme="minorEastAsia" w:hAnsiTheme="minorEastAsia" w:eastAsiaTheme="minorEastAsia" w:cstheme="minorEastAsia"/>
                <w:color w:val="auto"/>
                <w:spacing w:val="3"/>
                <w:sz w:val="22"/>
                <w:szCs w:val="22"/>
                <w:highlight w:val="none"/>
              </w:rPr>
              <w:t>获得省级奖项的，每个得</w:t>
            </w:r>
            <w:r>
              <w:rPr>
                <w:rFonts w:hint="eastAsia" w:asciiTheme="minorEastAsia" w:hAnsiTheme="minorEastAsia" w:eastAsiaTheme="minorEastAsia" w:cstheme="minorEastAsia"/>
                <w:color w:val="auto"/>
                <w:spacing w:val="3"/>
                <w:sz w:val="22"/>
                <w:szCs w:val="22"/>
                <w:highlight w:val="none"/>
                <w:u w:val="single"/>
                <w:lang w:val="en-US" w:eastAsia="zh-CN"/>
              </w:rPr>
              <w:t xml:space="preserve"> 6</w:t>
            </w:r>
            <w:r>
              <w:rPr>
                <w:rFonts w:hint="eastAsia" w:asciiTheme="minorEastAsia" w:hAnsiTheme="minorEastAsia" w:eastAsiaTheme="minorEastAsia" w:cstheme="minorEastAsia"/>
                <w:color w:val="auto"/>
                <w:spacing w:val="3"/>
                <w:sz w:val="22"/>
                <w:szCs w:val="22"/>
                <w:highlight w:val="none"/>
              </w:rPr>
              <w:t>分。</w:t>
            </w:r>
          </w:p>
          <w:p w14:paraId="4BE654BB">
            <w:pPr>
              <w:spacing w:before="152" w:line="300" w:lineRule="auto"/>
              <w:ind w:right="106"/>
              <w:jc w:val="left"/>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pacing w:val="8"/>
                <w:sz w:val="22"/>
                <w:szCs w:val="22"/>
                <w:highlight w:val="none"/>
              </w:rPr>
              <w:t>3</w:t>
            </w:r>
            <w:r>
              <w:rPr>
                <w:rFonts w:hint="eastAsia" w:asciiTheme="minorEastAsia" w:hAnsiTheme="minorEastAsia" w:eastAsiaTheme="minorEastAsia" w:cstheme="minorEastAsia"/>
                <w:color w:val="auto"/>
                <w:spacing w:val="-4"/>
                <w:sz w:val="22"/>
                <w:szCs w:val="22"/>
                <w:highlight w:val="none"/>
                <w:lang w:val="en-US" w:eastAsia="zh-CN"/>
              </w:rPr>
              <w:t>.</w:t>
            </w:r>
            <w:r>
              <w:rPr>
                <w:rFonts w:hint="eastAsia" w:asciiTheme="minorEastAsia" w:hAnsiTheme="minorEastAsia" w:eastAsiaTheme="minorEastAsia" w:cstheme="minorEastAsia"/>
                <w:color w:val="auto"/>
                <w:spacing w:val="8"/>
                <w:sz w:val="22"/>
                <w:szCs w:val="22"/>
                <w:highlight w:val="none"/>
              </w:rPr>
              <w:t>获得地市级奖项的，每个得</w:t>
            </w:r>
            <w:r>
              <w:rPr>
                <w:rFonts w:hint="eastAsia" w:asciiTheme="minorEastAsia" w:hAnsiTheme="minorEastAsia" w:eastAsiaTheme="minorEastAsia" w:cstheme="minorEastAsia"/>
                <w:color w:val="auto"/>
                <w:spacing w:val="8"/>
                <w:sz w:val="22"/>
                <w:szCs w:val="22"/>
                <w:highlight w:val="none"/>
                <w:u w:val="single"/>
                <w:lang w:val="en-US" w:eastAsia="zh-CN"/>
              </w:rPr>
              <w:t xml:space="preserve"> 4</w:t>
            </w:r>
            <w:r>
              <w:rPr>
                <w:rFonts w:hint="eastAsia" w:asciiTheme="minorEastAsia" w:hAnsiTheme="minorEastAsia" w:eastAsiaTheme="minorEastAsia" w:cstheme="minorEastAsia"/>
                <w:color w:val="auto"/>
                <w:spacing w:val="-1"/>
                <w:sz w:val="22"/>
                <w:szCs w:val="22"/>
                <w:highlight w:val="none"/>
              </w:rPr>
              <w:t>分。</w:t>
            </w:r>
          </w:p>
          <w:p w14:paraId="6E584BC7">
            <w:pPr>
              <w:spacing w:before="150" w:line="228" w:lineRule="auto"/>
              <w:ind w:right="13"/>
              <w:jc w:val="left"/>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pacing w:val="-1"/>
                <w:sz w:val="22"/>
                <w:szCs w:val="22"/>
                <w:highlight w:val="none"/>
              </w:rPr>
              <w:t>4</w:t>
            </w:r>
            <w:r>
              <w:rPr>
                <w:rFonts w:hint="eastAsia" w:asciiTheme="minorEastAsia" w:hAnsiTheme="minorEastAsia" w:eastAsiaTheme="minorEastAsia" w:cstheme="minorEastAsia"/>
                <w:color w:val="auto"/>
                <w:spacing w:val="-1"/>
                <w:sz w:val="22"/>
                <w:szCs w:val="22"/>
                <w:highlight w:val="none"/>
                <w:lang w:val="en-US" w:eastAsia="zh-CN"/>
              </w:rPr>
              <w:t>.</w:t>
            </w:r>
            <w:r>
              <w:rPr>
                <w:rFonts w:hint="eastAsia" w:asciiTheme="minorEastAsia" w:hAnsiTheme="minorEastAsia" w:eastAsiaTheme="minorEastAsia" w:cstheme="minorEastAsia"/>
                <w:color w:val="auto"/>
                <w:spacing w:val="-1"/>
                <w:sz w:val="22"/>
                <w:szCs w:val="22"/>
                <w:highlight w:val="none"/>
              </w:rPr>
              <w:t>以上奖项均未获得的，不予计分。</w:t>
            </w:r>
          </w:p>
          <w:p w14:paraId="0422CDD1">
            <w:pPr>
              <w:pStyle w:val="5"/>
              <w:keepNext w:val="0"/>
              <w:keepLines w:val="0"/>
              <w:pageBreakBefore w:val="0"/>
              <w:widowControl w:val="0"/>
              <w:kinsoku/>
              <w:wordWrap w:val="0"/>
              <w:overflowPunct/>
              <w:topLinePunct w:val="0"/>
              <w:autoSpaceDE/>
              <w:autoSpaceDN/>
              <w:bidi w:val="0"/>
              <w:adjustRightInd w:val="0"/>
              <w:snapToGrid w:val="0"/>
              <w:spacing w:after="0" w:line="288" w:lineRule="auto"/>
              <w:textAlignment w:val="auto"/>
              <w:rPr>
                <w:rFonts w:hint="eastAsia" w:ascii="宋体" w:hAnsi="宋体" w:eastAsia="宋体" w:cs="宋体"/>
                <w:snapToGrid w:val="0"/>
                <w:color w:val="auto"/>
                <w:kern w:val="0"/>
                <w:sz w:val="22"/>
                <w:szCs w:val="22"/>
                <w:highlight w:val="none"/>
                <w:lang w:val="en-US" w:eastAsia="zh-CN" w:bidi="ar-SA"/>
              </w:rPr>
            </w:pPr>
            <w:r>
              <w:rPr>
                <w:rFonts w:hint="eastAsia" w:asciiTheme="minorEastAsia" w:hAnsiTheme="minorEastAsia" w:eastAsiaTheme="minorEastAsia" w:cstheme="minorEastAsia"/>
                <w:color w:val="auto"/>
                <w:sz w:val="22"/>
                <w:szCs w:val="22"/>
                <w:highlight w:val="none"/>
              </w:rPr>
              <w:t>5</w:t>
            </w:r>
            <w:r>
              <w:rPr>
                <w:rFonts w:hint="eastAsia" w:asciiTheme="minorEastAsia" w:hAnsiTheme="minorEastAsia" w:eastAsiaTheme="minorEastAsia" w:cstheme="minorEastAsia"/>
                <w:color w:val="auto"/>
                <w:spacing w:val="-14"/>
                <w:sz w:val="22"/>
                <w:szCs w:val="22"/>
                <w:highlight w:val="none"/>
                <w:lang w:val="en-US" w:eastAsia="zh-CN"/>
              </w:rPr>
              <w:t>.</w:t>
            </w:r>
            <w:r>
              <w:rPr>
                <w:rFonts w:hint="eastAsia" w:asciiTheme="minorEastAsia" w:hAnsiTheme="minorEastAsia" w:eastAsiaTheme="minorEastAsia" w:cstheme="minorEastAsia"/>
                <w:color w:val="auto"/>
                <w:sz w:val="22"/>
                <w:szCs w:val="22"/>
                <w:highlight w:val="none"/>
              </w:rPr>
              <w:t>本项最高得</w:t>
            </w:r>
            <w:r>
              <w:rPr>
                <w:rFonts w:hint="eastAsia" w:asciiTheme="minorEastAsia" w:hAnsiTheme="minorEastAsia" w:eastAsiaTheme="minorEastAsia" w:cstheme="minorEastAsia"/>
                <w:color w:val="auto"/>
                <w:spacing w:val="-23"/>
                <w:sz w:val="22"/>
                <w:szCs w:val="22"/>
                <w:highlight w:val="none"/>
              </w:rPr>
              <w:t xml:space="preserve"> </w:t>
            </w:r>
            <w:r>
              <w:rPr>
                <w:rFonts w:hint="eastAsia" w:asciiTheme="minorEastAsia" w:hAnsiTheme="minorEastAsia" w:eastAsiaTheme="minorEastAsia" w:cstheme="minorEastAsia"/>
                <w:color w:val="auto"/>
                <w:sz w:val="22"/>
                <w:szCs w:val="22"/>
                <w:highlight w:val="none"/>
              </w:rPr>
              <w:t>10</w:t>
            </w:r>
            <w:r>
              <w:rPr>
                <w:rFonts w:hint="eastAsia" w:asciiTheme="minorEastAsia" w:hAnsiTheme="minorEastAsia" w:eastAsiaTheme="minorEastAsia" w:cstheme="minorEastAsia"/>
                <w:color w:val="auto"/>
                <w:spacing w:val="14"/>
                <w:w w:val="101"/>
                <w:sz w:val="22"/>
                <w:szCs w:val="22"/>
                <w:highlight w:val="none"/>
              </w:rPr>
              <w:t xml:space="preserve"> </w:t>
            </w:r>
            <w:r>
              <w:rPr>
                <w:rFonts w:hint="eastAsia" w:asciiTheme="minorEastAsia" w:hAnsiTheme="minorEastAsia" w:eastAsiaTheme="minorEastAsia" w:cstheme="minorEastAsia"/>
                <w:color w:val="auto"/>
                <w:sz w:val="22"/>
                <w:szCs w:val="22"/>
                <w:highlight w:val="none"/>
              </w:rPr>
              <w:t>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6E96961D">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1.允许投标人提交多个业绩，但同一业绩只按最高级别奖项计分一次。</w:t>
            </w:r>
          </w:p>
          <w:p w14:paraId="2138D191">
            <w:pPr>
              <w:pStyle w:val="5"/>
              <w:wordWrap w:val="0"/>
              <w:adjustRightInd w:val="0"/>
              <w:snapToGrid w:val="0"/>
              <w:spacing w:after="0" w:line="400" w:lineRule="exact"/>
              <w:rPr>
                <w:rFonts w:hint="eastAsia" w:asciiTheme="minorEastAsia" w:hAnsiTheme="minorEastAsia" w:eastAsiaTheme="minorEastAsia" w:cstheme="minorEastAsia"/>
                <w:b/>
                <w:bCs/>
                <w:snapToGrid w:val="0"/>
                <w:color w:val="auto"/>
                <w:kern w:val="0"/>
                <w:sz w:val="22"/>
                <w:szCs w:val="22"/>
                <w:highlight w:val="none"/>
                <w:lang w:val="en-US" w:eastAsia="zh-CN"/>
              </w:rPr>
            </w:pPr>
            <w:r>
              <w:rPr>
                <w:rFonts w:hint="eastAsia" w:asciiTheme="minorEastAsia" w:hAnsiTheme="minorEastAsia" w:eastAsiaTheme="minorEastAsia" w:cstheme="minorEastAsia"/>
                <w:b/>
                <w:bCs/>
                <w:snapToGrid w:val="0"/>
                <w:color w:val="auto"/>
                <w:kern w:val="0"/>
                <w:sz w:val="22"/>
                <w:szCs w:val="22"/>
                <w:highlight w:val="none"/>
                <w:lang w:val="en-US" w:eastAsia="zh-CN"/>
              </w:rPr>
              <w:t>2.需附有关奖项证明彩色扫描件，同时提供原件供核对（奖项证明为电子证书的除外）。</w:t>
            </w:r>
          </w:p>
          <w:p w14:paraId="3BE36F88">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3.颁发机构限定以下范围：</w:t>
            </w:r>
          </w:p>
          <w:p w14:paraId="271C19D7">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u w:val="singl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①国家级奖项：</w:t>
            </w:r>
            <w:r>
              <w:rPr>
                <w:rFonts w:hint="eastAsia" w:asciiTheme="minorEastAsia" w:hAnsiTheme="minorEastAsia" w:eastAsiaTheme="minorEastAsia" w:cstheme="minorEastAsia"/>
                <w:snapToGrid w:val="0"/>
                <w:color w:val="auto"/>
                <w:kern w:val="0"/>
                <w:sz w:val="22"/>
                <w:szCs w:val="22"/>
                <w:highlight w:val="none"/>
                <w:u w:val="single"/>
                <w:lang w:val="en-US" w:eastAsia="zh-CN"/>
              </w:rPr>
              <w:t>国务院、住建部、中国建筑业协会（相关协会需经民政部门备案）；</w:t>
            </w:r>
          </w:p>
          <w:p w14:paraId="4CFEB107">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②省级奖项：</w:t>
            </w:r>
            <w:r>
              <w:rPr>
                <w:rFonts w:hint="eastAsia" w:asciiTheme="minorEastAsia" w:hAnsiTheme="minorEastAsia" w:eastAsiaTheme="minorEastAsia" w:cstheme="minorEastAsia"/>
                <w:snapToGrid w:val="0"/>
                <w:color w:val="auto"/>
                <w:kern w:val="0"/>
                <w:sz w:val="22"/>
                <w:szCs w:val="22"/>
                <w:highlight w:val="none"/>
                <w:u w:val="single"/>
                <w:lang w:val="en-US" w:eastAsia="zh-CN"/>
              </w:rPr>
              <w:t>省级人民政府、省级住建部门、省级建筑行业协会（相关协会需经民政部门备案）；</w:t>
            </w:r>
          </w:p>
          <w:p w14:paraId="58A48BEB">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u w:val="singl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③地市级奖项：</w:t>
            </w:r>
            <w:r>
              <w:rPr>
                <w:rFonts w:hint="eastAsia" w:asciiTheme="minorEastAsia" w:hAnsiTheme="minorEastAsia" w:eastAsiaTheme="minorEastAsia" w:cstheme="minorEastAsia"/>
                <w:snapToGrid w:val="0"/>
                <w:color w:val="auto"/>
                <w:kern w:val="0"/>
                <w:sz w:val="22"/>
                <w:szCs w:val="22"/>
                <w:highlight w:val="none"/>
                <w:u w:val="single"/>
                <w:lang w:val="en-US" w:eastAsia="zh-CN"/>
              </w:rPr>
              <w:t>地市级人民政府、地市级住建部门、地市级建筑行业协会（相关协会需经民政部门备案）。</w:t>
            </w:r>
          </w:p>
          <w:p w14:paraId="2A574403">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4.获奖时间以奖项证明的落款日期为准。</w:t>
            </w:r>
          </w:p>
          <w:p w14:paraId="0EA7EE55">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5．任一奖项有以下情形之一的，该奖项视为无效，不予计分：</w:t>
            </w:r>
          </w:p>
          <w:p w14:paraId="7C16BBC9">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①未提供奖项原件的；</w:t>
            </w:r>
          </w:p>
          <w:p w14:paraId="05ABD85A">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②奖项不属于指定类别的；</w:t>
            </w:r>
          </w:p>
          <w:p w14:paraId="0E8FA8BD">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③颁发机构不符合要求的；</w:t>
            </w:r>
          </w:p>
          <w:p w14:paraId="71E7BF92">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④获奖时间不符合要求的。</w:t>
            </w:r>
          </w:p>
          <w:p w14:paraId="51B0488C">
            <w:pPr>
              <w:pStyle w:val="5"/>
              <w:keepNext w:val="0"/>
              <w:keepLines w:val="0"/>
              <w:pageBreakBefore w:val="0"/>
              <w:widowControl w:val="0"/>
              <w:kinsoku/>
              <w:wordWrap w:val="0"/>
              <w:overflowPunct/>
              <w:topLinePunct w:val="0"/>
              <w:autoSpaceDE/>
              <w:autoSpaceDN/>
              <w:bidi w:val="0"/>
              <w:adjustRightInd w:val="0"/>
              <w:snapToGrid w:val="0"/>
              <w:spacing w:after="0" w:line="288" w:lineRule="auto"/>
              <w:textAlignment w:val="auto"/>
              <w:rPr>
                <w:rFonts w:hint="eastAsia"/>
                <w:color w:val="auto"/>
                <w:sz w:val="22"/>
                <w:szCs w:val="22"/>
                <w:highlight w:val="none"/>
                <w:lang w:val="en-US" w:eastAsia="zh-CN"/>
              </w:rPr>
            </w:pPr>
            <w:r>
              <w:rPr>
                <w:rFonts w:hint="eastAsia" w:asciiTheme="minorEastAsia" w:hAnsiTheme="minorEastAsia" w:eastAsiaTheme="minorEastAsia" w:cstheme="minorEastAsia"/>
                <w:b/>
                <w:bCs/>
                <w:snapToGrid w:val="0"/>
                <w:color w:val="auto"/>
                <w:kern w:val="0"/>
                <w:sz w:val="22"/>
                <w:szCs w:val="22"/>
                <w:highlight w:val="none"/>
                <w:lang w:val="en-US" w:eastAsia="zh-CN"/>
              </w:rPr>
              <w:t>说明：以上所称“要求 ”均指本表评分标准及备注的要求，下同。</w:t>
            </w:r>
          </w:p>
        </w:tc>
      </w:tr>
      <w:tr w14:paraId="48A4B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0"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0570DD20">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项目经理</w:t>
            </w:r>
          </w:p>
          <w:p w14:paraId="3981C759">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综合素质</w:t>
            </w:r>
          </w:p>
          <w:p w14:paraId="59BC31CC">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snapToGrid w:val="0"/>
                <w:color w:val="auto"/>
                <w:kern w:val="0"/>
                <w:sz w:val="22"/>
                <w:szCs w:val="22"/>
                <w:highlight w:val="none"/>
              </w:rPr>
              <w:t>（10分）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36E79CB2">
            <w:pPr>
              <w:pStyle w:val="5"/>
              <w:keepNext w:val="0"/>
              <w:keepLines w:val="0"/>
              <w:pageBreakBefore w:val="0"/>
              <w:widowControl w:val="0"/>
              <w:kinsoku/>
              <w:wordWrap w:val="0"/>
              <w:overflowPunct/>
              <w:topLinePunct w:val="0"/>
              <w:autoSpaceDE/>
              <w:autoSpaceDN/>
              <w:bidi w:val="0"/>
              <w:adjustRightInd w:val="0"/>
              <w:snapToGrid w:val="0"/>
              <w:spacing w:after="0" w:line="288" w:lineRule="auto"/>
              <w:textAlignment w:val="auto"/>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项目经理具备工程类技术职称情况：</w:t>
            </w:r>
          </w:p>
          <w:p w14:paraId="2C80F617">
            <w:pPr>
              <w:widowControl w:val="0"/>
              <w:numPr>
                <w:ilvl w:val="0"/>
                <w:numId w:val="0"/>
              </w:numPr>
              <w:wordWrap w:val="0"/>
              <w:adjustRightInd w:val="0"/>
              <w:snapToGrid w:val="0"/>
              <w:spacing w:after="0" w:afterLines="0" w:afterAutospacing="0" w:line="400" w:lineRule="exact"/>
              <w:jc w:val="both"/>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bidi="ar-SA"/>
              </w:rPr>
              <w:t>1.具备中级工程师或以上职称的，得</w:t>
            </w:r>
            <w:r>
              <w:rPr>
                <w:rFonts w:hint="eastAsia" w:ascii="宋体" w:hAnsi="宋体" w:eastAsia="宋体" w:cs="宋体"/>
                <w:snapToGrid w:val="0"/>
                <w:color w:val="auto"/>
                <w:kern w:val="0"/>
                <w:sz w:val="22"/>
                <w:szCs w:val="22"/>
                <w:highlight w:val="none"/>
                <w:u w:val="single"/>
                <w:lang w:val="en-US" w:eastAsia="zh-CN" w:bidi="ar-SA"/>
              </w:rPr>
              <w:t>10</w:t>
            </w:r>
            <w:r>
              <w:rPr>
                <w:rFonts w:hint="eastAsia" w:ascii="宋体" w:hAnsi="宋体" w:eastAsia="宋体" w:cs="宋体"/>
                <w:snapToGrid w:val="0"/>
                <w:color w:val="auto"/>
                <w:kern w:val="0"/>
                <w:sz w:val="22"/>
                <w:szCs w:val="22"/>
                <w:highlight w:val="none"/>
                <w:lang w:val="en-US" w:eastAsia="zh-CN" w:bidi="ar-SA"/>
              </w:rPr>
              <w:t>分。</w:t>
            </w:r>
          </w:p>
          <w:p w14:paraId="6E74D567">
            <w:pPr>
              <w:widowControl w:val="0"/>
              <w:numPr>
                <w:ilvl w:val="0"/>
                <w:numId w:val="0"/>
              </w:numPr>
              <w:wordWrap w:val="0"/>
              <w:adjustRightInd w:val="0"/>
              <w:snapToGrid w:val="0"/>
              <w:spacing w:after="0" w:afterLines="0" w:afterAutospacing="0" w:line="400" w:lineRule="exact"/>
              <w:jc w:val="both"/>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bidi="ar-SA"/>
              </w:rPr>
              <w:t xml:space="preserve">2.具备助理工程师职称的，得 </w:t>
            </w:r>
            <w:r>
              <w:rPr>
                <w:rFonts w:hint="eastAsia" w:ascii="宋体" w:hAnsi="宋体" w:eastAsia="宋体" w:cs="宋体"/>
                <w:snapToGrid w:val="0"/>
                <w:color w:val="auto"/>
                <w:kern w:val="0"/>
                <w:sz w:val="22"/>
                <w:szCs w:val="22"/>
                <w:highlight w:val="none"/>
                <w:u w:val="single"/>
                <w:lang w:val="en-US" w:eastAsia="zh-CN" w:bidi="ar-SA"/>
              </w:rPr>
              <w:t>5</w:t>
            </w:r>
            <w:r>
              <w:rPr>
                <w:rFonts w:hint="eastAsia" w:ascii="宋体" w:hAnsi="宋体" w:eastAsia="宋体" w:cs="宋体"/>
                <w:snapToGrid w:val="0"/>
                <w:color w:val="auto"/>
                <w:kern w:val="0"/>
                <w:sz w:val="22"/>
                <w:szCs w:val="22"/>
                <w:highlight w:val="none"/>
                <w:lang w:val="en-US" w:eastAsia="zh-CN" w:bidi="ar-SA"/>
              </w:rPr>
              <w:t>分。</w:t>
            </w:r>
          </w:p>
          <w:p w14:paraId="6029FC63">
            <w:pPr>
              <w:pStyle w:val="5"/>
              <w:keepNext w:val="0"/>
              <w:keepLines w:val="0"/>
              <w:pageBreakBefore w:val="0"/>
              <w:widowControl w:val="0"/>
              <w:kinsoku/>
              <w:wordWrap w:val="0"/>
              <w:overflowPunct/>
              <w:topLinePunct w:val="0"/>
              <w:autoSpaceDE/>
              <w:autoSpaceDN/>
              <w:bidi w:val="0"/>
              <w:adjustRightInd w:val="0"/>
              <w:snapToGrid w:val="0"/>
              <w:spacing w:after="0" w:line="288" w:lineRule="auto"/>
              <w:textAlignment w:val="auto"/>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bidi="ar"/>
              </w:rPr>
              <w:t>3.</w:t>
            </w:r>
            <w:r>
              <w:rPr>
                <w:rFonts w:hint="eastAsia" w:ascii="宋体" w:hAnsi="宋体" w:eastAsia="宋体" w:cs="宋体"/>
                <w:snapToGrid w:val="0"/>
                <w:color w:val="auto"/>
                <w:kern w:val="0"/>
                <w:sz w:val="22"/>
                <w:szCs w:val="22"/>
                <w:highlight w:val="none"/>
                <w:lang w:val="en-US" w:eastAsia="zh-CN" w:bidi="ar-SA"/>
              </w:rPr>
              <w:t>不具备以上职称的，或未提供职称证原件的（电子证书除外），不予计分。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054270A2">
            <w:pPr>
              <w:pStyle w:val="5"/>
              <w:keepNext w:val="0"/>
              <w:keepLines w:val="0"/>
              <w:pageBreakBefore w:val="0"/>
              <w:widowControl w:val="0"/>
              <w:kinsoku/>
              <w:wordWrap w:val="0"/>
              <w:overflowPunct/>
              <w:topLinePunct w:val="0"/>
              <w:autoSpaceDE/>
              <w:autoSpaceDN/>
              <w:bidi w:val="0"/>
              <w:adjustRightInd w:val="0"/>
              <w:snapToGrid w:val="0"/>
              <w:spacing w:after="0" w:line="288" w:lineRule="auto"/>
              <w:textAlignment w:val="auto"/>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Theme="minorEastAsia" w:hAnsiTheme="minorEastAsia" w:eastAsiaTheme="minorEastAsia" w:cstheme="minorEastAsia"/>
                <w:b w:val="0"/>
                <w:bCs w:val="0"/>
                <w:snapToGrid w:val="0"/>
                <w:color w:val="auto"/>
                <w:kern w:val="0"/>
                <w:sz w:val="22"/>
                <w:szCs w:val="22"/>
                <w:highlight w:val="none"/>
                <w:lang w:val="en-US" w:eastAsia="zh-CN"/>
              </w:rPr>
              <w:t>1.</w:t>
            </w:r>
            <w:r>
              <w:rPr>
                <w:rFonts w:hint="eastAsia" w:asciiTheme="minorEastAsia" w:hAnsiTheme="minorEastAsia" w:eastAsiaTheme="minorEastAsia" w:cstheme="minorEastAsia"/>
                <w:b/>
                <w:bCs/>
                <w:snapToGrid w:val="0"/>
                <w:color w:val="auto"/>
                <w:kern w:val="0"/>
                <w:sz w:val="22"/>
                <w:szCs w:val="22"/>
                <w:highlight w:val="none"/>
                <w:lang w:val="en-US" w:eastAsia="zh-CN"/>
              </w:rPr>
              <w:t>需附职称证彩色扫描件，同时提供原件供核对（职称证书为电子证书的除外）。</w:t>
            </w:r>
          </w:p>
        </w:tc>
      </w:tr>
      <w:tr w14:paraId="6DE89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078E2C2C">
            <w:pPr>
              <w:pStyle w:val="41"/>
              <w:keepNext w:val="0"/>
              <w:keepLines w:val="0"/>
              <w:pageBreakBefore w:val="0"/>
              <w:widowControl w:val="0"/>
              <w:kinsoku/>
              <w:wordWrap w:val="0"/>
              <w:overflowPunct/>
              <w:topLinePunct w:val="0"/>
              <w:autoSpaceDE/>
              <w:autoSpaceDN/>
              <w:bidi w:val="0"/>
              <w:adjustRightInd w:val="0"/>
              <w:snapToGrid w:val="0"/>
              <w:spacing w:after="0" w:line="360" w:lineRule="auto"/>
              <w:jc w:val="center"/>
              <w:textAlignment w:val="auto"/>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企业业绩</w:t>
            </w:r>
          </w:p>
          <w:p w14:paraId="4A686DF9">
            <w:pPr>
              <w:pStyle w:val="41"/>
              <w:keepNext w:val="0"/>
              <w:keepLines w:val="0"/>
              <w:pageBreakBefore w:val="0"/>
              <w:widowControl w:val="0"/>
              <w:kinsoku/>
              <w:wordWrap w:val="0"/>
              <w:overflowPunct/>
              <w:topLinePunct w:val="0"/>
              <w:autoSpaceDE/>
              <w:autoSpaceDN/>
              <w:bidi w:val="0"/>
              <w:adjustRightInd w:val="0"/>
              <w:snapToGrid w:val="0"/>
              <w:spacing w:after="0" w:line="360" w:lineRule="auto"/>
              <w:jc w:val="center"/>
              <w:textAlignment w:val="auto"/>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rPr>
              <w:t>（</w:t>
            </w:r>
            <w:r>
              <w:rPr>
                <w:rFonts w:hint="eastAsia" w:hAnsi="宋体" w:cs="宋体"/>
                <w:snapToGrid w:val="0"/>
                <w:color w:val="auto"/>
                <w:kern w:val="0"/>
                <w:sz w:val="22"/>
                <w:szCs w:val="22"/>
                <w:highlight w:val="none"/>
                <w:lang w:val="en-US" w:eastAsia="zh-CN"/>
              </w:rPr>
              <w:t>10</w:t>
            </w:r>
            <w:r>
              <w:rPr>
                <w:rFonts w:hint="eastAsia" w:ascii="宋体" w:hAnsi="宋体" w:eastAsia="宋体" w:cs="宋体"/>
                <w:snapToGrid w:val="0"/>
                <w:color w:val="auto"/>
                <w:kern w:val="0"/>
                <w:sz w:val="22"/>
                <w:szCs w:val="22"/>
                <w:highlight w:val="none"/>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7B42C647">
            <w:pPr>
              <w:wordWrap w:val="0"/>
              <w:adjustRightInd w:val="0"/>
              <w:snapToGrid w:val="0"/>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企业近</w:t>
            </w:r>
            <w:r>
              <w:rPr>
                <w:rFonts w:hint="eastAsia" w:asciiTheme="minorEastAsia" w:hAnsiTheme="minorEastAsia" w:eastAsiaTheme="minorEastAsia" w:cstheme="minorEastAsia"/>
                <w:sz w:val="22"/>
                <w:szCs w:val="22"/>
                <w:highlight w:val="none"/>
                <w:u w:val="single"/>
                <w:lang w:val="en-US" w:eastAsia="zh-CN"/>
              </w:rPr>
              <w:t>5</w:t>
            </w:r>
            <w:r>
              <w:rPr>
                <w:rFonts w:hint="eastAsia" w:asciiTheme="minorEastAsia" w:hAnsiTheme="minorEastAsia" w:eastAsiaTheme="minorEastAsia" w:cstheme="minorEastAsia"/>
                <w:sz w:val="22"/>
                <w:szCs w:val="22"/>
                <w:highlight w:val="none"/>
              </w:rPr>
              <w:t>年来（202</w:t>
            </w:r>
            <w:r>
              <w:rPr>
                <w:rFonts w:hint="eastAsia" w:asciiTheme="minorEastAsia" w:hAnsiTheme="minorEastAsia" w:eastAsiaTheme="minorEastAsia" w:cstheme="minorEastAsia"/>
                <w:sz w:val="22"/>
                <w:szCs w:val="22"/>
                <w:highlight w:val="none"/>
                <w:lang w:val="en-US" w:eastAsia="zh-CN"/>
              </w:rPr>
              <w:t>1</w:t>
            </w:r>
            <w:r>
              <w:rPr>
                <w:rFonts w:hint="eastAsia" w:asciiTheme="minorEastAsia" w:hAnsiTheme="minorEastAsia" w:eastAsiaTheme="minorEastAsia" w:cstheme="minorEastAsia"/>
                <w:sz w:val="22"/>
                <w:szCs w:val="22"/>
                <w:highlight w:val="none"/>
              </w:rPr>
              <w:t>年1月1日至今）业绩情况：</w:t>
            </w:r>
          </w:p>
          <w:p w14:paraId="54546073">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1.完成过类似工程的，每个得</w:t>
            </w:r>
            <w:r>
              <w:rPr>
                <w:rFonts w:hint="eastAsia" w:asciiTheme="minorEastAsia" w:hAnsiTheme="minorEastAsia" w:eastAsiaTheme="minorEastAsia" w:cstheme="minorEastAsia"/>
                <w:sz w:val="22"/>
                <w:szCs w:val="22"/>
                <w:highlight w:val="none"/>
                <w:u w:val="single"/>
              </w:rPr>
              <w:t>5</w:t>
            </w:r>
            <w:r>
              <w:rPr>
                <w:rFonts w:hint="eastAsia" w:asciiTheme="minorEastAsia" w:hAnsiTheme="minorEastAsia" w:eastAsiaTheme="minorEastAsia" w:cstheme="minorEastAsia"/>
                <w:sz w:val="22"/>
                <w:szCs w:val="22"/>
                <w:highlight w:val="none"/>
              </w:rPr>
              <w:t>分。</w:t>
            </w:r>
          </w:p>
          <w:p w14:paraId="105FD10C">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2.未完成过类似工程的，不予计分。</w:t>
            </w:r>
          </w:p>
          <w:p w14:paraId="0A9E1159">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3.本项最高得10分。</w:t>
            </w:r>
          </w:p>
          <w:p w14:paraId="66CCF905">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auto"/>
                <w:kern w:val="0"/>
                <w:sz w:val="22"/>
                <w:szCs w:val="22"/>
                <w:highlight w:val="none"/>
                <w:lang w:val="en-US" w:eastAsia="zh-CN" w:bidi="ar-SA"/>
              </w:rPr>
            </w:pPr>
          </w:p>
        </w:tc>
        <w:tc>
          <w:tcPr>
            <w:tcW w:w="5065" w:type="dxa"/>
            <w:tcBorders>
              <w:top w:val="single" w:color="auto" w:sz="4" w:space="0"/>
              <w:left w:val="single" w:color="auto" w:sz="4" w:space="0"/>
              <w:bottom w:val="single" w:color="auto" w:sz="4" w:space="0"/>
              <w:right w:val="single" w:color="auto" w:sz="4" w:space="0"/>
            </w:tcBorders>
            <w:noWrap w:val="0"/>
            <w:vAlign w:val="center"/>
          </w:tcPr>
          <w:p w14:paraId="556A109B">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1.类似工程指</w:t>
            </w:r>
            <w:r>
              <w:rPr>
                <w:rFonts w:hint="eastAsia" w:asciiTheme="minorEastAsia" w:hAnsiTheme="minorEastAsia" w:eastAsiaTheme="minorEastAsia" w:cstheme="minorEastAsia"/>
                <w:snapToGrid w:val="0"/>
                <w:color w:val="auto"/>
                <w:kern w:val="0"/>
                <w:sz w:val="22"/>
                <w:szCs w:val="22"/>
                <w:highlight w:val="none"/>
                <w:u w:val="single"/>
                <w:lang w:val="en-US" w:eastAsia="zh-CN"/>
              </w:rPr>
              <w:t>：单项工程造价</w:t>
            </w:r>
            <w:r>
              <w:rPr>
                <w:rFonts w:hint="default" w:ascii="Arial" w:hAnsi="Arial" w:cs="Arial" w:eastAsiaTheme="minorEastAsia"/>
                <w:snapToGrid w:val="0"/>
                <w:color w:val="auto"/>
                <w:kern w:val="0"/>
                <w:sz w:val="22"/>
                <w:szCs w:val="22"/>
                <w:highlight w:val="none"/>
                <w:u w:val="single"/>
                <w:lang w:val="en-US" w:eastAsia="zh-CN"/>
              </w:rPr>
              <w:t>≥</w:t>
            </w:r>
            <w:r>
              <w:rPr>
                <w:rFonts w:hint="eastAsia" w:asciiTheme="minorEastAsia" w:hAnsiTheme="minorEastAsia" w:eastAsiaTheme="minorEastAsia" w:cstheme="minorEastAsia"/>
                <w:snapToGrid w:val="0"/>
                <w:color w:val="auto"/>
                <w:kern w:val="0"/>
                <w:sz w:val="22"/>
                <w:szCs w:val="22"/>
                <w:highlight w:val="none"/>
                <w:u w:val="single"/>
                <w:lang w:val="en-US" w:eastAsia="zh-CN"/>
              </w:rPr>
              <w:t>1000万元的市政公用工程</w:t>
            </w:r>
            <w:r>
              <w:rPr>
                <w:rFonts w:hint="eastAsia" w:asciiTheme="minorEastAsia" w:hAnsiTheme="minorEastAsia" w:eastAsiaTheme="minorEastAsia" w:cstheme="minorEastAsia"/>
                <w:snapToGrid w:val="0"/>
                <w:color w:val="auto"/>
                <w:kern w:val="0"/>
                <w:sz w:val="22"/>
                <w:szCs w:val="22"/>
                <w:highlight w:val="none"/>
                <w:lang w:val="en-US" w:eastAsia="zh-CN"/>
              </w:rPr>
              <w:t>；</w:t>
            </w:r>
          </w:p>
          <w:p w14:paraId="31E276AF">
            <w:pPr>
              <w:widowControl w:val="0"/>
              <w:wordWrap w:val="0"/>
              <w:adjustRightInd w:val="0"/>
              <w:snapToGrid w:val="0"/>
              <w:spacing w:after="0" w:line="288" w:lineRule="auto"/>
              <w:jc w:val="both"/>
              <w:rPr>
                <w:rFonts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2.需附有关业绩（仅限于以施工总承包单位身份参建的项目）合同协议书及</w:t>
            </w:r>
            <w:r>
              <w:rPr>
                <w:rFonts w:ascii="宋体" w:hAnsi="宋体" w:eastAsia="宋体" w:cs="宋体"/>
                <w:color w:val="auto"/>
                <w:kern w:val="2"/>
                <w:sz w:val="22"/>
                <w:szCs w:val="22"/>
                <w:highlight w:val="none"/>
                <w:lang w:val="en-US" w:eastAsia="zh-CN" w:bidi="ar-SA"/>
              </w:rPr>
              <w:t>竣工验收报告</w:t>
            </w:r>
            <w:r>
              <w:rPr>
                <w:rFonts w:hint="eastAsia" w:ascii="宋体" w:hAnsi="宋体" w:eastAsia="宋体" w:cs="宋体"/>
                <w:color w:val="auto"/>
                <w:kern w:val="2"/>
                <w:sz w:val="22"/>
                <w:szCs w:val="22"/>
                <w:highlight w:val="none"/>
                <w:lang w:val="en-US" w:eastAsia="zh-CN" w:bidi="ar-SA"/>
              </w:rPr>
              <w:t>彩色扫描件，</w:t>
            </w:r>
            <w:r>
              <w:rPr>
                <w:rFonts w:hint="eastAsia" w:ascii="宋体" w:hAnsi="宋体" w:eastAsia="宋体" w:cs="宋体"/>
                <w:b/>
                <w:bCs/>
                <w:color w:val="auto"/>
                <w:kern w:val="2"/>
                <w:sz w:val="22"/>
                <w:szCs w:val="22"/>
                <w:highlight w:val="none"/>
                <w:lang w:val="en-US" w:eastAsia="zh-CN" w:bidi="ar-SA"/>
              </w:rPr>
              <w:t>同时提供原件供核对</w:t>
            </w:r>
            <w:r>
              <w:rPr>
                <w:rFonts w:hint="eastAsia" w:ascii="宋体" w:hAnsi="宋体" w:eastAsia="宋体" w:cs="宋体"/>
                <w:color w:val="auto"/>
                <w:kern w:val="2"/>
                <w:sz w:val="22"/>
                <w:szCs w:val="22"/>
                <w:highlight w:val="none"/>
                <w:lang w:val="en-US" w:eastAsia="zh-CN" w:bidi="ar-SA"/>
              </w:rPr>
              <w:t>。</w:t>
            </w:r>
          </w:p>
          <w:p w14:paraId="23991342">
            <w:pPr>
              <w:widowControl w:val="0"/>
              <w:wordWrap w:val="0"/>
              <w:adjustRightInd w:val="0"/>
              <w:snapToGrid w:val="0"/>
              <w:spacing w:after="0" w:line="288" w:lineRule="auto"/>
              <w:jc w:val="both"/>
              <w:rPr>
                <w:rFonts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3.业绩时间以</w:t>
            </w:r>
            <w:r>
              <w:rPr>
                <w:rFonts w:ascii="宋体" w:hAnsi="宋体" w:eastAsia="宋体" w:cs="宋体"/>
                <w:color w:val="auto"/>
                <w:kern w:val="2"/>
                <w:sz w:val="22"/>
                <w:szCs w:val="22"/>
                <w:highlight w:val="none"/>
                <w:lang w:val="en-US" w:eastAsia="zh-CN" w:bidi="ar-SA"/>
              </w:rPr>
              <w:t>竣工验收报告</w:t>
            </w:r>
            <w:r>
              <w:rPr>
                <w:rFonts w:hint="eastAsia" w:ascii="宋体" w:hAnsi="宋体" w:eastAsia="宋体" w:cs="宋体"/>
                <w:color w:val="auto"/>
                <w:kern w:val="2"/>
                <w:sz w:val="22"/>
                <w:szCs w:val="22"/>
                <w:highlight w:val="none"/>
                <w:lang w:val="en-US" w:eastAsia="zh-CN" w:bidi="ar-SA"/>
              </w:rPr>
              <w:t>日期为准。</w:t>
            </w:r>
          </w:p>
          <w:p w14:paraId="22548A40">
            <w:pPr>
              <w:widowControl w:val="0"/>
              <w:wordWrap w:val="0"/>
              <w:adjustRightInd w:val="0"/>
              <w:snapToGrid w:val="0"/>
              <w:spacing w:after="0" w:line="288" w:lineRule="auto"/>
              <w:jc w:val="both"/>
              <w:rPr>
                <w:rFonts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4.任一业绩有以下情形之一的，该业绩视为无效，不予计分：</w:t>
            </w:r>
          </w:p>
          <w:p w14:paraId="71F8098B">
            <w:pPr>
              <w:widowControl w:val="0"/>
              <w:wordWrap w:val="0"/>
              <w:adjustRightInd w:val="0"/>
              <w:snapToGrid w:val="0"/>
              <w:spacing w:after="0" w:line="288" w:lineRule="auto"/>
              <w:jc w:val="both"/>
              <w:rPr>
                <w:rFonts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①未提供业绩证明材料原件的；</w:t>
            </w:r>
          </w:p>
          <w:p w14:paraId="72EED8B3">
            <w:pPr>
              <w:widowControl w:val="0"/>
              <w:wordWrap w:val="0"/>
              <w:adjustRightInd w:val="0"/>
              <w:snapToGrid w:val="0"/>
              <w:spacing w:after="0" w:line="288" w:lineRule="auto"/>
              <w:jc w:val="both"/>
              <w:rPr>
                <w:rFonts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②业绩不属于类似工程的；</w:t>
            </w:r>
          </w:p>
          <w:p w14:paraId="7B3DDA17">
            <w:pPr>
              <w:widowControl w:val="0"/>
              <w:wordWrap w:val="0"/>
              <w:adjustRightInd w:val="0"/>
              <w:snapToGrid w:val="0"/>
              <w:spacing w:after="0" w:line="288" w:lineRule="auto"/>
              <w:jc w:val="both"/>
              <w:rPr>
                <w:rFonts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③不是以指定身份参建的；</w:t>
            </w:r>
          </w:p>
          <w:p w14:paraId="3BA40904">
            <w:pPr>
              <w:widowControl w:val="0"/>
              <w:wordWrap w:val="0"/>
              <w:adjustRightInd w:val="0"/>
              <w:snapToGrid w:val="0"/>
              <w:spacing w:after="0" w:line="288" w:lineRule="auto"/>
              <w:jc w:val="both"/>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④业绩时间不符合要求的；</w:t>
            </w:r>
          </w:p>
          <w:p w14:paraId="72AB12D8">
            <w:pPr>
              <w:pStyle w:val="5"/>
              <w:keepNext w:val="0"/>
              <w:keepLines w:val="0"/>
              <w:pageBreakBefore w:val="0"/>
              <w:widowControl w:val="0"/>
              <w:kinsoku/>
              <w:wordWrap w:val="0"/>
              <w:overflowPunct/>
              <w:topLinePunct w:val="0"/>
              <w:autoSpaceDE/>
              <w:autoSpaceDN/>
              <w:bidi w:val="0"/>
              <w:adjustRightInd w:val="0"/>
              <w:snapToGrid w:val="0"/>
              <w:spacing w:after="0" w:line="288" w:lineRule="auto"/>
              <w:textAlignment w:val="auto"/>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color w:val="auto"/>
                <w:kern w:val="2"/>
                <w:sz w:val="22"/>
                <w:szCs w:val="22"/>
                <w:highlight w:val="none"/>
                <w:lang w:val="en-US" w:eastAsia="zh-CN" w:bidi="ar-SA"/>
              </w:rPr>
              <w:t>⑤业绩未竣工验收的。</w:t>
            </w:r>
          </w:p>
        </w:tc>
      </w:tr>
      <w:tr w14:paraId="2BFAC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42"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217244E3">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企业银行</w:t>
            </w:r>
          </w:p>
          <w:p w14:paraId="43D7AE70">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资信评级</w:t>
            </w:r>
          </w:p>
          <w:p w14:paraId="76B9E02E">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rPr>
              <w:t>（</w:t>
            </w:r>
            <w:r>
              <w:rPr>
                <w:rFonts w:hint="eastAsia" w:hAnsi="宋体" w:cs="宋体"/>
                <w:snapToGrid w:val="0"/>
                <w:color w:val="auto"/>
                <w:kern w:val="0"/>
                <w:sz w:val="22"/>
                <w:szCs w:val="22"/>
                <w:highlight w:val="none"/>
                <w:lang w:val="en-US" w:eastAsia="zh-CN"/>
              </w:rPr>
              <w:t>5</w:t>
            </w:r>
            <w:r>
              <w:rPr>
                <w:rFonts w:hint="eastAsia" w:ascii="宋体" w:hAnsi="宋体" w:eastAsia="宋体" w:cs="宋体"/>
                <w:snapToGrid w:val="0"/>
                <w:color w:val="auto"/>
                <w:kern w:val="0"/>
                <w:sz w:val="22"/>
                <w:szCs w:val="22"/>
                <w:highlight w:val="none"/>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136001D6">
            <w:pP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1.银行资信评级AAA的，得</w:t>
            </w:r>
            <w:r>
              <w:rPr>
                <w:rFonts w:hint="eastAsia" w:asciiTheme="minorEastAsia" w:hAnsiTheme="minorEastAsia" w:eastAsiaTheme="minorEastAsia" w:cstheme="minorEastAsia"/>
                <w:color w:val="auto"/>
                <w:sz w:val="22"/>
                <w:szCs w:val="22"/>
                <w:highlight w:val="none"/>
                <w:lang w:val="en-US" w:eastAsia="zh-CN"/>
              </w:rPr>
              <w:t>5</w:t>
            </w:r>
            <w:r>
              <w:rPr>
                <w:rFonts w:hint="eastAsia" w:asciiTheme="minorEastAsia" w:hAnsiTheme="minorEastAsia" w:eastAsiaTheme="minorEastAsia" w:cstheme="minorEastAsia"/>
                <w:color w:val="auto"/>
                <w:sz w:val="22"/>
                <w:szCs w:val="22"/>
                <w:highlight w:val="none"/>
              </w:rPr>
              <w:t>分。</w:t>
            </w:r>
          </w:p>
          <w:p w14:paraId="24BD58E6">
            <w:pP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2.银行资信评级AA（含AA＋、AA－）的，得</w:t>
            </w:r>
            <w:r>
              <w:rPr>
                <w:rFonts w:hint="eastAsia" w:asciiTheme="minorEastAsia" w:hAnsiTheme="minorEastAsia" w:eastAsiaTheme="minorEastAsia" w:cstheme="minorEastAsia"/>
                <w:color w:val="auto"/>
                <w:sz w:val="22"/>
                <w:szCs w:val="22"/>
                <w:highlight w:val="none"/>
                <w:lang w:val="en-US" w:eastAsia="zh-CN"/>
              </w:rPr>
              <w:t>4</w:t>
            </w:r>
            <w:r>
              <w:rPr>
                <w:rFonts w:hint="eastAsia" w:asciiTheme="minorEastAsia" w:hAnsiTheme="minorEastAsia" w:eastAsiaTheme="minorEastAsia" w:cstheme="minorEastAsia"/>
                <w:color w:val="auto"/>
                <w:sz w:val="22"/>
                <w:szCs w:val="22"/>
                <w:highlight w:val="none"/>
              </w:rPr>
              <w:t>分。</w:t>
            </w:r>
          </w:p>
          <w:p w14:paraId="44AAA695">
            <w:pP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3.银行资信评级A（含A＋、A－）的，得</w:t>
            </w:r>
            <w:r>
              <w:rPr>
                <w:rFonts w:hint="eastAsia" w:asciiTheme="minorEastAsia" w:hAnsiTheme="minorEastAsia" w:eastAsiaTheme="minorEastAsia" w:cstheme="minorEastAsia"/>
                <w:color w:val="auto"/>
                <w:sz w:val="22"/>
                <w:szCs w:val="22"/>
                <w:highlight w:val="none"/>
                <w:lang w:val="en-US" w:eastAsia="zh-CN"/>
              </w:rPr>
              <w:t>3</w:t>
            </w:r>
            <w:r>
              <w:rPr>
                <w:rFonts w:hint="eastAsia" w:asciiTheme="minorEastAsia" w:hAnsiTheme="minorEastAsia" w:eastAsiaTheme="minorEastAsia" w:cstheme="minorEastAsia"/>
                <w:color w:val="auto"/>
                <w:sz w:val="22"/>
                <w:szCs w:val="22"/>
                <w:highlight w:val="none"/>
              </w:rPr>
              <w:t>分。</w:t>
            </w:r>
          </w:p>
          <w:p w14:paraId="761ACE99">
            <w:pPr>
              <w:pStyle w:val="5"/>
              <w:keepNext w:val="0"/>
              <w:keepLines w:val="0"/>
              <w:pageBreakBefore w:val="0"/>
              <w:widowControl w:val="0"/>
              <w:kinsoku/>
              <w:wordWrap w:val="0"/>
              <w:overflowPunct/>
              <w:topLinePunct w:val="0"/>
              <w:autoSpaceDE/>
              <w:autoSpaceDN/>
              <w:bidi w:val="0"/>
              <w:adjustRightInd w:val="0"/>
              <w:snapToGrid w:val="0"/>
              <w:spacing w:after="0" w:line="288" w:lineRule="auto"/>
              <w:textAlignment w:val="auto"/>
              <w:rPr>
                <w:rFonts w:hint="eastAsia" w:ascii="宋体" w:hAnsi="宋体" w:eastAsia="宋体" w:cs="宋体"/>
                <w:snapToGrid w:val="0"/>
                <w:color w:val="auto"/>
                <w:kern w:val="0"/>
                <w:sz w:val="22"/>
                <w:szCs w:val="22"/>
                <w:highlight w:val="none"/>
                <w:lang w:val="en-US" w:eastAsia="zh-CN" w:bidi="ar-SA"/>
              </w:rPr>
            </w:pPr>
            <w:r>
              <w:rPr>
                <w:rFonts w:hint="eastAsia" w:asciiTheme="minorEastAsia" w:hAnsiTheme="minorEastAsia" w:eastAsiaTheme="minorEastAsia" w:cstheme="minorEastAsia"/>
                <w:color w:val="auto"/>
                <w:sz w:val="22"/>
                <w:szCs w:val="22"/>
                <w:highlight w:val="none"/>
              </w:rPr>
              <w:t>4.未获得过以上评级的，或评级证书</w:t>
            </w:r>
            <w:r>
              <w:rPr>
                <w:rFonts w:hint="eastAsia" w:asciiTheme="minorEastAsia" w:hAnsiTheme="minorEastAsia" w:eastAsiaTheme="minorEastAsia" w:cstheme="minorEastAsia"/>
                <w:snapToGrid w:val="0"/>
                <w:color w:val="auto"/>
                <w:kern w:val="0"/>
                <w:sz w:val="22"/>
                <w:szCs w:val="22"/>
                <w:highlight w:val="none"/>
                <w:lang w:val="en-US" w:eastAsia="zh-CN" w:bidi="ar-SA"/>
              </w:rPr>
              <w:t>（证明）</w:t>
            </w:r>
            <w:r>
              <w:rPr>
                <w:rFonts w:hint="eastAsia" w:asciiTheme="minorEastAsia" w:hAnsiTheme="minorEastAsia" w:eastAsiaTheme="minorEastAsia" w:cstheme="minorEastAsia"/>
                <w:color w:val="auto"/>
                <w:sz w:val="22"/>
                <w:szCs w:val="22"/>
                <w:highlight w:val="none"/>
              </w:rPr>
              <w:t>无效的，不予计分。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7CBA1D98">
            <w:pPr>
              <w:pStyle w:val="5"/>
              <w:wordWrap w:val="0"/>
              <w:adjustRightInd w:val="0"/>
              <w:snapToGrid w:val="0"/>
              <w:spacing w:after="0" w:line="400" w:lineRule="exact"/>
              <w:rPr>
                <w:rFonts w:hint="eastAsia" w:asciiTheme="minorEastAsia" w:hAnsiTheme="minorEastAsia" w:eastAsiaTheme="minorEastAsia" w:cstheme="minorEastAsia"/>
                <w:b w:val="0"/>
                <w:bCs w:val="0"/>
                <w:snapToGrid w:val="0"/>
                <w:color w:val="auto"/>
                <w:kern w:val="0"/>
                <w:sz w:val="22"/>
                <w:szCs w:val="22"/>
                <w:highlight w:val="none"/>
                <w:lang w:val="en-US" w:eastAsia="zh-CN"/>
              </w:rPr>
            </w:pPr>
            <w:r>
              <w:rPr>
                <w:rFonts w:hint="eastAsia" w:asciiTheme="minorEastAsia" w:hAnsiTheme="minorEastAsia" w:eastAsiaTheme="minorEastAsia" w:cstheme="minorEastAsia"/>
                <w:b w:val="0"/>
                <w:bCs w:val="0"/>
                <w:snapToGrid w:val="0"/>
                <w:color w:val="auto"/>
                <w:kern w:val="0"/>
                <w:sz w:val="22"/>
                <w:szCs w:val="22"/>
                <w:highlight w:val="none"/>
                <w:lang w:val="en-US" w:eastAsia="zh-CN"/>
              </w:rPr>
              <w:t>1.需附在有效期内的资信（信用）评级（等级）证书（证明）扫描件，</w:t>
            </w:r>
            <w:r>
              <w:rPr>
                <w:rFonts w:hint="eastAsia" w:asciiTheme="minorEastAsia" w:hAnsiTheme="minorEastAsia" w:eastAsiaTheme="minorEastAsia" w:cstheme="minorEastAsia"/>
                <w:b/>
                <w:bCs/>
                <w:snapToGrid w:val="0"/>
                <w:color w:val="auto"/>
                <w:kern w:val="0"/>
                <w:sz w:val="22"/>
                <w:szCs w:val="22"/>
                <w:highlight w:val="none"/>
                <w:lang w:val="en-US" w:eastAsia="zh-CN"/>
              </w:rPr>
              <w:t>同时提供原件供核对。</w:t>
            </w:r>
          </w:p>
          <w:p w14:paraId="18182839">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2.评级（等级）证书须由</w:t>
            </w:r>
            <w:r>
              <w:rPr>
                <w:rFonts w:hint="eastAsia" w:asciiTheme="minorEastAsia" w:hAnsiTheme="minorEastAsia" w:eastAsiaTheme="minorEastAsia" w:cstheme="minorEastAsia"/>
                <w:snapToGrid w:val="0"/>
                <w:color w:val="auto"/>
                <w:kern w:val="0"/>
                <w:sz w:val="22"/>
                <w:szCs w:val="22"/>
                <w:highlight w:val="none"/>
                <w:u w:val="single"/>
                <w:lang w:val="en-US" w:eastAsia="zh-CN"/>
              </w:rPr>
              <w:t>企业基本账户开户银行/市级或以上金融机构</w:t>
            </w:r>
            <w:r>
              <w:rPr>
                <w:rFonts w:hint="eastAsia" w:asciiTheme="minorEastAsia" w:hAnsiTheme="minorEastAsia" w:eastAsiaTheme="minorEastAsia" w:cstheme="minorEastAsia"/>
                <w:snapToGrid w:val="0"/>
                <w:color w:val="auto"/>
                <w:kern w:val="0"/>
                <w:sz w:val="22"/>
                <w:szCs w:val="22"/>
                <w:highlight w:val="none"/>
                <w:lang w:val="en-US" w:eastAsia="zh-CN"/>
              </w:rPr>
              <w:t>出具。</w:t>
            </w:r>
          </w:p>
          <w:p w14:paraId="0B049664">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3.评级（等级）证书（证明）有以下情形之一的，视为无效：</w:t>
            </w:r>
          </w:p>
          <w:p w14:paraId="4ED4FD0A">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①未提供评级（等级）证书（证明）</w:t>
            </w:r>
            <w:r>
              <w:rPr>
                <w:rFonts w:hint="eastAsia" w:asciiTheme="minorEastAsia" w:hAnsiTheme="minorEastAsia" w:eastAsiaTheme="minorEastAsia" w:cstheme="minorEastAsia"/>
                <w:b/>
                <w:bCs/>
                <w:snapToGrid w:val="0"/>
                <w:color w:val="auto"/>
                <w:kern w:val="0"/>
                <w:sz w:val="22"/>
                <w:szCs w:val="22"/>
                <w:highlight w:val="none"/>
                <w:lang w:val="en-US" w:eastAsia="zh-CN"/>
              </w:rPr>
              <w:t>原件</w:t>
            </w:r>
            <w:r>
              <w:rPr>
                <w:rFonts w:hint="eastAsia" w:asciiTheme="minorEastAsia" w:hAnsiTheme="minorEastAsia" w:eastAsiaTheme="minorEastAsia" w:cstheme="minorEastAsia"/>
                <w:snapToGrid w:val="0"/>
                <w:color w:val="auto"/>
                <w:kern w:val="0"/>
                <w:sz w:val="22"/>
                <w:szCs w:val="22"/>
                <w:highlight w:val="none"/>
                <w:lang w:val="en-US" w:eastAsia="zh-CN"/>
              </w:rPr>
              <w:t>的；</w:t>
            </w:r>
          </w:p>
          <w:p w14:paraId="05969430">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②评级（等级）证书（证明）不在有效期内的；</w:t>
            </w:r>
          </w:p>
          <w:p w14:paraId="713ECB07">
            <w:pPr>
              <w:pStyle w:val="5"/>
              <w:keepNext w:val="0"/>
              <w:keepLines w:val="0"/>
              <w:pageBreakBefore w:val="0"/>
              <w:widowControl w:val="0"/>
              <w:kinsoku/>
              <w:wordWrap w:val="0"/>
              <w:overflowPunct/>
              <w:topLinePunct w:val="0"/>
              <w:autoSpaceDE/>
              <w:autoSpaceDN/>
              <w:bidi w:val="0"/>
              <w:adjustRightInd w:val="0"/>
              <w:snapToGrid w:val="0"/>
              <w:spacing w:after="0" w:line="288" w:lineRule="auto"/>
              <w:textAlignment w:val="auto"/>
              <w:rPr>
                <w:rFonts w:hint="eastAsia" w:ascii="宋体" w:hAnsi="宋体" w:cs="宋体"/>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③出具机构不符合要求的；</w:t>
            </w:r>
          </w:p>
        </w:tc>
      </w:tr>
      <w:tr w14:paraId="7B3EB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4"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166D692A">
            <w:pPr>
              <w:pStyle w:val="5"/>
              <w:wordWrap w:val="0"/>
              <w:adjustRightInd w:val="0"/>
              <w:snapToGrid w:val="0"/>
              <w:spacing w:after="0" w:line="400" w:lineRule="exact"/>
              <w:jc w:val="both"/>
              <w:rPr>
                <w:rFonts w:hint="default"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shd w:val="clear" w:color="auto" w:fill="auto"/>
                <w:lang w:bidi="ar"/>
              </w:rPr>
              <w:t>企业管理体系认证 （</w:t>
            </w:r>
            <w:r>
              <w:rPr>
                <w:rFonts w:hint="eastAsia" w:ascii="宋体" w:hAnsi="宋体" w:eastAsia="宋体" w:cs="宋体"/>
                <w:snapToGrid w:val="0"/>
                <w:color w:val="auto"/>
                <w:kern w:val="0"/>
                <w:sz w:val="22"/>
                <w:szCs w:val="22"/>
                <w:highlight w:val="none"/>
                <w:shd w:val="clear" w:color="auto" w:fill="auto"/>
                <w:lang w:val="en-US" w:eastAsia="zh-CN" w:bidi="ar"/>
              </w:rPr>
              <w:t>12</w:t>
            </w:r>
            <w:r>
              <w:rPr>
                <w:rFonts w:hint="eastAsia" w:ascii="宋体" w:hAnsi="宋体" w:eastAsia="宋体" w:cs="宋体"/>
                <w:snapToGrid w:val="0"/>
                <w:color w:val="auto"/>
                <w:kern w:val="0"/>
                <w:sz w:val="22"/>
                <w:szCs w:val="22"/>
                <w:highlight w:val="none"/>
                <w:shd w:val="clear" w:color="auto" w:fill="auto"/>
                <w:lang w:bidi="ar"/>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31D63206">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1.质量管理体系认证证书、职业健康安全管理体系认证证书、环境管理体系认证证书、诚信管理体系认证证书、工程施工安全标准化评价证书、工程施工现场环境与卫生评价证书，提供全部6项证书得12分，本项最高得12分。</w:t>
            </w:r>
          </w:p>
          <w:p w14:paraId="73A10F9D">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2.获得其中5项证书的得9分；</w:t>
            </w:r>
          </w:p>
          <w:p w14:paraId="7499ACC2">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3.获得其中4项证书的得6分；</w:t>
            </w:r>
          </w:p>
          <w:p w14:paraId="7E44596B">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4.获得其中3项证书的得3分；</w:t>
            </w:r>
          </w:p>
          <w:p w14:paraId="228E63CC">
            <w:pPr>
              <w:pStyle w:val="5"/>
              <w:wordWrap w:val="0"/>
              <w:adjustRightInd w:val="0"/>
              <w:snapToGrid w:val="0"/>
              <w:spacing w:after="0" w:line="400" w:lineRule="exact"/>
              <w:rPr>
                <w:rFonts w:hint="eastAsia" w:ascii="宋体" w:hAnsi="宋体" w:cs="宋体" w:eastAsiaTheme="minorEastAsia"/>
                <w:snapToGrid w:val="0"/>
                <w:color w:val="auto"/>
                <w:kern w:val="0"/>
                <w:sz w:val="22"/>
                <w:szCs w:val="22"/>
                <w:highlight w:val="none"/>
                <w:lang w:val="en-US" w:eastAsia="zh-CN" w:bidi="ar-SA"/>
              </w:rPr>
            </w:pPr>
            <w:r>
              <w:rPr>
                <w:rFonts w:hint="eastAsia" w:asciiTheme="minorEastAsia" w:hAnsiTheme="minorEastAsia" w:eastAsiaTheme="minorEastAsia" w:cstheme="minorEastAsia"/>
                <w:snapToGrid w:val="0"/>
                <w:color w:val="auto"/>
                <w:kern w:val="0"/>
                <w:sz w:val="22"/>
                <w:szCs w:val="22"/>
                <w:highlight w:val="none"/>
                <w:lang w:val="en-US" w:eastAsia="zh-CN"/>
              </w:rPr>
              <w:t>5.其他情形的，不予计分。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30ED1A68">
            <w:pPr>
              <w:rPr>
                <w:rFonts w:hint="eastAsia" w:asciiTheme="minorEastAsia" w:hAnsiTheme="minorEastAsia" w:eastAsiaTheme="minorEastAsia" w:cstheme="minorEastAsia"/>
                <w:b/>
                <w:bCs/>
                <w:color w:val="auto"/>
                <w:sz w:val="22"/>
                <w:szCs w:val="22"/>
                <w:highlight w:val="none"/>
              </w:rPr>
            </w:pPr>
            <w:r>
              <w:rPr>
                <w:rFonts w:hint="eastAsia" w:asciiTheme="minorEastAsia" w:hAnsiTheme="minorEastAsia" w:eastAsiaTheme="minorEastAsia" w:cstheme="minorEastAsia"/>
                <w:b w:val="0"/>
                <w:bCs w:val="0"/>
                <w:color w:val="auto"/>
                <w:sz w:val="22"/>
                <w:szCs w:val="22"/>
                <w:highlight w:val="none"/>
              </w:rPr>
              <w:t>1.需附在有效期内的认证证书彩色扫描件，</w:t>
            </w:r>
            <w:r>
              <w:rPr>
                <w:rFonts w:hint="eastAsia" w:asciiTheme="minorEastAsia" w:hAnsiTheme="minorEastAsia" w:eastAsiaTheme="minorEastAsia" w:cstheme="minorEastAsia"/>
                <w:b/>
                <w:bCs/>
                <w:color w:val="auto"/>
                <w:sz w:val="22"/>
                <w:szCs w:val="22"/>
                <w:highlight w:val="none"/>
              </w:rPr>
              <w:t>同时提供原件供核对（认证证</w:t>
            </w:r>
            <w:r>
              <w:rPr>
                <w:rFonts w:hint="eastAsia" w:asciiTheme="minorEastAsia" w:hAnsiTheme="minorEastAsia" w:eastAsiaTheme="minorEastAsia" w:cstheme="minorEastAsia"/>
                <w:b/>
                <w:bCs/>
                <w:color w:val="auto"/>
                <w:sz w:val="22"/>
                <w:szCs w:val="22"/>
                <w:highlight w:val="none"/>
                <w:lang w:val="en-US" w:eastAsia="zh-CN"/>
              </w:rPr>
              <w:t>书为</w:t>
            </w:r>
            <w:r>
              <w:rPr>
                <w:rFonts w:hint="eastAsia" w:asciiTheme="minorEastAsia" w:hAnsiTheme="minorEastAsia" w:eastAsiaTheme="minorEastAsia" w:cstheme="minorEastAsia"/>
                <w:b/>
                <w:bCs/>
                <w:color w:val="auto"/>
                <w:sz w:val="22"/>
                <w:szCs w:val="22"/>
                <w:highlight w:val="none"/>
              </w:rPr>
              <w:t>电子证书</w:t>
            </w:r>
            <w:r>
              <w:rPr>
                <w:rFonts w:hint="eastAsia" w:asciiTheme="minorEastAsia" w:hAnsiTheme="minorEastAsia" w:eastAsiaTheme="minorEastAsia" w:cstheme="minorEastAsia"/>
                <w:b/>
                <w:bCs/>
                <w:color w:val="auto"/>
                <w:sz w:val="22"/>
                <w:szCs w:val="22"/>
                <w:highlight w:val="none"/>
                <w:lang w:eastAsia="zh-CN"/>
              </w:rPr>
              <w:t>的</w:t>
            </w:r>
            <w:r>
              <w:rPr>
                <w:rFonts w:hint="eastAsia" w:asciiTheme="minorEastAsia" w:hAnsiTheme="minorEastAsia" w:eastAsiaTheme="minorEastAsia" w:cstheme="minorEastAsia"/>
                <w:b/>
                <w:bCs/>
                <w:color w:val="auto"/>
                <w:sz w:val="22"/>
                <w:szCs w:val="22"/>
                <w:highlight w:val="none"/>
              </w:rPr>
              <w:t>除外）。</w:t>
            </w:r>
          </w:p>
          <w:p w14:paraId="228C50AC">
            <w:pPr>
              <w:rPr>
                <w:rFonts w:hint="eastAsia" w:asciiTheme="minorEastAsia" w:hAnsiTheme="minorEastAsia" w:eastAsiaTheme="minorEastAsia" w:cstheme="minorEastAsia"/>
                <w:b w:val="0"/>
                <w:bCs w:val="0"/>
                <w:color w:val="auto"/>
                <w:sz w:val="22"/>
                <w:szCs w:val="22"/>
                <w:highlight w:val="none"/>
              </w:rPr>
            </w:pPr>
            <w:r>
              <w:rPr>
                <w:rFonts w:hint="eastAsia" w:asciiTheme="minorEastAsia" w:hAnsiTheme="minorEastAsia" w:eastAsiaTheme="minorEastAsia" w:cstheme="minorEastAsia"/>
                <w:b w:val="0"/>
                <w:bCs w:val="0"/>
                <w:color w:val="auto"/>
                <w:sz w:val="22"/>
                <w:szCs w:val="22"/>
                <w:highlight w:val="none"/>
              </w:rPr>
              <w:t>2.任一认证证书有以下情形之一的，该认证证书视为无效，不予计分：</w:t>
            </w:r>
          </w:p>
          <w:p w14:paraId="5A1A5FDF">
            <w:pPr>
              <w:rPr>
                <w:rFonts w:hint="eastAsia" w:asciiTheme="minorEastAsia" w:hAnsiTheme="minorEastAsia" w:eastAsiaTheme="minorEastAsia" w:cstheme="minorEastAsia"/>
                <w:b w:val="0"/>
                <w:bCs w:val="0"/>
                <w:color w:val="auto"/>
                <w:sz w:val="22"/>
                <w:szCs w:val="22"/>
                <w:highlight w:val="none"/>
              </w:rPr>
            </w:pPr>
            <w:r>
              <w:rPr>
                <w:rFonts w:hint="eastAsia" w:asciiTheme="minorEastAsia" w:hAnsiTheme="minorEastAsia" w:eastAsiaTheme="minorEastAsia" w:cstheme="minorEastAsia"/>
                <w:b w:val="0"/>
                <w:bCs w:val="0"/>
                <w:color w:val="auto"/>
                <w:sz w:val="22"/>
                <w:szCs w:val="22"/>
                <w:highlight w:val="none"/>
              </w:rPr>
              <w:t>①未提供认证证书原件的；</w:t>
            </w:r>
          </w:p>
          <w:p w14:paraId="24A02C51">
            <w:pPr>
              <w:pStyle w:val="5"/>
              <w:wordWrap w:val="0"/>
              <w:adjustRightInd w:val="0"/>
              <w:snapToGrid w:val="0"/>
              <w:spacing w:after="0" w:line="400" w:lineRule="exact"/>
              <w:rPr>
                <w:rFonts w:hint="eastAsia"/>
                <w:color w:val="auto"/>
                <w:sz w:val="22"/>
                <w:szCs w:val="22"/>
                <w:highlight w:val="none"/>
                <w:lang w:val="en-US" w:eastAsia="zh-CN"/>
              </w:rPr>
            </w:pPr>
            <w:r>
              <w:rPr>
                <w:rFonts w:hint="eastAsia" w:asciiTheme="minorEastAsia" w:hAnsiTheme="minorEastAsia" w:eastAsiaTheme="minorEastAsia" w:cstheme="minorEastAsia"/>
                <w:b w:val="0"/>
                <w:bCs w:val="0"/>
                <w:color w:val="auto"/>
                <w:sz w:val="22"/>
                <w:szCs w:val="22"/>
                <w:highlight w:val="none"/>
              </w:rPr>
              <w:t>②认证证书不在有效期内的。</w:t>
            </w:r>
          </w:p>
        </w:tc>
      </w:tr>
      <w:tr w14:paraId="5DE56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6" w:hRule="atLeast"/>
          <w:jc w:val="center"/>
        </w:trPr>
        <w:tc>
          <w:tcPr>
            <w:tcW w:w="1491" w:type="dxa"/>
            <w:tcBorders>
              <w:top w:val="single" w:color="auto" w:sz="4" w:space="0"/>
              <w:left w:val="single" w:color="auto" w:sz="4" w:space="0"/>
              <w:right w:val="single" w:color="auto" w:sz="4" w:space="0"/>
            </w:tcBorders>
            <w:noWrap w:val="0"/>
            <w:vAlign w:val="center"/>
          </w:tcPr>
          <w:p w14:paraId="754E5DC2">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napToGrid w:val="0"/>
                <w:color w:val="auto"/>
                <w:kern w:val="0"/>
                <w:sz w:val="22"/>
                <w:szCs w:val="22"/>
                <w:highlight w:val="none"/>
                <w:lang w:bidi="ar"/>
              </w:rPr>
            </w:pPr>
            <w:r>
              <w:rPr>
                <w:rFonts w:hint="eastAsia" w:ascii="宋体" w:hAnsi="宋体" w:eastAsia="宋体" w:cs="宋体"/>
                <w:snapToGrid w:val="0"/>
                <w:color w:val="auto"/>
                <w:kern w:val="0"/>
                <w:sz w:val="22"/>
                <w:szCs w:val="22"/>
                <w:highlight w:val="none"/>
                <w:lang w:bidi="ar"/>
              </w:rPr>
              <w:t>企业</w:t>
            </w:r>
          </w:p>
          <w:p w14:paraId="3CFDD6B6">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trike/>
                <w:snapToGrid w:val="0"/>
                <w:color w:val="auto"/>
                <w:kern w:val="0"/>
                <w:sz w:val="22"/>
                <w:szCs w:val="22"/>
                <w:highlight w:val="none"/>
              </w:rPr>
            </w:pPr>
            <w:r>
              <w:rPr>
                <w:rFonts w:hint="eastAsia" w:ascii="宋体" w:hAnsi="宋体" w:eastAsia="宋体" w:cs="宋体"/>
                <w:snapToGrid w:val="0"/>
                <w:color w:val="auto"/>
                <w:kern w:val="0"/>
                <w:sz w:val="22"/>
                <w:szCs w:val="22"/>
                <w:highlight w:val="none"/>
                <w:lang w:bidi="ar"/>
              </w:rPr>
              <w:t>财务状况</w:t>
            </w:r>
          </w:p>
          <w:p w14:paraId="64BFF5AB">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default"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bidi="ar"/>
              </w:rPr>
              <w:t>（</w:t>
            </w:r>
            <w:r>
              <w:rPr>
                <w:rFonts w:hint="eastAsia" w:ascii="宋体" w:hAnsi="宋体" w:eastAsia="宋体" w:cs="宋体"/>
                <w:b w:val="0"/>
                <w:bCs w:val="0"/>
                <w:snapToGrid w:val="0"/>
                <w:color w:val="auto"/>
                <w:kern w:val="0"/>
                <w:sz w:val="22"/>
                <w:szCs w:val="22"/>
                <w:highlight w:val="none"/>
                <w:lang w:val="en-US" w:eastAsia="zh-CN" w:bidi="ar"/>
              </w:rPr>
              <w:t>8</w:t>
            </w:r>
            <w:r>
              <w:rPr>
                <w:rFonts w:hint="eastAsia" w:ascii="宋体" w:hAnsi="宋体" w:eastAsia="宋体" w:cs="宋体"/>
                <w:snapToGrid w:val="0"/>
                <w:color w:val="auto"/>
                <w:kern w:val="0"/>
                <w:sz w:val="22"/>
                <w:szCs w:val="22"/>
                <w:highlight w:val="none"/>
                <w:lang w:bidi="ar"/>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4633960B">
            <w:pPr>
              <w:pStyle w:val="38"/>
              <w:keepNext w:val="0"/>
              <w:keepLines w:val="0"/>
              <w:pageBreakBefore w:val="0"/>
              <w:widowControl w:val="0"/>
              <w:numPr>
                <w:ilvl w:val="0"/>
                <w:numId w:val="0"/>
              </w:numPr>
              <w:kinsoku/>
              <w:wordWrap w:val="0"/>
              <w:overflowPunct/>
              <w:topLinePunct w:val="0"/>
              <w:autoSpaceDE/>
              <w:autoSpaceDN/>
              <w:bidi w:val="0"/>
              <w:adjustRightInd w:val="0"/>
              <w:snapToGrid w:val="0"/>
              <w:spacing w:line="288" w:lineRule="auto"/>
              <w:ind w:left="0" w:leftChars="0" w:firstLine="0" w:firstLineChars="0"/>
              <w:jc w:val="left"/>
              <w:textAlignment w:val="auto"/>
              <w:rPr>
                <w:rFonts w:hint="eastAsia" w:asciiTheme="minorEastAsia" w:hAnsiTheme="minorEastAsia" w:eastAsiaTheme="minorEastAsia" w:cstheme="minorEastAsia"/>
                <w:color w:val="000000"/>
                <w:sz w:val="22"/>
                <w:szCs w:val="22"/>
                <w:highlight w:val="none"/>
              </w:rPr>
            </w:pPr>
            <w:r>
              <w:rPr>
                <w:rFonts w:hint="eastAsia" w:asciiTheme="minorEastAsia" w:hAnsiTheme="minorEastAsia" w:eastAsiaTheme="minorEastAsia" w:cstheme="minorEastAsia"/>
                <w:color w:val="000000"/>
                <w:sz w:val="22"/>
                <w:szCs w:val="22"/>
                <w:highlight w:val="none"/>
              </w:rPr>
              <w:t>1.提供不少于</w:t>
            </w:r>
            <w:r>
              <w:rPr>
                <w:rFonts w:hint="eastAsia" w:asciiTheme="minorEastAsia" w:hAnsiTheme="minorEastAsia" w:eastAsiaTheme="minorEastAsia" w:cstheme="minorEastAsia"/>
                <w:color w:val="000000"/>
                <w:sz w:val="22"/>
                <w:szCs w:val="22"/>
                <w:highlight w:val="none"/>
                <w:u w:val="single"/>
                <w:lang w:val="en-US" w:eastAsia="zh-CN"/>
              </w:rPr>
              <w:t>180</w:t>
            </w:r>
            <w:r>
              <w:rPr>
                <w:rFonts w:hint="eastAsia" w:asciiTheme="minorEastAsia" w:hAnsiTheme="minorEastAsia" w:eastAsiaTheme="minorEastAsia" w:cstheme="minorEastAsia"/>
                <w:color w:val="000000"/>
                <w:sz w:val="22"/>
                <w:szCs w:val="22"/>
                <w:highlight w:val="none"/>
              </w:rPr>
              <w:t>万元银行授信证明的，得</w:t>
            </w:r>
            <w:r>
              <w:rPr>
                <w:rFonts w:hint="eastAsia" w:asciiTheme="minorEastAsia" w:hAnsiTheme="minorEastAsia" w:eastAsiaTheme="minorEastAsia" w:cstheme="minorEastAsia"/>
                <w:color w:val="000000"/>
                <w:sz w:val="22"/>
                <w:szCs w:val="22"/>
                <w:highlight w:val="none"/>
                <w:u w:val="single"/>
                <w:lang w:val="en-US" w:eastAsia="zh-CN"/>
              </w:rPr>
              <w:t>4</w:t>
            </w:r>
            <w:r>
              <w:rPr>
                <w:rFonts w:hint="eastAsia" w:asciiTheme="minorEastAsia" w:hAnsiTheme="minorEastAsia" w:eastAsiaTheme="minorEastAsia" w:cstheme="minorEastAsia"/>
                <w:color w:val="000000"/>
                <w:sz w:val="22"/>
                <w:szCs w:val="22"/>
                <w:highlight w:val="none"/>
              </w:rPr>
              <w:t>分。</w:t>
            </w:r>
          </w:p>
          <w:p w14:paraId="23AB4EB1">
            <w:pPr>
              <w:pStyle w:val="38"/>
              <w:keepNext w:val="0"/>
              <w:keepLines w:val="0"/>
              <w:pageBreakBefore w:val="0"/>
              <w:widowControl w:val="0"/>
              <w:numPr>
                <w:ilvl w:val="0"/>
                <w:numId w:val="0"/>
              </w:numPr>
              <w:kinsoku/>
              <w:wordWrap w:val="0"/>
              <w:overflowPunct/>
              <w:topLinePunct w:val="0"/>
              <w:autoSpaceDE/>
              <w:autoSpaceDN/>
              <w:bidi w:val="0"/>
              <w:adjustRightInd w:val="0"/>
              <w:snapToGrid w:val="0"/>
              <w:spacing w:line="288" w:lineRule="auto"/>
              <w:ind w:left="0" w:leftChars="0" w:firstLine="0" w:firstLineChars="0"/>
              <w:jc w:val="left"/>
              <w:textAlignment w:val="auto"/>
              <w:rPr>
                <w:rFonts w:hint="eastAsia" w:asciiTheme="minorEastAsia" w:hAnsiTheme="minorEastAsia" w:eastAsiaTheme="minorEastAsia" w:cstheme="minorEastAsia"/>
                <w:color w:val="000000"/>
                <w:sz w:val="22"/>
                <w:szCs w:val="22"/>
                <w:highlight w:val="none"/>
              </w:rPr>
            </w:pPr>
            <w:r>
              <w:rPr>
                <w:rFonts w:hint="eastAsia" w:asciiTheme="minorEastAsia" w:hAnsiTheme="minorEastAsia" w:eastAsiaTheme="minorEastAsia" w:cstheme="minorEastAsia"/>
                <w:color w:val="000000"/>
                <w:sz w:val="22"/>
                <w:szCs w:val="22"/>
                <w:highlight w:val="none"/>
              </w:rPr>
              <w:t>2.提供投标人基本账户在本项目招标公告发布之日起至投标截止时间期间出现过至少连续3日不少于</w:t>
            </w:r>
            <w:r>
              <w:rPr>
                <w:rFonts w:hint="eastAsia" w:asciiTheme="minorEastAsia" w:hAnsiTheme="minorEastAsia" w:eastAsiaTheme="minorEastAsia" w:cstheme="minorEastAsia"/>
                <w:color w:val="000000"/>
                <w:sz w:val="22"/>
                <w:szCs w:val="22"/>
                <w:highlight w:val="none"/>
                <w:u w:val="single"/>
                <w:lang w:val="en-US" w:eastAsia="zh-CN"/>
              </w:rPr>
              <w:t>180</w:t>
            </w:r>
            <w:r>
              <w:rPr>
                <w:rFonts w:hint="eastAsia" w:asciiTheme="minorEastAsia" w:hAnsiTheme="minorEastAsia" w:eastAsiaTheme="minorEastAsia" w:cstheme="minorEastAsia"/>
                <w:color w:val="000000"/>
                <w:sz w:val="22"/>
                <w:szCs w:val="22"/>
                <w:highlight w:val="none"/>
              </w:rPr>
              <w:t>万元存款余额资金流水证明的，得</w:t>
            </w:r>
            <w:r>
              <w:rPr>
                <w:rFonts w:hint="eastAsia" w:asciiTheme="minorEastAsia" w:hAnsiTheme="minorEastAsia" w:eastAsiaTheme="minorEastAsia" w:cstheme="minorEastAsia"/>
                <w:color w:val="000000"/>
                <w:sz w:val="22"/>
                <w:szCs w:val="22"/>
                <w:highlight w:val="none"/>
                <w:u w:val="single"/>
                <w:lang w:val="en-US" w:eastAsia="zh-CN"/>
              </w:rPr>
              <w:t>4</w:t>
            </w:r>
            <w:r>
              <w:rPr>
                <w:rFonts w:hint="eastAsia" w:asciiTheme="minorEastAsia" w:hAnsiTheme="minorEastAsia" w:eastAsiaTheme="minorEastAsia" w:cstheme="minorEastAsia"/>
                <w:color w:val="000000"/>
                <w:sz w:val="22"/>
                <w:szCs w:val="22"/>
                <w:highlight w:val="none"/>
              </w:rPr>
              <w:t>分。</w:t>
            </w:r>
          </w:p>
          <w:p w14:paraId="74069834">
            <w:pPr>
              <w:pStyle w:val="38"/>
              <w:keepNext w:val="0"/>
              <w:keepLines w:val="0"/>
              <w:pageBreakBefore w:val="0"/>
              <w:widowControl w:val="0"/>
              <w:numPr>
                <w:ilvl w:val="0"/>
                <w:numId w:val="0"/>
              </w:numPr>
              <w:kinsoku/>
              <w:wordWrap w:val="0"/>
              <w:overflowPunct/>
              <w:topLinePunct w:val="0"/>
              <w:autoSpaceDE/>
              <w:autoSpaceDN/>
              <w:bidi w:val="0"/>
              <w:adjustRightInd w:val="0"/>
              <w:snapToGrid w:val="0"/>
              <w:spacing w:line="288" w:lineRule="auto"/>
              <w:ind w:left="0" w:leftChars="0" w:firstLine="0" w:firstLineChars="0"/>
              <w:jc w:val="left"/>
              <w:textAlignment w:val="auto"/>
              <w:rPr>
                <w:rFonts w:hint="eastAsia" w:ascii="宋体" w:hAnsi="宋体" w:cs="宋体" w:eastAsiaTheme="minorEastAsia"/>
                <w:snapToGrid w:val="0"/>
                <w:color w:val="auto"/>
                <w:kern w:val="0"/>
                <w:sz w:val="22"/>
                <w:szCs w:val="22"/>
                <w:highlight w:val="none"/>
                <w:lang w:val="en-US" w:eastAsia="zh-CN" w:bidi="ar-SA"/>
              </w:rPr>
            </w:pPr>
            <w:r>
              <w:rPr>
                <w:rFonts w:hint="eastAsia" w:asciiTheme="minorEastAsia" w:hAnsiTheme="minorEastAsia" w:eastAsiaTheme="minorEastAsia" w:cstheme="minorEastAsia"/>
                <w:color w:val="000000"/>
                <w:sz w:val="22"/>
                <w:szCs w:val="22"/>
                <w:highlight w:val="none"/>
              </w:rPr>
              <w:t>3.未提供以上证明的，不予计分</w:t>
            </w:r>
            <w:r>
              <w:rPr>
                <w:rFonts w:hint="eastAsia" w:asciiTheme="minorEastAsia" w:hAnsiTheme="minorEastAsia" w:eastAsiaTheme="minorEastAsia" w:cstheme="minorEastAsia"/>
                <w:color w:val="000000"/>
                <w:sz w:val="22"/>
                <w:szCs w:val="22"/>
                <w:highlight w:val="none"/>
                <w:lang w:eastAsia="zh-CN"/>
              </w:rPr>
              <w:t>。</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55F7E6DC">
            <w:pPr>
              <w:keepNext w:val="0"/>
              <w:keepLines w:val="0"/>
              <w:pageBreakBefore w:val="0"/>
              <w:widowControl w:val="0"/>
              <w:kinsoku/>
              <w:wordWrap/>
              <w:overflowPunct/>
              <w:topLinePunct w:val="0"/>
              <w:autoSpaceDE/>
              <w:autoSpaceDN/>
              <w:bidi w:val="0"/>
              <w:adjustRightInd/>
              <w:snapToGrid/>
              <w:spacing w:line="400" w:lineRule="atLeast"/>
              <w:textAlignment w:val="auto"/>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1.需附在有效期内的有关证明彩色扫描件，</w:t>
            </w:r>
            <w:r>
              <w:rPr>
                <w:rFonts w:hint="eastAsia" w:asciiTheme="minorEastAsia" w:hAnsiTheme="minorEastAsia" w:eastAsiaTheme="minorEastAsia" w:cstheme="minorEastAsia"/>
                <w:b/>
                <w:bCs/>
                <w:color w:val="auto"/>
                <w:sz w:val="22"/>
                <w:szCs w:val="22"/>
                <w:highlight w:val="none"/>
              </w:rPr>
              <w:t>同时提供原件供核对。</w:t>
            </w:r>
          </w:p>
          <w:p w14:paraId="511F3806">
            <w:pPr>
              <w:keepNext w:val="0"/>
              <w:keepLines w:val="0"/>
              <w:pageBreakBefore w:val="0"/>
              <w:widowControl w:val="0"/>
              <w:kinsoku/>
              <w:wordWrap/>
              <w:overflowPunct/>
              <w:topLinePunct w:val="0"/>
              <w:autoSpaceDE/>
              <w:autoSpaceDN/>
              <w:bidi w:val="0"/>
              <w:adjustRightInd/>
              <w:snapToGrid/>
              <w:spacing w:line="400" w:lineRule="atLeast"/>
              <w:textAlignment w:val="auto"/>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2.银行授信证明有以下情形之一的，视为无效，不予计分：</w:t>
            </w:r>
          </w:p>
          <w:p w14:paraId="6C3F96C5">
            <w:pPr>
              <w:keepNext w:val="0"/>
              <w:keepLines w:val="0"/>
              <w:pageBreakBefore w:val="0"/>
              <w:widowControl w:val="0"/>
              <w:kinsoku/>
              <w:wordWrap/>
              <w:overflowPunct/>
              <w:topLinePunct w:val="0"/>
              <w:autoSpaceDE/>
              <w:autoSpaceDN/>
              <w:bidi w:val="0"/>
              <w:adjustRightInd/>
              <w:snapToGrid/>
              <w:spacing w:line="400" w:lineRule="atLeast"/>
              <w:textAlignment w:val="auto"/>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①未提供授信证明原件的；</w:t>
            </w:r>
          </w:p>
          <w:p w14:paraId="66CF3A2E">
            <w:pPr>
              <w:keepNext w:val="0"/>
              <w:keepLines w:val="0"/>
              <w:pageBreakBefore w:val="0"/>
              <w:widowControl w:val="0"/>
              <w:kinsoku/>
              <w:wordWrap/>
              <w:overflowPunct/>
              <w:topLinePunct w:val="0"/>
              <w:autoSpaceDE/>
              <w:autoSpaceDN/>
              <w:bidi w:val="0"/>
              <w:adjustRightInd/>
              <w:snapToGrid/>
              <w:spacing w:line="400" w:lineRule="atLeast"/>
              <w:textAlignment w:val="auto"/>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②授信证明不在有效期内的；</w:t>
            </w:r>
          </w:p>
          <w:p w14:paraId="644E7569">
            <w:pPr>
              <w:keepNext w:val="0"/>
              <w:keepLines w:val="0"/>
              <w:pageBreakBefore w:val="0"/>
              <w:widowControl w:val="0"/>
              <w:kinsoku/>
              <w:wordWrap/>
              <w:overflowPunct/>
              <w:topLinePunct w:val="0"/>
              <w:autoSpaceDE/>
              <w:autoSpaceDN/>
              <w:bidi w:val="0"/>
              <w:adjustRightInd/>
              <w:snapToGrid/>
              <w:spacing w:line="400" w:lineRule="atLeast"/>
              <w:textAlignment w:val="auto"/>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③授信额度不符合要求的；</w:t>
            </w:r>
          </w:p>
          <w:p w14:paraId="693AA184">
            <w:pPr>
              <w:keepNext w:val="0"/>
              <w:keepLines w:val="0"/>
              <w:pageBreakBefore w:val="0"/>
              <w:widowControl w:val="0"/>
              <w:kinsoku/>
              <w:wordWrap/>
              <w:overflowPunct/>
              <w:topLinePunct w:val="0"/>
              <w:autoSpaceDE/>
              <w:autoSpaceDN/>
              <w:bidi w:val="0"/>
              <w:adjustRightInd/>
              <w:snapToGrid/>
              <w:spacing w:line="400" w:lineRule="atLeast"/>
              <w:textAlignment w:val="auto"/>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3.存款余额资金流水证明有以下情形之一的，视为无效，不予计分：</w:t>
            </w:r>
          </w:p>
          <w:p w14:paraId="0A36B410">
            <w:pPr>
              <w:keepNext w:val="0"/>
              <w:keepLines w:val="0"/>
              <w:pageBreakBefore w:val="0"/>
              <w:widowControl w:val="0"/>
              <w:kinsoku/>
              <w:wordWrap/>
              <w:overflowPunct/>
              <w:topLinePunct w:val="0"/>
              <w:autoSpaceDE/>
              <w:autoSpaceDN/>
              <w:bidi w:val="0"/>
              <w:adjustRightInd/>
              <w:snapToGrid/>
              <w:spacing w:line="400" w:lineRule="atLeast"/>
              <w:textAlignment w:val="auto"/>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①未提供存款证明原件的；</w:t>
            </w:r>
          </w:p>
          <w:p w14:paraId="2FE91421">
            <w:pPr>
              <w:keepNext w:val="0"/>
              <w:keepLines w:val="0"/>
              <w:pageBreakBefore w:val="0"/>
              <w:widowControl w:val="0"/>
              <w:kinsoku/>
              <w:wordWrap/>
              <w:overflowPunct/>
              <w:topLinePunct w:val="0"/>
              <w:autoSpaceDE/>
              <w:autoSpaceDN/>
              <w:bidi w:val="0"/>
              <w:adjustRightInd/>
              <w:snapToGrid/>
              <w:spacing w:line="400" w:lineRule="atLeast"/>
              <w:textAlignment w:val="auto"/>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②存款账户不是基本账户的；</w:t>
            </w:r>
          </w:p>
          <w:p w14:paraId="5F4AD62E">
            <w:pPr>
              <w:keepNext w:val="0"/>
              <w:keepLines w:val="0"/>
              <w:pageBreakBefore w:val="0"/>
              <w:widowControl w:val="0"/>
              <w:kinsoku/>
              <w:wordWrap/>
              <w:overflowPunct/>
              <w:topLinePunct w:val="0"/>
              <w:autoSpaceDE/>
              <w:autoSpaceDN/>
              <w:bidi w:val="0"/>
              <w:adjustRightInd/>
              <w:snapToGrid/>
              <w:spacing w:line="400" w:lineRule="atLeast"/>
              <w:textAlignment w:val="auto"/>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③存款时间不符合要求的；</w:t>
            </w:r>
          </w:p>
          <w:p w14:paraId="52249FAB">
            <w:pPr>
              <w:pStyle w:val="5"/>
              <w:keepNext w:val="0"/>
              <w:keepLines w:val="0"/>
              <w:pageBreakBefore w:val="0"/>
              <w:widowControl w:val="0"/>
              <w:kinsoku/>
              <w:wordWrap w:val="0"/>
              <w:overflowPunct/>
              <w:topLinePunct w:val="0"/>
              <w:autoSpaceDE/>
              <w:autoSpaceDN/>
              <w:bidi w:val="0"/>
              <w:adjustRightInd w:val="0"/>
              <w:snapToGrid w:val="0"/>
              <w:spacing w:after="0" w:line="288" w:lineRule="auto"/>
              <w:textAlignment w:val="auto"/>
              <w:rPr>
                <w:rFonts w:hint="eastAsia" w:ascii="宋体" w:hAnsi="宋体" w:eastAsia="宋体" w:cs="宋体"/>
                <w:snapToGrid w:val="0"/>
                <w:color w:val="auto"/>
                <w:kern w:val="0"/>
                <w:sz w:val="22"/>
                <w:szCs w:val="22"/>
                <w:highlight w:val="none"/>
                <w:lang w:val="en-US" w:eastAsia="zh-CN"/>
              </w:rPr>
            </w:pPr>
            <w:r>
              <w:rPr>
                <w:rFonts w:hint="eastAsia" w:asciiTheme="minorEastAsia" w:hAnsiTheme="minorEastAsia" w:eastAsiaTheme="minorEastAsia" w:cstheme="minorEastAsia"/>
                <w:color w:val="auto"/>
                <w:sz w:val="22"/>
                <w:szCs w:val="22"/>
                <w:highlight w:val="none"/>
              </w:rPr>
              <w:t>④存款额度不符合要求的。</w:t>
            </w:r>
          </w:p>
        </w:tc>
      </w:tr>
      <w:tr w14:paraId="083F5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68" w:hRule="atLeast"/>
          <w:jc w:val="center"/>
        </w:trPr>
        <w:tc>
          <w:tcPr>
            <w:tcW w:w="1491" w:type="dxa"/>
            <w:vMerge w:val="restart"/>
            <w:tcBorders>
              <w:top w:val="single" w:color="auto" w:sz="4" w:space="0"/>
              <w:left w:val="single" w:color="auto" w:sz="4" w:space="0"/>
              <w:right w:val="single" w:color="auto" w:sz="4" w:space="0"/>
            </w:tcBorders>
            <w:noWrap w:val="0"/>
            <w:vAlign w:val="center"/>
          </w:tcPr>
          <w:p w14:paraId="019BA896">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trike w:val="0"/>
                <w:dstrike w:val="0"/>
                <w:color w:val="auto"/>
                <w:sz w:val="22"/>
                <w:szCs w:val="22"/>
                <w:highlight w:val="none"/>
              </w:rPr>
            </w:pPr>
            <w:r>
              <w:rPr>
                <w:rFonts w:hint="eastAsia" w:ascii="宋体" w:hAnsi="宋体" w:eastAsia="宋体" w:cs="宋体"/>
                <w:strike w:val="0"/>
                <w:dstrike w:val="0"/>
                <w:color w:val="auto"/>
                <w:sz w:val="22"/>
                <w:szCs w:val="22"/>
                <w:highlight w:val="none"/>
              </w:rPr>
              <w:t>招标人</w:t>
            </w:r>
          </w:p>
          <w:p w14:paraId="7C6AD12A">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trike w:val="0"/>
                <w:dstrike w:val="0"/>
                <w:color w:val="auto"/>
                <w:sz w:val="22"/>
                <w:szCs w:val="22"/>
                <w:highlight w:val="none"/>
              </w:rPr>
            </w:pPr>
            <w:r>
              <w:rPr>
                <w:rFonts w:hint="eastAsia" w:ascii="宋体" w:hAnsi="宋体" w:eastAsia="宋体" w:cs="宋体"/>
                <w:strike w:val="0"/>
                <w:dstrike w:val="0"/>
                <w:color w:val="auto"/>
                <w:sz w:val="22"/>
                <w:szCs w:val="22"/>
                <w:highlight w:val="none"/>
              </w:rPr>
              <w:t>自选项</w:t>
            </w:r>
          </w:p>
          <w:p w14:paraId="1892ED3A">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trike w:val="0"/>
                <w:dstrike w:val="0"/>
                <w:color w:val="auto"/>
                <w:sz w:val="22"/>
                <w:szCs w:val="22"/>
                <w:highlight w:val="none"/>
              </w:rPr>
              <w:t>（</w:t>
            </w:r>
            <w:r>
              <w:rPr>
                <w:rFonts w:hint="eastAsia" w:ascii="宋体" w:hAnsi="宋体" w:eastAsia="宋体" w:cs="宋体"/>
                <w:strike w:val="0"/>
                <w:dstrike w:val="0"/>
                <w:color w:val="auto"/>
                <w:sz w:val="22"/>
                <w:szCs w:val="22"/>
                <w:highlight w:val="none"/>
                <w:lang w:val="en-US" w:eastAsia="zh-CN"/>
              </w:rPr>
              <w:t>25</w:t>
            </w:r>
            <w:r>
              <w:rPr>
                <w:rFonts w:hint="eastAsia" w:ascii="宋体" w:hAnsi="宋体" w:eastAsia="宋体" w:cs="宋体"/>
                <w:strike w:val="0"/>
                <w:dstrike w:val="0"/>
                <w:color w:val="auto"/>
                <w:sz w:val="22"/>
                <w:szCs w:val="22"/>
                <w:highlight w:val="none"/>
              </w:rPr>
              <w:t>分</w:t>
            </w:r>
            <w:r>
              <w:rPr>
                <w:rFonts w:hint="eastAsia" w:ascii="宋体" w:hAnsi="宋体" w:eastAsia="宋体" w:cs="宋体"/>
                <w:strike w:val="0"/>
                <w:dstrike w:val="0"/>
                <w:color w:val="auto"/>
                <w:sz w:val="22"/>
                <w:szCs w:val="22"/>
                <w:highlight w:val="none"/>
                <w:lang w:eastAsia="zh-CN"/>
              </w:rPr>
              <w:t>）</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2622452E">
            <w:pPr>
              <w:keepNext w:val="0"/>
              <w:keepLines w:val="0"/>
              <w:pageBreakBefore w:val="0"/>
              <w:widowControl w:val="0"/>
              <w:kinsoku/>
              <w:wordWrap/>
              <w:overflowPunct/>
              <w:topLinePunct w:val="0"/>
              <w:autoSpaceDE/>
              <w:autoSpaceDN/>
              <w:bidi w:val="0"/>
              <w:adjustRightInd/>
              <w:snapToGrid/>
              <w:spacing w:line="400" w:lineRule="atLeast"/>
              <w:jc w:val="both"/>
              <w:textAlignment w:val="auto"/>
              <w:rPr>
                <w:rFonts w:hint="eastAsia" w:asciiTheme="minorEastAsia" w:hAnsiTheme="minorEastAsia" w:eastAsiaTheme="minorEastAsia" w:cstheme="minorEastAsia"/>
                <w:snapToGrid w:val="0"/>
                <w:color w:val="auto"/>
                <w:kern w:val="0"/>
                <w:sz w:val="22"/>
                <w:szCs w:val="22"/>
                <w:highlight w:val="none"/>
                <w:lang w:val="en-US" w:eastAsia="zh-CN" w:bidi="ar-SA"/>
              </w:rPr>
            </w:pPr>
            <w:r>
              <w:rPr>
                <w:rFonts w:hint="eastAsia" w:asciiTheme="minorEastAsia" w:hAnsiTheme="minorEastAsia" w:eastAsiaTheme="minorEastAsia" w:cstheme="minorEastAsia"/>
                <w:color w:val="auto"/>
                <w:sz w:val="22"/>
                <w:szCs w:val="22"/>
                <w:highlight w:val="none"/>
              </w:rPr>
              <w:t>企业连续</w:t>
            </w:r>
            <w:r>
              <w:rPr>
                <w:rFonts w:hint="eastAsia" w:asciiTheme="minorEastAsia" w:hAnsiTheme="minorEastAsia" w:eastAsiaTheme="minorEastAsia" w:cstheme="minorEastAsia"/>
                <w:color w:val="auto"/>
                <w:sz w:val="22"/>
                <w:szCs w:val="22"/>
                <w:highlight w:val="none"/>
                <w:lang w:val="en-US" w:eastAsia="zh-CN"/>
              </w:rPr>
              <w:t>5</w:t>
            </w:r>
            <w:r>
              <w:rPr>
                <w:rFonts w:hint="eastAsia" w:asciiTheme="minorEastAsia" w:hAnsiTheme="minorEastAsia" w:eastAsiaTheme="minorEastAsia" w:cstheme="minorEastAsia"/>
                <w:color w:val="auto"/>
                <w:sz w:val="22"/>
                <w:szCs w:val="22"/>
                <w:highlight w:val="none"/>
              </w:rPr>
              <w:t>年或</w:t>
            </w:r>
            <w:r>
              <w:rPr>
                <w:rFonts w:hint="eastAsia" w:asciiTheme="minorEastAsia" w:hAnsiTheme="minorEastAsia" w:eastAsiaTheme="minorEastAsia" w:cstheme="minorEastAsia"/>
                <w:color w:val="auto"/>
                <w:sz w:val="22"/>
                <w:szCs w:val="22"/>
                <w:highlight w:val="none"/>
                <w:lang w:val="en-US" w:eastAsia="zh-CN"/>
              </w:rPr>
              <w:t>5</w:t>
            </w:r>
            <w:r>
              <w:rPr>
                <w:rFonts w:hint="eastAsia" w:asciiTheme="minorEastAsia" w:hAnsiTheme="minorEastAsia" w:eastAsiaTheme="minorEastAsia" w:cstheme="minorEastAsia"/>
                <w:color w:val="auto"/>
                <w:sz w:val="22"/>
                <w:szCs w:val="22"/>
                <w:highlight w:val="none"/>
              </w:rPr>
              <w:t>年以上(其中必须有202</w:t>
            </w:r>
            <w:r>
              <w:rPr>
                <w:rFonts w:hint="eastAsia" w:asciiTheme="minorEastAsia" w:hAnsiTheme="minorEastAsia" w:eastAsiaTheme="minorEastAsia" w:cstheme="minorEastAsia"/>
                <w:color w:val="auto"/>
                <w:sz w:val="22"/>
                <w:szCs w:val="22"/>
                <w:highlight w:val="none"/>
                <w:lang w:val="en-US" w:eastAsia="zh-CN"/>
              </w:rPr>
              <w:t>4</w:t>
            </w:r>
            <w:r>
              <w:rPr>
                <w:rFonts w:hint="eastAsia" w:asciiTheme="minorEastAsia" w:hAnsiTheme="minorEastAsia" w:eastAsiaTheme="minorEastAsia" w:cstheme="minorEastAsia"/>
                <w:color w:val="auto"/>
                <w:sz w:val="22"/>
                <w:szCs w:val="22"/>
                <w:highlight w:val="none"/>
              </w:rPr>
              <w:t>年度)获得纳税信用A级纳税人的，得</w:t>
            </w:r>
            <w:r>
              <w:rPr>
                <w:rFonts w:hint="eastAsia" w:asciiTheme="minorEastAsia" w:hAnsiTheme="minorEastAsia" w:eastAsiaTheme="minorEastAsia" w:cstheme="minorEastAsia"/>
                <w:color w:val="auto"/>
                <w:sz w:val="22"/>
                <w:szCs w:val="22"/>
                <w:highlight w:val="none"/>
                <w:u w:val="single"/>
              </w:rPr>
              <w:t>5</w:t>
            </w:r>
            <w:r>
              <w:rPr>
                <w:rFonts w:hint="eastAsia" w:asciiTheme="minorEastAsia" w:hAnsiTheme="minorEastAsia" w:eastAsiaTheme="minorEastAsia" w:cstheme="minorEastAsia"/>
                <w:color w:val="auto"/>
                <w:sz w:val="22"/>
                <w:szCs w:val="22"/>
                <w:highlight w:val="none"/>
              </w:rPr>
              <w:t>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4D622055">
            <w:pPr>
              <w:keepNext w:val="0"/>
              <w:keepLines w:val="0"/>
              <w:pageBreakBefore w:val="0"/>
              <w:widowControl w:val="0"/>
              <w:kinsoku/>
              <w:wordWrap/>
              <w:overflowPunct/>
              <w:topLinePunct w:val="0"/>
              <w:autoSpaceDE/>
              <w:autoSpaceDN/>
              <w:bidi w:val="0"/>
              <w:adjustRightInd/>
              <w:snapToGrid/>
              <w:spacing w:line="400" w:lineRule="atLeast"/>
              <w:jc w:val="both"/>
              <w:textAlignment w:val="auto"/>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1.必须提供企业纳税信用A级纳税人证明材料（或证书）及国家税务总局网上查询截图，否则不得分。</w:t>
            </w:r>
          </w:p>
          <w:p w14:paraId="6FF2E685">
            <w:pPr>
              <w:keepNext w:val="0"/>
              <w:keepLines w:val="0"/>
              <w:pageBreakBefore w:val="0"/>
              <w:widowControl w:val="0"/>
              <w:kinsoku/>
              <w:wordWrap/>
              <w:overflowPunct/>
              <w:topLinePunct w:val="0"/>
              <w:autoSpaceDE/>
              <w:autoSpaceDN/>
              <w:bidi w:val="0"/>
              <w:adjustRightInd/>
              <w:snapToGrid/>
              <w:spacing w:line="400" w:lineRule="atLeast"/>
              <w:jc w:val="both"/>
              <w:textAlignment w:val="auto"/>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color w:val="auto"/>
                <w:sz w:val="22"/>
                <w:szCs w:val="22"/>
                <w:highlight w:val="none"/>
              </w:rPr>
              <w:t>2.只计算投标人自身（不计算投标人的分公司、子公司及分支机构）。</w:t>
            </w:r>
          </w:p>
        </w:tc>
      </w:tr>
      <w:tr w14:paraId="239B4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0" w:hRule="atLeast"/>
          <w:jc w:val="center"/>
        </w:trPr>
        <w:tc>
          <w:tcPr>
            <w:tcW w:w="1491" w:type="dxa"/>
            <w:vMerge w:val="continue"/>
            <w:tcBorders>
              <w:left w:val="single" w:color="auto" w:sz="4" w:space="0"/>
              <w:right w:val="single" w:color="auto" w:sz="4" w:space="0"/>
            </w:tcBorders>
            <w:noWrap w:val="0"/>
            <w:vAlign w:val="center"/>
          </w:tcPr>
          <w:p w14:paraId="7DF9C02D">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napToGrid w:val="0"/>
                <w:color w:val="auto"/>
                <w:kern w:val="0"/>
                <w:sz w:val="22"/>
                <w:szCs w:val="22"/>
                <w:highlight w:val="none"/>
                <w:lang w:val="en-US" w:eastAsia="zh-CN" w:bidi="ar"/>
              </w:rPr>
            </w:pP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71205C2E">
            <w:pPr>
              <w:wordWrap w:val="0"/>
              <w:spacing w:line="360" w:lineRule="auto"/>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1.企业近年来（202</w:t>
            </w:r>
            <w:r>
              <w:rPr>
                <w:rFonts w:hint="eastAsia" w:asciiTheme="minorEastAsia" w:hAnsiTheme="minorEastAsia" w:eastAsiaTheme="minorEastAsia" w:cstheme="minorEastAsia"/>
                <w:color w:val="auto"/>
                <w:sz w:val="22"/>
                <w:szCs w:val="22"/>
                <w:highlight w:val="none"/>
                <w:lang w:val="en-US" w:eastAsia="zh-CN"/>
              </w:rPr>
              <w:t>1</w:t>
            </w:r>
            <w:r>
              <w:rPr>
                <w:rFonts w:hint="eastAsia" w:asciiTheme="minorEastAsia" w:hAnsiTheme="minorEastAsia" w:eastAsiaTheme="minorEastAsia" w:cstheme="minorEastAsia"/>
                <w:color w:val="auto"/>
                <w:sz w:val="22"/>
                <w:szCs w:val="22"/>
                <w:highlight w:val="none"/>
              </w:rPr>
              <w:t xml:space="preserve">年1月1日至今）获得过县（市、区）级行政主管部门或以上人民政府、人民武装部颁发的“民兵建设先进单位（或企业）”证书的得 </w:t>
            </w:r>
            <w:r>
              <w:rPr>
                <w:rFonts w:hint="eastAsia" w:asciiTheme="minorEastAsia" w:hAnsiTheme="minorEastAsia" w:eastAsiaTheme="minorEastAsia" w:cstheme="minorEastAsia"/>
                <w:color w:val="auto"/>
                <w:sz w:val="22"/>
                <w:szCs w:val="22"/>
                <w:highlight w:val="none"/>
                <w:lang w:val="en-US" w:eastAsia="zh-CN"/>
              </w:rPr>
              <w:t>5</w:t>
            </w:r>
            <w:r>
              <w:rPr>
                <w:rFonts w:hint="eastAsia" w:asciiTheme="minorEastAsia" w:hAnsiTheme="minorEastAsia" w:eastAsiaTheme="minorEastAsia" w:cstheme="minorEastAsia"/>
                <w:color w:val="auto"/>
                <w:sz w:val="22"/>
                <w:szCs w:val="22"/>
                <w:highlight w:val="none"/>
              </w:rPr>
              <w:t>分；</w:t>
            </w:r>
          </w:p>
          <w:p w14:paraId="47CAC302">
            <w:pPr>
              <w:spacing w:line="360" w:lineRule="auto"/>
              <w:rPr>
                <w:rFonts w:hint="eastAsia" w:asciiTheme="minorEastAsia" w:hAnsiTheme="minorEastAsia" w:eastAsiaTheme="minorEastAsia" w:cstheme="minorEastAsia"/>
                <w:snapToGrid w:val="0"/>
                <w:color w:val="auto"/>
                <w:kern w:val="0"/>
                <w:sz w:val="22"/>
                <w:szCs w:val="22"/>
                <w:highlight w:val="none"/>
              </w:rPr>
            </w:pPr>
            <w:r>
              <w:rPr>
                <w:rFonts w:hint="eastAsia" w:asciiTheme="minorEastAsia" w:hAnsiTheme="minorEastAsia" w:eastAsiaTheme="minorEastAsia" w:cstheme="minorEastAsia"/>
                <w:color w:val="auto"/>
                <w:sz w:val="22"/>
                <w:szCs w:val="22"/>
                <w:highlight w:val="none"/>
              </w:rPr>
              <w:t>2.其他情形的，不予计分。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578F1C08">
            <w:pPr>
              <w:wordWrap w:val="0"/>
              <w:spacing w:after="120" w:line="360" w:lineRule="auto"/>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1．须提供有关证书彩色扫描件，</w:t>
            </w:r>
            <w:r>
              <w:rPr>
                <w:rFonts w:hint="eastAsia" w:asciiTheme="minorEastAsia" w:hAnsiTheme="minorEastAsia" w:eastAsiaTheme="minorEastAsia" w:cstheme="minorEastAsia"/>
                <w:b/>
                <w:bCs/>
                <w:color w:val="auto"/>
                <w:sz w:val="22"/>
                <w:szCs w:val="22"/>
                <w:highlight w:val="none"/>
              </w:rPr>
              <w:t>同时提供原件供核对</w:t>
            </w:r>
            <w:r>
              <w:rPr>
                <w:rFonts w:hint="eastAsia" w:asciiTheme="minorEastAsia" w:hAnsiTheme="minorEastAsia" w:eastAsiaTheme="minorEastAsia" w:cstheme="minorEastAsia"/>
                <w:color w:val="auto"/>
                <w:sz w:val="22"/>
                <w:szCs w:val="22"/>
                <w:highlight w:val="none"/>
              </w:rPr>
              <w:t>（证书为电子证书的除外）。</w:t>
            </w:r>
          </w:p>
          <w:p w14:paraId="4EAE68AE">
            <w:pPr>
              <w:wordWrap w:val="0"/>
              <w:spacing w:after="120" w:line="360" w:lineRule="auto"/>
              <w:rPr>
                <w:rFonts w:hint="eastAsia" w:asciiTheme="minorEastAsia" w:hAnsiTheme="minorEastAsia" w:eastAsiaTheme="minorEastAsia" w:cstheme="minorEastAsia"/>
                <w:snapToGrid w:val="0"/>
                <w:color w:val="auto"/>
                <w:kern w:val="0"/>
                <w:sz w:val="22"/>
                <w:szCs w:val="22"/>
                <w:highlight w:val="none"/>
              </w:rPr>
            </w:pPr>
            <w:r>
              <w:rPr>
                <w:rFonts w:hint="eastAsia" w:asciiTheme="minorEastAsia" w:hAnsiTheme="minorEastAsia" w:eastAsiaTheme="minorEastAsia" w:cstheme="minorEastAsia"/>
                <w:color w:val="auto"/>
                <w:sz w:val="22"/>
                <w:szCs w:val="22"/>
                <w:highlight w:val="none"/>
              </w:rPr>
              <w:t>2．未提供原件的，颁发机构、时间不符合要求的，按第 2 项标准处理。</w:t>
            </w:r>
          </w:p>
        </w:tc>
      </w:tr>
      <w:tr w14:paraId="2DE5A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jc w:val="center"/>
        </w:trPr>
        <w:tc>
          <w:tcPr>
            <w:tcW w:w="1491" w:type="dxa"/>
            <w:vMerge w:val="continue"/>
            <w:tcBorders>
              <w:left w:val="single" w:color="auto" w:sz="4" w:space="0"/>
              <w:right w:val="single" w:color="auto" w:sz="4" w:space="0"/>
            </w:tcBorders>
            <w:noWrap w:val="0"/>
            <w:vAlign w:val="center"/>
          </w:tcPr>
          <w:p w14:paraId="15A2A450">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2"/>
                <w:szCs w:val="22"/>
                <w:highlight w:val="none"/>
                <w:lang w:val="en-US" w:eastAsia="zh-CN"/>
              </w:rPr>
            </w:pP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09CB4FA2">
            <w:pPr>
              <w:wordWrap w:val="0"/>
              <w:spacing w:line="360" w:lineRule="auto"/>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投标人从202</w:t>
            </w:r>
            <w:r>
              <w:rPr>
                <w:rFonts w:hint="eastAsia" w:asciiTheme="minorEastAsia" w:hAnsiTheme="minorEastAsia" w:eastAsiaTheme="minorEastAsia" w:cstheme="minorEastAsia"/>
                <w:color w:val="auto"/>
                <w:sz w:val="22"/>
                <w:szCs w:val="22"/>
                <w:highlight w:val="none"/>
                <w:lang w:val="en-US" w:eastAsia="zh-CN"/>
              </w:rPr>
              <w:t>1</w:t>
            </w:r>
            <w:r>
              <w:rPr>
                <w:rFonts w:hint="eastAsia" w:asciiTheme="minorEastAsia" w:hAnsiTheme="minorEastAsia" w:eastAsiaTheme="minorEastAsia" w:cstheme="minorEastAsia"/>
                <w:color w:val="auto"/>
                <w:sz w:val="22"/>
                <w:szCs w:val="22"/>
                <w:highlight w:val="none"/>
              </w:rPr>
              <w:t>年度</w:t>
            </w:r>
            <w:r>
              <w:rPr>
                <w:rFonts w:hint="eastAsia" w:asciiTheme="minorEastAsia" w:hAnsiTheme="minorEastAsia" w:eastAsiaTheme="minorEastAsia" w:cstheme="minorEastAsia"/>
                <w:color w:val="auto"/>
                <w:kern w:val="0"/>
                <w:sz w:val="22"/>
                <w:szCs w:val="22"/>
                <w:highlight w:val="none"/>
              </w:rPr>
              <w:t>~</w:t>
            </w:r>
            <w:r>
              <w:rPr>
                <w:rFonts w:hint="eastAsia" w:asciiTheme="minorEastAsia" w:hAnsiTheme="minorEastAsia" w:eastAsiaTheme="minorEastAsia" w:cstheme="minorEastAsia"/>
                <w:color w:val="auto"/>
                <w:sz w:val="22"/>
                <w:szCs w:val="22"/>
                <w:highlight w:val="none"/>
              </w:rPr>
              <w:t>至今参与了结对帮扶“百千万工程”等典型项目：</w:t>
            </w:r>
          </w:p>
          <w:p w14:paraId="3128626B">
            <w:pPr>
              <w:wordWrap w:val="0"/>
              <w:spacing w:line="360" w:lineRule="auto"/>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lang w:val="en-US" w:eastAsia="zh-CN"/>
              </w:rPr>
              <w:t>1</w:t>
            </w:r>
            <w:r>
              <w:rPr>
                <w:rFonts w:hint="eastAsia" w:asciiTheme="minorEastAsia" w:hAnsiTheme="minorEastAsia" w:eastAsiaTheme="minorEastAsia" w:cstheme="minorEastAsia"/>
                <w:color w:val="auto"/>
                <w:sz w:val="22"/>
                <w:szCs w:val="22"/>
                <w:highlight w:val="none"/>
              </w:rPr>
              <w:t>．纯公益帮扶项目已完工，大于20万元以上的得</w:t>
            </w:r>
            <w:r>
              <w:rPr>
                <w:rFonts w:hint="eastAsia" w:asciiTheme="minorEastAsia" w:hAnsiTheme="minorEastAsia" w:eastAsiaTheme="minorEastAsia" w:cstheme="minorEastAsia"/>
                <w:color w:val="auto"/>
                <w:sz w:val="22"/>
                <w:szCs w:val="22"/>
                <w:highlight w:val="none"/>
                <w:lang w:val="en-US" w:eastAsia="zh-CN"/>
              </w:rPr>
              <w:t>5</w:t>
            </w:r>
            <w:r>
              <w:rPr>
                <w:rFonts w:hint="eastAsia" w:asciiTheme="minorEastAsia" w:hAnsiTheme="minorEastAsia" w:eastAsiaTheme="minorEastAsia" w:cstheme="minorEastAsia"/>
                <w:color w:val="auto"/>
                <w:sz w:val="22"/>
                <w:szCs w:val="22"/>
                <w:highlight w:val="none"/>
              </w:rPr>
              <w:t>分；</w:t>
            </w:r>
          </w:p>
          <w:p w14:paraId="07B840A8">
            <w:pPr>
              <w:wordWrap w:val="0"/>
              <w:spacing w:line="360" w:lineRule="auto"/>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lang w:val="en-US" w:eastAsia="zh-CN"/>
              </w:rPr>
              <w:t>2</w:t>
            </w:r>
            <w:r>
              <w:rPr>
                <w:rFonts w:hint="eastAsia" w:asciiTheme="minorEastAsia" w:hAnsiTheme="minorEastAsia" w:eastAsiaTheme="minorEastAsia" w:cstheme="minorEastAsia"/>
                <w:color w:val="auto"/>
                <w:sz w:val="22"/>
                <w:szCs w:val="22"/>
                <w:highlight w:val="none"/>
              </w:rPr>
              <w:t>．帮扶项目已完工，大于5万元、小于20万元(含20万元)的得</w:t>
            </w:r>
            <w:r>
              <w:rPr>
                <w:rFonts w:hint="eastAsia" w:asciiTheme="minorEastAsia" w:hAnsiTheme="minorEastAsia" w:eastAsiaTheme="minorEastAsia" w:cstheme="minorEastAsia"/>
                <w:color w:val="auto"/>
                <w:sz w:val="22"/>
                <w:szCs w:val="22"/>
                <w:highlight w:val="none"/>
                <w:lang w:val="en-US" w:eastAsia="zh-CN"/>
              </w:rPr>
              <w:t>2</w:t>
            </w:r>
            <w:r>
              <w:rPr>
                <w:rFonts w:hint="eastAsia" w:asciiTheme="minorEastAsia" w:hAnsiTheme="minorEastAsia" w:eastAsiaTheme="minorEastAsia" w:cstheme="minorEastAsia"/>
                <w:color w:val="auto"/>
                <w:sz w:val="22"/>
                <w:szCs w:val="22"/>
                <w:highlight w:val="none"/>
              </w:rPr>
              <w:t>分；</w:t>
            </w:r>
          </w:p>
          <w:p w14:paraId="66FE5EF2">
            <w:pPr>
              <w:wordWrap w:val="0"/>
              <w:spacing w:line="360" w:lineRule="auto"/>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lang w:val="en-US" w:eastAsia="zh-CN"/>
              </w:rPr>
              <w:t>3</w:t>
            </w:r>
            <w:r>
              <w:rPr>
                <w:rFonts w:hint="eastAsia" w:asciiTheme="minorEastAsia" w:hAnsiTheme="minorEastAsia" w:eastAsiaTheme="minorEastAsia" w:cstheme="minorEastAsia"/>
                <w:color w:val="auto"/>
                <w:sz w:val="22"/>
                <w:szCs w:val="22"/>
                <w:highlight w:val="none"/>
              </w:rPr>
              <w:t>.其他不计</w:t>
            </w:r>
          </w:p>
          <w:p w14:paraId="6B376A45">
            <w:pPr>
              <w:pStyle w:val="2"/>
              <w:rPr>
                <w:rFonts w:hint="default" w:eastAsiaTheme="minorEastAsia"/>
                <w:highlight w:val="none"/>
                <w:lang w:val="en-US" w:eastAsia="zh-CN"/>
              </w:rPr>
            </w:pPr>
            <w:r>
              <w:rPr>
                <w:rFonts w:hint="eastAsia" w:asciiTheme="minorEastAsia" w:hAnsiTheme="minorEastAsia" w:eastAsiaTheme="minorEastAsia" w:cstheme="minorEastAsia"/>
                <w:color w:val="auto"/>
                <w:sz w:val="22"/>
                <w:szCs w:val="22"/>
                <w:highlight w:val="none"/>
                <w:lang w:val="en-US" w:eastAsia="zh-CN"/>
              </w:rPr>
              <w:t>4.本项最高得分5分；</w:t>
            </w:r>
          </w:p>
          <w:p w14:paraId="139A37FD">
            <w:pPr>
              <w:wordWrap w:val="0"/>
              <w:spacing w:line="360" w:lineRule="auto"/>
              <w:rPr>
                <w:rFonts w:hint="eastAsia" w:asciiTheme="minorEastAsia" w:hAnsiTheme="minorEastAsia" w:eastAsiaTheme="minorEastAsia" w:cstheme="minorEastAsia"/>
                <w:snapToGrid w:val="0"/>
                <w:color w:val="auto"/>
                <w:kern w:val="0"/>
                <w:sz w:val="22"/>
                <w:szCs w:val="22"/>
                <w:highlight w:val="none"/>
                <w:lang w:val="en-US" w:eastAsia="zh-CN" w:bidi="ar-SA"/>
              </w:rPr>
            </w:pPr>
          </w:p>
        </w:tc>
        <w:tc>
          <w:tcPr>
            <w:tcW w:w="5065" w:type="dxa"/>
            <w:tcBorders>
              <w:top w:val="single" w:color="auto" w:sz="4" w:space="0"/>
              <w:left w:val="single" w:color="auto" w:sz="4" w:space="0"/>
              <w:bottom w:val="single" w:color="auto" w:sz="4" w:space="0"/>
              <w:right w:val="single" w:color="auto" w:sz="4" w:space="0"/>
            </w:tcBorders>
            <w:noWrap w:val="0"/>
            <w:vAlign w:val="center"/>
          </w:tcPr>
          <w:p w14:paraId="34D5D240">
            <w:pPr>
              <w:wordWrap w:val="0"/>
              <w:spacing w:line="360" w:lineRule="auto"/>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1.需提供建设主管部门出具的项目已录入“全省百千万工程”建筑业企业与乡镇结对帮扶项目信息库的证明（</w:t>
            </w:r>
            <w:r>
              <w:rPr>
                <w:rFonts w:hint="eastAsia" w:asciiTheme="minorEastAsia" w:hAnsiTheme="minorEastAsia" w:eastAsiaTheme="minorEastAsia" w:cstheme="minorEastAsia"/>
                <w:color w:val="auto"/>
                <w:kern w:val="0"/>
                <w:sz w:val="22"/>
                <w:szCs w:val="22"/>
                <w:highlight w:val="none"/>
              </w:rPr>
              <w:t>证明开具时间为</w:t>
            </w:r>
            <w:r>
              <w:rPr>
                <w:rFonts w:hint="eastAsia" w:asciiTheme="minorEastAsia" w:hAnsiTheme="minorEastAsia" w:eastAsiaTheme="minorEastAsia" w:cstheme="minorEastAsia"/>
                <w:color w:val="auto"/>
                <w:sz w:val="22"/>
                <w:szCs w:val="22"/>
                <w:highlight w:val="none"/>
              </w:rPr>
              <w:t>从202</w:t>
            </w:r>
            <w:r>
              <w:rPr>
                <w:rFonts w:hint="eastAsia" w:asciiTheme="minorEastAsia" w:hAnsiTheme="minorEastAsia" w:eastAsiaTheme="minorEastAsia" w:cstheme="minorEastAsia"/>
                <w:color w:val="auto"/>
                <w:sz w:val="22"/>
                <w:szCs w:val="22"/>
                <w:highlight w:val="none"/>
                <w:lang w:val="en-US" w:eastAsia="zh-CN"/>
              </w:rPr>
              <w:t>1</w:t>
            </w:r>
            <w:r>
              <w:rPr>
                <w:rFonts w:hint="eastAsia" w:asciiTheme="minorEastAsia" w:hAnsiTheme="minorEastAsia" w:eastAsiaTheme="minorEastAsia" w:cstheme="minorEastAsia"/>
                <w:color w:val="auto"/>
                <w:sz w:val="22"/>
                <w:szCs w:val="22"/>
                <w:highlight w:val="none"/>
              </w:rPr>
              <w:t>年1月1日</w:t>
            </w:r>
            <w:r>
              <w:rPr>
                <w:rFonts w:hint="eastAsia" w:asciiTheme="minorEastAsia" w:hAnsiTheme="minorEastAsia" w:eastAsiaTheme="minorEastAsia" w:cstheme="minorEastAsia"/>
                <w:color w:val="auto"/>
                <w:kern w:val="0"/>
                <w:sz w:val="22"/>
                <w:szCs w:val="22"/>
                <w:highlight w:val="none"/>
              </w:rPr>
              <w:t>~</w:t>
            </w:r>
            <w:r>
              <w:rPr>
                <w:rFonts w:hint="eastAsia" w:asciiTheme="minorEastAsia" w:hAnsiTheme="minorEastAsia" w:eastAsiaTheme="minorEastAsia" w:cstheme="minorEastAsia"/>
                <w:color w:val="auto"/>
                <w:sz w:val="22"/>
                <w:szCs w:val="22"/>
                <w:highlight w:val="none"/>
              </w:rPr>
              <w:t>至今）。</w:t>
            </w:r>
          </w:p>
          <w:p w14:paraId="63C78BD4">
            <w:pPr>
              <w:wordWrap w:val="0"/>
              <w:spacing w:line="360" w:lineRule="auto"/>
              <w:rPr>
                <w:rFonts w:hint="eastAsia" w:asciiTheme="minorEastAsia" w:hAnsiTheme="minorEastAsia" w:eastAsiaTheme="minorEastAsia" w:cstheme="minorEastAsia"/>
                <w:b/>
                <w:bCs/>
                <w:color w:val="auto"/>
                <w:sz w:val="22"/>
                <w:szCs w:val="22"/>
                <w:highlight w:val="none"/>
              </w:rPr>
            </w:pPr>
            <w:r>
              <w:rPr>
                <w:rFonts w:hint="eastAsia" w:asciiTheme="minorEastAsia" w:hAnsiTheme="minorEastAsia" w:eastAsiaTheme="minorEastAsia" w:cstheme="minorEastAsia"/>
                <w:color w:val="auto"/>
                <w:sz w:val="22"/>
                <w:szCs w:val="22"/>
                <w:highlight w:val="none"/>
              </w:rPr>
              <w:t>2．</w:t>
            </w:r>
            <w:r>
              <w:rPr>
                <w:rFonts w:hint="eastAsia" w:asciiTheme="minorEastAsia" w:hAnsiTheme="minorEastAsia" w:eastAsiaTheme="minorEastAsia" w:cstheme="minorEastAsia"/>
                <w:b/>
                <w:bCs/>
                <w:color w:val="auto"/>
                <w:sz w:val="22"/>
                <w:szCs w:val="22"/>
                <w:highlight w:val="none"/>
              </w:rPr>
              <w:t>须提供有关证明彩色扫描件，同时提供原件供核对。</w:t>
            </w:r>
          </w:p>
          <w:p w14:paraId="69F9E7EB">
            <w:pPr>
              <w:wordWrap w:val="0"/>
              <w:spacing w:line="360" w:lineRule="auto"/>
              <w:rPr>
                <w:rFonts w:hint="eastAsia" w:asciiTheme="minorEastAsia" w:hAnsiTheme="minorEastAsia" w:eastAsiaTheme="minorEastAsia" w:cstheme="minorEastAsia"/>
                <w:snapToGrid w:val="0"/>
                <w:color w:val="auto"/>
                <w:kern w:val="0"/>
                <w:sz w:val="22"/>
                <w:szCs w:val="22"/>
                <w:highlight w:val="none"/>
                <w:lang w:val="en-US" w:eastAsia="zh-CN" w:bidi="ar-SA"/>
              </w:rPr>
            </w:pPr>
            <w:r>
              <w:rPr>
                <w:rFonts w:hint="eastAsia" w:asciiTheme="minorEastAsia" w:hAnsiTheme="minorEastAsia" w:eastAsiaTheme="minorEastAsia" w:cstheme="minorEastAsia"/>
                <w:color w:val="auto"/>
                <w:sz w:val="22"/>
                <w:szCs w:val="22"/>
                <w:highlight w:val="none"/>
              </w:rPr>
              <w:t>3．</w:t>
            </w:r>
            <w:r>
              <w:rPr>
                <w:rFonts w:hint="eastAsia" w:asciiTheme="minorEastAsia" w:hAnsiTheme="minorEastAsia" w:eastAsiaTheme="minorEastAsia" w:cstheme="minorEastAsia"/>
                <w:color w:val="auto"/>
                <w:kern w:val="0"/>
                <w:sz w:val="22"/>
                <w:szCs w:val="22"/>
                <w:highlight w:val="none"/>
              </w:rPr>
              <w:t>未提供原件的；颁发机构、证明开具时间不符合规定的，不予得分</w:t>
            </w:r>
            <w:r>
              <w:rPr>
                <w:rFonts w:hint="eastAsia" w:asciiTheme="minorEastAsia" w:hAnsiTheme="minorEastAsia" w:eastAsiaTheme="minorEastAsia" w:cstheme="minorEastAsia"/>
                <w:color w:val="auto"/>
                <w:sz w:val="22"/>
                <w:szCs w:val="22"/>
                <w:highlight w:val="none"/>
              </w:rPr>
              <w:t>。</w:t>
            </w:r>
          </w:p>
        </w:tc>
      </w:tr>
      <w:tr w14:paraId="50778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jc w:val="center"/>
        </w:trPr>
        <w:tc>
          <w:tcPr>
            <w:tcW w:w="1491" w:type="dxa"/>
            <w:vMerge w:val="continue"/>
            <w:tcBorders>
              <w:left w:val="single" w:color="auto" w:sz="4" w:space="0"/>
              <w:right w:val="single" w:color="auto" w:sz="4" w:space="0"/>
            </w:tcBorders>
            <w:noWrap w:val="0"/>
            <w:vAlign w:val="center"/>
          </w:tcPr>
          <w:p w14:paraId="619368FF">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2"/>
                <w:szCs w:val="22"/>
                <w:highlight w:val="none"/>
                <w:lang w:val="en-US" w:eastAsia="zh-CN"/>
              </w:rPr>
            </w:pP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679DDB89">
            <w:pPr>
              <w:wordWrap w:val="0"/>
              <w:adjustRightInd w:val="0"/>
              <w:snapToGrid w:val="0"/>
              <w:spacing w:line="240" w:lineRule="auto"/>
              <w:rPr>
                <w:rFonts w:hint="eastAsia" w:asciiTheme="minorEastAsia" w:hAnsiTheme="minorEastAsia" w:eastAsiaTheme="minorEastAsia" w:cstheme="minorEastAsia"/>
                <w:snapToGrid w:val="0"/>
                <w:color w:val="auto"/>
                <w:kern w:val="0"/>
                <w:sz w:val="22"/>
                <w:szCs w:val="22"/>
                <w:highlight w:val="none"/>
                <w:lang w:val="en-US" w:eastAsia="zh-CN"/>
              </w:rPr>
            </w:pPr>
            <w:r>
              <w:rPr>
                <w:rFonts w:hint="eastAsia" w:asciiTheme="minorEastAsia" w:hAnsiTheme="minorEastAsia" w:eastAsiaTheme="minorEastAsia" w:cstheme="minorEastAsia"/>
                <w:sz w:val="22"/>
                <w:szCs w:val="22"/>
                <w:highlight w:val="none"/>
              </w:rPr>
              <w:t>投标人从202</w:t>
            </w:r>
            <w:r>
              <w:rPr>
                <w:rFonts w:hint="eastAsia" w:asciiTheme="minorEastAsia" w:hAnsiTheme="minorEastAsia" w:eastAsiaTheme="minorEastAsia" w:cstheme="minorEastAsia"/>
                <w:sz w:val="22"/>
                <w:szCs w:val="22"/>
                <w:highlight w:val="none"/>
                <w:lang w:val="en-US" w:eastAsia="zh-CN"/>
              </w:rPr>
              <w:t>1</w:t>
            </w:r>
            <w:r>
              <w:rPr>
                <w:rFonts w:hint="eastAsia" w:asciiTheme="minorEastAsia" w:hAnsiTheme="minorEastAsia" w:eastAsiaTheme="minorEastAsia" w:cstheme="minorEastAsia"/>
                <w:sz w:val="22"/>
                <w:szCs w:val="22"/>
                <w:highlight w:val="none"/>
              </w:rPr>
              <w:t>年1月1日至今获得过县（市、区）建设主管部门颁发的“百千万工程”工作相关表扬信的，得5分，满分得5分。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2BF3CA3A">
            <w:pPr>
              <w:wordWrap w:val="0"/>
              <w:spacing w:after="120" w:line="288" w:lineRule="auto"/>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1．须提供有关证书彩色扫描件，</w:t>
            </w:r>
            <w:r>
              <w:rPr>
                <w:rFonts w:hint="eastAsia" w:asciiTheme="minorEastAsia" w:hAnsiTheme="minorEastAsia" w:eastAsiaTheme="minorEastAsia" w:cstheme="minorEastAsia"/>
                <w:b/>
                <w:bCs/>
                <w:sz w:val="22"/>
                <w:szCs w:val="22"/>
                <w:highlight w:val="none"/>
              </w:rPr>
              <w:t>同时提供原件供核对</w:t>
            </w:r>
            <w:r>
              <w:rPr>
                <w:rFonts w:hint="eastAsia" w:asciiTheme="minorEastAsia" w:hAnsiTheme="minorEastAsia" w:eastAsiaTheme="minorEastAsia" w:cstheme="minorEastAsia"/>
                <w:sz w:val="22"/>
                <w:szCs w:val="22"/>
                <w:highlight w:val="none"/>
              </w:rPr>
              <w:t>（证书为电子证书的除外）。</w:t>
            </w:r>
          </w:p>
          <w:p w14:paraId="57FF0116">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Theme="minorEastAsia" w:hAnsiTheme="minorEastAsia" w:eastAsiaTheme="minorEastAsia" w:cstheme="minorEastAsia"/>
                <w:b w:val="0"/>
                <w:bCs w:val="0"/>
                <w:color w:val="auto"/>
                <w:sz w:val="22"/>
                <w:szCs w:val="22"/>
                <w:highlight w:val="none"/>
                <w:lang w:eastAsia="zh-CN"/>
              </w:rPr>
            </w:pPr>
            <w:r>
              <w:rPr>
                <w:rFonts w:hint="eastAsia" w:asciiTheme="minorEastAsia" w:hAnsiTheme="minorEastAsia" w:eastAsiaTheme="minorEastAsia" w:cstheme="minorEastAsia"/>
                <w:sz w:val="22"/>
                <w:szCs w:val="22"/>
                <w:highlight w:val="none"/>
              </w:rPr>
              <w:t>2．未提供原件的，颁发机构、时间不符合要求的，按第 2 项标准处理</w:t>
            </w:r>
            <w:r>
              <w:rPr>
                <w:rFonts w:hint="eastAsia" w:asciiTheme="minorEastAsia" w:hAnsiTheme="minorEastAsia" w:eastAsiaTheme="minorEastAsia" w:cstheme="minorEastAsia"/>
                <w:sz w:val="22"/>
                <w:szCs w:val="22"/>
                <w:highlight w:val="none"/>
                <w:lang w:eastAsia="zh-CN"/>
              </w:rPr>
              <w:t>。</w:t>
            </w:r>
          </w:p>
        </w:tc>
      </w:tr>
      <w:tr w14:paraId="7E6DE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4" w:hRule="atLeast"/>
          <w:jc w:val="center"/>
        </w:trPr>
        <w:tc>
          <w:tcPr>
            <w:tcW w:w="1491" w:type="dxa"/>
            <w:tcBorders>
              <w:left w:val="single" w:color="auto" w:sz="4" w:space="0"/>
              <w:right w:val="single" w:color="auto" w:sz="4" w:space="0"/>
            </w:tcBorders>
            <w:noWrap w:val="0"/>
            <w:vAlign w:val="center"/>
          </w:tcPr>
          <w:p w14:paraId="3EABC845">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宋体" w:hAnsi="宋体" w:eastAsia="宋体" w:cs="宋体"/>
                <w:snapToGrid w:val="0"/>
                <w:color w:val="auto"/>
                <w:kern w:val="0"/>
                <w:sz w:val="22"/>
                <w:szCs w:val="22"/>
                <w:highlight w:val="none"/>
                <w:lang w:val="en-US" w:eastAsia="zh-CN"/>
              </w:rPr>
            </w:pP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00D4CF6A">
            <w:pPr>
              <w:wordWrap w:val="0"/>
              <w:adjustRightInd w:val="0"/>
              <w:snapToGrid w:val="0"/>
              <w:spacing w:line="240" w:lineRule="auto"/>
              <w:rPr>
                <w:rFonts w:hint="eastAsia" w:asciiTheme="minorEastAsia" w:hAnsiTheme="minorEastAsia" w:eastAsiaTheme="minorEastAsia" w:cstheme="minorEastAsia"/>
                <w:sz w:val="22"/>
                <w:szCs w:val="22"/>
                <w:highlight w:val="none"/>
                <w:lang w:eastAsia="zh-CN"/>
              </w:rPr>
            </w:pPr>
            <w:r>
              <w:rPr>
                <w:rFonts w:hint="eastAsia" w:asciiTheme="minorEastAsia" w:hAnsiTheme="minorEastAsia" w:eastAsiaTheme="minorEastAsia" w:cstheme="minorEastAsia"/>
                <w:sz w:val="22"/>
                <w:szCs w:val="22"/>
                <w:highlight w:val="none"/>
                <w:lang w:val="en-US" w:eastAsia="zh-CN"/>
              </w:rPr>
              <w:t>1.</w:t>
            </w:r>
            <w:r>
              <w:rPr>
                <w:rFonts w:hint="eastAsia" w:asciiTheme="minorEastAsia" w:hAnsiTheme="minorEastAsia" w:eastAsiaTheme="minorEastAsia" w:cstheme="minorEastAsia"/>
                <w:sz w:val="22"/>
                <w:szCs w:val="22"/>
                <w:highlight w:val="none"/>
              </w:rPr>
              <w:t>企业近</w:t>
            </w:r>
            <w:r>
              <w:rPr>
                <w:rFonts w:hint="eastAsia" w:asciiTheme="minorEastAsia" w:hAnsiTheme="minorEastAsia" w:eastAsiaTheme="minorEastAsia" w:cstheme="minorEastAsia"/>
                <w:sz w:val="22"/>
                <w:szCs w:val="22"/>
                <w:highlight w:val="none"/>
                <w:lang w:val="en-US" w:eastAsia="zh-CN"/>
              </w:rPr>
              <w:t>年来（2021年1月1日至今）获得过</w:t>
            </w:r>
            <w:r>
              <w:rPr>
                <w:rFonts w:hint="eastAsia" w:asciiTheme="minorEastAsia" w:hAnsiTheme="minorEastAsia" w:eastAsiaTheme="minorEastAsia" w:cstheme="minorEastAsia"/>
                <w:sz w:val="22"/>
                <w:szCs w:val="22"/>
                <w:highlight w:val="none"/>
              </w:rPr>
              <w:t xml:space="preserve">省级或以上商业联合会颁发的诚信兴商证书的得 </w:t>
            </w:r>
            <w:r>
              <w:rPr>
                <w:rFonts w:hint="eastAsia" w:asciiTheme="minorEastAsia" w:hAnsiTheme="minorEastAsia" w:eastAsiaTheme="minorEastAsia" w:cstheme="minorEastAsia"/>
                <w:sz w:val="22"/>
                <w:szCs w:val="22"/>
                <w:highlight w:val="none"/>
                <w:u w:val="single"/>
                <w:lang w:val="en-US" w:eastAsia="zh-CN"/>
              </w:rPr>
              <w:t>5</w:t>
            </w:r>
            <w:r>
              <w:rPr>
                <w:rFonts w:hint="eastAsia" w:asciiTheme="minorEastAsia" w:hAnsiTheme="minorEastAsia" w:eastAsiaTheme="minorEastAsia" w:cstheme="minorEastAsia"/>
                <w:sz w:val="22"/>
                <w:szCs w:val="22"/>
                <w:highlight w:val="none"/>
              </w:rPr>
              <w:t xml:space="preserve"> 分</w:t>
            </w:r>
            <w:r>
              <w:rPr>
                <w:rFonts w:hint="eastAsia" w:asciiTheme="minorEastAsia" w:hAnsiTheme="minorEastAsia" w:eastAsiaTheme="minorEastAsia" w:cstheme="minorEastAsia"/>
                <w:sz w:val="22"/>
                <w:szCs w:val="22"/>
                <w:highlight w:val="none"/>
                <w:lang w:eastAsia="zh-CN"/>
              </w:rPr>
              <w:t>，满分得5分。</w:t>
            </w:r>
          </w:p>
          <w:p w14:paraId="6E122602">
            <w:pPr>
              <w:wordWrap w:val="0"/>
              <w:adjustRightInd w:val="0"/>
              <w:snapToGrid w:val="0"/>
              <w:spacing w:line="240" w:lineRule="auto"/>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2.其他情形的，不予计分。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616F81CE">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lang w:val="en-US" w:eastAsia="zh-CN"/>
              </w:rPr>
              <w:t>1.</w:t>
            </w:r>
            <w:r>
              <w:rPr>
                <w:rFonts w:hint="eastAsia" w:asciiTheme="minorEastAsia" w:hAnsiTheme="minorEastAsia" w:eastAsiaTheme="minorEastAsia" w:cstheme="minorEastAsia"/>
                <w:sz w:val="22"/>
                <w:szCs w:val="22"/>
                <w:highlight w:val="none"/>
              </w:rPr>
              <w:t>证书由省级或以上商业联合会颁发，须提供</w:t>
            </w:r>
          </w:p>
          <w:p w14:paraId="455F17F5">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有关证书彩色扫描件，</w:t>
            </w:r>
            <w:r>
              <w:rPr>
                <w:rFonts w:hint="eastAsia" w:asciiTheme="minorEastAsia" w:hAnsiTheme="minorEastAsia" w:eastAsiaTheme="minorEastAsia" w:cstheme="minorEastAsia"/>
                <w:b/>
                <w:bCs/>
                <w:sz w:val="22"/>
                <w:szCs w:val="22"/>
                <w:highlight w:val="none"/>
              </w:rPr>
              <w:t>同时提供原件核对。</w:t>
            </w:r>
          </w:p>
          <w:p w14:paraId="3B76033D">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lang w:val="en-US" w:eastAsia="zh-CN"/>
              </w:rPr>
              <w:t>2.</w:t>
            </w:r>
            <w:r>
              <w:rPr>
                <w:rFonts w:hint="eastAsia" w:asciiTheme="minorEastAsia" w:hAnsiTheme="minorEastAsia" w:eastAsiaTheme="minorEastAsia" w:cstheme="minorEastAsia"/>
                <w:sz w:val="22"/>
                <w:szCs w:val="22"/>
                <w:highlight w:val="none"/>
              </w:rPr>
              <w:t>未提供原件的，颁发机构不符合要求的，按</w:t>
            </w:r>
          </w:p>
          <w:p w14:paraId="4A36FCB3">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第 2 项标准处理。</w:t>
            </w:r>
          </w:p>
        </w:tc>
      </w:tr>
      <w:tr w14:paraId="47C95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exact"/>
          <w:jc w:val="center"/>
        </w:trPr>
        <w:tc>
          <w:tcPr>
            <w:tcW w:w="10424" w:type="dxa"/>
            <w:gridSpan w:val="4"/>
            <w:tcBorders>
              <w:top w:val="single" w:color="auto" w:sz="4" w:space="0"/>
              <w:left w:val="single" w:color="auto" w:sz="4" w:space="0"/>
              <w:bottom w:val="single" w:color="auto" w:sz="4" w:space="0"/>
              <w:right w:val="single" w:color="auto" w:sz="4" w:space="0"/>
            </w:tcBorders>
            <w:shd w:val="clear" w:color="auto" w:fill="D9D9D9"/>
            <w:noWrap w:val="0"/>
            <w:vAlign w:val="center"/>
          </w:tcPr>
          <w:p w14:paraId="11D6A432">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left"/>
              <w:textAlignment w:val="auto"/>
              <w:outlineLvl w:val="9"/>
              <w:rPr>
                <w:rFonts w:hint="eastAsia" w:ascii="宋体" w:hAnsi="宋体" w:eastAsia="宋体" w:cs="宋体"/>
                <w:b/>
                <w:bCs/>
                <w:caps w:val="0"/>
                <w:smallCaps w:val="0"/>
                <w:snapToGrid w:val="0"/>
                <w:color w:val="auto"/>
                <w:spacing w:val="0"/>
                <w:kern w:val="0"/>
                <w:sz w:val="22"/>
                <w:szCs w:val="22"/>
                <w:highlight w:val="none"/>
              </w:rPr>
            </w:pPr>
            <w:r>
              <w:rPr>
                <w:rFonts w:hint="eastAsia" w:ascii="宋体" w:hAnsi="宋体" w:eastAsia="宋体" w:cs="宋体"/>
                <w:b/>
                <w:bCs/>
                <w:caps w:val="0"/>
                <w:smallCaps w:val="0"/>
                <w:snapToGrid w:val="0"/>
                <w:color w:val="auto"/>
                <w:spacing w:val="0"/>
                <w:kern w:val="0"/>
                <w:sz w:val="22"/>
                <w:szCs w:val="22"/>
                <w:highlight w:val="none"/>
                <w:lang w:eastAsia="zh-CN"/>
              </w:rPr>
              <w:t>技术部分（施工组织设计），满分：</w:t>
            </w:r>
            <w:r>
              <w:rPr>
                <w:rFonts w:hint="eastAsia" w:ascii="宋体" w:hAnsi="宋体" w:eastAsia="宋体" w:cs="宋体"/>
                <w:b/>
                <w:bCs/>
                <w:caps w:val="0"/>
                <w:smallCaps w:val="0"/>
                <w:snapToGrid w:val="0"/>
                <w:color w:val="auto"/>
                <w:spacing w:val="0"/>
                <w:kern w:val="0"/>
                <w:sz w:val="22"/>
                <w:szCs w:val="22"/>
                <w:highlight w:val="none"/>
                <w:u w:val="single"/>
                <w:lang w:val="en-US" w:eastAsia="zh-CN"/>
              </w:rPr>
              <w:t xml:space="preserve">  20  </w:t>
            </w:r>
            <w:r>
              <w:rPr>
                <w:rFonts w:hint="eastAsia" w:ascii="宋体" w:hAnsi="宋体" w:eastAsia="宋体" w:cs="宋体"/>
                <w:b/>
                <w:bCs/>
                <w:caps w:val="0"/>
                <w:smallCaps w:val="0"/>
                <w:snapToGrid w:val="0"/>
                <w:color w:val="auto"/>
                <w:spacing w:val="0"/>
                <w:kern w:val="0"/>
                <w:sz w:val="22"/>
                <w:szCs w:val="22"/>
                <w:highlight w:val="none"/>
                <w:lang w:val="en-US" w:eastAsia="zh-CN"/>
              </w:rPr>
              <w:t>分。</w:t>
            </w:r>
          </w:p>
        </w:tc>
      </w:tr>
      <w:tr w14:paraId="6C61E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exac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49F6191F">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center"/>
              <w:textAlignment w:val="auto"/>
              <w:outlineLvl w:val="9"/>
              <w:rPr>
                <w:rFonts w:hint="eastAsia" w:ascii="宋体" w:hAnsi="宋体" w:eastAsia="宋体" w:cs="宋体"/>
                <w:b/>
                <w:bCs/>
                <w:caps w:val="0"/>
                <w:smallCaps w:val="0"/>
                <w:snapToGrid w:val="0"/>
                <w:color w:val="auto"/>
                <w:spacing w:val="0"/>
                <w:kern w:val="0"/>
                <w:sz w:val="22"/>
                <w:szCs w:val="22"/>
                <w:highlight w:val="none"/>
              </w:rPr>
            </w:pPr>
            <w:r>
              <w:rPr>
                <w:rFonts w:hint="eastAsia" w:ascii="宋体" w:hAnsi="宋体" w:eastAsia="宋体" w:cs="宋体"/>
                <w:b/>
                <w:bCs/>
                <w:caps w:val="0"/>
                <w:smallCaps w:val="0"/>
                <w:snapToGrid w:val="0"/>
                <w:color w:val="auto"/>
                <w:spacing w:val="0"/>
                <w:kern w:val="0"/>
                <w:sz w:val="22"/>
                <w:szCs w:val="22"/>
                <w:highlight w:val="none"/>
              </w:rPr>
              <w:t>评分因素</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334FD14D">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center"/>
              <w:textAlignment w:val="auto"/>
              <w:outlineLvl w:val="9"/>
              <w:rPr>
                <w:rFonts w:hint="eastAsia" w:ascii="宋体" w:hAnsi="宋体" w:eastAsia="宋体" w:cs="宋体"/>
                <w:b/>
                <w:bCs/>
                <w:caps w:val="0"/>
                <w:smallCaps w:val="0"/>
                <w:snapToGrid w:val="0"/>
                <w:color w:val="auto"/>
                <w:spacing w:val="0"/>
                <w:kern w:val="0"/>
                <w:sz w:val="22"/>
                <w:szCs w:val="22"/>
                <w:highlight w:val="none"/>
              </w:rPr>
            </w:pPr>
            <w:r>
              <w:rPr>
                <w:rFonts w:hint="eastAsia" w:ascii="宋体" w:hAnsi="宋体" w:eastAsia="宋体" w:cs="宋体"/>
                <w:b/>
                <w:bCs/>
                <w:caps w:val="0"/>
                <w:smallCaps w:val="0"/>
                <w:snapToGrid w:val="0"/>
                <w:color w:val="auto"/>
                <w:spacing w:val="0"/>
                <w:kern w:val="0"/>
                <w:sz w:val="22"/>
                <w:szCs w:val="22"/>
                <w:highlight w:val="none"/>
              </w:rPr>
              <w:t>评分标准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1DE5B26F">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center"/>
              <w:textAlignment w:val="auto"/>
              <w:outlineLvl w:val="9"/>
              <w:rPr>
                <w:rFonts w:hint="eastAsia" w:ascii="宋体" w:hAnsi="宋体" w:eastAsia="宋体" w:cs="宋体"/>
                <w:b/>
                <w:bCs/>
                <w:caps w:val="0"/>
                <w:smallCaps w:val="0"/>
                <w:snapToGrid w:val="0"/>
                <w:color w:val="auto"/>
                <w:spacing w:val="0"/>
                <w:kern w:val="0"/>
                <w:sz w:val="22"/>
                <w:szCs w:val="22"/>
                <w:highlight w:val="none"/>
                <w:lang w:eastAsia="zh-CN"/>
              </w:rPr>
            </w:pPr>
            <w:r>
              <w:rPr>
                <w:rFonts w:hint="eastAsia" w:ascii="宋体" w:hAnsi="宋体" w:eastAsia="宋体" w:cs="宋体"/>
                <w:b/>
                <w:bCs/>
                <w:caps w:val="0"/>
                <w:smallCaps w:val="0"/>
                <w:snapToGrid w:val="0"/>
                <w:color w:val="auto"/>
                <w:spacing w:val="0"/>
                <w:kern w:val="0"/>
                <w:sz w:val="22"/>
                <w:szCs w:val="22"/>
                <w:highlight w:val="none"/>
                <w:lang w:eastAsia="zh-CN"/>
              </w:rPr>
              <w:t>备注</w:t>
            </w:r>
          </w:p>
        </w:tc>
      </w:tr>
      <w:tr w14:paraId="25B26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7"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24EC4B3E">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 xml:space="preserve"> 总体概述</w:t>
            </w:r>
          </w:p>
          <w:p w14:paraId="7333D43A">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center"/>
              <w:textAlignment w:val="auto"/>
              <w:outlineLvl w:val="9"/>
              <w:rPr>
                <w:rFonts w:hint="eastAsia" w:ascii="宋体" w:hAnsi="宋体" w:eastAsia="宋体" w:cs="宋体"/>
                <w:snapToGrid w:val="0"/>
                <w:color w:val="auto"/>
                <w:kern w:val="0"/>
                <w:sz w:val="22"/>
                <w:szCs w:val="22"/>
                <w:highlight w:val="none"/>
              </w:rPr>
            </w:pPr>
            <w:r>
              <w:rPr>
                <w:rFonts w:hint="eastAsia" w:ascii="宋体" w:hAnsi="宋体" w:eastAsia="宋体" w:cs="宋体"/>
                <w:caps w:val="0"/>
                <w:smallCaps w:val="0"/>
                <w:snapToGrid w:val="0"/>
                <w:color w:val="auto"/>
                <w:spacing w:val="0"/>
                <w:kern w:val="0"/>
                <w:sz w:val="22"/>
                <w:szCs w:val="22"/>
                <w:highlight w:val="none"/>
                <w:lang w:val="en-US" w:eastAsia="zh-CN" w:bidi="ar-SA"/>
              </w:rPr>
              <w:t>（</w:t>
            </w:r>
            <w:r>
              <w:rPr>
                <w:rFonts w:hint="eastAsia" w:ascii="宋体" w:hAnsi="宋体" w:eastAsia="宋体" w:cs="宋体"/>
                <w:caps w:val="0"/>
                <w:smallCaps w:val="0"/>
                <w:snapToGrid w:val="0"/>
                <w:color w:val="auto"/>
                <w:spacing w:val="0"/>
                <w:kern w:val="0"/>
                <w:sz w:val="22"/>
                <w:szCs w:val="22"/>
                <w:highlight w:val="none"/>
                <w:u w:val="single"/>
                <w:lang w:val="en-US" w:eastAsia="zh-CN" w:bidi="ar-SA"/>
              </w:rPr>
              <w:t xml:space="preserve"> 3 </w:t>
            </w:r>
            <w:r>
              <w:rPr>
                <w:rFonts w:hint="eastAsia" w:ascii="宋体" w:hAnsi="宋体" w:eastAsia="宋体" w:cs="宋体"/>
                <w:caps w:val="0"/>
                <w:smallCaps w:val="0"/>
                <w:snapToGrid w:val="0"/>
                <w:color w:val="auto"/>
                <w:spacing w:val="0"/>
                <w:kern w:val="0"/>
                <w:sz w:val="22"/>
                <w:szCs w:val="22"/>
                <w:highlight w:val="none"/>
                <w:lang w:val="en-US" w:eastAsia="zh-CN" w:bidi="ar-SA"/>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16F62ECC">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【优】得该项评分因素分值的90%～100%（含90%）。</w:t>
            </w:r>
          </w:p>
          <w:p w14:paraId="43B3257C">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【良】得该项评分因素分值的80%～90%（含80%）。</w:t>
            </w:r>
          </w:p>
          <w:p w14:paraId="56D845F0">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【中】得该项评分因素分值的70%～80%（含70%）。</w:t>
            </w:r>
          </w:p>
          <w:p w14:paraId="3FD70982">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left"/>
              <w:textAlignment w:val="auto"/>
              <w:outlineLvl w:val="9"/>
              <w:rPr>
                <w:rFonts w:hint="eastAsia" w:ascii="宋体" w:hAnsi="宋体" w:eastAsia="宋体" w:cs="宋体"/>
                <w:snapToGrid w:val="0"/>
                <w:color w:val="auto"/>
                <w:kern w:val="0"/>
                <w:sz w:val="22"/>
                <w:szCs w:val="22"/>
                <w:highlight w:val="none"/>
              </w:rPr>
            </w:pPr>
            <w:r>
              <w:rPr>
                <w:rFonts w:hint="eastAsia" w:ascii="宋体" w:hAnsi="宋体" w:eastAsia="宋体" w:cs="宋体"/>
                <w:caps w:val="0"/>
                <w:smallCaps w:val="0"/>
                <w:snapToGrid w:val="0"/>
                <w:color w:val="auto"/>
                <w:spacing w:val="0"/>
                <w:kern w:val="0"/>
                <w:sz w:val="22"/>
                <w:szCs w:val="22"/>
                <w:highlight w:val="none"/>
                <w:lang w:val="en-US" w:eastAsia="zh-CN" w:bidi="ar-SA"/>
              </w:rPr>
              <w:t>【差】得该项评分因素分值的60～70%（含60%）。</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23D54074">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left"/>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【优】对项目总体有深刻认识，表述清晰、完整、严谨、合理，措施先进、具体、有效、成熟，采用了新技术、新工艺、新材料、新设备；施工段划分呼应总体表述，划分清晰、合理，符合规范要求。</w:t>
            </w:r>
          </w:p>
          <w:p w14:paraId="12153FF5">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left"/>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【良】对项目总体有一定认识，表述清晰、完整，措施具体有效；施工段划分呼应总体表述，划分清晰，符合规范要求。</w:t>
            </w:r>
          </w:p>
          <w:p w14:paraId="5EBA7D58">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left"/>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【中】对项目总体有认识，有一定的措施但部分不具体；施工段划分较合理，符合规范要求。</w:t>
            </w:r>
          </w:p>
          <w:p w14:paraId="5C73A9B2">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left"/>
              <w:textAlignment w:val="auto"/>
              <w:outlineLvl w:val="9"/>
              <w:rPr>
                <w:rFonts w:hint="eastAsia" w:ascii="宋体" w:hAnsi="宋体" w:eastAsia="宋体" w:cs="宋体"/>
                <w:snapToGrid w:val="0"/>
                <w:color w:val="auto"/>
                <w:kern w:val="0"/>
                <w:sz w:val="22"/>
                <w:szCs w:val="22"/>
                <w:highlight w:val="none"/>
              </w:rPr>
            </w:pPr>
            <w:r>
              <w:rPr>
                <w:rFonts w:hint="eastAsia" w:ascii="宋体" w:hAnsi="宋体" w:eastAsia="宋体" w:cs="宋体"/>
                <w:caps w:val="0"/>
                <w:smallCaps w:val="0"/>
                <w:snapToGrid w:val="0"/>
                <w:color w:val="auto"/>
                <w:spacing w:val="0"/>
                <w:kern w:val="0"/>
                <w:sz w:val="22"/>
                <w:szCs w:val="22"/>
                <w:highlight w:val="none"/>
                <w:lang w:val="en-US" w:eastAsia="zh-CN" w:bidi="ar-SA"/>
              </w:rPr>
              <w:t>【差】对项目认识不足，表述不清晰，措施不具体；施工段划分不合理。</w:t>
            </w:r>
          </w:p>
        </w:tc>
      </w:tr>
      <w:tr w14:paraId="037BB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6"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4426F8C1">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施工总进</w:t>
            </w:r>
          </w:p>
          <w:p w14:paraId="3DAB3C6A">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度计划及</w:t>
            </w:r>
          </w:p>
          <w:p w14:paraId="6FB92D06">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保证措施</w:t>
            </w:r>
          </w:p>
          <w:p w14:paraId="6780E205">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snapToGrid w:val="0"/>
                <w:color w:val="auto"/>
                <w:kern w:val="0"/>
                <w:sz w:val="22"/>
                <w:szCs w:val="22"/>
                <w:highlight w:val="none"/>
              </w:rPr>
            </w:pPr>
            <w:r>
              <w:rPr>
                <w:rFonts w:hint="eastAsia" w:ascii="宋体" w:hAnsi="宋体" w:eastAsia="宋体" w:cs="宋体"/>
                <w:caps w:val="0"/>
                <w:smallCaps w:val="0"/>
                <w:snapToGrid w:val="0"/>
                <w:color w:val="auto"/>
                <w:spacing w:val="0"/>
                <w:kern w:val="0"/>
                <w:sz w:val="22"/>
                <w:szCs w:val="22"/>
                <w:highlight w:val="none"/>
                <w:lang w:val="en-US" w:eastAsia="zh-CN" w:bidi="ar-SA"/>
              </w:rPr>
              <w:t>（</w:t>
            </w:r>
            <w:r>
              <w:rPr>
                <w:rFonts w:hint="eastAsia" w:ascii="宋体" w:hAnsi="宋体" w:eastAsia="宋体" w:cs="宋体"/>
                <w:caps w:val="0"/>
                <w:smallCaps w:val="0"/>
                <w:snapToGrid w:val="0"/>
                <w:color w:val="auto"/>
                <w:spacing w:val="0"/>
                <w:kern w:val="0"/>
                <w:sz w:val="22"/>
                <w:szCs w:val="22"/>
                <w:highlight w:val="none"/>
                <w:u w:val="single"/>
                <w:lang w:val="en-US" w:eastAsia="zh-CN" w:bidi="ar-SA"/>
              </w:rPr>
              <w:t xml:space="preserve"> 3 </w:t>
            </w:r>
            <w:r>
              <w:rPr>
                <w:rFonts w:hint="eastAsia" w:ascii="宋体" w:hAnsi="宋体" w:eastAsia="宋体" w:cs="宋体"/>
                <w:caps w:val="0"/>
                <w:smallCaps w:val="0"/>
                <w:snapToGrid w:val="0"/>
                <w:color w:val="auto"/>
                <w:spacing w:val="0"/>
                <w:kern w:val="0"/>
                <w:sz w:val="22"/>
                <w:szCs w:val="22"/>
                <w:highlight w:val="none"/>
                <w:lang w:val="en-US" w:eastAsia="zh-CN" w:bidi="ar-SA"/>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55E9097A">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【优】得该项评分因素分值的90%～100%（含90%）。</w:t>
            </w:r>
          </w:p>
          <w:p w14:paraId="2BB77EA5">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【良】得该项评分因素分值的80%～90%（含80%）。</w:t>
            </w:r>
          </w:p>
          <w:p w14:paraId="6971F765">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【中】得该项评分因素分值的70%～80%（含70%）。</w:t>
            </w:r>
          </w:p>
          <w:p w14:paraId="058DCEF2">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snapToGrid w:val="0"/>
                <w:color w:val="auto"/>
                <w:kern w:val="0"/>
                <w:sz w:val="22"/>
                <w:szCs w:val="22"/>
                <w:highlight w:val="none"/>
              </w:rPr>
            </w:pPr>
            <w:r>
              <w:rPr>
                <w:rFonts w:hint="eastAsia" w:ascii="宋体" w:hAnsi="宋体" w:eastAsia="宋体" w:cs="宋体"/>
                <w:caps w:val="0"/>
                <w:smallCaps w:val="0"/>
                <w:snapToGrid w:val="0"/>
                <w:color w:val="auto"/>
                <w:spacing w:val="0"/>
                <w:kern w:val="0"/>
                <w:sz w:val="22"/>
                <w:szCs w:val="22"/>
                <w:highlight w:val="none"/>
                <w:lang w:val="en-US" w:eastAsia="zh-CN" w:bidi="ar-SA"/>
              </w:rPr>
              <w:t>【差】得该项评分因素分值的60～70%（含60%）。</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08EE883E">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b/>
                <w:bCs/>
                <w:caps w:val="0"/>
                <w:smallCaps w:val="0"/>
                <w:strike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优】关键线路清晰、准确、完整，计划编制合理、可行。关键节点的控制措施有力、合理、可行。人、材、机需求和进场计划与进度计划相呼应，较好满足施工需要，调配投入计划合理、准确。进度违约责任承诺具体，</w:t>
            </w:r>
            <w:r>
              <w:rPr>
                <w:rFonts w:hint="eastAsia" w:ascii="宋体" w:hAnsi="宋体" w:eastAsia="宋体" w:cs="宋体"/>
                <w:b/>
                <w:bCs/>
                <w:caps w:val="0"/>
                <w:smallCaps w:val="0"/>
                <w:strike w:val="0"/>
                <w:dstrike w:val="0"/>
                <w:snapToGrid w:val="0"/>
                <w:color w:val="auto"/>
                <w:spacing w:val="0"/>
                <w:kern w:val="0"/>
                <w:sz w:val="22"/>
                <w:szCs w:val="22"/>
                <w:highlight w:val="none"/>
                <w:lang w:val="en-US" w:eastAsia="zh-CN" w:bidi="ar-SA"/>
              </w:rPr>
              <w:t>经济赔偿合理。</w:t>
            </w:r>
          </w:p>
          <w:p w14:paraId="2EA59569">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b/>
                <w:bCs/>
                <w:caps w:val="0"/>
                <w:smallCaps w:val="0"/>
                <w:strike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【良】关键线路清晰、准确、完整，计划编制可行。关键节点的控制措施合理、可行。人、材、机需求和进场计划与进度计划相呼应，基本满足施工需要，调配投入计划基本合理、准确。进度违约责任承诺具体，</w:t>
            </w:r>
            <w:r>
              <w:rPr>
                <w:rFonts w:hint="eastAsia" w:ascii="宋体" w:hAnsi="宋体" w:eastAsia="宋体" w:cs="宋体"/>
                <w:b/>
                <w:bCs/>
                <w:caps w:val="0"/>
                <w:smallCaps w:val="0"/>
                <w:strike w:val="0"/>
                <w:dstrike w:val="0"/>
                <w:snapToGrid w:val="0"/>
                <w:color w:val="auto"/>
                <w:spacing w:val="0"/>
                <w:kern w:val="0"/>
                <w:sz w:val="22"/>
                <w:szCs w:val="22"/>
                <w:highlight w:val="none"/>
                <w:lang w:val="en-US" w:eastAsia="zh-CN" w:bidi="ar-SA"/>
              </w:rPr>
              <w:t>经济赔偿较合理。</w:t>
            </w:r>
          </w:p>
          <w:p w14:paraId="62077663">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【中】关键线路基本准确，计划编制基本合理。关键节点的控制措施基本可行。人、材、机需求和进场计划与进度计划相呼应，基本满足施工需要，调配投入计划基本合理。进度违约责任承诺具体。</w:t>
            </w:r>
          </w:p>
          <w:p w14:paraId="6FD8C0F5">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snapToGrid w:val="0"/>
                <w:color w:val="auto"/>
                <w:kern w:val="0"/>
                <w:sz w:val="22"/>
                <w:szCs w:val="22"/>
                <w:highlight w:val="none"/>
              </w:rPr>
            </w:pPr>
            <w:r>
              <w:rPr>
                <w:rFonts w:hint="eastAsia" w:ascii="宋体" w:hAnsi="宋体" w:eastAsia="宋体" w:cs="宋体"/>
                <w:caps w:val="0"/>
                <w:smallCaps w:val="0"/>
                <w:snapToGrid w:val="0"/>
                <w:color w:val="auto"/>
                <w:spacing w:val="0"/>
                <w:kern w:val="0"/>
                <w:sz w:val="22"/>
                <w:szCs w:val="22"/>
                <w:highlight w:val="none"/>
                <w:lang w:val="en-US" w:eastAsia="zh-CN" w:bidi="ar-SA"/>
              </w:rPr>
              <w:t>【差】关键线路不准确，计划编制不合理。关键节点的控制不可行。人、材、机需求和进场计划与进度计划不相呼应，不能满足施工需要。没有违约责任承诺。</w:t>
            </w:r>
          </w:p>
        </w:tc>
      </w:tr>
      <w:tr w14:paraId="0D76A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1"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0871ECF0">
            <w:pPr>
              <w:pStyle w:val="27"/>
              <w:wordWrap w:val="0"/>
              <w:spacing w:line="400" w:lineRule="exact"/>
              <w:jc w:val="center"/>
              <w:rPr>
                <w:rFonts w:eastAsia="宋体"/>
                <w:snapToGrid w:val="0"/>
                <w:color w:val="auto"/>
                <w:kern w:val="0"/>
                <w:sz w:val="22"/>
                <w:szCs w:val="22"/>
                <w:highlight w:val="none"/>
              </w:rPr>
            </w:pPr>
            <w:r>
              <w:rPr>
                <w:rFonts w:hint="eastAsia" w:eastAsia="宋体"/>
                <w:snapToGrid w:val="0"/>
                <w:color w:val="auto"/>
                <w:kern w:val="0"/>
                <w:sz w:val="22"/>
                <w:szCs w:val="22"/>
                <w:highlight w:val="none"/>
              </w:rPr>
              <w:t>质量</w:t>
            </w:r>
          </w:p>
          <w:p w14:paraId="1FBF3AEC">
            <w:pPr>
              <w:pStyle w:val="27"/>
              <w:wordWrap w:val="0"/>
              <w:spacing w:line="400" w:lineRule="exact"/>
              <w:jc w:val="center"/>
              <w:rPr>
                <w:rFonts w:eastAsia="宋体"/>
                <w:snapToGrid w:val="0"/>
                <w:color w:val="auto"/>
                <w:kern w:val="0"/>
                <w:sz w:val="22"/>
                <w:szCs w:val="22"/>
                <w:highlight w:val="none"/>
              </w:rPr>
            </w:pPr>
            <w:r>
              <w:rPr>
                <w:rFonts w:hint="eastAsia" w:eastAsia="宋体"/>
                <w:snapToGrid w:val="0"/>
                <w:color w:val="auto"/>
                <w:kern w:val="0"/>
                <w:sz w:val="22"/>
                <w:szCs w:val="22"/>
                <w:highlight w:val="none"/>
              </w:rPr>
              <w:t>保证措施</w:t>
            </w:r>
          </w:p>
          <w:p w14:paraId="1277B614">
            <w:pPr>
              <w:pStyle w:val="27"/>
              <w:wordWrap w:val="0"/>
              <w:spacing w:line="400" w:lineRule="exact"/>
              <w:jc w:val="center"/>
              <w:rPr>
                <w:rFonts w:hint="eastAsia" w:ascii="宋体" w:hAnsi="宋体" w:eastAsia="宋体" w:cs="宋体"/>
                <w:caps w:val="0"/>
                <w:smallCaps w:val="0"/>
                <w:snapToGrid w:val="0"/>
                <w:color w:val="auto"/>
                <w:spacing w:val="0"/>
                <w:kern w:val="0"/>
                <w:sz w:val="22"/>
                <w:szCs w:val="22"/>
                <w:highlight w:val="none"/>
                <w:lang w:eastAsia="zh-CN"/>
              </w:rPr>
            </w:pPr>
            <w:r>
              <w:rPr>
                <w:rFonts w:hint="eastAsia" w:eastAsia="宋体"/>
                <w:snapToGrid w:val="0"/>
                <w:color w:val="auto"/>
                <w:kern w:val="0"/>
                <w:sz w:val="22"/>
                <w:szCs w:val="22"/>
                <w:highlight w:val="none"/>
              </w:rPr>
              <w:t>（</w:t>
            </w:r>
            <w:r>
              <w:rPr>
                <w:rFonts w:hint="eastAsia" w:ascii="宋体" w:hAnsi="宋体" w:eastAsia="宋体" w:cs="宋体"/>
                <w:caps w:val="0"/>
                <w:smallCaps w:val="0"/>
                <w:snapToGrid w:val="0"/>
                <w:color w:val="auto"/>
                <w:spacing w:val="0"/>
                <w:kern w:val="0"/>
                <w:sz w:val="22"/>
                <w:szCs w:val="22"/>
                <w:highlight w:val="none"/>
                <w:u w:val="single"/>
                <w:lang w:val="en-US" w:eastAsia="zh-CN" w:bidi="ar-SA"/>
              </w:rPr>
              <w:t xml:space="preserve"> 4 </w:t>
            </w:r>
            <w:r>
              <w:rPr>
                <w:rFonts w:hint="eastAsia" w:eastAsia="宋体"/>
                <w:snapToGrid w:val="0"/>
                <w:color w:val="auto"/>
                <w:kern w:val="0"/>
                <w:sz w:val="22"/>
                <w:szCs w:val="22"/>
                <w:highlight w:val="none"/>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2007839E">
            <w:pPr>
              <w:pStyle w:val="26"/>
              <w:wordWrap w:val="0"/>
              <w:spacing w:line="400" w:lineRule="exact"/>
              <w:rPr>
                <w:rFonts w:eastAsia="宋体"/>
                <w:snapToGrid w:val="0"/>
                <w:color w:val="auto"/>
                <w:kern w:val="0"/>
                <w:sz w:val="22"/>
                <w:szCs w:val="22"/>
                <w:highlight w:val="none"/>
              </w:rPr>
            </w:pPr>
            <w:r>
              <w:rPr>
                <w:rFonts w:hint="eastAsia" w:eastAsia="宋体"/>
                <w:snapToGrid w:val="0"/>
                <w:color w:val="auto"/>
                <w:kern w:val="0"/>
                <w:sz w:val="22"/>
                <w:szCs w:val="22"/>
                <w:highlight w:val="none"/>
              </w:rPr>
              <w:t>【优】得该项评分因素分值的90%～100%（含90%）。</w:t>
            </w:r>
          </w:p>
          <w:p w14:paraId="0DDE4CE8">
            <w:pPr>
              <w:pStyle w:val="26"/>
              <w:wordWrap w:val="0"/>
              <w:spacing w:line="400" w:lineRule="exact"/>
              <w:rPr>
                <w:rFonts w:eastAsia="宋体"/>
                <w:snapToGrid w:val="0"/>
                <w:color w:val="auto"/>
                <w:kern w:val="0"/>
                <w:sz w:val="22"/>
                <w:szCs w:val="22"/>
                <w:highlight w:val="none"/>
              </w:rPr>
            </w:pPr>
            <w:r>
              <w:rPr>
                <w:rFonts w:hint="eastAsia" w:eastAsia="宋体"/>
                <w:snapToGrid w:val="0"/>
                <w:color w:val="auto"/>
                <w:kern w:val="0"/>
                <w:sz w:val="22"/>
                <w:szCs w:val="22"/>
                <w:highlight w:val="none"/>
              </w:rPr>
              <w:t>【良】得该项评分因素分值的80%～90%（含80%）。</w:t>
            </w:r>
          </w:p>
          <w:p w14:paraId="226B370B">
            <w:pPr>
              <w:pStyle w:val="26"/>
              <w:wordWrap w:val="0"/>
              <w:spacing w:line="400" w:lineRule="exact"/>
              <w:rPr>
                <w:rFonts w:eastAsia="宋体"/>
                <w:snapToGrid w:val="0"/>
                <w:color w:val="auto"/>
                <w:kern w:val="0"/>
                <w:sz w:val="22"/>
                <w:szCs w:val="22"/>
                <w:highlight w:val="none"/>
              </w:rPr>
            </w:pPr>
            <w:r>
              <w:rPr>
                <w:rFonts w:hint="eastAsia" w:eastAsia="宋体"/>
                <w:snapToGrid w:val="0"/>
                <w:color w:val="auto"/>
                <w:kern w:val="0"/>
                <w:sz w:val="22"/>
                <w:szCs w:val="22"/>
                <w:highlight w:val="none"/>
              </w:rPr>
              <w:t>【中】得该项评分因素分值的70%～80%（含70%）。</w:t>
            </w:r>
          </w:p>
          <w:p w14:paraId="0860C7AB">
            <w:pPr>
              <w:pStyle w:val="28"/>
              <w:wordWrap w:val="0"/>
              <w:spacing w:line="400" w:lineRule="exact"/>
              <w:rPr>
                <w:rFonts w:hint="eastAsia" w:ascii="宋体" w:hAnsi="宋体" w:eastAsia="宋体" w:cs="宋体"/>
                <w:caps w:val="0"/>
                <w:smallCaps w:val="0"/>
                <w:snapToGrid w:val="0"/>
                <w:color w:val="auto"/>
                <w:spacing w:val="0"/>
                <w:kern w:val="0"/>
                <w:sz w:val="22"/>
                <w:szCs w:val="22"/>
                <w:highlight w:val="none"/>
              </w:rPr>
            </w:pPr>
            <w:r>
              <w:rPr>
                <w:rFonts w:hint="eastAsia" w:eastAsia="宋体"/>
                <w:snapToGrid w:val="0"/>
                <w:color w:val="auto"/>
                <w:kern w:val="0"/>
                <w:sz w:val="22"/>
                <w:szCs w:val="22"/>
                <w:highlight w:val="none"/>
              </w:rPr>
              <w:t>【差】得该项评分因素分值的60～70%（含60%）。</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3FF594C8">
            <w:pPr>
              <w:pStyle w:val="5"/>
              <w:wordWrap w:val="0"/>
              <w:spacing w:after="0" w:line="400" w:lineRule="exact"/>
              <w:rPr>
                <w:rFonts w:ascii="Times New Roman"/>
                <w:snapToGrid w:val="0"/>
                <w:color w:val="auto"/>
                <w:kern w:val="0"/>
                <w:sz w:val="22"/>
                <w:szCs w:val="22"/>
                <w:highlight w:val="none"/>
              </w:rPr>
            </w:pPr>
            <w:r>
              <w:rPr>
                <w:rFonts w:ascii="Times New Roman"/>
                <w:snapToGrid w:val="0"/>
                <w:color w:val="auto"/>
                <w:kern w:val="0"/>
                <w:sz w:val="22"/>
                <w:szCs w:val="22"/>
                <w:highlight w:val="none"/>
              </w:rPr>
              <w:t>【优】应用新技术、新工艺、新材料、新设备，针对项目实际提出先进、可行、具体的保证措施。超过招标文件的质量要求。</w:t>
            </w:r>
          </w:p>
          <w:p w14:paraId="5D7DABA4">
            <w:pPr>
              <w:pStyle w:val="5"/>
              <w:wordWrap w:val="0"/>
              <w:spacing w:after="0" w:line="400" w:lineRule="exact"/>
              <w:rPr>
                <w:rFonts w:hint="default" w:ascii="Times New Roman"/>
                <w:b/>
                <w:bCs/>
                <w:snapToGrid w:val="0"/>
                <w:color w:val="auto"/>
                <w:kern w:val="0"/>
                <w:sz w:val="22"/>
                <w:szCs w:val="22"/>
                <w:highlight w:val="none"/>
              </w:rPr>
            </w:pPr>
            <w:r>
              <w:rPr>
                <w:rFonts w:ascii="Times New Roman"/>
                <w:snapToGrid w:val="0"/>
                <w:color w:val="auto"/>
                <w:kern w:val="0"/>
                <w:sz w:val="22"/>
                <w:szCs w:val="22"/>
                <w:highlight w:val="none"/>
              </w:rPr>
              <w:t>【良】针对项目实际提出先进、可行、具体的保证措施。满足招标文件的质量要求。</w:t>
            </w:r>
          </w:p>
          <w:p w14:paraId="47C950B5">
            <w:pPr>
              <w:pStyle w:val="5"/>
              <w:wordWrap w:val="0"/>
              <w:spacing w:after="0" w:line="400" w:lineRule="exact"/>
              <w:rPr>
                <w:rFonts w:hint="eastAsia" w:ascii="Times New Roman" w:eastAsia="宋体"/>
                <w:snapToGrid w:val="0"/>
                <w:color w:val="auto"/>
                <w:kern w:val="0"/>
                <w:sz w:val="22"/>
                <w:szCs w:val="22"/>
                <w:highlight w:val="none"/>
                <w:lang w:eastAsia="zh-CN"/>
              </w:rPr>
            </w:pPr>
            <w:r>
              <w:rPr>
                <w:rFonts w:ascii="Times New Roman"/>
                <w:snapToGrid w:val="0"/>
                <w:color w:val="auto"/>
                <w:kern w:val="0"/>
                <w:sz w:val="22"/>
                <w:szCs w:val="22"/>
                <w:highlight w:val="none"/>
              </w:rPr>
              <w:t>【中】具体措施可行。满足招标文件的质量要求</w:t>
            </w:r>
            <w:r>
              <w:rPr>
                <w:rFonts w:hint="eastAsia" w:ascii="Times New Roman" w:eastAsia="宋体"/>
                <w:snapToGrid w:val="0"/>
                <w:color w:val="auto"/>
                <w:kern w:val="0"/>
                <w:sz w:val="22"/>
                <w:szCs w:val="22"/>
                <w:highlight w:val="none"/>
                <w:lang w:eastAsia="zh-CN"/>
              </w:rPr>
              <w:t>。</w:t>
            </w:r>
          </w:p>
          <w:p w14:paraId="59C3D929">
            <w:pPr>
              <w:pStyle w:val="28"/>
              <w:wordWrap w:val="0"/>
              <w:spacing w:line="400" w:lineRule="exact"/>
              <w:rPr>
                <w:rFonts w:hint="eastAsia" w:ascii="宋体" w:hAnsi="宋体" w:eastAsia="宋体" w:cs="宋体"/>
                <w:caps w:val="0"/>
                <w:smallCaps w:val="0"/>
                <w:snapToGrid w:val="0"/>
                <w:color w:val="auto"/>
                <w:spacing w:val="0"/>
                <w:kern w:val="0"/>
                <w:sz w:val="22"/>
                <w:szCs w:val="22"/>
                <w:highlight w:val="none"/>
              </w:rPr>
            </w:pPr>
            <w:r>
              <w:rPr>
                <w:rFonts w:hint="eastAsia" w:eastAsia="宋体"/>
                <w:snapToGrid w:val="0"/>
                <w:color w:val="auto"/>
                <w:kern w:val="0"/>
                <w:sz w:val="22"/>
                <w:szCs w:val="22"/>
                <w:highlight w:val="none"/>
              </w:rPr>
              <w:t>【差】措施不可行，没有质量违约责任承诺。</w:t>
            </w:r>
          </w:p>
        </w:tc>
      </w:tr>
      <w:tr w14:paraId="7D45C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8"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64309F90">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施工</w:t>
            </w:r>
          </w:p>
          <w:p w14:paraId="10E0DBEF">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技术措施</w:t>
            </w:r>
          </w:p>
          <w:p w14:paraId="7A2152B7">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val="en-US" w:eastAsia="zh-CN" w:bidi="ar-SA"/>
              </w:rPr>
              <w:t>（</w:t>
            </w:r>
            <w:r>
              <w:rPr>
                <w:rFonts w:hint="eastAsia" w:ascii="宋体" w:hAnsi="宋体" w:eastAsia="宋体" w:cs="宋体"/>
                <w:caps w:val="0"/>
                <w:smallCaps w:val="0"/>
                <w:snapToGrid w:val="0"/>
                <w:color w:val="auto"/>
                <w:spacing w:val="0"/>
                <w:kern w:val="0"/>
                <w:sz w:val="22"/>
                <w:szCs w:val="22"/>
                <w:highlight w:val="none"/>
                <w:u w:val="single"/>
                <w:lang w:val="en-US" w:eastAsia="zh-CN" w:bidi="ar-SA"/>
              </w:rPr>
              <w:t xml:space="preserve"> 2 </w:t>
            </w:r>
            <w:r>
              <w:rPr>
                <w:rFonts w:hint="eastAsia" w:ascii="宋体" w:hAnsi="宋体" w:eastAsia="宋体" w:cs="宋体"/>
                <w:caps w:val="0"/>
                <w:smallCaps w:val="0"/>
                <w:snapToGrid w:val="0"/>
                <w:color w:val="auto"/>
                <w:spacing w:val="0"/>
                <w:kern w:val="0"/>
                <w:sz w:val="22"/>
                <w:szCs w:val="22"/>
                <w:highlight w:val="none"/>
                <w:lang w:val="en-US" w:eastAsia="zh-CN" w:bidi="ar-SA"/>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1D6A5A96">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【优】得该项评分因素分值的90%～100%（含90%）。</w:t>
            </w:r>
          </w:p>
          <w:p w14:paraId="46B998B6">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【良】得该项评分因素分值的80%～90%（含80%）。</w:t>
            </w:r>
          </w:p>
          <w:p w14:paraId="78138843">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【中】得该项评分因素分值的70%～80%（含70%）。</w:t>
            </w:r>
          </w:p>
          <w:p w14:paraId="45B4BB13">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rPr>
            </w:pPr>
            <w:r>
              <w:rPr>
                <w:rFonts w:hint="eastAsia" w:ascii="宋体" w:hAnsi="宋体" w:eastAsia="宋体" w:cs="宋体"/>
                <w:caps w:val="0"/>
                <w:smallCaps w:val="0"/>
                <w:snapToGrid w:val="0"/>
                <w:color w:val="auto"/>
                <w:spacing w:val="0"/>
                <w:kern w:val="0"/>
                <w:sz w:val="22"/>
                <w:szCs w:val="22"/>
                <w:highlight w:val="none"/>
                <w:lang w:val="en-US" w:eastAsia="zh-CN" w:bidi="ar-SA"/>
              </w:rPr>
              <w:t>【差】得该项评分因素分值的60～70%（含60%）。</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303F18BA">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w:t>
            </w:r>
            <w:r>
              <w:rPr>
                <w:rFonts w:hint="eastAsia" w:ascii="宋体" w:hAnsi="宋体" w:eastAsia="宋体" w:cs="宋体"/>
                <w:b/>
                <w:bCs/>
                <w:caps w:val="0"/>
                <w:smallCaps w:val="0"/>
                <w:strike w:val="0"/>
                <w:dstrike w:val="0"/>
                <w:snapToGrid w:val="0"/>
                <w:color w:val="auto"/>
                <w:spacing w:val="0"/>
                <w:kern w:val="0"/>
                <w:sz w:val="22"/>
                <w:szCs w:val="22"/>
                <w:highlight w:val="none"/>
                <w:lang w:val="en-US" w:eastAsia="zh-CN" w:bidi="ar-SA"/>
              </w:rPr>
              <w:t>经济赔偿合理。</w:t>
            </w:r>
          </w:p>
          <w:p w14:paraId="417C0F77">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b/>
                <w:bCs/>
                <w:caps w:val="0"/>
                <w:smallCaps w:val="0"/>
                <w:strike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w:t>
            </w:r>
            <w:r>
              <w:rPr>
                <w:rFonts w:hint="eastAsia" w:ascii="宋体" w:hAnsi="宋体" w:eastAsia="宋体" w:cs="宋体"/>
                <w:b/>
                <w:bCs/>
                <w:caps w:val="0"/>
                <w:smallCaps w:val="0"/>
                <w:strike w:val="0"/>
                <w:dstrike w:val="0"/>
                <w:snapToGrid w:val="0"/>
                <w:color w:val="auto"/>
                <w:spacing w:val="0"/>
                <w:kern w:val="0"/>
                <w:sz w:val="22"/>
                <w:szCs w:val="22"/>
                <w:highlight w:val="none"/>
                <w:lang w:val="en-US" w:eastAsia="zh-CN" w:bidi="ar-SA"/>
              </w:rPr>
              <w:t>经济赔偿较合理。</w:t>
            </w:r>
          </w:p>
          <w:p w14:paraId="44507D00">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1AB9CBE7">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val="en-US" w:eastAsia="zh-CN" w:bidi="ar-SA"/>
              </w:rPr>
              <w:t>【差】对项目关键技术有表述，对重点、难点有建议，解决方案不可行。采用的新技术针对性不强或验证材料不可靠，对节约投资、工期没有具体收益。无违约责任承诺。</w:t>
            </w:r>
          </w:p>
        </w:tc>
      </w:tr>
      <w:tr w14:paraId="77615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73"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0644BF9B">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绿色施工、</w:t>
            </w:r>
          </w:p>
          <w:p w14:paraId="6C81D194">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安全防护、</w:t>
            </w:r>
          </w:p>
          <w:p w14:paraId="638C625D">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文明施工</w:t>
            </w:r>
          </w:p>
          <w:p w14:paraId="78E2CFAA">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措施计划</w:t>
            </w:r>
          </w:p>
          <w:p w14:paraId="0AEC9777">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rPr>
            </w:pPr>
            <w:r>
              <w:rPr>
                <w:rFonts w:hint="eastAsia" w:ascii="宋体" w:hAnsi="宋体" w:eastAsia="宋体" w:cs="宋体"/>
                <w:caps w:val="0"/>
                <w:smallCaps w:val="0"/>
                <w:snapToGrid w:val="0"/>
                <w:color w:val="auto"/>
                <w:spacing w:val="0"/>
                <w:kern w:val="0"/>
                <w:sz w:val="22"/>
                <w:szCs w:val="22"/>
                <w:highlight w:val="none"/>
                <w:lang w:val="en-US" w:eastAsia="zh-CN" w:bidi="ar-SA"/>
              </w:rPr>
              <w:t>（</w:t>
            </w:r>
            <w:r>
              <w:rPr>
                <w:rFonts w:hint="eastAsia" w:ascii="宋体" w:hAnsi="宋体" w:eastAsia="宋体" w:cs="宋体"/>
                <w:caps w:val="0"/>
                <w:smallCaps w:val="0"/>
                <w:snapToGrid w:val="0"/>
                <w:color w:val="auto"/>
                <w:spacing w:val="0"/>
                <w:kern w:val="0"/>
                <w:sz w:val="22"/>
                <w:szCs w:val="22"/>
                <w:highlight w:val="none"/>
                <w:u w:val="single"/>
                <w:lang w:val="en-US" w:eastAsia="zh-CN" w:bidi="ar-SA"/>
              </w:rPr>
              <w:t xml:space="preserve"> 3 </w:t>
            </w:r>
            <w:r>
              <w:rPr>
                <w:rFonts w:hint="eastAsia" w:ascii="宋体" w:hAnsi="宋体" w:eastAsia="宋体" w:cs="宋体"/>
                <w:caps w:val="0"/>
                <w:smallCaps w:val="0"/>
                <w:snapToGrid w:val="0"/>
                <w:color w:val="auto"/>
                <w:spacing w:val="0"/>
                <w:kern w:val="0"/>
                <w:sz w:val="22"/>
                <w:szCs w:val="22"/>
                <w:highlight w:val="none"/>
                <w:lang w:val="en-US" w:eastAsia="zh-CN" w:bidi="ar-SA"/>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2ADD8CA1">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【优】得该项评分因素分值的90%～100%（含90%）。</w:t>
            </w:r>
          </w:p>
          <w:p w14:paraId="5EE1FBD7">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【良】得该项评分因素分值的80%～90%（含80%）。</w:t>
            </w:r>
          </w:p>
          <w:p w14:paraId="0DFD8EAD">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【中】得该项评分因素分值的70%～80%（含70%）。</w:t>
            </w:r>
          </w:p>
          <w:p w14:paraId="1B36B2CF">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rPr>
            </w:pPr>
            <w:r>
              <w:rPr>
                <w:rFonts w:hint="eastAsia" w:ascii="宋体" w:hAnsi="宋体" w:eastAsia="宋体" w:cs="宋体"/>
                <w:caps w:val="0"/>
                <w:smallCaps w:val="0"/>
                <w:snapToGrid w:val="0"/>
                <w:color w:val="auto"/>
                <w:spacing w:val="0"/>
                <w:kern w:val="0"/>
                <w:sz w:val="22"/>
                <w:szCs w:val="22"/>
                <w:highlight w:val="none"/>
                <w:lang w:val="en-US" w:eastAsia="zh-CN" w:bidi="ar-SA"/>
              </w:rPr>
              <w:t>【差】得该项评分因素分值的60～70%（含60%）。</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2687ED96">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【优】针对项目实际情况，有先进、具体、完整、可行的措施，采用规范准确、清晰。</w:t>
            </w:r>
          </w:p>
          <w:p w14:paraId="14A6ED79">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【良】针对项目实际情况，有合理的措施且具体、完整，采用规范准确。</w:t>
            </w:r>
          </w:p>
          <w:p w14:paraId="72D94C8E">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【中】有基本合理的措施，采用规范准确。</w:t>
            </w:r>
          </w:p>
          <w:p w14:paraId="06B16B6A">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rPr>
            </w:pPr>
            <w:r>
              <w:rPr>
                <w:rFonts w:hint="eastAsia" w:ascii="宋体" w:hAnsi="宋体" w:eastAsia="宋体" w:cs="宋体"/>
                <w:caps w:val="0"/>
                <w:smallCaps w:val="0"/>
                <w:snapToGrid w:val="0"/>
                <w:color w:val="auto"/>
                <w:spacing w:val="0"/>
                <w:kern w:val="0"/>
                <w:sz w:val="22"/>
                <w:szCs w:val="22"/>
                <w:highlight w:val="none"/>
                <w:lang w:val="en-US" w:eastAsia="zh-CN" w:bidi="ar-SA"/>
              </w:rPr>
              <w:t>【差】措施不力，采用规范不正确。</w:t>
            </w:r>
          </w:p>
        </w:tc>
      </w:tr>
      <w:tr w14:paraId="6CB4F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8"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62956FD4">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施工平面</w:t>
            </w:r>
          </w:p>
          <w:p w14:paraId="25BBEE01">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布置和临时设施布置</w:t>
            </w:r>
          </w:p>
          <w:p w14:paraId="1D6C6A02">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2"/>
                <w:szCs w:val="22"/>
                <w:highlight w:val="none"/>
                <w:lang w:eastAsia="zh-CN"/>
              </w:rPr>
            </w:pPr>
            <w:r>
              <w:rPr>
                <w:rFonts w:hint="eastAsia" w:ascii="宋体" w:hAnsi="宋体" w:eastAsia="宋体" w:cs="宋体"/>
                <w:caps w:val="0"/>
                <w:smallCaps w:val="0"/>
                <w:snapToGrid w:val="0"/>
                <w:color w:val="auto"/>
                <w:spacing w:val="0"/>
                <w:kern w:val="0"/>
                <w:sz w:val="22"/>
                <w:szCs w:val="22"/>
                <w:highlight w:val="none"/>
                <w:lang w:val="en-US" w:eastAsia="zh-CN" w:bidi="ar-SA"/>
              </w:rPr>
              <w:t>（</w:t>
            </w:r>
            <w:r>
              <w:rPr>
                <w:rFonts w:hint="eastAsia" w:ascii="宋体" w:hAnsi="宋体" w:eastAsia="宋体" w:cs="宋体"/>
                <w:caps w:val="0"/>
                <w:smallCaps w:val="0"/>
                <w:snapToGrid w:val="0"/>
                <w:color w:val="auto"/>
                <w:spacing w:val="0"/>
                <w:kern w:val="0"/>
                <w:sz w:val="22"/>
                <w:szCs w:val="22"/>
                <w:highlight w:val="none"/>
                <w:u w:val="single"/>
                <w:lang w:val="en-US" w:eastAsia="zh-CN" w:bidi="ar-SA"/>
              </w:rPr>
              <w:t xml:space="preserve"> 2 </w:t>
            </w:r>
            <w:r>
              <w:rPr>
                <w:rFonts w:hint="eastAsia" w:ascii="宋体" w:hAnsi="宋体" w:eastAsia="宋体" w:cs="宋体"/>
                <w:caps w:val="0"/>
                <w:smallCaps w:val="0"/>
                <w:snapToGrid w:val="0"/>
                <w:color w:val="auto"/>
                <w:spacing w:val="0"/>
                <w:kern w:val="0"/>
                <w:sz w:val="22"/>
                <w:szCs w:val="22"/>
                <w:highlight w:val="none"/>
                <w:lang w:val="en-US" w:eastAsia="zh-CN" w:bidi="ar-SA"/>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19AAB17A">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【优】得该项评分因素分值的90%～100%（含90%）。</w:t>
            </w:r>
          </w:p>
          <w:p w14:paraId="24A2C3A7">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【良】得该项评分因素分值的80%～90%（含80%）。</w:t>
            </w:r>
          </w:p>
          <w:p w14:paraId="23E105B9">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【中】得该项评分因素分值的70%～80%（含70%）。</w:t>
            </w:r>
          </w:p>
          <w:p w14:paraId="3A880DA1">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rPr>
            </w:pPr>
            <w:r>
              <w:rPr>
                <w:rFonts w:hint="eastAsia" w:ascii="宋体" w:hAnsi="宋体" w:eastAsia="宋体" w:cs="宋体"/>
                <w:caps w:val="0"/>
                <w:smallCaps w:val="0"/>
                <w:snapToGrid w:val="0"/>
                <w:color w:val="auto"/>
                <w:spacing w:val="0"/>
                <w:kern w:val="0"/>
                <w:sz w:val="22"/>
                <w:szCs w:val="22"/>
                <w:highlight w:val="none"/>
                <w:lang w:val="en-US" w:eastAsia="zh-CN" w:bidi="ar-SA"/>
              </w:rPr>
              <w:t>【差】得该项评分因素分值的60～70%（含60%）。</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3B0E8C07">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【优】总体布置有针对性、合理，较好满足施工需要，符合绿色施工、安全防护、文明施工要求。</w:t>
            </w:r>
          </w:p>
          <w:p w14:paraId="652713E2">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【良】总体布置合理，能满足施工需要，基本符合绿色施工、安全防护、文明施工要求。</w:t>
            </w:r>
          </w:p>
          <w:p w14:paraId="657291C0">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caps w:val="0"/>
                <w:smallCaps w:val="0"/>
                <w:snapToGrid w:val="0"/>
                <w:color w:val="auto"/>
                <w:spacing w:val="0"/>
                <w:kern w:val="0"/>
                <w:sz w:val="22"/>
                <w:szCs w:val="22"/>
                <w:highlight w:val="none"/>
                <w:lang w:val="en-US" w:eastAsia="zh-CN" w:bidi="ar-SA"/>
              </w:rPr>
              <w:t>【中】总体布置基本合理，基本满足施工需要。</w:t>
            </w:r>
          </w:p>
          <w:p w14:paraId="63EE77B9">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2"/>
                <w:szCs w:val="22"/>
                <w:highlight w:val="none"/>
              </w:rPr>
            </w:pPr>
            <w:r>
              <w:rPr>
                <w:rFonts w:hint="eastAsia" w:ascii="宋体" w:hAnsi="宋体" w:eastAsia="宋体" w:cs="宋体"/>
                <w:caps w:val="0"/>
                <w:smallCaps w:val="0"/>
                <w:snapToGrid w:val="0"/>
                <w:color w:val="auto"/>
                <w:spacing w:val="0"/>
                <w:kern w:val="0"/>
                <w:sz w:val="22"/>
                <w:szCs w:val="22"/>
                <w:highlight w:val="none"/>
                <w:lang w:val="en-US" w:eastAsia="zh-CN" w:bidi="ar-SA"/>
              </w:rPr>
              <w:t>【差】总体布置不合理，不符合绿色施工、安全防护、文明施工要求。</w:t>
            </w:r>
          </w:p>
        </w:tc>
      </w:tr>
      <w:tr w14:paraId="53AF7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7"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2B6196E3">
            <w:pPr>
              <w:pStyle w:val="27"/>
              <w:wordWrap w:val="0"/>
              <w:spacing w:line="400" w:lineRule="exact"/>
              <w:jc w:val="center"/>
              <w:rPr>
                <w:rFonts w:eastAsia="宋体"/>
                <w:snapToGrid w:val="0"/>
                <w:color w:val="auto"/>
                <w:kern w:val="0"/>
                <w:sz w:val="22"/>
                <w:szCs w:val="22"/>
                <w:highlight w:val="none"/>
              </w:rPr>
            </w:pPr>
            <w:r>
              <w:rPr>
                <w:rFonts w:hint="eastAsia" w:eastAsia="宋体"/>
                <w:snapToGrid w:val="0"/>
                <w:color w:val="auto"/>
                <w:kern w:val="0"/>
                <w:sz w:val="22"/>
                <w:szCs w:val="22"/>
                <w:highlight w:val="none"/>
              </w:rPr>
              <w:t>项目</w:t>
            </w:r>
          </w:p>
          <w:p w14:paraId="1931B2B7">
            <w:pPr>
              <w:pStyle w:val="27"/>
              <w:wordWrap w:val="0"/>
              <w:spacing w:line="400" w:lineRule="exact"/>
              <w:jc w:val="center"/>
              <w:rPr>
                <w:rFonts w:eastAsia="宋体"/>
                <w:snapToGrid w:val="0"/>
                <w:color w:val="auto"/>
                <w:kern w:val="0"/>
                <w:sz w:val="22"/>
                <w:szCs w:val="22"/>
                <w:highlight w:val="none"/>
              </w:rPr>
            </w:pPr>
            <w:r>
              <w:rPr>
                <w:rFonts w:hint="eastAsia" w:eastAsia="宋体"/>
                <w:snapToGrid w:val="0"/>
                <w:color w:val="auto"/>
                <w:kern w:val="0"/>
                <w:sz w:val="22"/>
                <w:szCs w:val="22"/>
                <w:highlight w:val="none"/>
              </w:rPr>
              <w:t>管理机构</w:t>
            </w:r>
          </w:p>
          <w:p w14:paraId="0EC815FA">
            <w:pPr>
              <w:pStyle w:val="27"/>
              <w:wordWrap w:val="0"/>
              <w:spacing w:line="400" w:lineRule="exact"/>
              <w:jc w:val="center"/>
              <w:rPr>
                <w:rFonts w:hint="eastAsia" w:ascii="宋体" w:hAnsi="宋体" w:eastAsia="宋体" w:cs="宋体"/>
                <w:caps w:val="0"/>
                <w:smallCaps w:val="0"/>
                <w:snapToGrid w:val="0"/>
                <w:color w:val="auto"/>
                <w:spacing w:val="0"/>
                <w:kern w:val="0"/>
                <w:sz w:val="22"/>
                <w:szCs w:val="22"/>
                <w:highlight w:val="none"/>
              </w:rPr>
            </w:pPr>
            <w:r>
              <w:rPr>
                <w:rFonts w:hint="eastAsia" w:eastAsia="宋体"/>
                <w:snapToGrid w:val="0"/>
                <w:color w:val="auto"/>
                <w:kern w:val="0"/>
                <w:sz w:val="22"/>
                <w:szCs w:val="22"/>
                <w:highlight w:val="none"/>
              </w:rPr>
              <w:t>（</w:t>
            </w:r>
            <w:r>
              <w:rPr>
                <w:rFonts w:hint="eastAsia" w:eastAsia="宋体"/>
                <w:snapToGrid w:val="0"/>
                <w:color w:val="auto"/>
                <w:kern w:val="0"/>
                <w:sz w:val="22"/>
                <w:szCs w:val="22"/>
                <w:highlight w:val="none"/>
                <w:u w:val="single"/>
              </w:rPr>
              <w:t xml:space="preserve"> 3 </w:t>
            </w:r>
            <w:r>
              <w:rPr>
                <w:rFonts w:hint="eastAsia" w:eastAsia="宋体"/>
                <w:snapToGrid w:val="0"/>
                <w:color w:val="auto"/>
                <w:kern w:val="0"/>
                <w:sz w:val="22"/>
                <w:szCs w:val="22"/>
                <w:highlight w:val="none"/>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34F47295">
            <w:pPr>
              <w:pStyle w:val="26"/>
              <w:wordWrap w:val="0"/>
              <w:spacing w:line="400" w:lineRule="exact"/>
              <w:rPr>
                <w:rFonts w:eastAsia="宋体"/>
                <w:snapToGrid w:val="0"/>
                <w:color w:val="auto"/>
                <w:kern w:val="0"/>
                <w:sz w:val="22"/>
                <w:szCs w:val="22"/>
                <w:highlight w:val="none"/>
              </w:rPr>
            </w:pPr>
            <w:r>
              <w:rPr>
                <w:rFonts w:hint="eastAsia" w:eastAsia="宋体"/>
                <w:snapToGrid w:val="0"/>
                <w:color w:val="auto"/>
                <w:kern w:val="0"/>
                <w:sz w:val="22"/>
                <w:szCs w:val="22"/>
                <w:highlight w:val="none"/>
              </w:rPr>
              <w:t>【优】得该项评分因素分值的90%～100%（含90%）。</w:t>
            </w:r>
          </w:p>
          <w:p w14:paraId="21C01A3F">
            <w:pPr>
              <w:pStyle w:val="26"/>
              <w:wordWrap w:val="0"/>
              <w:spacing w:line="400" w:lineRule="exact"/>
              <w:rPr>
                <w:rFonts w:eastAsia="宋体"/>
                <w:snapToGrid w:val="0"/>
                <w:color w:val="auto"/>
                <w:kern w:val="0"/>
                <w:sz w:val="22"/>
                <w:szCs w:val="22"/>
                <w:highlight w:val="none"/>
              </w:rPr>
            </w:pPr>
            <w:r>
              <w:rPr>
                <w:rFonts w:hint="eastAsia" w:eastAsia="宋体"/>
                <w:snapToGrid w:val="0"/>
                <w:color w:val="auto"/>
                <w:kern w:val="0"/>
                <w:sz w:val="22"/>
                <w:szCs w:val="22"/>
                <w:highlight w:val="none"/>
              </w:rPr>
              <w:t>【良】得该项评分因素分值的80%～90%（含80%）。</w:t>
            </w:r>
          </w:p>
          <w:p w14:paraId="0CE6CB42">
            <w:pPr>
              <w:pStyle w:val="26"/>
              <w:wordWrap w:val="0"/>
              <w:spacing w:line="400" w:lineRule="exact"/>
              <w:rPr>
                <w:rFonts w:eastAsia="宋体"/>
                <w:snapToGrid w:val="0"/>
                <w:color w:val="auto"/>
                <w:kern w:val="0"/>
                <w:sz w:val="22"/>
                <w:szCs w:val="22"/>
                <w:highlight w:val="none"/>
              </w:rPr>
            </w:pPr>
            <w:r>
              <w:rPr>
                <w:rFonts w:hint="eastAsia" w:eastAsia="宋体"/>
                <w:snapToGrid w:val="0"/>
                <w:color w:val="auto"/>
                <w:kern w:val="0"/>
                <w:sz w:val="22"/>
                <w:szCs w:val="22"/>
                <w:highlight w:val="none"/>
              </w:rPr>
              <w:t>【中】得该项评分因素分值的70%～80%（含70%）。</w:t>
            </w:r>
          </w:p>
          <w:p w14:paraId="6255D4DE">
            <w:pPr>
              <w:pStyle w:val="28"/>
              <w:wordWrap w:val="0"/>
              <w:spacing w:line="400" w:lineRule="exact"/>
              <w:rPr>
                <w:rFonts w:hint="eastAsia" w:ascii="宋体" w:hAnsi="宋体" w:eastAsia="宋体" w:cs="宋体"/>
                <w:caps w:val="0"/>
                <w:smallCaps w:val="0"/>
                <w:snapToGrid w:val="0"/>
                <w:color w:val="auto"/>
                <w:spacing w:val="0"/>
                <w:kern w:val="0"/>
                <w:sz w:val="22"/>
                <w:szCs w:val="22"/>
                <w:highlight w:val="none"/>
              </w:rPr>
            </w:pPr>
            <w:r>
              <w:rPr>
                <w:rFonts w:hint="eastAsia" w:eastAsia="宋体"/>
                <w:snapToGrid w:val="0"/>
                <w:color w:val="auto"/>
                <w:kern w:val="0"/>
                <w:sz w:val="22"/>
                <w:szCs w:val="22"/>
                <w:highlight w:val="none"/>
              </w:rPr>
              <w:t>【差】得该项评分因素分值的60～70%（含60%）。</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107FF9CF">
            <w:pPr>
              <w:pStyle w:val="28"/>
              <w:wordWrap w:val="0"/>
              <w:spacing w:line="400" w:lineRule="exact"/>
              <w:rPr>
                <w:rFonts w:eastAsia="宋体"/>
                <w:snapToGrid w:val="0"/>
                <w:color w:val="auto"/>
                <w:kern w:val="0"/>
                <w:sz w:val="22"/>
                <w:szCs w:val="22"/>
                <w:highlight w:val="none"/>
              </w:rPr>
            </w:pPr>
            <w:r>
              <w:rPr>
                <w:rFonts w:hint="eastAsia" w:eastAsia="宋体"/>
                <w:snapToGrid w:val="0"/>
                <w:color w:val="auto"/>
                <w:kern w:val="0"/>
                <w:sz w:val="22"/>
                <w:szCs w:val="22"/>
                <w:highlight w:val="none"/>
              </w:rPr>
              <w:t>【优】组织机构形式合理，有完善的指挥系统，生产及质量、绿色施工、安全、文明施工、创优达标监控系统、联络协调系统，项目管理人员内高级职称人员20%（含20%）以上、中级职称人员</w:t>
            </w:r>
            <w:r>
              <w:rPr>
                <w:rFonts w:hint="eastAsia" w:eastAsia="宋体"/>
                <w:b/>
                <w:bCs/>
                <w:snapToGrid w:val="0"/>
                <w:color w:val="auto"/>
                <w:kern w:val="0"/>
                <w:sz w:val="22"/>
                <w:szCs w:val="22"/>
                <w:highlight w:val="none"/>
              </w:rPr>
              <w:t>及以上职称</w:t>
            </w:r>
            <w:r>
              <w:rPr>
                <w:rFonts w:hint="eastAsia" w:eastAsia="宋体"/>
                <w:snapToGrid w:val="0"/>
                <w:color w:val="auto"/>
                <w:kern w:val="0"/>
                <w:sz w:val="22"/>
                <w:szCs w:val="22"/>
                <w:highlight w:val="none"/>
              </w:rPr>
              <w:t>60%（含60%）以上。</w:t>
            </w:r>
          </w:p>
          <w:p w14:paraId="22B3AF54">
            <w:pPr>
              <w:pStyle w:val="28"/>
              <w:wordWrap w:val="0"/>
              <w:spacing w:line="400" w:lineRule="exact"/>
              <w:rPr>
                <w:rFonts w:eastAsia="宋体"/>
                <w:snapToGrid w:val="0"/>
                <w:color w:val="auto"/>
                <w:kern w:val="0"/>
                <w:sz w:val="22"/>
                <w:szCs w:val="22"/>
                <w:highlight w:val="none"/>
              </w:rPr>
            </w:pPr>
            <w:r>
              <w:rPr>
                <w:rFonts w:hint="eastAsia" w:eastAsia="宋体"/>
                <w:snapToGrid w:val="0"/>
                <w:color w:val="auto"/>
                <w:kern w:val="0"/>
                <w:sz w:val="22"/>
                <w:szCs w:val="22"/>
                <w:highlight w:val="none"/>
              </w:rPr>
              <w:t>【良】组织机构形式合理，指挥系统，生产及质量、绿色施工、安全、文明施工、创优达标监控系统、联络协调系统齐全，项目管理人员内高级职称人员15%～20%（含15%）、中级职称</w:t>
            </w:r>
            <w:r>
              <w:rPr>
                <w:rFonts w:hint="eastAsia" w:eastAsia="宋体"/>
                <w:b/>
                <w:bCs/>
                <w:snapToGrid w:val="0"/>
                <w:color w:val="auto"/>
                <w:kern w:val="0"/>
                <w:sz w:val="22"/>
                <w:szCs w:val="22"/>
                <w:highlight w:val="none"/>
              </w:rPr>
              <w:t>及以上职称</w:t>
            </w:r>
            <w:r>
              <w:rPr>
                <w:rFonts w:hint="eastAsia" w:eastAsia="宋体"/>
                <w:snapToGrid w:val="0"/>
                <w:color w:val="auto"/>
                <w:kern w:val="0"/>
                <w:sz w:val="22"/>
                <w:szCs w:val="22"/>
                <w:highlight w:val="none"/>
              </w:rPr>
              <w:t>人员50%～60%（含50%）。</w:t>
            </w:r>
          </w:p>
          <w:p w14:paraId="71B3578F">
            <w:pPr>
              <w:pStyle w:val="28"/>
              <w:wordWrap w:val="0"/>
              <w:spacing w:line="400" w:lineRule="exact"/>
              <w:rPr>
                <w:rFonts w:eastAsia="宋体"/>
                <w:snapToGrid w:val="0"/>
                <w:color w:val="auto"/>
                <w:kern w:val="0"/>
                <w:sz w:val="22"/>
                <w:szCs w:val="22"/>
                <w:highlight w:val="none"/>
              </w:rPr>
            </w:pPr>
            <w:r>
              <w:rPr>
                <w:rFonts w:hint="eastAsia" w:eastAsia="宋体"/>
                <w:snapToGrid w:val="0"/>
                <w:color w:val="auto"/>
                <w:kern w:val="0"/>
                <w:sz w:val="22"/>
                <w:szCs w:val="22"/>
                <w:highlight w:val="none"/>
              </w:rPr>
              <w:t>【中】组织机构形式基本合理，有指挥系统，生产及质量、绿色施工、安全、文明施工、创优达标监控系统、联络协调系统，项目管理人员内高级职称人员10%～15%（含10%）、中级职称人员</w:t>
            </w:r>
            <w:r>
              <w:rPr>
                <w:rFonts w:hint="eastAsia" w:eastAsia="宋体"/>
                <w:b/>
                <w:bCs/>
                <w:snapToGrid w:val="0"/>
                <w:color w:val="auto"/>
                <w:kern w:val="0"/>
                <w:sz w:val="22"/>
                <w:szCs w:val="22"/>
                <w:highlight w:val="none"/>
              </w:rPr>
              <w:t>及以上职称</w:t>
            </w:r>
            <w:r>
              <w:rPr>
                <w:rFonts w:hint="eastAsia" w:eastAsia="宋体"/>
                <w:snapToGrid w:val="0"/>
                <w:color w:val="auto"/>
                <w:kern w:val="0"/>
                <w:sz w:val="22"/>
                <w:szCs w:val="22"/>
                <w:highlight w:val="none"/>
              </w:rPr>
              <w:t>40%～50%（含40%）。</w:t>
            </w:r>
          </w:p>
          <w:p w14:paraId="36C01698">
            <w:pPr>
              <w:pStyle w:val="28"/>
              <w:wordWrap w:val="0"/>
              <w:spacing w:line="400" w:lineRule="exact"/>
              <w:rPr>
                <w:rFonts w:hint="eastAsia" w:ascii="宋体" w:hAnsi="宋体" w:eastAsia="宋体" w:cs="宋体"/>
                <w:caps w:val="0"/>
                <w:smallCaps w:val="0"/>
                <w:snapToGrid w:val="0"/>
                <w:color w:val="auto"/>
                <w:spacing w:val="0"/>
                <w:kern w:val="0"/>
                <w:sz w:val="22"/>
                <w:szCs w:val="22"/>
                <w:highlight w:val="none"/>
              </w:rPr>
            </w:pPr>
            <w:r>
              <w:rPr>
                <w:rFonts w:hint="eastAsia" w:eastAsia="宋体"/>
                <w:snapToGrid w:val="0"/>
                <w:color w:val="auto"/>
                <w:kern w:val="0"/>
                <w:sz w:val="22"/>
                <w:szCs w:val="22"/>
                <w:highlight w:val="none"/>
              </w:rPr>
              <w:t>【差】组织机构形式合理，指挥系统，生产及质量、绿色施工、安全、文明施工、创优达标监控系统、联络协调系统不齐全，项目管理人员内高级职称人员10%以下、中级职称人员</w:t>
            </w:r>
            <w:r>
              <w:rPr>
                <w:rFonts w:hint="eastAsia" w:eastAsia="宋体"/>
                <w:b/>
                <w:bCs/>
                <w:snapToGrid w:val="0"/>
                <w:color w:val="auto"/>
                <w:kern w:val="0"/>
                <w:sz w:val="22"/>
                <w:szCs w:val="22"/>
                <w:highlight w:val="none"/>
              </w:rPr>
              <w:t>及以上职称</w:t>
            </w:r>
            <w:r>
              <w:rPr>
                <w:rFonts w:hint="eastAsia" w:eastAsia="宋体"/>
                <w:snapToGrid w:val="0"/>
                <w:color w:val="auto"/>
                <w:kern w:val="0"/>
                <w:sz w:val="22"/>
                <w:szCs w:val="22"/>
                <w:highlight w:val="none"/>
              </w:rPr>
              <w:t>40%以下。</w:t>
            </w:r>
          </w:p>
        </w:tc>
      </w:tr>
      <w:tr w14:paraId="196A1D2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08" w:hRule="exact"/>
          <w:jc w:val="center"/>
        </w:trPr>
        <w:tc>
          <w:tcPr>
            <w:tcW w:w="10424" w:type="dxa"/>
            <w:gridSpan w:val="4"/>
            <w:tcBorders>
              <w:top w:val="single" w:color="auto" w:sz="4" w:space="0"/>
              <w:left w:val="single" w:color="auto" w:sz="4" w:space="0"/>
              <w:bottom w:val="single" w:color="auto" w:sz="4" w:space="0"/>
              <w:right w:val="single" w:color="auto" w:sz="4" w:space="0"/>
            </w:tcBorders>
            <w:shd w:val="clear" w:color="auto" w:fill="D9D9D9"/>
            <w:noWrap w:val="0"/>
            <w:vAlign w:val="center"/>
          </w:tcPr>
          <w:p w14:paraId="4EE34843">
            <w:pPr>
              <w:wordWrap w:val="0"/>
              <w:adjustRightInd w:val="0"/>
              <w:snapToGrid w:val="0"/>
              <w:spacing w:line="400" w:lineRule="exact"/>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投标报价部分，满分：100分。</w:t>
            </w:r>
          </w:p>
        </w:tc>
      </w:tr>
      <w:tr w14:paraId="29320AB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74" w:hRule="exact"/>
          <w:jc w:val="center"/>
        </w:trPr>
        <w:tc>
          <w:tcPr>
            <w:tcW w:w="1659" w:type="dxa"/>
            <w:gridSpan w:val="2"/>
            <w:tcBorders>
              <w:top w:val="single" w:color="auto" w:sz="4" w:space="0"/>
              <w:left w:val="single" w:color="auto" w:sz="4" w:space="0"/>
              <w:bottom w:val="single" w:color="auto" w:sz="4" w:space="0"/>
              <w:right w:val="single" w:color="auto" w:sz="4" w:space="0"/>
            </w:tcBorders>
            <w:noWrap w:val="0"/>
            <w:vAlign w:val="center"/>
          </w:tcPr>
          <w:p w14:paraId="7151DCBB">
            <w:pPr>
              <w:wordWrap w:val="0"/>
              <w:adjustRightInd w:val="0"/>
              <w:snapToGrid w:val="0"/>
              <w:spacing w:line="44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评分事项</w:t>
            </w:r>
          </w:p>
        </w:tc>
        <w:tc>
          <w:tcPr>
            <w:tcW w:w="8765" w:type="dxa"/>
            <w:gridSpan w:val="2"/>
            <w:tcBorders>
              <w:top w:val="single" w:color="auto" w:sz="4" w:space="0"/>
              <w:left w:val="single" w:color="auto" w:sz="4" w:space="0"/>
              <w:bottom w:val="single" w:color="auto" w:sz="4" w:space="0"/>
              <w:right w:val="single" w:color="auto" w:sz="4" w:space="0"/>
            </w:tcBorders>
            <w:noWrap w:val="0"/>
            <w:vAlign w:val="center"/>
          </w:tcPr>
          <w:p w14:paraId="05294EC3">
            <w:pPr>
              <w:wordWrap w:val="0"/>
              <w:adjustRightInd w:val="0"/>
              <w:snapToGrid w:val="0"/>
              <w:spacing w:line="44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评分方法</w:t>
            </w:r>
          </w:p>
        </w:tc>
      </w:tr>
      <w:tr w14:paraId="663D5B3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777" w:hRule="atLeast"/>
          <w:jc w:val="center"/>
        </w:trPr>
        <w:tc>
          <w:tcPr>
            <w:tcW w:w="1659" w:type="dxa"/>
            <w:gridSpan w:val="2"/>
            <w:tcBorders>
              <w:top w:val="single" w:color="auto" w:sz="4" w:space="0"/>
              <w:left w:val="single" w:color="auto" w:sz="4" w:space="0"/>
              <w:bottom w:val="single" w:color="auto" w:sz="4" w:space="0"/>
              <w:right w:val="single" w:color="auto" w:sz="4" w:space="0"/>
            </w:tcBorders>
            <w:noWrap w:val="0"/>
            <w:vAlign w:val="center"/>
          </w:tcPr>
          <w:p w14:paraId="07019414">
            <w:pPr>
              <w:jc w:val="center"/>
              <w:rPr>
                <w:rFonts w:hint="eastAsia" w:ascii="宋体" w:hAnsi="宋体" w:eastAsia="宋体" w:cs="宋体"/>
                <w:snapToGrid w:val="0"/>
                <w:color w:val="auto"/>
                <w:kern w:val="0"/>
                <w:sz w:val="22"/>
                <w:szCs w:val="22"/>
                <w:highlight w:val="none"/>
              </w:rPr>
            </w:pPr>
            <w:r>
              <w:rPr>
                <w:rFonts w:hint="eastAsia" w:ascii="宋体" w:hAnsi="宋体" w:eastAsia="宋体" w:cs="宋体"/>
                <w:color w:val="auto"/>
                <w:sz w:val="22"/>
                <w:szCs w:val="22"/>
                <w:highlight w:val="none"/>
              </w:rPr>
              <w:t>评标基准价D</w:t>
            </w:r>
          </w:p>
        </w:tc>
        <w:tc>
          <w:tcPr>
            <w:tcW w:w="8765" w:type="dxa"/>
            <w:gridSpan w:val="2"/>
            <w:tcBorders>
              <w:top w:val="single" w:color="auto" w:sz="4" w:space="0"/>
              <w:left w:val="single" w:color="auto" w:sz="4" w:space="0"/>
              <w:bottom w:val="single" w:color="auto" w:sz="4" w:space="0"/>
              <w:right w:val="single" w:color="auto" w:sz="4" w:space="0"/>
            </w:tcBorders>
            <w:noWrap w:val="0"/>
            <w:vAlign w:val="center"/>
          </w:tcPr>
          <w:p w14:paraId="789BE193">
            <w:pPr>
              <w:numPr>
                <w:ilvl w:val="0"/>
                <w:numId w:val="1"/>
              </w:numPr>
              <w:wordWrap w:val="0"/>
              <w:adjustRightInd w:val="0"/>
              <w:snapToGrid w:val="0"/>
              <w:spacing w:line="400" w:lineRule="exact"/>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snapToGrid w:val="0"/>
                <w:color w:val="auto"/>
                <w:kern w:val="0"/>
                <w:sz w:val="22"/>
                <w:szCs w:val="22"/>
                <w:highlight w:val="none"/>
              </w:rPr>
              <w:t>确定最高投标限价下浮系数n：用1～21号球分别代表一个下浮系数，由评委代表从这21个号码中随机抽取</w:t>
            </w:r>
            <w:r>
              <w:rPr>
                <w:rFonts w:hint="eastAsia" w:ascii="宋体" w:hAnsi="宋体" w:eastAsia="宋体" w:cs="宋体"/>
                <w:snapToGrid w:val="0"/>
                <w:color w:val="auto"/>
                <w:kern w:val="0"/>
                <w:sz w:val="22"/>
                <w:szCs w:val="22"/>
                <w:highlight w:val="none"/>
                <w:u w:val="single"/>
              </w:rPr>
              <w:t xml:space="preserve"> </w:t>
            </w:r>
            <w:r>
              <w:rPr>
                <w:rFonts w:hint="eastAsia" w:hAnsi="宋体" w:cs="宋体"/>
                <w:snapToGrid w:val="0"/>
                <w:color w:val="auto"/>
                <w:kern w:val="0"/>
                <w:sz w:val="22"/>
                <w:szCs w:val="22"/>
                <w:highlight w:val="none"/>
                <w:u w:val="single"/>
                <w:lang w:val="en-US" w:eastAsia="zh-CN"/>
              </w:rPr>
              <w:t>3</w:t>
            </w:r>
            <w:r>
              <w:rPr>
                <w:rFonts w:hint="eastAsia" w:ascii="宋体" w:hAnsi="宋体" w:eastAsia="宋体" w:cs="宋体"/>
                <w:snapToGrid w:val="0"/>
                <w:color w:val="auto"/>
                <w:kern w:val="0"/>
                <w:sz w:val="22"/>
                <w:szCs w:val="22"/>
                <w:highlight w:val="none"/>
                <w:u w:val="single"/>
              </w:rPr>
              <w:t xml:space="preserve"> </w:t>
            </w:r>
            <w:r>
              <w:rPr>
                <w:rFonts w:hint="eastAsia" w:ascii="宋体" w:hAnsi="宋体" w:eastAsia="宋体" w:cs="宋体"/>
                <w:snapToGrid w:val="0"/>
                <w:color w:val="auto"/>
                <w:kern w:val="0"/>
                <w:sz w:val="22"/>
                <w:szCs w:val="22"/>
                <w:highlight w:val="none"/>
              </w:rPr>
              <w:t>次，每次抽取1个号码，抽出的号球不参与下次抽取。所抽取的</w:t>
            </w:r>
            <w:r>
              <w:rPr>
                <w:rFonts w:hint="eastAsia" w:hAnsi="宋体" w:cs="宋体"/>
                <w:snapToGrid w:val="0"/>
                <w:color w:val="auto"/>
                <w:kern w:val="0"/>
                <w:sz w:val="22"/>
                <w:szCs w:val="22"/>
                <w:highlight w:val="none"/>
                <w:lang w:val="en-US" w:eastAsia="zh-CN"/>
              </w:rPr>
              <w:t>3</w:t>
            </w:r>
            <w:r>
              <w:rPr>
                <w:rFonts w:hint="eastAsia" w:ascii="宋体" w:hAnsi="宋体" w:eastAsia="宋体" w:cs="宋体"/>
                <w:snapToGrid w:val="0"/>
                <w:color w:val="auto"/>
                <w:kern w:val="0"/>
                <w:sz w:val="22"/>
                <w:szCs w:val="22"/>
                <w:highlight w:val="none"/>
              </w:rPr>
              <w:t>个号码对应下浮系数的算术平均值作为最高投标限价下浮系数n。具体号码对应的下浮系数详见下表：</w:t>
            </w:r>
          </w:p>
          <w:tbl>
            <w:tblPr>
              <w:tblStyle w:val="14"/>
              <w:tblW w:w="0" w:type="auto"/>
              <w:jc w:val="center"/>
              <w:tblLayout w:type="fixed"/>
              <w:tblCellMar>
                <w:top w:w="0" w:type="dxa"/>
                <w:left w:w="108" w:type="dxa"/>
                <w:bottom w:w="0" w:type="dxa"/>
                <w:right w:w="108" w:type="dxa"/>
              </w:tblCellMar>
            </w:tblPr>
            <w:tblGrid>
              <w:gridCol w:w="1465"/>
              <w:gridCol w:w="794"/>
              <w:gridCol w:w="830"/>
              <w:gridCol w:w="864"/>
              <w:gridCol w:w="848"/>
              <w:gridCol w:w="882"/>
              <w:gridCol w:w="829"/>
              <w:gridCol w:w="819"/>
            </w:tblGrid>
            <w:tr w14:paraId="4BFF4480">
              <w:tblPrEx>
                <w:tblCellMar>
                  <w:top w:w="0" w:type="dxa"/>
                  <w:left w:w="108" w:type="dxa"/>
                  <w:bottom w:w="0" w:type="dxa"/>
                  <w:right w:w="108" w:type="dxa"/>
                </w:tblCellMar>
              </w:tblPrEx>
              <w:trPr>
                <w:trHeight w:val="248" w:hRule="atLeast"/>
                <w:jc w:val="center"/>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09D16B1E">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7D566F67">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1</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4E1BBB25">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2</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5F89D5AE">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3</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2AA7FF55">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4</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6D0A8C41">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5</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0A78A6DC">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6</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7E28F5AC">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7</w:t>
                  </w:r>
                </w:p>
              </w:tc>
            </w:tr>
            <w:tr w14:paraId="305AAC0D">
              <w:tblPrEx>
                <w:tblCellMar>
                  <w:top w:w="0" w:type="dxa"/>
                  <w:left w:w="108" w:type="dxa"/>
                  <w:bottom w:w="0" w:type="dxa"/>
                  <w:right w:w="108" w:type="dxa"/>
                </w:tblCellMar>
              </w:tblPrEx>
              <w:trPr>
                <w:trHeight w:val="475" w:hRule="atLeast"/>
                <w:jc w:val="center"/>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24CC9318">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5A512ABA">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1.0</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350A15C9">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1.1</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6A0F514D">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1.2</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1FC5EF59">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1.3</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29ACDBC1">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1.4</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68178637">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1.5</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3EF62A9B">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1.6</w:t>
                  </w:r>
                </w:p>
              </w:tc>
            </w:tr>
            <w:tr w14:paraId="4C97E2E6">
              <w:tblPrEx>
                <w:tblCellMar>
                  <w:top w:w="0" w:type="dxa"/>
                  <w:left w:w="108" w:type="dxa"/>
                  <w:bottom w:w="0" w:type="dxa"/>
                  <w:right w:w="108" w:type="dxa"/>
                </w:tblCellMar>
              </w:tblPrEx>
              <w:trPr>
                <w:trHeight w:val="515" w:hRule="atLeast"/>
                <w:jc w:val="center"/>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4F8CA7AF">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18636AF9">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8</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70914681">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9</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34923A9D">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10</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57911D2B">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11</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6AF21244">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12</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1CAD09C7">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13</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5C3DD023">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14</w:t>
                  </w:r>
                </w:p>
              </w:tc>
            </w:tr>
            <w:tr w14:paraId="33CDB21A">
              <w:tblPrEx>
                <w:tblCellMar>
                  <w:top w:w="0" w:type="dxa"/>
                  <w:left w:w="108" w:type="dxa"/>
                  <w:bottom w:w="0" w:type="dxa"/>
                  <w:right w:w="108" w:type="dxa"/>
                </w:tblCellMar>
              </w:tblPrEx>
              <w:trPr>
                <w:trHeight w:val="430" w:hRule="atLeast"/>
                <w:jc w:val="center"/>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48D405D7">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223940D3">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1.7</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425B0BDE">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1.8</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02C35451">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1.9</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2D9C0F3D">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2.0</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7F7E6007">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2.1</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6084DD71">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2.2</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505EDAA6">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2.3</w:t>
                  </w:r>
                </w:p>
              </w:tc>
            </w:tr>
            <w:tr w14:paraId="08886A4B">
              <w:tblPrEx>
                <w:tblCellMar>
                  <w:top w:w="0" w:type="dxa"/>
                  <w:left w:w="108" w:type="dxa"/>
                  <w:bottom w:w="0" w:type="dxa"/>
                  <w:right w:w="108" w:type="dxa"/>
                </w:tblCellMar>
              </w:tblPrEx>
              <w:trPr>
                <w:trHeight w:val="470" w:hRule="atLeast"/>
                <w:jc w:val="center"/>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6C938F2B">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5C7DA5D5">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15</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1AADC8E7">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16</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0C46356E">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17</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2FE6FD27">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18</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776A584E">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19</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2CB98248">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20</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62A60AE7">
                  <w:pPr>
                    <w:wordWrap w:val="0"/>
                    <w:adjustRightInd w:val="0"/>
                    <w:snapToGrid w:val="0"/>
                    <w:spacing w:line="400" w:lineRule="exact"/>
                    <w:jc w:val="center"/>
                    <w:rPr>
                      <w:rFonts w:hint="eastAsia" w:ascii="宋体" w:hAnsi="宋体" w:eastAsia="宋体" w:cs="宋体"/>
                      <w:b/>
                      <w:bCs/>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21</w:t>
                  </w:r>
                </w:p>
              </w:tc>
            </w:tr>
            <w:tr w14:paraId="1D1D8002">
              <w:tblPrEx>
                <w:tblCellMar>
                  <w:top w:w="0" w:type="dxa"/>
                  <w:left w:w="108" w:type="dxa"/>
                  <w:bottom w:w="0" w:type="dxa"/>
                  <w:right w:w="108" w:type="dxa"/>
                </w:tblCellMar>
              </w:tblPrEx>
              <w:trPr>
                <w:trHeight w:val="510" w:hRule="atLeast"/>
                <w:jc w:val="center"/>
              </w:trPr>
              <w:tc>
                <w:tcPr>
                  <w:tcW w:w="1465" w:type="dxa"/>
                  <w:tcBorders>
                    <w:top w:val="single" w:color="000000" w:sz="4" w:space="0"/>
                    <w:left w:val="single" w:color="000000" w:sz="4" w:space="0"/>
                    <w:bottom w:val="single" w:color="000000" w:sz="4" w:space="0"/>
                    <w:right w:val="single" w:color="000000" w:sz="4" w:space="0"/>
                  </w:tcBorders>
                  <w:noWrap w:val="0"/>
                  <w:vAlign w:val="center"/>
                </w:tcPr>
                <w:p w14:paraId="18765233">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05995ADB">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2.4</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1D436B7D">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2.5</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3B83B293">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2.6</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7413FF59">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2.7</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33DA7520">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2.8</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19EE272D">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2.9</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064D9440">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3.0</w:t>
                  </w:r>
                </w:p>
              </w:tc>
            </w:tr>
          </w:tbl>
          <w:p w14:paraId="382953F3">
            <w:pPr>
              <w:wordWrap w:val="0"/>
              <w:adjustRightInd w:val="0"/>
              <w:snapToGrid w:val="0"/>
              <w:spacing w:line="400" w:lineRule="exact"/>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（2）评标基准价D＝最高投标限价×（1－n）</w:t>
            </w:r>
          </w:p>
        </w:tc>
      </w:tr>
      <w:tr w14:paraId="5BAB613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386" w:hRule="atLeast"/>
          <w:jc w:val="center"/>
        </w:trPr>
        <w:tc>
          <w:tcPr>
            <w:tcW w:w="1659" w:type="dxa"/>
            <w:gridSpan w:val="2"/>
            <w:tcBorders>
              <w:top w:val="single" w:color="auto" w:sz="4" w:space="0"/>
              <w:left w:val="single" w:color="auto" w:sz="4" w:space="0"/>
              <w:bottom w:val="single" w:color="auto" w:sz="4" w:space="0"/>
              <w:right w:val="single" w:color="auto" w:sz="4" w:space="0"/>
            </w:tcBorders>
            <w:noWrap w:val="0"/>
            <w:vAlign w:val="center"/>
          </w:tcPr>
          <w:p w14:paraId="4D26BCA4">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投标报价</w:t>
            </w:r>
          </w:p>
          <w:p w14:paraId="194373B5">
            <w:pPr>
              <w:jc w:val="center"/>
              <w:rPr>
                <w:rFonts w:hint="eastAsia" w:ascii="宋体" w:hAnsi="宋体" w:eastAsia="宋体" w:cs="宋体"/>
                <w:snapToGrid w:val="0"/>
                <w:color w:val="auto"/>
                <w:kern w:val="0"/>
                <w:sz w:val="22"/>
                <w:szCs w:val="22"/>
                <w:highlight w:val="none"/>
              </w:rPr>
            </w:pPr>
            <w:r>
              <w:rPr>
                <w:rFonts w:hint="eastAsia" w:ascii="宋体" w:hAnsi="宋体" w:eastAsia="宋体" w:cs="宋体"/>
                <w:color w:val="auto"/>
                <w:sz w:val="22"/>
                <w:szCs w:val="22"/>
                <w:highlight w:val="none"/>
              </w:rPr>
              <w:t>得分N</w:t>
            </w:r>
          </w:p>
        </w:tc>
        <w:tc>
          <w:tcPr>
            <w:tcW w:w="8765" w:type="dxa"/>
            <w:gridSpan w:val="2"/>
            <w:tcBorders>
              <w:top w:val="single" w:color="auto" w:sz="4" w:space="0"/>
              <w:left w:val="single" w:color="auto" w:sz="4" w:space="0"/>
              <w:bottom w:val="single" w:color="auto" w:sz="4" w:space="0"/>
              <w:right w:val="single" w:color="auto" w:sz="4" w:space="0"/>
            </w:tcBorders>
            <w:noWrap w:val="0"/>
            <w:vAlign w:val="center"/>
          </w:tcPr>
          <w:p w14:paraId="0B5C54CE">
            <w:pPr>
              <w:wordWrap w:val="0"/>
              <w:adjustRightInd w:val="0"/>
              <w:snapToGrid w:val="0"/>
              <w:spacing w:line="400" w:lineRule="exact"/>
              <w:ind w:firstLine="440" w:firstLineChars="200"/>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采用内插法计算某投标人的投标报价得分N，即当投标人的投标总价等于评标基准价时得100分，每高于评标基准价一个百分点扣1 分，每低于评标基准价一个百分点扣0.5分，扣完为止。公式如下：</w:t>
            </w:r>
          </w:p>
          <w:p w14:paraId="40D8946D">
            <w:pPr>
              <w:wordWrap w:val="0"/>
              <w:adjustRightInd w:val="0"/>
              <w:snapToGrid w:val="0"/>
              <w:spacing w:line="400" w:lineRule="exact"/>
              <w:ind w:firstLine="440" w:firstLineChars="200"/>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N＝100－（| Di－D | ÷D）×100×E</w:t>
            </w:r>
          </w:p>
          <w:p w14:paraId="2F9ECC02">
            <w:pP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式中：D为评标基准价；Di为某投标人的投标总价；E为扣分因子，当Di＞D时，E＝1 ；当Di＜D时，E＝0.5。</w:t>
            </w:r>
          </w:p>
        </w:tc>
      </w:tr>
    </w:tbl>
    <w:p w14:paraId="37B21C64">
      <w:pPr>
        <w:spacing w:before="155" w:line="211" w:lineRule="auto"/>
        <w:ind w:firstLine="470" w:firstLineChars="200"/>
        <w:outlineLvl w:val="9"/>
        <w:rPr>
          <w:rFonts w:hint="eastAsia" w:ascii="宋体" w:hAnsi="宋体" w:eastAsia="宋体" w:cs="宋体"/>
          <w:color w:val="auto"/>
          <w:sz w:val="25"/>
          <w:szCs w:val="25"/>
          <w:highlight w:val="none"/>
        </w:rPr>
      </w:pPr>
      <w:r>
        <w:rPr>
          <w:rFonts w:hint="eastAsia" w:ascii="宋体" w:hAnsi="宋体" w:eastAsia="宋体" w:cs="宋体"/>
          <w:b/>
          <w:bCs/>
          <w:color w:val="auto"/>
          <w:spacing w:val="-3"/>
          <w:sz w:val="24"/>
          <w:szCs w:val="24"/>
          <w:highlight w:val="none"/>
        </w:rPr>
        <w:t xml:space="preserve">15.5.2  </w:t>
      </w:r>
      <w:r>
        <w:rPr>
          <w:rFonts w:hint="eastAsia" w:ascii="宋体" w:hAnsi="宋体" w:eastAsia="宋体" w:cs="宋体"/>
          <w:color w:val="auto"/>
          <w:spacing w:val="-3"/>
          <w:sz w:val="24"/>
          <w:szCs w:val="24"/>
          <w:highlight w:val="none"/>
        </w:rPr>
        <w:t>否决投标说明</w:t>
      </w:r>
      <w:bookmarkEnd w:id="132"/>
      <w:bookmarkEnd w:id="133"/>
      <w:bookmarkEnd w:id="134"/>
      <w:bookmarkEnd w:id="135"/>
    </w:p>
    <w:p w14:paraId="3A277E6B">
      <w:pPr>
        <w:spacing w:before="150" w:line="332" w:lineRule="auto"/>
        <w:ind w:left="10" w:right="195" w:firstLine="564"/>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rPr>
        <w:t>详细评审阶段否决投标的全部条件，在本章第四节“否决投标条件 ”第1条至第4条中集中列示。投标人有其中所列任何一种情形的，由评标委员会否决其投标。评标委员会经评审，认为所有投标都不符合招标文件要求的，可否决所有投标，项目的所有投标被否决的，招标人应依法重新组织招标。</w:t>
      </w:r>
    </w:p>
    <w:p w14:paraId="78A719F9">
      <w:pPr>
        <w:spacing w:before="59" w:line="330" w:lineRule="auto"/>
        <w:ind w:left="10" w:right="195" w:firstLine="48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注：投标人在详细评审阶段根据评分方法提供的佐证材料，其合法性、有效性和准确性不符合要求的，有关量化因素（或评分因素）的折算、调整（或评分）按相应</w:t>
      </w:r>
      <w:r>
        <w:rPr>
          <w:rFonts w:hint="eastAsia" w:ascii="宋体" w:hAnsi="宋体" w:eastAsia="宋体" w:cs="宋体"/>
          <w:b/>
          <w:bCs/>
          <w:color w:val="auto"/>
          <w:spacing w:val="-3"/>
          <w:sz w:val="24"/>
          <w:szCs w:val="24"/>
          <w:highlight w:val="none"/>
        </w:rPr>
        <w:t>量化标准（或评分标准）处理，但不否决投标。</w:t>
      </w:r>
    </w:p>
    <w:p w14:paraId="634CACC5">
      <w:pPr>
        <w:pStyle w:val="3"/>
        <w:keepNext w:val="0"/>
        <w:keepLines w:val="0"/>
        <w:pageBreakBefore w:val="0"/>
        <w:widowControl w:val="0"/>
        <w:kinsoku/>
        <w:wordWrap w:val="0"/>
        <w:overflowPunct/>
        <w:topLinePunct w:val="0"/>
        <w:autoSpaceDE/>
        <w:autoSpaceDN/>
        <w:bidi w:val="0"/>
        <w:adjustRightInd/>
        <w:snapToGrid/>
        <w:spacing w:before="0" w:beforeLines="0" w:after="0" w:afterLines="0" w:line="440" w:lineRule="exact"/>
        <w:ind w:firstLine="480"/>
        <w:jc w:val="both"/>
        <w:textAlignment w:val="auto"/>
        <w:rPr>
          <w:rFonts w:hint="eastAsia" w:ascii="宋体" w:hAnsi="宋体" w:eastAsia="宋体" w:cs="宋体"/>
          <w:b/>
          <w:snapToGrid w:val="0"/>
          <w:color w:val="auto"/>
          <w:sz w:val="24"/>
          <w:szCs w:val="24"/>
          <w:highlight w:val="none"/>
        </w:rPr>
      </w:pPr>
      <w:bookmarkStart w:id="136" w:name="bookmark137"/>
      <w:bookmarkEnd w:id="136"/>
      <w:bookmarkStart w:id="137" w:name="bookmark138"/>
      <w:bookmarkEnd w:id="137"/>
      <w:bookmarkStart w:id="138" w:name="_Toc19232"/>
      <w:bookmarkStart w:id="139" w:name="_Toc2769"/>
      <w:bookmarkStart w:id="140" w:name="_Toc13897"/>
      <w:bookmarkStart w:id="141" w:name="_Toc18711"/>
      <w:bookmarkStart w:id="142" w:name="_Toc7762"/>
      <w:bookmarkStart w:id="143" w:name="_Toc10900"/>
      <w:bookmarkStart w:id="144" w:name="_Toc32569"/>
      <w:r>
        <w:rPr>
          <w:rFonts w:hint="eastAsia" w:ascii="宋体" w:hAnsi="宋体" w:eastAsia="宋体" w:cs="宋体"/>
          <w:b/>
          <w:snapToGrid w:val="0"/>
          <w:color w:val="auto"/>
          <w:sz w:val="24"/>
          <w:szCs w:val="24"/>
          <w:highlight w:val="none"/>
        </w:rPr>
        <w:t>16．</w:t>
      </w:r>
      <w:bookmarkEnd w:id="138"/>
      <w:bookmarkEnd w:id="139"/>
      <w:bookmarkEnd w:id="140"/>
      <w:bookmarkEnd w:id="141"/>
      <w:bookmarkEnd w:id="142"/>
      <w:r>
        <w:rPr>
          <w:rFonts w:hint="eastAsia" w:ascii="宋体" w:hAnsi="宋体" w:eastAsia="宋体" w:cs="宋体"/>
          <w:b/>
          <w:snapToGrid w:val="0"/>
          <w:color w:val="auto"/>
          <w:sz w:val="24"/>
          <w:szCs w:val="24"/>
          <w:highlight w:val="none"/>
          <w:lang w:eastAsia="zh-CN"/>
        </w:rPr>
        <w:t>评标结果公示</w:t>
      </w:r>
      <w:bookmarkEnd w:id="143"/>
      <w:bookmarkEnd w:id="144"/>
    </w:p>
    <w:p w14:paraId="006A16BE">
      <w:pPr>
        <w:keepNext w:val="0"/>
        <w:keepLines w:val="0"/>
        <w:pageBreakBefore w:val="0"/>
        <w:widowControl w:val="0"/>
        <w:kinsoku/>
        <w:wordWrap w:val="0"/>
        <w:overflowPunct/>
        <w:topLinePunct w:val="0"/>
        <w:autoSpaceDE/>
        <w:autoSpaceDN/>
        <w:bidi w:val="0"/>
        <w:adjustRightInd/>
        <w:snapToGrid/>
        <w:spacing w:line="44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16.1</w:t>
      </w:r>
      <w:r>
        <w:rPr>
          <w:rFonts w:hint="eastAsia" w:ascii="宋体" w:hAnsi="宋体" w:eastAsia="宋体" w:cs="宋体"/>
          <w:snapToGrid w:val="0"/>
          <w:color w:val="auto"/>
          <w:kern w:val="0"/>
          <w:sz w:val="24"/>
          <w:szCs w:val="24"/>
          <w:highlight w:val="none"/>
        </w:rPr>
        <w:t xml:space="preserve"> 评标委员会按照</w:t>
      </w:r>
      <w:r>
        <w:rPr>
          <w:rFonts w:hint="eastAsia" w:ascii="宋体" w:hAnsi="宋体" w:eastAsia="宋体" w:cs="宋体"/>
          <w:snapToGrid w:val="0"/>
          <w:color w:val="auto"/>
          <w:kern w:val="0"/>
          <w:sz w:val="24"/>
          <w:szCs w:val="24"/>
          <w:highlight w:val="none"/>
          <w:lang w:eastAsia="zh-CN"/>
        </w:rPr>
        <w:t>投标人</w:t>
      </w:r>
      <w:r>
        <w:rPr>
          <w:rFonts w:hint="eastAsia" w:ascii="宋体" w:hAnsi="宋体" w:eastAsia="宋体" w:cs="宋体"/>
          <w:snapToGrid w:val="0"/>
          <w:color w:val="auto"/>
          <w:kern w:val="0"/>
          <w:sz w:val="24"/>
          <w:szCs w:val="24"/>
          <w:highlight w:val="none"/>
        </w:rPr>
        <w:t>评审综合总得分</w:t>
      </w:r>
      <w:r>
        <w:rPr>
          <w:rFonts w:hint="eastAsia" w:ascii="宋体" w:hAnsi="宋体" w:eastAsia="宋体" w:cs="宋体"/>
          <w:snapToGrid w:val="0"/>
          <w:color w:val="auto"/>
          <w:kern w:val="0"/>
          <w:sz w:val="24"/>
          <w:szCs w:val="24"/>
          <w:highlight w:val="none"/>
          <w:lang w:eastAsia="zh-CN"/>
        </w:rPr>
        <w:t>由</w:t>
      </w:r>
      <w:r>
        <w:rPr>
          <w:rFonts w:hint="eastAsia" w:ascii="宋体" w:hAnsi="宋体" w:eastAsia="宋体" w:cs="宋体"/>
          <w:snapToGrid w:val="0"/>
          <w:color w:val="auto"/>
          <w:kern w:val="0"/>
          <w:sz w:val="24"/>
          <w:szCs w:val="24"/>
          <w:highlight w:val="none"/>
        </w:rPr>
        <w:t>高</w:t>
      </w:r>
      <w:r>
        <w:rPr>
          <w:rFonts w:hint="eastAsia" w:ascii="宋体" w:hAnsi="宋体" w:eastAsia="宋体" w:cs="宋体"/>
          <w:snapToGrid w:val="0"/>
          <w:color w:val="auto"/>
          <w:kern w:val="0"/>
          <w:sz w:val="24"/>
          <w:szCs w:val="24"/>
          <w:highlight w:val="none"/>
          <w:lang w:eastAsia="zh-CN"/>
        </w:rPr>
        <w:t>到</w:t>
      </w:r>
      <w:r>
        <w:rPr>
          <w:rFonts w:hint="eastAsia" w:ascii="宋体" w:hAnsi="宋体" w:eastAsia="宋体" w:cs="宋体"/>
          <w:snapToGrid w:val="0"/>
          <w:color w:val="auto"/>
          <w:kern w:val="0"/>
          <w:sz w:val="24"/>
          <w:szCs w:val="24"/>
          <w:highlight w:val="none"/>
        </w:rPr>
        <w:t>低的</w:t>
      </w:r>
      <w:r>
        <w:rPr>
          <w:rFonts w:hint="eastAsia" w:ascii="宋体" w:hAnsi="宋体" w:eastAsia="宋体" w:cs="宋体"/>
          <w:snapToGrid w:val="0"/>
          <w:color w:val="auto"/>
          <w:kern w:val="0"/>
          <w:sz w:val="24"/>
          <w:szCs w:val="24"/>
          <w:highlight w:val="none"/>
          <w:lang w:eastAsia="zh-CN"/>
        </w:rPr>
        <w:t>原则</w:t>
      </w:r>
      <w:r>
        <w:rPr>
          <w:rFonts w:hint="eastAsia" w:ascii="宋体" w:hAnsi="宋体" w:eastAsia="宋体" w:cs="宋体"/>
          <w:snapToGrid w:val="0"/>
          <w:color w:val="auto"/>
          <w:kern w:val="0"/>
          <w:sz w:val="24"/>
          <w:szCs w:val="24"/>
          <w:highlight w:val="none"/>
        </w:rPr>
        <w:t>,向招标人推荐</w:t>
      </w:r>
      <w:r>
        <w:rPr>
          <w:rFonts w:hint="eastAsia" w:ascii="宋体" w:hAnsi="宋体" w:eastAsia="宋体" w:cs="宋体"/>
          <w:snapToGrid w:val="0"/>
          <w:color w:val="auto"/>
          <w:kern w:val="0"/>
          <w:sz w:val="24"/>
          <w:szCs w:val="24"/>
          <w:highlight w:val="none"/>
          <w:lang w:val="en-US" w:eastAsia="zh-CN"/>
        </w:rPr>
        <w:t>已明确的</w:t>
      </w:r>
      <w:r>
        <w:rPr>
          <w:rFonts w:hint="eastAsia" w:ascii="宋体" w:hAnsi="宋体" w:eastAsia="宋体" w:cs="宋体"/>
          <w:snapToGrid w:val="0"/>
          <w:color w:val="auto"/>
          <w:kern w:val="0"/>
          <w:sz w:val="24"/>
          <w:szCs w:val="24"/>
          <w:highlight w:val="none"/>
        </w:rPr>
        <w:t>定标候选人</w:t>
      </w:r>
      <w:r>
        <w:rPr>
          <w:rFonts w:hint="eastAsia" w:ascii="宋体" w:hAnsi="宋体" w:eastAsia="宋体" w:cs="宋体"/>
          <w:snapToGrid w:val="0"/>
          <w:color w:val="auto"/>
          <w:kern w:val="0"/>
          <w:sz w:val="24"/>
          <w:szCs w:val="24"/>
          <w:highlight w:val="none"/>
          <w:lang w:eastAsia="zh-CN"/>
        </w:rPr>
        <w:t>数量</w:t>
      </w:r>
      <w:r>
        <w:rPr>
          <w:rFonts w:hint="eastAsia" w:ascii="宋体" w:hAnsi="宋体" w:eastAsia="宋体" w:cs="宋体"/>
          <w:snapToGrid w:val="0"/>
          <w:color w:val="auto"/>
          <w:kern w:val="0"/>
          <w:sz w:val="24"/>
          <w:szCs w:val="24"/>
          <w:highlight w:val="none"/>
        </w:rPr>
        <w:t>（不</w:t>
      </w:r>
      <w:r>
        <w:rPr>
          <w:rFonts w:hint="eastAsia" w:ascii="宋体" w:hAnsi="宋体" w:eastAsia="宋体" w:cs="宋体"/>
          <w:snapToGrid w:val="0"/>
          <w:color w:val="auto"/>
          <w:kern w:val="0"/>
          <w:sz w:val="24"/>
          <w:szCs w:val="24"/>
          <w:highlight w:val="none"/>
          <w:lang w:val="en-US" w:eastAsia="zh-CN"/>
        </w:rPr>
        <w:t>标明</w:t>
      </w:r>
      <w:r>
        <w:rPr>
          <w:rFonts w:hint="eastAsia" w:ascii="宋体" w:hAnsi="宋体" w:eastAsia="宋体" w:cs="宋体"/>
          <w:snapToGrid w:val="0"/>
          <w:color w:val="auto"/>
          <w:kern w:val="0"/>
          <w:sz w:val="24"/>
          <w:szCs w:val="24"/>
          <w:highlight w:val="none"/>
        </w:rPr>
        <w:t>排序）</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评标委员会推荐定标候选人后，</w:t>
      </w:r>
      <w:r>
        <w:rPr>
          <w:rFonts w:hint="eastAsia" w:ascii="宋体" w:hAnsi="宋体" w:eastAsia="宋体" w:cs="宋体"/>
          <w:snapToGrid w:val="0"/>
          <w:color w:val="auto"/>
          <w:kern w:val="0"/>
          <w:sz w:val="24"/>
          <w:szCs w:val="24"/>
          <w:highlight w:val="none"/>
        </w:rPr>
        <w:t>招标人应</w:t>
      </w:r>
      <w:r>
        <w:rPr>
          <w:rFonts w:hint="eastAsia" w:ascii="宋体" w:hAnsi="宋体" w:eastAsia="宋体" w:cs="宋体"/>
          <w:snapToGrid w:val="0"/>
          <w:color w:val="auto"/>
          <w:kern w:val="0"/>
          <w:sz w:val="24"/>
          <w:szCs w:val="24"/>
          <w:highlight w:val="none"/>
          <w:lang w:eastAsia="zh-CN"/>
        </w:rPr>
        <w:t>于评标会结束后</w:t>
      </w:r>
      <w:r>
        <w:rPr>
          <w:rFonts w:hint="eastAsia" w:ascii="宋体" w:hAnsi="宋体" w:eastAsia="宋体" w:cs="宋体"/>
          <w:snapToGrid w:val="0"/>
          <w:color w:val="auto"/>
          <w:kern w:val="0"/>
          <w:sz w:val="24"/>
          <w:szCs w:val="24"/>
          <w:highlight w:val="none"/>
          <w:lang w:val="en-US" w:eastAsia="zh-CN"/>
        </w:rPr>
        <w:t>3个工作日内将</w:t>
      </w:r>
      <w:r>
        <w:rPr>
          <w:rFonts w:hint="eastAsia" w:ascii="宋体" w:hAnsi="宋体" w:eastAsia="宋体" w:cs="宋体"/>
          <w:snapToGrid w:val="0"/>
          <w:color w:val="auto"/>
          <w:kern w:val="0"/>
          <w:sz w:val="24"/>
          <w:szCs w:val="24"/>
          <w:highlight w:val="none"/>
          <w:lang w:eastAsia="zh-CN"/>
        </w:rPr>
        <w:t>定</w:t>
      </w:r>
      <w:r>
        <w:rPr>
          <w:rFonts w:hint="eastAsia" w:ascii="宋体" w:hAnsi="宋体" w:eastAsia="宋体" w:cs="宋体"/>
          <w:snapToGrid w:val="0"/>
          <w:color w:val="auto"/>
          <w:kern w:val="0"/>
          <w:sz w:val="24"/>
          <w:szCs w:val="24"/>
          <w:highlight w:val="none"/>
        </w:rPr>
        <w:t>标候选</w:t>
      </w:r>
      <w:r>
        <w:rPr>
          <w:rFonts w:hint="eastAsia" w:ascii="宋体" w:hAnsi="宋体" w:eastAsia="宋体" w:cs="宋体"/>
          <w:snapToGrid w:val="0"/>
          <w:color w:val="auto"/>
          <w:kern w:val="0"/>
          <w:sz w:val="24"/>
          <w:szCs w:val="24"/>
          <w:highlight w:val="none"/>
          <w:lang w:eastAsia="zh-CN"/>
        </w:rPr>
        <w:t>人和评标情况</w:t>
      </w:r>
      <w:r>
        <w:rPr>
          <w:rFonts w:hint="eastAsia" w:ascii="宋体" w:hAnsi="宋体" w:eastAsia="宋体" w:cs="宋体"/>
          <w:snapToGrid w:val="0"/>
          <w:color w:val="auto"/>
          <w:kern w:val="0"/>
          <w:sz w:val="24"/>
          <w:szCs w:val="24"/>
          <w:highlight w:val="none"/>
          <w:lang w:val="en-US" w:eastAsia="zh-CN"/>
        </w:rPr>
        <w:t>在广东省招标投标监管网和</w:t>
      </w:r>
      <w:r>
        <w:rPr>
          <w:rFonts w:hint="eastAsia" w:ascii="宋体" w:hAnsi="宋体" w:eastAsia="宋体" w:cs="宋体"/>
          <w:snapToGrid w:val="0"/>
          <w:color w:val="auto"/>
          <w:kern w:val="0"/>
          <w:sz w:val="24"/>
          <w:szCs w:val="24"/>
          <w:highlight w:val="none"/>
        </w:rPr>
        <w:t>韶关市公共资源交易中心</w:t>
      </w:r>
      <w:r>
        <w:rPr>
          <w:rFonts w:hint="eastAsia" w:ascii="宋体" w:hAnsi="宋体" w:eastAsia="宋体" w:cs="宋体"/>
          <w:snapToGrid w:val="0"/>
          <w:color w:val="auto"/>
          <w:kern w:val="0"/>
          <w:sz w:val="24"/>
          <w:szCs w:val="24"/>
          <w:highlight w:val="none"/>
          <w:lang w:eastAsia="zh-CN"/>
        </w:rPr>
        <w:t>建设工程交易系统</w:t>
      </w:r>
      <w:r>
        <w:rPr>
          <w:rFonts w:hint="eastAsia" w:ascii="宋体" w:hAnsi="宋体" w:eastAsia="宋体" w:cs="宋体"/>
          <w:snapToGrid w:val="0"/>
          <w:color w:val="auto"/>
          <w:kern w:val="0"/>
          <w:sz w:val="24"/>
          <w:szCs w:val="24"/>
          <w:highlight w:val="none"/>
          <w:lang w:val="en-US" w:eastAsia="zh-CN"/>
        </w:rPr>
        <w:t>上</w:t>
      </w:r>
      <w:r>
        <w:rPr>
          <w:rFonts w:hint="eastAsia" w:ascii="宋体" w:hAnsi="宋体" w:eastAsia="宋体" w:cs="宋体"/>
          <w:snapToGrid w:val="0"/>
          <w:color w:val="auto"/>
          <w:kern w:val="0"/>
          <w:sz w:val="24"/>
          <w:szCs w:val="24"/>
          <w:highlight w:val="none"/>
        </w:rPr>
        <w:t>公示</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公示时间不少于3个工作日。</w:t>
      </w:r>
      <w:r>
        <w:rPr>
          <w:rFonts w:hint="eastAsia" w:ascii="宋体" w:hAnsi="宋体" w:eastAsia="宋体" w:cs="宋体"/>
          <w:snapToGrid w:val="0"/>
          <w:color w:val="auto"/>
          <w:kern w:val="0"/>
          <w:sz w:val="24"/>
          <w:szCs w:val="24"/>
          <w:highlight w:val="none"/>
          <w:lang w:eastAsia="zh-CN"/>
        </w:rPr>
        <w:t>公示主要内容包括：（</w:t>
      </w:r>
      <w:r>
        <w:rPr>
          <w:rFonts w:hint="eastAsia" w:ascii="宋体" w:hAnsi="宋体" w:eastAsia="宋体" w:cs="宋体"/>
          <w:snapToGrid w:val="0"/>
          <w:color w:val="auto"/>
          <w:kern w:val="0"/>
          <w:sz w:val="24"/>
          <w:szCs w:val="24"/>
          <w:highlight w:val="none"/>
          <w:lang w:val="en-US" w:eastAsia="zh-CN"/>
        </w:rPr>
        <w:t>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14:paraId="732B4744">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680F7091">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19AD7595">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34EE0DBD">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5871E195">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5A66E3B3">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4DB74A79">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53D9FAD5">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6A0DA332">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290A44F1">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6A3F01D7">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19010C7F">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7EA28852">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639E0B70">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08FBBA4B">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4C561881">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224FD29D">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4A8A702F">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2FD81F0A">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3E41E205">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4ECC2042">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4F56BCA0">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215B7AE4">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60696745">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61EE4225">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1A23A1D2">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7058147D">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5C1476C7">
      <w:pPr>
        <w:spacing w:before="78" w:line="220" w:lineRule="auto"/>
        <w:ind w:left="9"/>
        <w:jc w:val="center"/>
        <w:outlineLvl w:val="1"/>
        <w:rPr>
          <w:rFonts w:hint="eastAsia" w:ascii="宋体" w:hAnsi="宋体" w:eastAsia="宋体" w:cs="宋体"/>
          <w:color w:val="auto"/>
          <w:sz w:val="24"/>
          <w:szCs w:val="24"/>
          <w:highlight w:val="none"/>
        </w:rPr>
      </w:pPr>
      <w:bookmarkStart w:id="145" w:name="_Toc16554"/>
      <w:r>
        <w:rPr>
          <w:rFonts w:hint="eastAsia" w:ascii="宋体" w:hAnsi="宋体" w:eastAsia="宋体" w:cs="宋体"/>
          <w:b/>
          <w:bCs/>
          <w:color w:val="auto"/>
          <w:spacing w:val="-3"/>
          <w:sz w:val="24"/>
          <w:szCs w:val="24"/>
          <w:highlight w:val="none"/>
        </w:rPr>
        <w:t>第四节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否决投标条件</w:t>
      </w:r>
      <w:bookmarkEnd w:id="145"/>
    </w:p>
    <w:p w14:paraId="2637533F">
      <w:pPr>
        <w:pStyle w:val="5"/>
        <w:spacing w:line="256" w:lineRule="auto"/>
        <w:rPr>
          <w:rFonts w:hint="eastAsia" w:ascii="宋体" w:hAnsi="宋体" w:eastAsia="宋体" w:cs="宋体"/>
          <w:color w:val="auto"/>
          <w:highlight w:val="none"/>
        </w:rPr>
      </w:pPr>
    </w:p>
    <w:p w14:paraId="16FA277C">
      <w:pPr>
        <w:spacing w:before="78" w:line="330" w:lineRule="auto"/>
        <w:ind w:left="10" w:right="65" w:firstLine="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本节所集中列示的否决投标条件，是本章第三节“投标人须知正文</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3"/>
          <w:sz w:val="24"/>
          <w:szCs w:val="24"/>
          <w:highlight w:val="none"/>
        </w:rPr>
        <w:t>”的组成部分，</w:t>
      </w:r>
      <w:r>
        <w:rPr>
          <w:rFonts w:hint="eastAsia" w:ascii="宋体" w:hAnsi="宋体" w:eastAsia="宋体" w:cs="宋体"/>
          <w:color w:val="auto"/>
          <w:spacing w:val="-2"/>
          <w:sz w:val="24"/>
          <w:szCs w:val="24"/>
          <w:highlight w:val="none"/>
        </w:rPr>
        <w:t>是对本章第三节所规定的否决投标条件的总</w:t>
      </w:r>
      <w:r>
        <w:rPr>
          <w:rFonts w:hint="eastAsia" w:ascii="宋体" w:hAnsi="宋体" w:eastAsia="宋体" w:cs="宋体"/>
          <w:color w:val="auto"/>
          <w:spacing w:val="-3"/>
          <w:sz w:val="24"/>
          <w:szCs w:val="24"/>
          <w:highlight w:val="none"/>
        </w:rPr>
        <w:t>结和补充。</w:t>
      </w:r>
      <w:r>
        <w:rPr>
          <w:rFonts w:hint="eastAsia" w:ascii="宋体" w:hAnsi="宋体" w:eastAsia="宋体" w:cs="宋体"/>
          <w:b/>
          <w:bCs/>
          <w:color w:val="auto"/>
          <w:spacing w:val="-3"/>
          <w:sz w:val="24"/>
          <w:szCs w:val="24"/>
          <w:highlight w:val="none"/>
        </w:rPr>
        <w:t>投标人未有列入本节情形的，评</w:t>
      </w:r>
      <w:r>
        <w:rPr>
          <w:rFonts w:hint="eastAsia" w:ascii="宋体" w:hAnsi="宋体" w:eastAsia="宋体" w:cs="宋体"/>
          <w:b/>
          <w:bCs/>
          <w:color w:val="auto"/>
          <w:spacing w:val="-2"/>
          <w:sz w:val="24"/>
          <w:szCs w:val="24"/>
          <w:highlight w:val="none"/>
        </w:rPr>
        <w:t>标时一律不得否决其投标。</w:t>
      </w:r>
      <w:r>
        <w:rPr>
          <w:rFonts w:hint="eastAsia" w:ascii="宋体" w:hAnsi="宋体" w:eastAsia="宋体" w:cs="宋体"/>
          <w:color w:val="auto"/>
          <w:spacing w:val="-2"/>
          <w:sz w:val="24"/>
          <w:szCs w:val="24"/>
          <w:highlight w:val="none"/>
        </w:rPr>
        <w:t>本节所称“规定</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”均指招标文件的规</w:t>
      </w:r>
      <w:r>
        <w:rPr>
          <w:rFonts w:hint="eastAsia" w:ascii="宋体" w:hAnsi="宋体" w:eastAsia="宋体" w:cs="宋体"/>
          <w:color w:val="auto"/>
          <w:spacing w:val="-3"/>
          <w:sz w:val="24"/>
          <w:szCs w:val="24"/>
          <w:highlight w:val="none"/>
        </w:rPr>
        <w:t>定。</w:t>
      </w:r>
    </w:p>
    <w:p w14:paraId="3B6FE9A6">
      <w:pPr>
        <w:spacing w:before="34" w:line="220" w:lineRule="auto"/>
        <w:ind w:left="495"/>
        <w:outlineLvl w:val="2"/>
        <w:rPr>
          <w:rFonts w:hint="eastAsia" w:ascii="宋体" w:hAnsi="宋体" w:eastAsia="宋体" w:cs="宋体"/>
          <w:color w:val="auto"/>
          <w:sz w:val="24"/>
          <w:szCs w:val="24"/>
          <w:highlight w:val="none"/>
        </w:rPr>
      </w:pPr>
      <w:bookmarkStart w:id="146" w:name="_Toc15082"/>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8"/>
          <w:sz w:val="24"/>
          <w:szCs w:val="24"/>
          <w:highlight w:val="none"/>
        </w:rPr>
        <w:t>．资格评审环节</w:t>
      </w:r>
      <w:bookmarkEnd w:id="146"/>
    </w:p>
    <w:p w14:paraId="51ABE522">
      <w:pPr>
        <w:spacing w:before="150" w:line="280" w:lineRule="auto"/>
        <w:ind w:right="200" w:firstLine="492"/>
        <w:rPr>
          <w:rFonts w:hint="eastAsia" w:ascii="宋体" w:hAnsi="宋体" w:eastAsia="宋体" w:cs="宋体"/>
          <w:color w:val="auto"/>
          <w:spacing w:val="-3"/>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投标人有下列情形之一的，评标委员会应否决其投标。被否决的投标人，不进入形</w:t>
      </w:r>
      <w:r>
        <w:rPr>
          <w:rFonts w:hint="eastAsia" w:ascii="宋体" w:hAnsi="宋体" w:eastAsia="宋体" w:cs="宋体"/>
          <w:color w:val="auto"/>
          <w:spacing w:val="-3"/>
          <w:sz w:val="24"/>
          <w:szCs w:val="24"/>
          <w:highlight w:val="none"/>
        </w:rPr>
        <w:t>式评审环节。</w:t>
      </w:r>
    </w:p>
    <w:p w14:paraId="5A5D99B5">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（1）有本章第三节第 2.4 条“禁止投标条款 ”规定的任何一种情形；</w:t>
      </w:r>
    </w:p>
    <w:p w14:paraId="128D62E3">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（2）投标人资质不符合规定的；</w:t>
      </w:r>
    </w:p>
    <w:p w14:paraId="19664B7F">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名称与营业执照、资质证书、安全生产许可证上的企业名称相互不一致的；其资质证书、安全生产许可证不是由住房城乡建设主管部门颁发的；营业执照、资质证书、安全生产许可证（含实时网页查询页，可参考网址 https://zlaq.mohurd.gov.cn/fwmh/bjxcjgl/fwmh/pages/construction_safety/qyaqscxkz/qyaqscxkz）被吊销、暂扣或不在有效期内的；</w:t>
      </w:r>
    </w:p>
    <w:p w14:paraId="28A10984">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660246F1">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240" w:firstLineChars="1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（4）拟派项目经理、项目技术负责人、专职安全员的条件不符合规定的；拟派专职安全员数量不符合规定的；项目技术负责人未在投标文件《项目技术负责人简历表》中签字确认。</w:t>
      </w:r>
    </w:p>
    <w:p w14:paraId="67723322">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温馨提示：建造师打印电子证书后，应在个人签名处手写本人签名，未手写签名或与签名图像笔迹不一致的，该电子证书无效。</w:t>
      </w:r>
    </w:p>
    <w:p w14:paraId="4935AD73">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项目经理简历表》中拟派项目经理与《开标一览表》不一致的；拟派的项目经理未在投标文件《项目经理简历表》中签字确认；一级建造师的注册证书不是国家住建部颁发的；二级建造师的电子注册证书不是省级住建厅颁发的；建造师的注册单位与投标人不一致的；项目管理班子组成人员的各类证书、证件、证明不在有效期内的（建造师注册证书不在使用有效期内的）；擅自修改、遗漏《项目经理任职声明》实质性内容的；</w:t>
      </w:r>
    </w:p>
    <w:p w14:paraId="5D58D1E1">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注：投标人已经工商变更，但其员工执业资格注册证书的注册单位名称未完成变更的，不得否决其投标。</w:t>
      </w:r>
    </w:p>
    <w:p w14:paraId="6CDD9500">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鉴于目前继续教育开展的实际情况，建筑和市政工程施工现场专业人员（例如：施工员、质量员、材料员、资料员）的岗位证书或培训证书不审查其证书的有效期。</w:t>
      </w:r>
    </w:p>
    <w:p w14:paraId="4B23118B">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（6）招标文件规定不接受联合体投标，但以联合体投标的；</w:t>
      </w:r>
    </w:p>
    <w:p w14:paraId="1E3DF654">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）投标人为外省建筑企业，但未提供“进粤企业和人员诚信信息登记平台 ”企业和拟派人员信息情况打印页或网页截图的。</w:t>
      </w:r>
    </w:p>
    <w:p w14:paraId="62EEE4F7">
      <w:pPr>
        <w:spacing w:before="154" w:line="221" w:lineRule="auto"/>
        <w:ind w:left="477"/>
        <w:outlineLvl w:val="2"/>
        <w:rPr>
          <w:rFonts w:hint="eastAsia" w:ascii="宋体" w:hAnsi="宋体" w:eastAsia="宋体" w:cs="宋体"/>
          <w:color w:val="auto"/>
          <w:sz w:val="24"/>
          <w:szCs w:val="24"/>
          <w:highlight w:val="none"/>
        </w:rPr>
      </w:pPr>
      <w:bookmarkStart w:id="147" w:name="_Toc5925"/>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．形式评审环节</w:t>
      </w:r>
      <w:bookmarkEnd w:id="147"/>
    </w:p>
    <w:p w14:paraId="053CEC5E">
      <w:pPr>
        <w:keepNext w:val="0"/>
        <w:keepLines w:val="0"/>
        <w:pageBreakBefore w:val="0"/>
        <w:widowControl/>
        <w:kinsoku w:val="0"/>
        <w:wordWrap/>
        <w:overflowPunct/>
        <w:topLinePunct w:val="0"/>
        <w:autoSpaceDE w:val="0"/>
        <w:autoSpaceDN w:val="0"/>
        <w:bidi w:val="0"/>
        <w:adjustRightInd w:val="0"/>
        <w:snapToGrid w:val="0"/>
        <w:spacing w:line="360" w:lineRule="auto"/>
        <w:ind w:right="200" w:firstLine="48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投标人有下列情形之一的，评标委员会应否决其投标。被否决的投标人，不进入响应性评审环节。</w:t>
      </w:r>
    </w:p>
    <w:p w14:paraId="18B6E674">
      <w:pPr>
        <w:keepNext w:val="0"/>
        <w:keepLines w:val="0"/>
        <w:pageBreakBefore w:val="0"/>
        <w:widowControl/>
        <w:kinsoku w:val="0"/>
        <w:wordWrap/>
        <w:overflowPunct/>
        <w:topLinePunct w:val="0"/>
        <w:autoSpaceDE w:val="0"/>
        <w:autoSpaceDN w:val="0"/>
        <w:bidi w:val="0"/>
        <w:adjustRightInd w:val="0"/>
        <w:snapToGrid w:val="0"/>
        <w:spacing w:line="360" w:lineRule="auto"/>
        <w:ind w:left="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（1）各分册没按招标文件规定加盖电子印章；</w:t>
      </w:r>
    </w:p>
    <w:p w14:paraId="74AD0720">
      <w:pPr>
        <w:keepNext w:val="0"/>
        <w:keepLines w:val="0"/>
        <w:pageBreakBefore w:val="0"/>
        <w:widowControl/>
        <w:kinsoku w:val="0"/>
        <w:wordWrap/>
        <w:overflowPunct/>
        <w:topLinePunct w:val="0"/>
        <w:autoSpaceDE w:val="0"/>
        <w:autoSpaceDN w:val="0"/>
        <w:bidi w:val="0"/>
        <w:adjustRightInd w:val="0"/>
        <w:snapToGrid w:val="0"/>
        <w:spacing w:line="360" w:lineRule="auto"/>
        <w:ind w:left="1" w:right="200" w:firstLine="49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（2）本章第三节第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10.2.2</w:t>
      </w:r>
      <w:r>
        <w:rPr>
          <w:rFonts w:hint="eastAsia" w:ascii="宋体" w:hAnsi="宋体" w:eastAsia="宋体" w:cs="宋体"/>
          <w:color w:val="auto"/>
          <w:spacing w:val="-8"/>
          <w:sz w:val="24"/>
          <w:szCs w:val="24"/>
          <w:highlight w:val="none"/>
        </w:rPr>
        <w:t xml:space="preserve"> 目、第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10.3.2</w:t>
      </w:r>
      <w:r>
        <w:rPr>
          <w:rFonts w:hint="eastAsia" w:ascii="宋体" w:hAnsi="宋体" w:eastAsia="宋体" w:cs="宋体"/>
          <w:color w:val="auto"/>
          <w:spacing w:val="-8"/>
          <w:sz w:val="24"/>
          <w:szCs w:val="24"/>
          <w:highlight w:val="none"/>
        </w:rPr>
        <w:t xml:space="preserve"> 目、第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10.4.3</w:t>
      </w:r>
      <w:r>
        <w:rPr>
          <w:rFonts w:hint="eastAsia" w:ascii="宋体" w:hAnsi="宋体" w:eastAsia="宋体" w:cs="宋体"/>
          <w:color w:val="auto"/>
          <w:spacing w:val="-8"/>
          <w:sz w:val="24"/>
          <w:szCs w:val="24"/>
          <w:highlight w:val="none"/>
        </w:rPr>
        <w:t xml:space="preserve"> 目中规定的“所有投标人</w:t>
      </w:r>
      <w:r>
        <w:rPr>
          <w:rFonts w:hint="eastAsia" w:ascii="宋体" w:hAnsi="宋体" w:eastAsia="宋体" w:cs="宋体"/>
          <w:color w:val="auto"/>
          <w:spacing w:val="-1"/>
          <w:sz w:val="24"/>
          <w:szCs w:val="24"/>
          <w:highlight w:val="none"/>
        </w:rPr>
        <w:t>均应提供</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”的组成内容（包括该组成内容的所附资料）中，</w:t>
      </w:r>
      <w:r>
        <w:rPr>
          <w:rFonts w:hint="eastAsia" w:ascii="宋体" w:hAnsi="宋体" w:eastAsia="宋体" w:cs="宋体"/>
          <w:color w:val="auto"/>
          <w:spacing w:val="-2"/>
          <w:sz w:val="24"/>
          <w:szCs w:val="24"/>
          <w:highlight w:val="none"/>
        </w:rPr>
        <w:t>任何一项有缺漏的；</w:t>
      </w:r>
    </w:p>
    <w:p w14:paraId="5933D0A3">
      <w:pPr>
        <w:keepNext w:val="0"/>
        <w:keepLines w:val="0"/>
        <w:pageBreakBefore w:val="0"/>
        <w:widowControl/>
        <w:kinsoku w:val="0"/>
        <w:wordWrap/>
        <w:overflowPunct/>
        <w:topLinePunct w:val="0"/>
        <w:autoSpaceDE w:val="0"/>
        <w:autoSpaceDN w:val="0"/>
        <w:bidi w:val="0"/>
        <w:adjustRightInd w:val="0"/>
        <w:snapToGrid w:val="0"/>
        <w:spacing w:line="360" w:lineRule="auto"/>
        <w:ind w:left="8" w:right="200" w:firstLine="42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（3）关键字迹模糊、无法辨认，且该种过错将导致评标委员会无法判断投标文件是</w:t>
      </w:r>
      <w:r>
        <w:rPr>
          <w:rFonts w:hint="eastAsia" w:ascii="宋体" w:hAnsi="宋体" w:eastAsia="宋体" w:cs="宋体"/>
          <w:color w:val="auto"/>
          <w:spacing w:val="-2"/>
          <w:sz w:val="24"/>
          <w:szCs w:val="24"/>
          <w:highlight w:val="none"/>
        </w:rPr>
        <w:t>否响应招标文件实质性要求的；有涂改、行间插字或删除，但未加盖单位章或由投标人</w:t>
      </w:r>
      <w:r>
        <w:rPr>
          <w:rFonts w:hint="eastAsia" w:ascii="宋体" w:hAnsi="宋体" w:eastAsia="宋体" w:cs="宋体"/>
          <w:color w:val="auto"/>
          <w:spacing w:val="-1"/>
          <w:sz w:val="24"/>
          <w:szCs w:val="24"/>
          <w:highlight w:val="none"/>
        </w:rPr>
        <w:t>的法定代表人或其委托代理人签字确认的；</w:t>
      </w:r>
    </w:p>
    <w:p w14:paraId="54158009">
      <w:pPr>
        <w:keepNext w:val="0"/>
        <w:keepLines w:val="0"/>
        <w:pageBreakBefore w:val="0"/>
        <w:widowControl/>
        <w:kinsoku w:val="0"/>
        <w:wordWrap/>
        <w:overflowPunct/>
        <w:topLinePunct w:val="0"/>
        <w:autoSpaceDE w:val="0"/>
        <w:autoSpaceDN w:val="0"/>
        <w:bidi w:val="0"/>
        <w:adjustRightInd w:val="0"/>
        <w:snapToGrid w:val="0"/>
        <w:spacing w:line="360" w:lineRule="auto"/>
        <w:ind w:left="43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（4）投标文件未按规定签字、盖章的。</w:t>
      </w:r>
    </w:p>
    <w:p w14:paraId="39AD0DAE">
      <w:pPr>
        <w:spacing w:before="227" w:line="221" w:lineRule="auto"/>
        <w:ind w:left="475"/>
        <w:outlineLvl w:val="2"/>
        <w:rPr>
          <w:rFonts w:hint="eastAsia" w:ascii="宋体" w:hAnsi="宋体" w:eastAsia="宋体" w:cs="宋体"/>
          <w:color w:val="auto"/>
          <w:sz w:val="24"/>
          <w:szCs w:val="24"/>
          <w:highlight w:val="none"/>
        </w:rPr>
      </w:pPr>
      <w:bookmarkStart w:id="148" w:name="_Toc19828"/>
      <w:r>
        <w:rPr>
          <w:rFonts w:hint="eastAsia" w:ascii="宋体" w:hAnsi="宋体" w:eastAsia="宋体" w:cs="宋体"/>
          <w:b/>
          <w:bCs/>
          <w:color w:val="auto"/>
          <w:spacing w:val="-6"/>
          <w:sz w:val="24"/>
          <w:szCs w:val="24"/>
          <w:highlight w:val="none"/>
        </w:rPr>
        <w:t>3</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6"/>
          <w:sz w:val="24"/>
          <w:szCs w:val="24"/>
          <w:highlight w:val="none"/>
        </w:rPr>
        <w:t>．响应性评审环节</w:t>
      </w:r>
      <w:bookmarkEnd w:id="148"/>
    </w:p>
    <w:p w14:paraId="4686AB01">
      <w:pPr>
        <w:spacing w:before="151" w:line="327" w:lineRule="auto"/>
        <w:ind w:left="1" w:right="200"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投标人有下列情形之一的，评标委员会应否决其投标。被否决的投标人，不进入详细评审阶段。</w:t>
      </w:r>
    </w:p>
    <w:p w14:paraId="3A367586">
      <w:pPr>
        <w:spacing w:before="31" w:line="279" w:lineRule="auto"/>
        <w:ind w:left="40" w:right="200" w:firstLine="45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（1）承诺的投标有效期短于规定的；质量标准低于规定的；工期超出规定的；擅</w:t>
      </w:r>
      <w:r>
        <w:rPr>
          <w:rFonts w:hint="eastAsia" w:ascii="宋体" w:hAnsi="宋体" w:eastAsia="宋体" w:cs="宋体"/>
          <w:color w:val="auto"/>
          <w:spacing w:val="-2"/>
          <w:sz w:val="24"/>
          <w:szCs w:val="24"/>
          <w:highlight w:val="none"/>
        </w:rPr>
        <w:t>自修改、遗漏《投标函》《各项承诺一览表》实质性内容的；</w:t>
      </w:r>
    </w:p>
    <w:p w14:paraId="7740EF66">
      <w:pPr>
        <w:spacing w:before="157" w:line="278" w:lineRule="auto"/>
        <w:ind w:left="2" w:right="200" w:firstLine="48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（2）编制《投标总价》的造价工程师，其注册证书不是</w:t>
      </w:r>
      <w:r>
        <w:rPr>
          <w:rFonts w:hint="eastAsia" w:ascii="宋体" w:hAnsi="宋体" w:eastAsia="宋体" w:cs="宋体"/>
          <w:b/>
          <w:bCs/>
          <w:color w:val="auto"/>
          <w:spacing w:val="1"/>
          <w:sz w:val="24"/>
          <w:szCs w:val="24"/>
          <w:highlight w:val="none"/>
        </w:rPr>
        <w:t>住建部门</w:t>
      </w:r>
      <w:r>
        <w:rPr>
          <w:rFonts w:hint="eastAsia" w:ascii="宋体" w:hAnsi="宋体" w:eastAsia="宋体" w:cs="宋体"/>
          <w:color w:val="auto"/>
          <w:spacing w:val="1"/>
          <w:sz w:val="24"/>
          <w:szCs w:val="24"/>
          <w:highlight w:val="none"/>
        </w:rPr>
        <w:t>颁发的；其注册</w:t>
      </w:r>
      <w:r>
        <w:rPr>
          <w:rFonts w:hint="eastAsia" w:ascii="宋体" w:hAnsi="宋体" w:eastAsia="宋体" w:cs="宋体"/>
          <w:color w:val="auto"/>
          <w:sz w:val="24"/>
          <w:szCs w:val="24"/>
          <w:highlight w:val="none"/>
        </w:rPr>
        <w:t>单位与投标人（或造价咨询人）不一致的；</w:t>
      </w:r>
      <w:r>
        <w:rPr>
          <w:rFonts w:hint="eastAsia" w:ascii="宋体" w:hAnsi="宋体" w:eastAsia="宋体" w:cs="宋体"/>
          <w:color w:val="auto"/>
          <w:spacing w:val="-1"/>
          <w:sz w:val="24"/>
          <w:szCs w:val="24"/>
          <w:highlight w:val="none"/>
        </w:rPr>
        <w:t>其注册证书不在有效期内的。</w:t>
      </w:r>
    </w:p>
    <w:p w14:paraId="5077F36E">
      <w:pPr>
        <w:spacing w:before="156" w:line="329" w:lineRule="auto"/>
        <w:ind w:right="200" w:firstLine="480"/>
        <w:jc w:val="both"/>
        <w:rPr>
          <w:rFonts w:hint="eastAsia" w:ascii="宋体" w:hAnsi="宋体" w:eastAsia="宋体" w:cs="宋体"/>
          <w:color w:val="auto"/>
          <w:highlight w:val="none"/>
        </w:rPr>
      </w:pPr>
      <w:r>
        <w:rPr>
          <w:rFonts w:hint="eastAsia" w:ascii="宋体" w:hAnsi="宋体" w:eastAsia="宋体" w:cs="宋体"/>
          <w:b/>
          <w:bCs/>
          <w:color w:val="auto"/>
          <w:spacing w:val="-4"/>
          <w:sz w:val="24"/>
          <w:szCs w:val="24"/>
          <w:highlight w:val="none"/>
        </w:rPr>
        <w:t>注：投标人（或造价咨询人）已经工商变更，但其员工的执业资格注</w:t>
      </w:r>
      <w:r>
        <w:rPr>
          <w:rFonts w:hint="eastAsia" w:ascii="宋体" w:hAnsi="宋体" w:eastAsia="宋体" w:cs="宋体"/>
          <w:b/>
          <w:bCs/>
          <w:color w:val="auto"/>
          <w:spacing w:val="-5"/>
          <w:sz w:val="24"/>
          <w:szCs w:val="24"/>
          <w:highlight w:val="none"/>
        </w:rPr>
        <w:t>册证书的注册单位名称未完成变更的，不得否决其投标。此条与 10.3.1 中的造价工程师执业（含二级造价工程师）指引相一致。</w:t>
      </w:r>
    </w:p>
    <w:p w14:paraId="2A683A42">
      <w:pPr>
        <w:spacing w:before="78" w:line="299" w:lineRule="auto"/>
        <w:ind w:left="2" w:right="81" w:firstLine="48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（3）投标人委托造价咨询单位编制《投标总价》，但未在《投标总价扉页》“投标人</w:t>
      </w:r>
      <w:r>
        <w:rPr>
          <w:rFonts w:hint="eastAsia" w:ascii="宋体" w:hAnsi="宋体" w:eastAsia="宋体" w:cs="宋体"/>
          <w:color w:val="auto"/>
          <w:spacing w:val="-86"/>
          <w:sz w:val="24"/>
          <w:szCs w:val="24"/>
          <w:highlight w:val="none"/>
        </w:rPr>
        <w:t xml:space="preserve"> </w:t>
      </w:r>
      <w:r>
        <w:rPr>
          <w:rFonts w:hint="eastAsia" w:ascii="宋体" w:hAnsi="宋体" w:eastAsia="宋体" w:cs="宋体"/>
          <w:color w:val="auto"/>
          <w:spacing w:val="1"/>
          <w:sz w:val="24"/>
          <w:szCs w:val="24"/>
          <w:highlight w:val="none"/>
        </w:rPr>
        <w:t>”栏目加盖造价咨询人公章的；未提</w:t>
      </w:r>
      <w:r>
        <w:rPr>
          <w:rFonts w:hint="eastAsia" w:ascii="宋体" w:hAnsi="宋体" w:eastAsia="宋体" w:cs="宋体"/>
          <w:color w:val="auto"/>
          <w:sz w:val="24"/>
          <w:szCs w:val="24"/>
          <w:highlight w:val="none"/>
        </w:rPr>
        <w:t>供造价咨询人的营业执照副本彩</w:t>
      </w:r>
      <w:r>
        <w:rPr>
          <w:rFonts w:hint="eastAsia" w:ascii="宋体" w:hAnsi="宋体" w:eastAsia="宋体" w:cs="宋体"/>
          <w:color w:val="auto"/>
          <w:spacing w:val="-3"/>
          <w:sz w:val="24"/>
          <w:szCs w:val="24"/>
          <w:highlight w:val="none"/>
        </w:rPr>
        <w:t>色扫描件；</w:t>
      </w:r>
    </w:p>
    <w:p w14:paraId="3D7914BD">
      <w:pPr>
        <w:spacing w:before="151" w:line="360" w:lineRule="auto"/>
        <w:ind w:right="21" w:firstLine="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（4）出现两个或两个以上投标总价的（同一个投标总价大、小写不一致的除外</w:t>
      </w:r>
      <w:r>
        <w:rPr>
          <w:rFonts w:hint="eastAsia" w:ascii="宋体" w:hAnsi="宋体" w:eastAsia="宋体" w:cs="宋体"/>
          <w:color w:val="auto"/>
          <w:spacing w:val="-31"/>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2"/>
          <w:sz w:val="24"/>
          <w:szCs w:val="24"/>
          <w:highlight w:val="none"/>
        </w:rPr>
        <w:t>投标总价超出</w:t>
      </w:r>
      <w:r>
        <w:rPr>
          <w:rFonts w:hint="eastAsia" w:ascii="宋体" w:hAnsi="宋体" w:eastAsia="宋体" w:cs="宋体"/>
          <w:b/>
          <w:bCs/>
          <w:color w:val="auto"/>
          <w:spacing w:val="-2"/>
          <w:sz w:val="24"/>
          <w:szCs w:val="24"/>
          <w:highlight w:val="none"/>
          <w:lang w:eastAsia="zh-CN"/>
        </w:rPr>
        <w:t>最高投标限价</w:t>
      </w:r>
      <w:r>
        <w:rPr>
          <w:rFonts w:hint="eastAsia" w:ascii="宋体" w:hAnsi="宋体" w:eastAsia="宋体" w:cs="宋体"/>
          <w:color w:val="auto"/>
          <w:spacing w:val="-2"/>
          <w:sz w:val="24"/>
          <w:szCs w:val="24"/>
          <w:highlight w:val="none"/>
        </w:rPr>
        <w:t>的；</w:t>
      </w:r>
      <w:r>
        <w:rPr>
          <w:rFonts w:hint="eastAsia" w:ascii="宋体" w:hAnsi="宋体" w:eastAsia="宋体" w:cs="宋体"/>
          <w:b/>
          <w:bCs/>
          <w:color w:val="auto"/>
          <w:spacing w:val="-2"/>
          <w:sz w:val="24"/>
          <w:szCs w:val="24"/>
          <w:highlight w:val="none"/>
          <w:lang w:val="en-US" w:eastAsia="zh-CN"/>
        </w:rPr>
        <w:t>安全生产措施费</w:t>
      </w:r>
      <w:r>
        <w:rPr>
          <w:rFonts w:hint="eastAsia" w:ascii="宋体" w:hAnsi="宋体" w:eastAsia="宋体" w:cs="宋体"/>
          <w:color w:val="auto"/>
          <w:spacing w:val="-2"/>
          <w:sz w:val="24"/>
          <w:szCs w:val="24"/>
          <w:highlight w:val="none"/>
        </w:rPr>
        <w:t>少于规定的；暂列金额、暂估</w:t>
      </w:r>
      <w:r>
        <w:rPr>
          <w:rFonts w:hint="eastAsia" w:ascii="宋体" w:hAnsi="宋体" w:eastAsia="宋体" w:cs="宋体"/>
          <w:color w:val="auto"/>
          <w:spacing w:val="-3"/>
          <w:sz w:val="24"/>
          <w:szCs w:val="24"/>
          <w:highlight w:val="none"/>
        </w:rPr>
        <w:t>价未按照招标工程量清单统一报价的；投标总价下浮率超过</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3"/>
          <w:sz w:val="24"/>
          <w:szCs w:val="24"/>
          <w:highlight w:val="none"/>
        </w:rPr>
        <w:t>15%，又未提供相应书面说</w:t>
      </w:r>
      <w:r>
        <w:rPr>
          <w:rFonts w:hint="eastAsia" w:ascii="宋体" w:hAnsi="宋体" w:eastAsia="宋体" w:cs="宋体"/>
          <w:color w:val="auto"/>
          <w:spacing w:val="-2"/>
          <w:sz w:val="24"/>
          <w:szCs w:val="24"/>
          <w:highlight w:val="none"/>
        </w:rPr>
        <w:t>明和佐证材料或提供的书面说明和佐证材料不能令人信服，被评标委员会认定以低于成</w:t>
      </w:r>
      <w:r>
        <w:rPr>
          <w:rFonts w:hint="eastAsia" w:ascii="宋体" w:hAnsi="宋体" w:eastAsia="宋体" w:cs="宋体"/>
          <w:color w:val="auto"/>
          <w:sz w:val="24"/>
          <w:szCs w:val="24"/>
          <w:highlight w:val="none"/>
        </w:rPr>
        <w:t>本报价竞标的；擅自修改、增减招标工程量清单</w:t>
      </w:r>
      <w:r>
        <w:rPr>
          <w:rFonts w:hint="eastAsia" w:ascii="宋体" w:hAnsi="宋体" w:eastAsia="宋体" w:cs="宋体"/>
          <w:color w:val="auto"/>
          <w:spacing w:val="-1"/>
          <w:sz w:val="24"/>
          <w:szCs w:val="24"/>
          <w:highlight w:val="none"/>
        </w:rPr>
        <w:t>项目（包括措施项目）的；</w:t>
      </w:r>
    </w:p>
    <w:p w14:paraId="7BE05ED8">
      <w:pPr>
        <w:spacing w:before="156" w:line="299" w:lineRule="auto"/>
        <w:ind w:right="81" w:firstLine="49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（5）在施工组织设计评审中，评标委员会认定质量、进度保障措施与国家和省市</w:t>
      </w:r>
      <w:r>
        <w:rPr>
          <w:rFonts w:hint="eastAsia" w:ascii="宋体" w:hAnsi="宋体" w:eastAsia="宋体" w:cs="宋体"/>
          <w:color w:val="auto"/>
          <w:spacing w:val="-3"/>
          <w:sz w:val="24"/>
          <w:szCs w:val="24"/>
          <w:highlight w:val="none"/>
        </w:rPr>
        <w:t>现行有关规范、规定、标准有重大偏差，</w:t>
      </w:r>
      <w:r>
        <w:rPr>
          <w:rFonts w:hint="eastAsia" w:ascii="宋体" w:hAnsi="宋体" w:eastAsia="宋体" w:cs="宋体"/>
          <w:b/>
          <w:bCs/>
          <w:color w:val="auto"/>
          <w:spacing w:val="-3"/>
          <w:sz w:val="24"/>
          <w:szCs w:val="24"/>
          <w:highlight w:val="none"/>
        </w:rPr>
        <w:t>且该种过错将导致工程质量、进度管理目标无</w:t>
      </w:r>
      <w:r>
        <w:rPr>
          <w:rFonts w:hint="eastAsia" w:ascii="宋体" w:hAnsi="宋体" w:eastAsia="宋体" w:cs="宋体"/>
          <w:b/>
          <w:bCs/>
          <w:color w:val="auto"/>
          <w:spacing w:val="-4"/>
          <w:sz w:val="24"/>
          <w:szCs w:val="24"/>
          <w:highlight w:val="none"/>
        </w:rPr>
        <w:t>法实现的</w:t>
      </w:r>
      <w:r>
        <w:rPr>
          <w:rFonts w:hint="eastAsia" w:ascii="宋体" w:hAnsi="宋体" w:eastAsia="宋体" w:cs="宋体"/>
          <w:color w:val="auto"/>
          <w:spacing w:val="-4"/>
          <w:sz w:val="24"/>
          <w:szCs w:val="24"/>
          <w:highlight w:val="none"/>
        </w:rPr>
        <w:t>。</w:t>
      </w:r>
    </w:p>
    <w:p w14:paraId="1F2CAFD7">
      <w:pPr>
        <w:spacing w:before="151" w:line="221" w:lineRule="auto"/>
        <w:ind w:left="476"/>
        <w:outlineLvl w:val="2"/>
        <w:rPr>
          <w:rFonts w:hint="eastAsia" w:ascii="宋体" w:hAnsi="宋体" w:eastAsia="宋体" w:cs="宋体"/>
          <w:color w:val="auto"/>
          <w:sz w:val="24"/>
          <w:szCs w:val="24"/>
          <w:highlight w:val="none"/>
        </w:rPr>
      </w:pPr>
      <w:bookmarkStart w:id="149" w:name="_Toc1458"/>
      <w:r>
        <w:rPr>
          <w:rFonts w:hint="eastAsia" w:ascii="宋体" w:hAnsi="宋体" w:eastAsia="宋体" w:cs="宋体"/>
          <w:b/>
          <w:bCs/>
          <w:color w:val="auto"/>
          <w:spacing w:val="-11"/>
          <w:sz w:val="24"/>
          <w:szCs w:val="24"/>
          <w:highlight w:val="none"/>
        </w:rPr>
        <w:t>4</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11"/>
          <w:sz w:val="24"/>
          <w:szCs w:val="24"/>
          <w:highlight w:val="none"/>
        </w:rPr>
        <w:t>．其他</w:t>
      </w:r>
      <w:bookmarkEnd w:id="149"/>
    </w:p>
    <w:p w14:paraId="4300F4C0">
      <w:pPr>
        <w:spacing w:before="153" w:line="326" w:lineRule="auto"/>
        <w:ind w:firstLine="47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在任何评标环节（或阶段</w:t>
      </w:r>
      <w:r>
        <w:rPr>
          <w:rFonts w:hint="eastAsia" w:ascii="宋体" w:hAnsi="宋体" w:eastAsia="宋体" w:cs="宋体"/>
          <w:color w:val="auto"/>
          <w:spacing w:val="-36"/>
          <w:sz w:val="24"/>
          <w:szCs w:val="24"/>
          <w:highlight w:val="none"/>
        </w:rPr>
        <w:t>），</w:t>
      </w:r>
      <w:r>
        <w:rPr>
          <w:rFonts w:hint="eastAsia" w:ascii="宋体" w:hAnsi="宋体" w:eastAsia="宋体" w:cs="宋体"/>
          <w:color w:val="auto"/>
          <w:spacing w:val="-4"/>
          <w:sz w:val="24"/>
          <w:szCs w:val="24"/>
          <w:highlight w:val="none"/>
        </w:rPr>
        <w:t>投标人有下列情形之一的，评标委员会应否</w:t>
      </w:r>
      <w:r>
        <w:rPr>
          <w:rFonts w:hint="eastAsia" w:ascii="宋体" w:hAnsi="宋体" w:eastAsia="宋体" w:cs="宋体"/>
          <w:color w:val="auto"/>
          <w:spacing w:val="-5"/>
          <w:sz w:val="24"/>
          <w:szCs w:val="24"/>
          <w:highlight w:val="none"/>
        </w:rPr>
        <w:t>决其投标。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被否决的投标人，不进入下一环节（或阶段）。</w:t>
      </w:r>
    </w:p>
    <w:p w14:paraId="780DC4D6">
      <w:pPr>
        <w:spacing w:before="33" w:line="219"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（1）不按评标委员会要求澄清、说明或补正的；</w:t>
      </w:r>
    </w:p>
    <w:p w14:paraId="1BD88C6E">
      <w:pPr>
        <w:spacing w:before="154" w:line="219"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（2）有下列情形之一，被评标委员会认定属于串通投标的：</w:t>
      </w:r>
    </w:p>
    <w:p w14:paraId="1240E213">
      <w:pPr>
        <w:keepNext w:val="0"/>
        <w:keepLines w:val="0"/>
        <w:pageBreakBefore w:val="0"/>
        <w:widowControl/>
        <w:kinsoku w:val="0"/>
        <w:wordWrap/>
        <w:overflowPunct/>
        <w:topLinePunct w:val="0"/>
        <w:autoSpaceDE w:val="0"/>
        <w:autoSpaceDN w:val="0"/>
        <w:bidi w:val="0"/>
        <w:adjustRightInd w:val="0"/>
        <w:snapToGrid w:val="0"/>
        <w:spacing w:before="157" w:line="218" w:lineRule="auto"/>
        <w:ind w:left="47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①不同投标人的投标文件两处以上（含两处）错、漏一致；</w:t>
      </w:r>
    </w:p>
    <w:p w14:paraId="00F333AB">
      <w:pPr>
        <w:keepNext w:val="0"/>
        <w:keepLines w:val="0"/>
        <w:pageBreakBefore w:val="0"/>
        <w:widowControl/>
        <w:kinsoku w:val="0"/>
        <w:wordWrap/>
        <w:overflowPunct/>
        <w:topLinePunct w:val="0"/>
        <w:autoSpaceDE w:val="0"/>
        <w:autoSpaceDN w:val="0"/>
        <w:bidi w:val="0"/>
        <w:adjustRightInd w:val="0"/>
        <w:snapToGrid w:val="0"/>
        <w:spacing w:before="156" w:line="278" w:lineRule="auto"/>
        <w:ind w:right="21" w:firstLine="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②不同投标人的投标总价相近且各分项报价、综合单价分析表内容混乱不能相互对</w:t>
      </w:r>
      <w:r>
        <w:rPr>
          <w:rFonts w:hint="eastAsia" w:ascii="宋体" w:hAnsi="宋体" w:eastAsia="宋体" w:cs="宋体"/>
          <w:color w:val="auto"/>
          <w:spacing w:val="-6"/>
          <w:sz w:val="24"/>
          <w:szCs w:val="24"/>
          <w:highlight w:val="none"/>
        </w:rPr>
        <w:t>应、乱调乱压或乱抬的，而在询标时没有合理的解释或者不能提供计算依据和</w:t>
      </w:r>
      <w:r>
        <w:rPr>
          <w:rFonts w:hint="eastAsia" w:ascii="宋体" w:hAnsi="宋体" w:eastAsia="宋体" w:cs="宋体"/>
          <w:color w:val="auto"/>
          <w:spacing w:val="-7"/>
          <w:sz w:val="24"/>
          <w:szCs w:val="24"/>
          <w:highlight w:val="none"/>
        </w:rPr>
        <w:t>报价依据；</w:t>
      </w:r>
    </w:p>
    <w:p w14:paraId="3F875C43">
      <w:pPr>
        <w:keepNext w:val="0"/>
        <w:keepLines w:val="0"/>
        <w:pageBreakBefore w:val="0"/>
        <w:widowControl/>
        <w:kinsoku w:val="0"/>
        <w:wordWrap/>
        <w:overflowPunct/>
        <w:topLinePunct w:val="0"/>
        <w:autoSpaceDE w:val="0"/>
        <w:autoSpaceDN w:val="0"/>
        <w:bidi w:val="0"/>
        <w:adjustRightInd w:val="0"/>
        <w:snapToGrid w:val="0"/>
        <w:spacing w:before="157" w:line="218" w:lineRule="auto"/>
        <w:ind w:left="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③不同投标人的投标各项报价存在异常一致</w:t>
      </w:r>
      <w:r>
        <w:rPr>
          <w:rFonts w:hint="eastAsia" w:ascii="宋体" w:hAnsi="宋体" w:eastAsia="宋体" w:cs="宋体"/>
          <w:color w:val="auto"/>
          <w:spacing w:val="-1"/>
          <w:sz w:val="24"/>
          <w:szCs w:val="24"/>
          <w:highlight w:val="none"/>
        </w:rPr>
        <w:t>或者呈规律性变化；</w:t>
      </w:r>
    </w:p>
    <w:p w14:paraId="46E9D77B">
      <w:pPr>
        <w:keepNext w:val="0"/>
        <w:keepLines w:val="0"/>
        <w:pageBreakBefore w:val="0"/>
        <w:widowControl/>
        <w:kinsoku w:val="0"/>
        <w:wordWrap/>
        <w:overflowPunct/>
        <w:topLinePunct w:val="0"/>
        <w:autoSpaceDE w:val="0"/>
        <w:autoSpaceDN w:val="0"/>
        <w:bidi w:val="0"/>
        <w:adjustRightInd w:val="0"/>
        <w:snapToGrid w:val="0"/>
        <w:spacing w:before="156" w:line="218" w:lineRule="auto"/>
        <w:ind w:left="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④不同投标人的投标文件由同一单位或者同一个人编制；</w:t>
      </w:r>
    </w:p>
    <w:p w14:paraId="09D8E95C">
      <w:pPr>
        <w:keepNext w:val="0"/>
        <w:keepLines w:val="0"/>
        <w:pageBreakBefore w:val="0"/>
        <w:widowControl/>
        <w:kinsoku w:val="0"/>
        <w:wordWrap/>
        <w:overflowPunct/>
        <w:topLinePunct w:val="0"/>
        <w:autoSpaceDE w:val="0"/>
        <w:autoSpaceDN w:val="0"/>
        <w:bidi w:val="0"/>
        <w:adjustRightInd w:val="0"/>
        <w:snapToGrid w:val="0"/>
        <w:spacing w:before="157" w:line="280" w:lineRule="auto"/>
        <w:ind w:left="1" w:right="81" w:firstLine="47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⑤不同投标人的投标文件中投标资料（包括电子资料）相互混装或项目班子成员出</w:t>
      </w:r>
      <w:r>
        <w:rPr>
          <w:rFonts w:hint="eastAsia" w:ascii="宋体" w:hAnsi="宋体" w:eastAsia="宋体" w:cs="宋体"/>
          <w:color w:val="auto"/>
          <w:spacing w:val="-3"/>
          <w:sz w:val="24"/>
          <w:szCs w:val="24"/>
          <w:highlight w:val="none"/>
        </w:rPr>
        <w:t>现同一人；</w:t>
      </w:r>
    </w:p>
    <w:p w14:paraId="510230E6">
      <w:pPr>
        <w:keepNext w:val="0"/>
        <w:keepLines w:val="0"/>
        <w:pageBreakBefore w:val="0"/>
        <w:widowControl/>
        <w:kinsoku w:val="0"/>
        <w:wordWrap/>
        <w:overflowPunct/>
        <w:topLinePunct w:val="0"/>
        <w:autoSpaceDE w:val="0"/>
        <w:autoSpaceDN w:val="0"/>
        <w:bidi w:val="0"/>
        <w:adjustRightInd w:val="0"/>
        <w:snapToGrid w:val="0"/>
        <w:spacing w:before="152" w:line="279" w:lineRule="auto"/>
        <w:ind w:left="3" w:right="81" w:firstLine="47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⑥不同投标人的投标文件由同一电脑编制或同一台附属设备打印，或投标报价用同</w:t>
      </w:r>
      <w:r>
        <w:rPr>
          <w:rFonts w:hint="eastAsia" w:ascii="宋体" w:hAnsi="宋体" w:eastAsia="宋体" w:cs="宋体"/>
          <w:color w:val="auto"/>
          <w:spacing w:val="-1"/>
          <w:sz w:val="24"/>
          <w:szCs w:val="24"/>
          <w:highlight w:val="none"/>
        </w:rPr>
        <w:t>一个预算编制软件密码锁制作或出自同一电子文档；</w:t>
      </w:r>
    </w:p>
    <w:p w14:paraId="5A36E25E">
      <w:pPr>
        <w:keepNext w:val="0"/>
        <w:keepLines w:val="0"/>
        <w:pageBreakBefore w:val="0"/>
        <w:widowControl/>
        <w:kinsoku w:val="0"/>
        <w:wordWrap/>
        <w:overflowPunct/>
        <w:topLinePunct w:val="0"/>
        <w:autoSpaceDE w:val="0"/>
        <w:autoSpaceDN w:val="0"/>
        <w:bidi w:val="0"/>
        <w:adjustRightInd w:val="0"/>
        <w:snapToGrid w:val="0"/>
        <w:spacing w:before="155" w:line="218" w:lineRule="auto"/>
        <w:ind w:left="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⑦不同投标人的投标保证由同一企业或同一账户资金缴纳；</w:t>
      </w:r>
    </w:p>
    <w:p w14:paraId="5239CFAB">
      <w:pPr>
        <w:keepNext w:val="0"/>
        <w:keepLines w:val="0"/>
        <w:pageBreakBefore w:val="0"/>
        <w:widowControl/>
        <w:kinsoku w:val="0"/>
        <w:wordWrap/>
        <w:overflowPunct/>
        <w:topLinePunct w:val="0"/>
        <w:autoSpaceDE w:val="0"/>
        <w:autoSpaceDN w:val="0"/>
        <w:bidi w:val="0"/>
        <w:adjustRightInd w:val="0"/>
        <w:snapToGrid w:val="0"/>
        <w:spacing w:before="157" w:line="299" w:lineRule="auto"/>
        <w:ind w:right="81" w:firstLine="47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⑧不同投标人委托同一个人或注册在同一家企业的注册人员或同一家企业为其投</w:t>
      </w:r>
      <w:r>
        <w:rPr>
          <w:rFonts w:hint="eastAsia" w:ascii="宋体" w:hAnsi="宋体" w:eastAsia="宋体" w:cs="宋体"/>
          <w:color w:val="auto"/>
          <w:spacing w:val="-2"/>
          <w:sz w:val="24"/>
          <w:szCs w:val="24"/>
          <w:highlight w:val="none"/>
        </w:rPr>
        <w:t>标提供投标咨询、商务报价、技术咨询（招标项目本身要求采用专有技术的除外）等服</w:t>
      </w:r>
      <w:r>
        <w:rPr>
          <w:rFonts w:hint="eastAsia" w:ascii="宋体" w:hAnsi="宋体" w:eastAsia="宋体" w:cs="宋体"/>
          <w:color w:val="auto"/>
          <w:spacing w:val="-6"/>
          <w:sz w:val="24"/>
          <w:szCs w:val="24"/>
          <w:highlight w:val="none"/>
        </w:rPr>
        <w:t>务。</w:t>
      </w:r>
    </w:p>
    <w:p w14:paraId="49CBF401">
      <w:pPr>
        <w:keepNext w:val="0"/>
        <w:keepLines w:val="0"/>
        <w:pageBreakBefore w:val="0"/>
        <w:widowControl/>
        <w:kinsoku w:val="0"/>
        <w:wordWrap/>
        <w:overflowPunct/>
        <w:topLinePunct w:val="0"/>
        <w:autoSpaceDE w:val="0"/>
        <w:autoSpaceDN w:val="0"/>
        <w:bidi w:val="0"/>
        <w:adjustRightInd w:val="0"/>
        <w:snapToGrid w:val="0"/>
        <w:spacing w:line="299" w:lineRule="auto"/>
        <w:textAlignment w:val="baseline"/>
        <w:rPr>
          <w:rFonts w:hint="eastAsia" w:ascii="宋体" w:hAnsi="宋体" w:eastAsia="宋体" w:cs="宋体"/>
          <w:color w:val="auto"/>
          <w:sz w:val="24"/>
          <w:szCs w:val="24"/>
          <w:highlight w:val="none"/>
        </w:rPr>
        <w:sectPr>
          <w:headerReference r:id="rId8" w:type="default"/>
          <w:footerReference r:id="rId9" w:type="default"/>
          <w:pgSz w:w="11906" w:h="16839"/>
          <w:pgMar w:top="1440" w:right="946" w:bottom="1440" w:left="1080" w:header="0" w:footer="1023" w:gutter="0"/>
          <w:pgBorders>
            <w:top w:val="none" w:sz="0" w:space="0"/>
            <w:left w:val="none" w:sz="0" w:space="0"/>
            <w:bottom w:val="none" w:sz="0" w:space="0"/>
            <w:right w:val="none" w:sz="0" w:space="0"/>
          </w:pgBorders>
          <w:cols w:space="720" w:num="1"/>
        </w:sectPr>
      </w:pPr>
    </w:p>
    <w:p w14:paraId="592EEFA9">
      <w:pPr>
        <w:spacing w:before="78" w:line="220" w:lineRule="auto"/>
        <w:ind w:left="9"/>
        <w:jc w:val="center"/>
        <w:outlineLvl w:val="1"/>
        <w:rPr>
          <w:rFonts w:hint="eastAsia" w:ascii="宋体" w:hAnsi="宋体" w:eastAsia="宋体" w:cs="宋体"/>
          <w:color w:val="auto"/>
          <w:sz w:val="24"/>
          <w:szCs w:val="24"/>
          <w:highlight w:val="none"/>
        </w:rPr>
      </w:pPr>
      <w:bookmarkStart w:id="150" w:name="bookmark57"/>
      <w:bookmarkEnd w:id="150"/>
      <w:bookmarkStart w:id="151" w:name="_Toc22243"/>
      <w:r>
        <w:rPr>
          <w:rFonts w:hint="eastAsia" w:ascii="宋体" w:hAnsi="宋体" w:eastAsia="宋体" w:cs="宋体"/>
          <w:b/>
          <w:bCs/>
          <w:color w:val="auto"/>
          <w:spacing w:val="-3"/>
          <w:sz w:val="24"/>
          <w:szCs w:val="24"/>
          <w:highlight w:val="none"/>
        </w:rPr>
        <w:t>第</w:t>
      </w:r>
      <w:r>
        <w:rPr>
          <w:rFonts w:hint="eastAsia" w:ascii="宋体" w:hAnsi="宋体" w:eastAsia="宋体" w:cs="宋体"/>
          <w:b/>
          <w:bCs/>
          <w:color w:val="auto"/>
          <w:spacing w:val="-3"/>
          <w:sz w:val="24"/>
          <w:szCs w:val="24"/>
          <w:highlight w:val="none"/>
          <w:lang w:val="en-US" w:eastAsia="zh-CN"/>
        </w:rPr>
        <w:t>五</w:t>
      </w:r>
      <w:r>
        <w:rPr>
          <w:rFonts w:hint="eastAsia" w:ascii="宋体" w:hAnsi="宋体" w:eastAsia="宋体" w:cs="宋体"/>
          <w:b/>
          <w:bCs/>
          <w:color w:val="auto"/>
          <w:spacing w:val="-3"/>
          <w:sz w:val="24"/>
          <w:szCs w:val="24"/>
          <w:highlight w:val="none"/>
        </w:rPr>
        <w:t>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定标规定及细则（本项目采用票决数量法定标）</w:t>
      </w:r>
      <w:bookmarkEnd w:id="151"/>
    </w:p>
    <w:p w14:paraId="68BF1814">
      <w:pPr>
        <w:pStyle w:val="5"/>
        <w:spacing w:line="256" w:lineRule="auto"/>
        <w:rPr>
          <w:rFonts w:hint="eastAsia" w:ascii="宋体" w:hAnsi="宋体" w:eastAsia="宋体" w:cs="宋体"/>
          <w:color w:val="auto"/>
          <w:highlight w:val="none"/>
        </w:rPr>
      </w:pPr>
    </w:p>
    <w:p w14:paraId="10B417A3">
      <w:pPr>
        <w:keepNext w:val="0"/>
        <w:keepLines w:val="0"/>
        <w:pageBreakBefore w:val="0"/>
        <w:wordWrap/>
        <w:overflowPunct/>
        <w:topLinePunct w:val="0"/>
        <w:bidi w:val="0"/>
        <w:spacing w:line="360" w:lineRule="auto"/>
        <w:ind w:firstLine="482" w:firstLineChars="200"/>
        <w:rPr>
          <w:rStyle w:val="20"/>
          <w:rFonts w:hint="eastAsia" w:ascii="宋体" w:hAnsi="宋体" w:eastAsia="宋体" w:cs="宋体"/>
          <w:b/>
          <w:bCs/>
          <w:color w:val="auto"/>
          <w:kern w:val="0"/>
          <w:sz w:val="24"/>
          <w:szCs w:val="24"/>
          <w:highlight w:val="none"/>
        </w:rPr>
      </w:pPr>
      <w:r>
        <w:rPr>
          <w:rStyle w:val="20"/>
          <w:rFonts w:hint="eastAsia" w:hAnsi="宋体" w:eastAsia="宋体" w:cs="宋体"/>
          <w:b/>
          <w:bCs/>
          <w:color w:val="auto"/>
          <w:kern w:val="0"/>
          <w:sz w:val="24"/>
          <w:szCs w:val="24"/>
          <w:highlight w:val="none"/>
          <w:lang w:val="en-US" w:eastAsia="zh-CN"/>
        </w:rPr>
        <w:t>1.</w:t>
      </w:r>
      <w:r>
        <w:rPr>
          <w:rStyle w:val="20"/>
          <w:rFonts w:hint="eastAsia" w:ascii="宋体" w:hAnsi="宋体" w:eastAsia="宋体" w:cs="宋体"/>
          <w:b/>
          <w:bCs/>
          <w:color w:val="auto"/>
          <w:kern w:val="0"/>
          <w:sz w:val="24"/>
          <w:szCs w:val="24"/>
          <w:highlight w:val="none"/>
          <w:lang w:eastAsia="zh-CN"/>
        </w:rPr>
        <w:t>确定</w:t>
      </w:r>
      <w:r>
        <w:rPr>
          <w:rStyle w:val="20"/>
          <w:rFonts w:hint="eastAsia" w:ascii="宋体" w:hAnsi="宋体" w:eastAsia="宋体" w:cs="宋体"/>
          <w:b/>
          <w:bCs/>
          <w:color w:val="auto"/>
          <w:kern w:val="0"/>
          <w:sz w:val="24"/>
          <w:szCs w:val="24"/>
          <w:highlight w:val="none"/>
        </w:rPr>
        <w:t>定标时间</w:t>
      </w:r>
    </w:p>
    <w:p w14:paraId="766A39D9">
      <w:pPr>
        <w:keepNext w:val="0"/>
        <w:keepLines w:val="0"/>
        <w:pageBreakBefore w:val="0"/>
        <w:wordWrap/>
        <w:overflowPunct/>
        <w:topLinePunct w:val="0"/>
        <w:bidi w:val="0"/>
        <w:spacing w:line="360" w:lineRule="auto"/>
        <w:ind w:firstLine="480" w:firstLineChars="200"/>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招标人</w:t>
      </w:r>
      <w:r>
        <w:rPr>
          <w:rStyle w:val="20"/>
          <w:rFonts w:hint="eastAsia" w:ascii="宋体" w:hAnsi="宋体" w:eastAsia="宋体" w:cs="宋体"/>
          <w:color w:val="auto"/>
          <w:kern w:val="0"/>
          <w:sz w:val="24"/>
          <w:szCs w:val="24"/>
          <w:highlight w:val="none"/>
          <w:lang w:eastAsia="zh-CN"/>
        </w:rPr>
        <w:t>应</w:t>
      </w:r>
      <w:r>
        <w:rPr>
          <w:rStyle w:val="20"/>
          <w:rFonts w:hint="eastAsia" w:ascii="宋体" w:hAnsi="宋体" w:eastAsia="宋体" w:cs="宋体"/>
          <w:color w:val="auto"/>
          <w:kern w:val="0"/>
          <w:sz w:val="24"/>
          <w:szCs w:val="24"/>
          <w:highlight w:val="none"/>
        </w:rPr>
        <w:t>自</w:t>
      </w:r>
      <w:r>
        <w:rPr>
          <w:rStyle w:val="20"/>
          <w:rFonts w:hint="eastAsia" w:ascii="宋体" w:hAnsi="宋体" w:eastAsia="宋体" w:cs="宋体"/>
          <w:color w:val="auto"/>
          <w:kern w:val="0"/>
          <w:sz w:val="24"/>
          <w:szCs w:val="24"/>
          <w:highlight w:val="none"/>
          <w:lang w:val="en-US" w:eastAsia="zh-CN"/>
        </w:rPr>
        <w:t>定标候选人</w:t>
      </w:r>
      <w:r>
        <w:rPr>
          <w:rStyle w:val="20"/>
          <w:rFonts w:hint="eastAsia" w:ascii="宋体" w:hAnsi="宋体" w:eastAsia="宋体" w:cs="宋体"/>
          <w:color w:val="auto"/>
          <w:kern w:val="0"/>
          <w:sz w:val="24"/>
          <w:szCs w:val="24"/>
          <w:highlight w:val="none"/>
        </w:rPr>
        <w:t>公示期满后</w:t>
      </w:r>
      <w:r>
        <w:rPr>
          <w:rStyle w:val="20"/>
          <w:rFonts w:hint="eastAsia" w:ascii="宋体" w:hAnsi="宋体" w:eastAsia="宋体" w:cs="宋体"/>
          <w:color w:val="auto"/>
          <w:kern w:val="0"/>
          <w:sz w:val="24"/>
          <w:szCs w:val="24"/>
          <w:highlight w:val="none"/>
          <w:lang w:val="en-US" w:eastAsia="zh-CN"/>
        </w:rPr>
        <w:t>5</w:t>
      </w:r>
      <w:r>
        <w:rPr>
          <w:rStyle w:val="20"/>
          <w:rFonts w:hint="eastAsia" w:ascii="宋体" w:hAnsi="宋体" w:eastAsia="宋体" w:cs="宋体"/>
          <w:color w:val="auto"/>
          <w:kern w:val="0"/>
          <w:sz w:val="24"/>
          <w:szCs w:val="24"/>
          <w:highlight w:val="none"/>
        </w:rPr>
        <w:t>个工作日内进入公共资源交易平台（与评标阶段公共资源交易平台相同）进行定标。定标会议全过程录音录像。招标人需要延期定标的，</w:t>
      </w:r>
      <w:r>
        <w:rPr>
          <w:rStyle w:val="20"/>
          <w:rFonts w:hint="eastAsia" w:ascii="宋体" w:hAnsi="宋体" w:eastAsia="宋体" w:cs="宋体"/>
          <w:color w:val="auto"/>
          <w:kern w:val="0"/>
          <w:sz w:val="24"/>
          <w:szCs w:val="24"/>
          <w:highlight w:val="none"/>
          <w:lang w:eastAsia="zh-CN"/>
        </w:rPr>
        <w:t>应</w:t>
      </w:r>
      <w:r>
        <w:rPr>
          <w:rStyle w:val="20"/>
          <w:rFonts w:hint="eastAsia" w:ascii="宋体" w:hAnsi="宋体" w:eastAsia="宋体" w:cs="宋体"/>
          <w:color w:val="auto"/>
          <w:kern w:val="0"/>
          <w:sz w:val="24"/>
          <w:szCs w:val="24"/>
          <w:highlight w:val="none"/>
        </w:rPr>
        <w:t>通过公共资源交易平台公布延期原因和定标时间。</w:t>
      </w:r>
    </w:p>
    <w:p w14:paraId="5FB42728">
      <w:pPr>
        <w:keepNext w:val="0"/>
        <w:keepLines w:val="0"/>
        <w:pageBreakBefore w:val="0"/>
        <w:wordWrap/>
        <w:overflowPunct/>
        <w:topLinePunct w:val="0"/>
        <w:bidi w:val="0"/>
        <w:spacing w:line="360" w:lineRule="auto"/>
        <w:ind w:firstLine="482" w:firstLineChars="200"/>
        <w:rPr>
          <w:rStyle w:val="20"/>
          <w:rFonts w:hint="eastAsia" w:ascii="宋体" w:hAnsi="宋体" w:eastAsia="宋体" w:cs="宋体"/>
          <w:b/>
          <w:bCs/>
          <w:color w:val="auto"/>
          <w:kern w:val="0"/>
          <w:sz w:val="24"/>
          <w:szCs w:val="24"/>
          <w:highlight w:val="none"/>
          <w:lang w:eastAsia="zh-CN"/>
        </w:rPr>
      </w:pPr>
      <w:r>
        <w:rPr>
          <w:rStyle w:val="20"/>
          <w:rFonts w:hint="eastAsia" w:hAnsi="宋体" w:eastAsia="宋体" w:cs="宋体"/>
          <w:b/>
          <w:bCs/>
          <w:color w:val="auto"/>
          <w:kern w:val="0"/>
          <w:sz w:val="24"/>
          <w:szCs w:val="24"/>
          <w:highlight w:val="none"/>
          <w:lang w:val="en-US" w:eastAsia="zh-CN"/>
        </w:rPr>
        <w:t>2</w:t>
      </w:r>
      <w:r>
        <w:rPr>
          <w:rStyle w:val="20"/>
          <w:rFonts w:hint="eastAsia" w:ascii="宋体" w:hAnsi="宋体" w:eastAsia="宋体" w:cs="宋体"/>
          <w:b/>
          <w:bCs/>
          <w:color w:val="auto"/>
          <w:kern w:val="0"/>
          <w:sz w:val="24"/>
          <w:szCs w:val="24"/>
          <w:highlight w:val="none"/>
        </w:rPr>
        <w:t>.</w:t>
      </w:r>
      <w:r>
        <w:rPr>
          <w:rStyle w:val="20"/>
          <w:rFonts w:hint="eastAsia" w:ascii="宋体" w:hAnsi="宋体" w:eastAsia="宋体" w:cs="宋体"/>
          <w:b/>
          <w:bCs/>
          <w:color w:val="auto"/>
          <w:kern w:val="0"/>
          <w:sz w:val="24"/>
          <w:szCs w:val="24"/>
          <w:highlight w:val="none"/>
          <w:lang w:eastAsia="zh-CN"/>
        </w:rPr>
        <w:t>定标委员会</w:t>
      </w:r>
    </w:p>
    <w:p w14:paraId="239D68EE">
      <w:pPr>
        <w:keepNext w:val="0"/>
        <w:keepLines w:val="0"/>
        <w:pageBreakBefore w:val="0"/>
        <w:wordWrap/>
        <w:overflowPunct/>
        <w:topLinePunct w:val="0"/>
        <w:bidi w:val="0"/>
        <w:spacing w:line="360" w:lineRule="auto"/>
        <w:ind w:firstLine="480" w:firstLineChars="200"/>
        <w:rPr>
          <w:rStyle w:val="20"/>
          <w:rFonts w:hint="eastAsia" w:ascii="宋体" w:hAnsi="宋体" w:eastAsia="宋体" w:cs="宋体"/>
          <w:color w:val="auto"/>
          <w:kern w:val="0"/>
          <w:sz w:val="24"/>
          <w:szCs w:val="24"/>
          <w:highlight w:val="none"/>
          <w:lang w:val="en-US" w:eastAsia="zh-CN"/>
        </w:rPr>
      </w:pPr>
      <w:r>
        <w:rPr>
          <w:rStyle w:val="20"/>
          <w:rFonts w:hint="eastAsia" w:hAnsi="宋体" w:eastAsia="宋体" w:cs="宋体"/>
          <w:color w:val="auto"/>
          <w:kern w:val="0"/>
          <w:sz w:val="24"/>
          <w:szCs w:val="24"/>
          <w:highlight w:val="none"/>
          <w:lang w:val="en-US" w:eastAsia="zh-CN"/>
        </w:rPr>
        <w:t>2.1</w:t>
      </w:r>
      <w:r>
        <w:rPr>
          <w:rStyle w:val="20"/>
          <w:rFonts w:hint="eastAsia" w:ascii="宋体" w:hAnsi="宋体" w:eastAsia="宋体" w:cs="宋体"/>
          <w:color w:val="auto"/>
          <w:kern w:val="0"/>
          <w:sz w:val="24"/>
          <w:szCs w:val="24"/>
          <w:highlight w:val="none"/>
          <w:lang w:val="en-US" w:eastAsia="zh-CN"/>
        </w:rPr>
        <w:t>招标人负责组建定标委员会，由项目业主的法定代表人或者主要负责人担任定标委员会组长。定标委员会的组成方式和人员由招标人按相关规定自行确定。招标项目对技术、商务等有特别要求的可从广东省综合评标评审专家库（韶关区域）抽取专家(外部人员）补足，成员数量为7人及以上单数，成员数量应在招标文件中明确。专家人数原则上不超过2人。定标委员会成员数量在本投标人须知前附表中约定。</w:t>
      </w:r>
    </w:p>
    <w:p w14:paraId="0166038F">
      <w:pPr>
        <w:keepNext w:val="0"/>
        <w:keepLines w:val="0"/>
        <w:pageBreakBefore w:val="0"/>
        <w:wordWrap/>
        <w:overflowPunct/>
        <w:topLinePunct w:val="0"/>
        <w:bidi w:val="0"/>
        <w:spacing w:line="360" w:lineRule="auto"/>
        <w:ind w:firstLine="480" w:firstLineChars="200"/>
        <w:rPr>
          <w:rFonts w:hint="eastAsia"/>
          <w:color w:val="auto"/>
          <w:sz w:val="24"/>
          <w:szCs w:val="24"/>
          <w:highlight w:val="none"/>
          <w:lang w:val="en-US" w:eastAsia="zh-CN"/>
        </w:rPr>
      </w:pPr>
      <w:r>
        <w:rPr>
          <w:rFonts w:hint="eastAsia"/>
          <w:color w:val="auto"/>
          <w:sz w:val="24"/>
          <w:szCs w:val="24"/>
          <w:highlight w:val="none"/>
          <w:lang w:val="en-US" w:eastAsia="zh-CN"/>
        </w:rPr>
        <w:t>2.2定标委员会应当根据招标文件规定的定标方法和细则，对定标候选人进行系统地评审和比较。招标文件中没有规定的定标方法和细则不得作为定标的依据。定标委员会成员应依照招标文件规定的定标方法和细则，独立完成对定标候选人的评审，并对定标结果签字确认。定标委员会应依照招标文件规定的定标方法和细则，对各定标委员会成员的定标结果进行汇总。</w:t>
      </w:r>
    </w:p>
    <w:p w14:paraId="170F3163">
      <w:pPr>
        <w:keepNext w:val="0"/>
        <w:keepLines w:val="0"/>
        <w:pageBreakBefore w:val="0"/>
        <w:wordWrap/>
        <w:overflowPunct/>
        <w:topLinePunct w:val="0"/>
        <w:bidi w:val="0"/>
        <w:spacing w:line="360" w:lineRule="auto"/>
        <w:ind w:firstLine="480" w:firstLineChars="200"/>
        <w:rPr>
          <w:rFonts w:hint="eastAsia"/>
          <w:color w:val="auto"/>
          <w:sz w:val="24"/>
          <w:szCs w:val="24"/>
          <w:highlight w:val="none"/>
          <w:lang w:val="en-US" w:eastAsia="zh-CN"/>
        </w:rPr>
      </w:pPr>
      <w:r>
        <w:rPr>
          <w:rStyle w:val="20"/>
          <w:rFonts w:hint="eastAsia" w:hAnsi="宋体" w:eastAsia="宋体" w:cs="宋体"/>
          <w:color w:val="auto"/>
          <w:kern w:val="0"/>
          <w:sz w:val="24"/>
          <w:szCs w:val="24"/>
          <w:highlight w:val="none"/>
          <w:lang w:val="en-US" w:eastAsia="zh-CN"/>
        </w:rPr>
        <w:t>2</w:t>
      </w:r>
      <w:r>
        <w:rPr>
          <w:rStyle w:val="20"/>
          <w:rFonts w:hint="eastAsia" w:ascii="宋体" w:hAnsi="宋体" w:eastAsia="宋体" w:cs="宋体"/>
          <w:color w:val="auto"/>
          <w:kern w:val="0"/>
          <w:sz w:val="24"/>
          <w:szCs w:val="24"/>
          <w:highlight w:val="none"/>
        </w:rPr>
        <w:t>.</w:t>
      </w:r>
      <w:r>
        <w:rPr>
          <w:rStyle w:val="20"/>
          <w:rFonts w:hint="eastAsia" w:hAnsi="宋体" w:eastAsia="宋体" w:cs="宋体"/>
          <w:color w:val="auto"/>
          <w:kern w:val="0"/>
          <w:sz w:val="24"/>
          <w:szCs w:val="24"/>
          <w:highlight w:val="none"/>
          <w:lang w:val="en-US" w:eastAsia="zh-CN"/>
        </w:rPr>
        <w:t>3</w:t>
      </w:r>
      <w:r>
        <w:rPr>
          <w:rStyle w:val="20"/>
          <w:rFonts w:hint="eastAsia" w:ascii="宋体" w:hAnsi="宋体" w:eastAsia="宋体" w:cs="宋体"/>
          <w:color w:val="auto"/>
          <w:kern w:val="0"/>
          <w:sz w:val="24"/>
          <w:szCs w:val="24"/>
          <w:highlight w:val="none"/>
          <w:lang w:val="en-US" w:eastAsia="zh-CN"/>
        </w:rPr>
        <w:t>定标委员会成员应客观、公正履职，在未公示中标结果前，对定标过程和结果严格保密，对所提出的定标意见承担个人责任。定标委员会成员与定标候选人有利害关系的，应回避。定标委员会成员不得征询招标人确定中标人意向；不得私下与任何定标候选人或者其他利害关系人接触。</w:t>
      </w:r>
    </w:p>
    <w:p w14:paraId="690E8EBF">
      <w:pPr>
        <w:keepNext w:val="0"/>
        <w:keepLines w:val="0"/>
        <w:pageBreakBefore w:val="0"/>
        <w:wordWrap/>
        <w:overflowPunct/>
        <w:topLinePunct w:val="0"/>
        <w:bidi w:val="0"/>
        <w:spacing w:line="360" w:lineRule="auto"/>
        <w:ind w:firstLine="482" w:firstLineChars="200"/>
        <w:rPr>
          <w:rStyle w:val="20"/>
          <w:rFonts w:hint="eastAsia" w:ascii="宋体" w:hAnsi="宋体" w:eastAsia="宋体" w:cs="宋体"/>
          <w:b/>
          <w:bCs/>
          <w:color w:val="auto"/>
          <w:kern w:val="0"/>
          <w:sz w:val="24"/>
          <w:szCs w:val="24"/>
          <w:highlight w:val="none"/>
          <w:lang w:val="en-US" w:eastAsia="zh-CN"/>
        </w:rPr>
      </w:pPr>
      <w:r>
        <w:rPr>
          <w:rStyle w:val="20"/>
          <w:rFonts w:hint="eastAsia" w:hAnsi="宋体" w:eastAsia="宋体" w:cs="宋体"/>
          <w:b/>
          <w:bCs/>
          <w:color w:val="auto"/>
          <w:kern w:val="0"/>
          <w:sz w:val="24"/>
          <w:szCs w:val="24"/>
          <w:highlight w:val="none"/>
          <w:lang w:val="en-US" w:eastAsia="zh-CN"/>
        </w:rPr>
        <w:t>3</w:t>
      </w:r>
      <w:r>
        <w:rPr>
          <w:rStyle w:val="20"/>
          <w:rFonts w:hint="eastAsia" w:ascii="宋体" w:hAnsi="宋体" w:eastAsia="宋体" w:cs="宋体"/>
          <w:b/>
          <w:bCs/>
          <w:color w:val="auto"/>
          <w:kern w:val="0"/>
          <w:sz w:val="24"/>
          <w:szCs w:val="24"/>
          <w:highlight w:val="none"/>
        </w:rPr>
        <w:t>.</w:t>
      </w:r>
      <w:r>
        <w:rPr>
          <w:rStyle w:val="20"/>
          <w:rFonts w:hint="eastAsia" w:ascii="宋体" w:hAnsi="宋体" w:eastAsia="宋体" w:cs="宋体"/>
          <w:b/>
          <w:bCs/>
          <w:color w:val="auto"/>
          <w:kern w:val="0"/>
          <w:sz w:val="24"/>
          <w:szCs w:val="24"/>
          <w:highlight w:val="none"/>
          <w:lang w:val="en-US" w:eastAsia="zh-CN"/>
        </w:rPr>
        <w:t>组建招标监督小组</w:t>
      </w:r>
    </w:p>
    <w:p w14:paraId="451680C4">
      <w:pPr>
        <w:keepNext w:val="0"/>
        <w:keepLines w:val="0"/>
        <w:pageBreakBefore w:val="0"/>
        <w:wordWrap/>
        <w:overflowPunct/>
        <w:topLinePunct w:val="0"/>
        <w:bidi w:val="0"/>
        <w:spacing w:line="360" w:lineRule="auto"/>
        <w:ind w:firstLine="480" w:firstLineChars="200"/>
        <w:rPr>
          <w:rStyle w:val="20"/>
          <w:rFonts w:hint="eastAsia" w:ascii="宋体" w:hAnsi="宋体" w:eastAsia="宋体" w:cs="宋体"/>
          <w:color w:val="auto"/>
          <w:kern w:val="0"/>
          <w:sz w:val="24"/>
          <w:szCs w:val="24"/>
          <w:highlight w:val="none"/>
          <w:lang w:val="en-US" w:eastAsia="zh-CN"/>
        </w:rPr>
      </w:pPr>
      <w:r>
        <w:rPr>
          <w:rStyle w:val="20"/>
          <w:rFonts w:hint="eastAsia" w:ascii="宋体" w:hAnsi="宋体" w:eastAsia="宋体" w:cs="宋体"/>
          <w:color w:val="auto"/>
          <w:kern w:val="0"/>
          <w:sz w:val="24"/>
          <w:szCs w:val="24"/>
          <w:highlight w:val="none"/>
          <w:lang w:val="en-US" w:eastAsia="zh-CN"/>
        </w:rPr>
        <w:t>招标人应组建招标监督小组，对招标投标活动全过程进行监督，及时指出、制止违反程序及纪律的行为，但不得就评标、定标涉及的实质内容发表意见或者参与定标委员会的讨论。相关人员存在违反程序及纪律的行为被指出后仍拒绝纠正的、发现招标投标活动存在其他违反相关规定行为的，招标监督小组应如实记录并及时报告招标人单位主要负责人、行政监督部门。</w:t>
      </w:r>
    </w:p>
    <w:p w14:paraId="7D9B31AD">
      <w:pPr>
        <w:keepNext w:val="0"/>
        <w:keepLines w:val="0"/>
        <w:pageBreakBefore w:val="0"/>
        <w:wordWrap/>
        <w:overflowPunct/>
        <w:topLinePunct w:val="0"/>
        <w:bidi w:val="0"/>
        <w:spacing w:line="360" w:lineRule="auto"/>
        <w:ind w:firstLine="482" w:firstLineChars="200"/>
        <w:jc w:val="left"/>
        <w:rPr>
          <w:rStyle w:val="20"/>
          <w:rFonts w:hint="eastAsia" w:ascii="宋体" w:hAnsi="宋体" w:eastAsia="宋体" w:cs="宋体"/>
          <w:b/>
          <w:bCs/>
          <w:color w:val="auto"/>
          <w:kern w:val="0"/>
          <w:sz w:val="24"/>
          <w:szCs w:val="24"/>
          <w:highlight w:val="none"/>
          <w:lang w:eastAsia="zh-CN"/>
        </w:rPr>
      </w:pPr>
      <w:r>
        <w:rPr>
          <w:rStyle w:val="20"/>
          <w:rFonts w:hint="eastAsia" w:hAnsi="宋体" w:eastAsia="宋体" w:cs="宋体"/>
          <w:b/>
          <w:bCs/>
          <w:color w:val="auto"/>
          <w:kern w:val="0"/>
          <w:sz w:val="24"/>
          <w:szCs w:val="24"/>
          <w:highlight w:val="none"/>
          <w:lang w:val="en-US" w:eastAsia="zh-CN"/>
        </w:rPr>
        <w:t>4</w:t>
      </w:r>
      <w:r>
        <w:rPr>
          <w:rStyle w:val="20"/>
          <w:rFonts w:hint="eastAsia" w:ascii="宋体" w:hAnsi="宋体" w:eastAsia="宋体" w:cs="宋体"/>
          <w:b/>
          <w:bCs/>
          <w:color w:val="auto"/>
          <w:kern w:val="0"/>
          <w:sz w:val="24"/>
          <w:szCs w:val="24"/>
          <w:highlight w:val="none"/>
        </w:rPr>
        <w:t>.</w:t>
      </w:r>
      <w:r>
        <w:rPr>
          <w:rStyle w:val="20"/>
          <w:rFonts w:hint="eastAsia" w:ascii="宋体" w:hAnsi="宋体" w:eastAsia="宋体" w:cs="宋体"/>
          <w:b/>
          <w:bCs/>
          <w:color w:val="auto"/>
          <w:kern w:val="0"/>
          <w:sz w:val="24"/>
          <w:szCs w:val="24"/>
          <w:highlight w:val="none"/>
          <w:lang w:eastAsia="zh-CN"/>
        </w:rPr>
        <w:t>定标办法</w:t>
      </w:r>
    </w:p>
    <w:p w14:paraId="65B6341F">
      <w:pPr>
        <w:keepNext w:val="0"/>
        <w:keepLines w:val="0"/>
        <w:pageBreakBefore w:val="0"/>
        <w:wordWrap/>
        <w:overflowPunct/>
        <w:topLinePunct w:val="0"/>
        <w:bidi w:val="0"/>
        <w:spacing w:line="360" w:lineRule="auto"/>
        <w:ind w:firstLine="240" w:firstLineChars="100"/>
        <w:rPr>
          <w:rStyle w:val="20"/>
          <w:rFonts w:hint="eastAsia" w:ascii="宋体" w:hAnsi="宋体" w:eastAsia="宋体" w:cs="宋体"/>
          <w:color w:val="auto"/>
          <w:kern w:val="0"/>
          <w:sz w:val="24"/>
          <w:szCs w:val="24"/>
          <w:highlight w:val="none"/>
          <w:lang w:val="en-US" w:eastAsia="zh-CN"/>
        </w:rPr>
      </w:pPr>
      <w:r>
        <w:rPr>
          <w:rStyle w:val="20"/>
          <w:rFonts w:hint="eastAsia" w:ascii="宋体" w:hAnsi="宋体" w:eastAsia="宋体" w:cs="宋体"/>
          <w:color w:val="auto"/>
          <w:kern w:val="0"/>
          <w:sz w:val="24"/>
          <w:szCs w:val="24"/>
          <w:highlight w:val="none"/>
          <w:lang w:val="en-US" w:eastAsia="zh-CN"/>
        </w:rPr>
        <w:t>定标办法由招标人按本投标人须知前附表的规定确定（只能选定其中一种定标办法）。</w:t>
      </w:r>
    </w:p>
    <w:p w14:paraId="2E09F1EC">
      <w:pPr>
        <w:keepNext w:val="0"/>
        <w:keepLines w:val="0"/>
        <w:pageBreakBefore w:val="0"/>
        <w:wordWrap/>
        <w:overflowPunct/>
        <w:topLinePunct w:val="0"/>
        <w:bidi w:val="0"/>
        <w:spacing w:line="360" w:lineRule="auto"/>
        <w:ind w:firstLine="480" w:firstLineChars="200"/>
        <w:rPr>
          <w:rFonts w:hint="eastAsia"/>
          <w:color w:val="auto"/>
          <w:sz w:val="24"/>
          <w:szCs w:val="24"/>
          <w:highlight w:val="none"/>
        </w:rPr>
      </w:pPr>
      <w:bookmarkStart w:id="152" w:name="OLE_LINK3"/>
      <w:r>
        <w:rPr>
          <w:rFonts w:hint="eastAsia"/>
          <w:b/>
          <w:bCs/>
          <w:color w:val="auto"/>
          <w:sz w:val="24"/>
          <w:szCs w:val="24"/>
          <w:highlight w:val="none"/>
          <w:lang w:val="en-US" w:eastAsia="zh-CN"/>
        </w:rPr>
        <w:t>本项目</w:t>
      </w:r>
      <w:bookmarkEnd w:id="152"/>
      <w:r>
        <w:rPr>
          <w:rFonts w:hint="eastAsia"/>
          <w:b/>
          <w:bCs/>
          <w:color w:val="auto"/>
          <w:sz w:val="24"/>
          <w:szCs w:val="24"/>
          <w:highlight w:val="none"/>
          <w:lang w:val="en-US" w:eastAsia="zh-CN"/>
        </w:rPr>
        <w:t>采用票决数量法定标。</w:t>
      </w:r>
    </w:p>
    <w:p w14:paraId="7DC142B9">
      <w:pPr>
        <w:keepNext w:val="0"/>
        <w:keepLines w:val="0"/>
        <w:pageBreakBefore w:val="0"/>
        <w:wordWrap/>
        <w:overflowPunct/>
        <w:topLinePunct w:val="0"/>
        <w:bidi w:val="0"/>
        <w:spacing w:line="360" w:lineRule="auto"/>
        <w:ind w:firstLine="482" w:firstLineChars="200"/>
        <w:rPr>
          <w:rStyle w:val="20"/>
          <w:rFonts w:hint="eastAsia" w:hAnsi="宋体" w:eastAsia="宋体" w:cs="宋体"/>
          <w:b/>
          <w:bCs/>
          <w:color w:val="auto"/>
          <w:kern w:val="0"/>
          <w:sz w:val="24"/>
          <w:szCs w:val="24"/>
          <w:highlight w:val="none"/>
          <w:lang w:val="en-US" w:eastAsia="zh-CN"/>
        </w:rPr>
      </w:pPr>
      <w:r>
        <w:rPr>
          <w:rStyle w:val="20"/>
          <w:rFonts w:hint="eastAsia" w:hAnsi="宋体" w:eastAsia="宋体" w:cs="宋体"/>
          <w:b/>
          <w:bCs/>
          <w:color w:val="auto"/>
          <w:kern w:val="0"/>
          <w:sz w:val="24"/>
          <w:szCs w:val="24"/>
          <w:highlight w:val="none"/>
          <w:lang w:val="en-US" w:eastAsia="zh-CN"/>
        </w:rPr>
        <w:t>5.定标细则</w:t>
      </w:r>
    </w:p>
    <w:p w14:paraId="21B82FE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eastAsia="zh-CN"/>
        </w:rPr>
      </w:pPr>
      <w:r>
        <w:rPr>
          <w:rFonts w:hint="eastAsia" w:ascii="宋体" w:hAnsi="宋体" w:eastAsia="宋体" w:cs="宋体"/>
          <w:b/>
          <w:bCs/>
          <w:color w:val="auto"/>
          <w:spacing w:val="0"/>
          <w:position w:val="0"/>
          <w:sz w:val="24"/>
          <w:szCs w:val="24"/>
          <w:highlight w:val="none"/>
          <w:u w:val="none" w:color="auto"/>
          <w:lang w:val="en-US" w:eastAsia="zh-CN"/>
        </w:rPr>
        <w:t>5.1票决数量法程序</w:t>
      </w:r>
    </w:p>
    <w:p w14:paraId="322D43F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i w:val="0"/>
          <w:snapToGrid/>
          <w:color w:val="auto"/>
          <w:sz w:val="24"/>
          <w:szCs w:val="24"/>
          <w:highlight w:val="none"/>
          <w:u w:val="none"/>
          <w:shd w:val="clear" w:color="auto" w:fill="FFFFFF"/>
          <w:lang w:eastAsia="zh-CN"/>
        </w:rPr>
        <w:t>定标委员会根据定标因素对定标候选人进行评审比较后，每名定标委员会成员</w:t>
      </w:r>
      <w:r>
        <w:rPr>
          <w:rFonts w:hint="eastAsia" w:ascii="宋体" w:hAnsi="宋体" w:eastAsia="宋体" w:cs="宋体"/>
          <w:color w:val="auto"/>
          <w:sz w:val="24"/>
          <w:szCs w:val="24"/>
          <w:highlight w:val="none"/>
          <w:u w:val="none"/>
          <w:lang w:val="en-US" w:eastAsia="zh-CN"/>
        </w:rPr>
        <w:t>有且仅有投出1票的权利，1票只能投1名定标候选人，</w:t>
      </w:r>
      <w:r>
        <w:rPr>
          <w:rFonts w:hint="eastAsia" w:ascii="宋体" w:hAnsi="宋体" w:eastAsia="宋体" w:cs="宋体"/>
          <w:b w:val="0"/>
          <w:i w:val="0"/>
          <w:snapToGrid/>
          <w:color w:val="auto"/>
          <w:sz w:val="24"/>
          <w:szCs w:val="24"/>
          <w:highlight w:val="none"/>
          <w:u w:val="none"/>
          <w:shd w:val="clear" w:color="auto" w:fill="FFFFFF"/>
          <w:lang w:eastAsia="zh-CN"/>
        </w:rPr>
        <w:t>进行票决排名确定排序的中标候选人。即各定标委员会成员对定标候选人进行投票，按得票高低推荐排序的前三名中标候选人。</w:t>
      </w:r>
      <w:r>
        <w:rPr>
          <w:rFonts w:hint="eastAsia" w:ascii="宋体" w:hAnsi="宋体" w:eastAsia="宋体" w:cs="宋体"/>
          <w:color w:val="auto"/>
          <w:sz w:val="24"/>
          <w:szCs w:val="24"/>
          <w:highlight w:val="none"/>
          <w:u w:val="none"/>
          <w:lang w:val="en-US" w:eastAsia="zh-CN"/>
        </w:rPr>
        <w:t>若第一轮投票中前三名中标候选人有</w:t>
      </w:r>
      <w:r>
        <w:rPr>
          <w:rFonts w:hint="eastAsia" w:ascii="宋体" w:hAnsi="宋体" w:eastAsia="宋体" w:cs="宋体"/>
          <w:color w:val="auto"/>
          <w:sz w:val="24"/>
          <w:szCs w:val="24"/>
          <w:highlight w:val="none"/>
          <w:u w:val="none"/>
          <w:shd w:val="clear" w:color="auto" w:fill="FFFFFF"/>
          <w:lang w:val="en-US" w:eastAsia="zh-CN"/>
        </w:rPr>
        <w:t>得票相同且影响中标候选人排序确定的，由定标委员会对总票数相同的单位进行再次票决确定排序,</w:t>
      </w:r>
      <w:r>
        <w:rPr>
          <w:rFonts w:hint="eastAsia" w:ascii="宋体" w:hAnsi="宋体" w:eastAsia="宋体" w:cs="宋体"/>
          <w:color w:val="auto"/>
          <w:sz w:val="24"/>
          <w:szCs w:val="24"/>
          <w:highlight w:val="none"/>
          <w:u w:val="none"/>
          <w:lang w:val="en-US" w:eastAsia="zh-CN"/>
        </w:rPr>
        <w:t>直至决出排序的前三名中标候选人。若定标候选人中没有符合评审要求的三名中标候选人，则宣告本次招标失败。</w:t>
      </w:r>
      <w:r>
        <w:rPr>
          <w:rFonts w:hint="eastAsia" w:ascii="宋体" w:hAnsi="宋体" w:eastAsia="宋体" w:cs="宋体"/>
          <w:b w:val="0"/>
          <w:i w:val="0"/>
          <w:snapToGrid/>
          <w:color w:val="auto"/>
          <w:sz w:val="24"/>
          <w:szCs w:val="24"/>
          <w:highlight w:val="none"/>
          <w:u w:val="none"/>
          <w:shd w:val="clear" w:color="auto" w:fill="FFFFFF"/>
          <w:lang w:eastAsia="zh-CN"/>
        </w:rPr>
        <w:t>票决采用记名方式并注明投票理由。</w:t>
      </w:r>
    </w:p>
    <w:p w14:paraId="40D9E50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5.1.1.</w:t>
      </w:r>
      <w:r>
        <w:rPr>
          <w:rFonts w:hint="eastAsia" w:ascii="宋体" w:hAnsi="宋体" w:eastAsia="宋体" w:cs="宋体"/>
          <w:b/>
          <w:bCs/>
          <w:color w:val="auto"/>
          <w:sz w:val="24"/>
          <w:szCs w:val="24"/>
          <w:highlight w:val="none"/>
          <w:u w:val="none"/>
          <w:shd w:val="clear" w:color="auto" w:fill="FFFFFF"/>
        </w:rPr>
        <w:t>项目情况介绍</w:t>
      </w:r>
    </w:p>
    <w:p w14:paraId="31594E7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招标人代表介绍项目的概况及招标要求，以及定标方法与定标工作规则，不得发表具有倾向性的言论。</w:t>
      </w:r>
    </w:p>
    <w:p w14:paraId="2B63202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5.1.2.</w:t>
      </w:r>
      <w:r>
        <w:rPr>
          <w:rFonts w:hint="eastAsia" w:ascii="宋体" w:hAnsi="宋体" w:eastAsia="宋体" w:cs="宋体"/>
          <w:b/>
          <w:bCs/>
          <w:color w:val="auto"/>
          <w:sz w:val="24"/>
          <w:szCs w:val="24"/>
          <w:highlight w:val="none"/>
          <w:u w:val="none"/>
          <w:shd w:val="clear" w:color="auto" w:fill="FFFFFF"/>
        </w:rPr>
        <w:t>审阅定标资料</w:t>
      </w:r>
    </w:p>
    <w:p w14:paraId="65146BA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定标委员会成员对各定标候选人的投标文件进行审阅，审阅内容主要是定标工作规则所规定的定标因素，</w:t>
      </w:r>
      <w:r>
        <w:rPr>
          <w:rFonts w:hint="eastAsia" w:ascii="宋体" w:hAnsi="宋体" w:eastAsia="宋体" w:cs="宋体"/>
          <w:b w:val="0"/>
          <w:bCs w:val="0"/>
          <w:color w:val="auto"/>
          <w:spacing w:val="0"/>
          <w:position w:val="0"/>
          <w:sz w:val="24"/>
          <w:szCs w:val="24"/>
          <w:highlight w:val="none"/>
          <w:u w:val="none" w:color="auto"/>
          <w:lang w:val="en-US" w:eastAsia="zh-CN"/>
        </w:rPr>
        <w:t>聚焦于项目需求与候选人能力的匹配度</w:t>
      </w:r>
      <w:r>
        <w:rPr>
          <w:rFonts w:hint="eastAsia" w:ascii="宋体" w:hAnsi="宋体" w:eastAsia="宋体" w:cs="宋体"/>
          <w:color w:val="auto"/>
          <w:sz w:val="24"/>
          <w:szCs w:val="24"/>
          <w:highlight w:val="none"/>
          <w:u w:val="none"/>
          <w:shd w:val="clear" w:color="auto" w:fill="FFFFFF"/>
          <w:lang w:eastAsia="zh-CN"/>
        </w:rPr>
        <w:t>。</w:t>
      </w:r>
    </w:p>
    <w:p w14:paraId="28D62039">
      <w:pPr>
        <w:pStyle w:val="12"/>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auto"/>
        <w:ind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5.1.3.</w:t>
      </w:r>
      <w:r>
        <w:rPr>
          <w:rFonts w:hint="eastAsia" w:ascii="宋体" w:hAnsi="宋体" w:eastAsia="宋体" w:cs="宋体"/>
          <w:b/>
          <w:bCs/>
          <w:color w:val="auto"/>
          <w:sz w:val="24"/>
          <w:szCs w:val="24"/>
          <w:highlight w:val="none"/>
          <w:u w:val="none"/>
          <w:shd w:val="clear" w:color="auto" w:fill="FFFFFF"/>
        </w:rPr>
        <w:t>疑问澄清</w:t>
      </w:r>
    </w:p>
    <w:p w14:paraId="7F6080F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color w:val="auto"/>
          <w:sz w:val="24"/>
          <w:szCs w:val="24"/>
          <w:highlight w:val="none"/>
          <w:u w:val="none"/>
          <w:shd w:val="clear" w:color="auto" w:fill="FFFFFF"/>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2116CA6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5.1.4.投票，收票，点票和汇总</w:t>
      </w:r>
    </w:p>
    <w:p w14:paraId="3D9FAC9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358DA39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bCs/>
          <w:color w:val="auto"/>
          <w:kern w:val="0"/>
          <w:sz w:val="24"/>
          <w:szCs w:val="24"/>
          <w:highlight w:val="none"/>
          <w:u w:val="none"/>
          <w:shd w:val="clear" w:color="auto" w:fill="FFFFFF"/>
          <w:lang w:val="en-US" w:eastAsia="zh-CN" w:bidi="ar-SA"/>
        </w:rPr>
        <w:t>5.1.5.公布结果和出具定标报告</w:t>
      </w:r>
    </w:p>
    <w:p w14:paraId="6F04ECF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color w:val="auto"/>
          <w:sz w:val="24"/>
          <w:szCs w:val="24"/>
          <w:highlight w:val="none"/>
          <w:lang w:eastAsia="zh-CN"/>
        </w:rPr>
        <w:t>点票工作完成后，定标委员会组长汇总定标结果，编制定标报告，确定中标候选人，全体成员签名。</w:t>
      </w:r>
    </w:p>
    <w:p w14:paraId="73597560">
      <w:pPr>
        <w:pStyle w:val="12"/>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auto"/>
        <w:ind w:left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5.1.6.</w:t>
      </w:r>
      <w:r>
        <w:rPr>
          <w:rFonts w:hint="eastAsia" w:ascii="宋体" w:hAnsi="宋体" w:eastAsia="宋体" w:cs="宋体"/>
          <w:b/>
          <w:bCs/>
          <w:color w:val="auto"/>
          <w:sz w:val="24"/>
          <w:szCs w:val="24"/>
          <w:highlight w:val="none"/>
          <w:u w:val="none"/>
          <w:shd w:val="clear" w:color="auto" w:fill="FFFFFF"/>
        </w:rPr>
        <w:t>全程监督</w:t>
      </w:r>
    </w:p>
    <w:p w14:paraId="42C77B4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招标监督小组对集体议定的全过程进行监督，确保程序合规、讨论充分、记录完整，结论形成过程公正、透明。</w:t>
      </w:r>
    </w:p>
    <w:p w14:paraId="6C6211A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5.2定标因素</w:t>
      </w:r>
    </w:p>
    <w:p w14:paraId="546EFB8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i/>
          <w:iCs/>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在同等条件下，择优的定标因素和相对标准有以下几个方面：</w:t>
      </w:r>
    </w:p>
    <w:p w14:paraId="6264BCE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（1）拟派团队管理能力与水平（履约能力）</w:t>
      </w:r>
    </w:p>
    <w:p w14:paraId="088F27F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相对标准：拟派团队管理能力与水平（履约能力）强的定标候选人优于拟派团队管理能力与水平（履约能力）一般的定标候选人。</w:t>
      </w:r>
    </w:p>
    <w:p w14:paraId="0AD9522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（2）企业信誉</w:t>
      </w:r>
    </w:p>
    <w:p w14:paraId="746214B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相对标准：企业信誉评价好的定标候选人优于企业信誉评价一般的定标候选人。</w:t>
      </w:r>
    </w:p>
    <w:p w14:paraId="29593FC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（3）企业社会贡献（助力“百千万工程”、社会公益项目）</w:t>
      </w:r>
    </w:p>
    <w:p w14:paraId="05E40F0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相对标准：承诺助力“百千万工程”的定标候选人优于未承诺的定标候选人（以《助力项目承诺书》为准）；参与过社会公益项目的定标候选人优于未参与过的定标候选人（提供相关佐证）。</w:t>
      </w:r>
    </w:p>
    <w:p w14:paraId="2CEA812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（4）评标报告</w:t>
      </w:r>
    </w:p>
    <w:p w14:paraId="2AADDC8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相对标准：评标委员会评审意见为具有优势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低</w:t>
      </w:r>
      <w:r>
        <w:rPr>
          <w:rFonts w:hint="eastAsia" w:ascii="宋体" w:hAnsi="宋体" w:eastAsia="宋体" w:cs="宋体"/>
          <w:b w:val="0"/>
          <w:bCs w:val="0"/>
          <w:color w:val="auto"/>
          <w:spacing w:val="0"/>
          <w:position w:val="0"/>
          <w:sz w:val="24"/>
          <w:szCs w:val="24"/>
          <w:highlight w:val="none"/>
          <w:u w:val="none" w:color="auto"/>
          <w:lang w:val="en-US" w:eastAsia="zh-CN"/>
        </w:rPr>
        <w:t>的定标候选人优于评标委员会评审意见为没有优势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高</w:t>
      </w:r>
      <w:r>
        <w:rPr>
          <w:rFonts w:hint="eastAsia" w:ascii="宋体" w:hAnsi="宋体" w:eastAsia="宋体" w:cs="宋体"/>
          <w:b w:val="0"/>
          <w:bCs w:val="0"/>
          <w:color w:val="auto"/>
          <w:spacing w:val="0"/>
          <w:position w:val="0"/>
          <w:sz w:val="24"/>
          <w:szCs w:val="24"/>
          <w:highlight w:val="none"/>
          <w:u w:val="none" w:color="auto"/>
          <w:lang w:val="en-US" w:eastAsia="zh-CN"/>
        </w:rPr>
        <w:t>的</w:t>
      </w:r>
      <w:r>
        <w:rPr>
          <w:rFonts w:hint="eastAsia" w:ascii="宋体" w:hAnsi="宋体" w:eastAsia="宋体" w:cs="宋体"/>
          <w:color w:val="auto"/>
          <w:sz w:val="24"/>
          <w:szCs w:val="24"/>
          <w:highlight w:val="none"/>
        </w:rPr>
        <w:t>定标候选人</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综合考虑评标委员会的评审意见，对各定标候选人</w:t>
      </w:r>
      <w:r>
        <w:rPr>
          <w:rFonts w:hint="eastAsia" w:ascii="宋体" w:hAnsi="宋体" w:eastAsia="宋体" w:cs="宋体"/>
          <w:color w:val="auto"/>
          <w:sz w:val="24"/>
          <w:szCs w:val="24"/>
          <w:highlight w:val="none"/>
        </w:rPr>
        <w:t>的优势、风险等评审情况</w:t>
      </w:r>
      <w:r>
        <w:rPr>
          <w:rFonts w:hint="eastAsia" w:ascii="宋体" w:hAnsi="宋体" w:eastAsia="宋体" w:cs="宋体"/>
          <w:b w:val="0"/>
          <w:bCs w:val="0"/>
          <w:color w:val="auto"/>
          <w:spacing w:val="0"/>
          <w:position w:val="0"/>
          <w:sz w:val="24"/>
          <w:szCs w:val="24"/>
          <w:highlight w:val="none"/>
          <w:u w:val="none" w:color="auto"/>
          <w:lang w:val="en-US" w:eastAsia="zh-CN"/>
        </w:rPr>
        <w:t>进行评审比较</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w:t>
      </w:r>
    </w:p>
    <w:p w14:paraId="30E1ECD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（5）农民工工资保障情况</w:t>
      </w:r>
    </w:p>
    <w:p w14:paraId="71F4519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spacing w:val="0"/>
          <w:position w:val="0"/>
          <w:sz w:val="24"/>
          <w:szCs w:val="24"/>
          <w:highlight w:val="none"/>
          <w:u w:val="none" w:color="auto"/>
          <w:lang w:val="en-US" w:eastAsia="zh-CN"/>
        </w:rPr>
        <w:t>相对标准：农民工工资保障情况好的定标候选人优于农民工工资保障情况差的定标候选人（结合</w:t>
      </w:r>
      <w:r>
        <w:rPr>
          <w:rFonts w:hint="eastAsia" w:ascii="宋体" w:hAnsi="宋体" w:eastAsia="宋体" w:cs="宋体"/>
          <w:b w:val="0"/>
          <w:bCs w:val="0"/>
          <w:color w:val="auto"/>
          <w:kern w:val="0"/>
          <w:sz w:val="24"/>
          <w:szCs w:val="24"/>
          <w:highlight w:val="none"/>
          <w:u w:val="none"/>
          <w:shd w:val="clear" w:color="auto" w:fill="FFFFFF"/>
          <w:lang w:val="en-US" w:eastAsia="zh-CN" w:bidi="ar-SA"/>
        </w:rPr>
        <w:t>定标候选人提交的证明材料和招标人查询的材料进行评审）。</w:t>
      </w:r>
    </w:p>
    <w:p w14:paraId="59CB271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6.定标结果公示</w:t>
      </w:r>
    </w:p>
    <w:p w14:paraId="3FF6B90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Style w:val="20"/>
          <w:rFonts w:hint="eastAsia" w:ascii="宋体" w:hAnsi="宋体" w:eastAsia="宋体" w:cs="宋体"/>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定标委员会完成定标</w:t>
      </w:r>
      <w:r>
        <w:rPr>
          <w:rStyle w:val="20"/>
          <w:rFonts w:hint="eastAsia" w:ascii="宋体" w:hAnsi="宋体" w:eastAsia="宋体" w:cs="宋体"/>
          <w:b w:val="0"/>
          <w:bCs w:val="0"/>
          <w:color w:val="auto"/>
          <w:kern w:val="0"/>
          <w:sz w:val="24"/>
          <w:szCs w:val="24"/>
          <w:highlight w:val="none"/>
          <w:lang w:val="en-US" w:eastAsia="zh-CN"/>
        </w:rPr>
        <w:t>后</w:t>
      </w:r>
      <w:r>
        <w:rPr>
          <w:rStyle w:val="20"/>
          <w:rFonts w:hint="eastAsia" w:ascii="宋体" w:hAnsi="宋体" w:eastAsia="宋体" w:cs="宋体"/>
          <w:color w:val="auto"/>
          <w:kern w:val="0"/>
          <w:sz w:val="24"/>
          <w:szCs w:val="24"/>
          <w:highlight w:val="none"/>
          <w:lang w:val="en-US" w:eastAsia="zh-CN"/>
        </w:rPr>
        <w:t>，招标人应于定标会结束后3个工作日内将中标候选人和定标情况在广东省招标投标监管网和韶关市公共资源交易中心工程交易系统上公示，公示时间不少于3个工作日。公示主要内容包括：公示主要内容包括：定标报告（定标成员信息除外）、中标人名单、中标价和拟投入本项目的项目负责人、技术负责人及各专业负责人（如有）等内容。</w:t>
      </w:r>
    </w:p>
    <w:p w14:paraId="030EA7EB">
      <w:pPr>
        <w:keepNext w:val="0"/>
        <w:keepLines w:val="0"/>
        <w:pageBreakBefore w:val="0"/>
        <w:wordWrap/>
        <w:overflowPunct/>
        <w:topLinePunct w:val="0"/>
        <w:bidi w:val="0"/>
        <w:spacing w:line="360" w:lineRule="auto"/>
        <w:rPr>
          <w:rFonts w:hint="eastAsia"/>
          <w:color w:val="auto"/>
          <w:sz w:val="24"/>
          <w:szCs w:val="24"/>
          <w:highlight w:val="none"/>
          <w:lang w:val="en-US" w:eastAsia="zh-CN"/>
        </w:rPr>
      </w:pPr>
    </w:p>
    <w:p w14:paraId="63554396">
      <w:pPr>
        <w:keepNext w:val="0"/>
        <w:keepLines w:val="0"/>
        <w:pageBreakBefore w:val="0"/>
        <w:wordWrap/>
        <w:overflowPunct/>
        <w:topLinePunct w:val="0"/>
        <w:bidi w:val="0"/>
        <w:spacing w:before="78" w:line="360" w:lineRule="auto"/>
        <w:ind w:left="3525"/>
        <w:outlineLvl w:val="0"/>
        <w:rPr>
          <w:rFonts w:hint="eastAsia" w:ascii="宋体" w:hAnsi="宋体" w:eastAsia="宋体" w:cs="宋体"/>
          <w:b/>
          <w:bCs/>
          <w:color w:val="auto"/>
          <w:spacing w:val="-7"/>
          <w:sz w:val="24"/>
          <w:szCs w:val="24"/>
          <w:highlight w:val="none"/>
        </w:rPr>
      </w:pPr>
    </w:p>
    <w:p w14:paraId="09ABEA5F">
      <w:pPr>
        <w:pStyle w:val="2"/>
        <w:rPr>
          <w:rFonts w:hint="eastAsia" w:ascii="宋体" w:hAnsi="宋体" w:eastAsia="宋体" w:cs="宋体"/>
          <w:b/>
          <w:bCs/>
          <w:color w:val="auto"/>
          <w:spacing w:val="-7"/>
          <w:sz w:val="24"/>
          <w:szCs w:val="24"/>
          <w:highlight w:val="none"/>
        </w:rPr>
      </w:pPr>
    </w:p>
    <w:p w14:paraId="0A396179">
      <w:pPr>
        <w:rPr>
          <w:rFonts w:hint="eastAsia" w:ascii="宋体" w:hAnsi="宋体" w:eastAsia="宋体" w:cs="宋体"/>
          <w:b/>
          <w:bCs/>
          <w:color w:val="auto"/>
          <w:spacing w:val="-7"/>
          <w:sz w:val="24"/>
          <w:szCs w:val="24"/>
          <w:highlight w:val="none"/>
        </w:rPr>
      </w:pPr>
    </w:p>
    <w:p w14:paraId="4AD40A13">
      <w:pPr>
        <w:pStyle w:val="2"/>
        <w:rPr>
          <w:rFonts w:hint="eastAsia" w:ascii="宋体" w:hAnsi="宋体" w:eastAsia="宋体" w:cs="宋体"/>
          <w:b/>
          <w:bCs/>
          <w:color w:val="auto"/>
          <w:spacing w:val="-7"/>
          <w:sz w:val="24"/>
          <w:szCs w:val="24"/>
          <w:highlight w:val="none"/>
        </w:rPr>
      </w:pPr>
    </w:p>
    <w:p w14:paraId="62C08327">
      <w:pPr>
        <w:rPr>
          <w:rFonts w:hint="eastAsia" w:ascii="宋体" w:hAnsi="宋体" w:eastAsia="宋体" w:cs="宋体"/>
          <w:b/>
          <w:bCs/>
          <w:color w:val="auto"/>
          <w:spacing w:val="-7"/>
          <w:sz w:val="24"/>
          <w:szCs w:val="24"/>
          <w:highlight w:val="none"/>
        </w:rPr>
      </w:pPr>
    </w:p>
    <w:p w14:paraId="78BF5276">
      <w:pPr>
        <w:pStyle w:val="2"/>
        <w:rPr>
          <w:rFonts w:hint="eastAsia" w:ascii="宋体" w:hAnsi="宋体" w:eastAsia="宋体" w:cs="宋体"/>
          <w:b/>
          <w:bCs/>
          <w:color w:val="auto"/>
          <w:spacing w:val="-7"/>
          <w:sz w:val="24"/>
          <w:szCs w:val="24"/>
          <w:highlight w:val="none"/>
        </w:rPr>
      </w:pPr>
    </w:p>
    <w:p w14:paraId="31DF38DE">
      <w:pPr>
        <w:rPr>
          <w:rFonts w:hint="eastAsia" w:ascii="宋体" w:hAnsi="宋体" w:eastAsia="宋体" w:cs="宋体"/>
          <w:b/>
          <w:bCs/>
          <w:color w:val="auto"/>
          <w:spacing w:val="-7"/>
          <w:sz w:val="24"/>
          <w:szCs w:val="24"/>
          <w:highlight w:val="none"/>
        </w:rPr>
      </w:pPr>
    </w:p>
    <w:p w14:paraId="019A8ECB">
      <w:pPr>
        <w:pStyle w:val="2"/>
        <w:rPr>
          <w:rFonts w:hint="eastAsia"/>
          <w:highlight w:val="none"/>
        </w:rPr>
      </w:pPr>
    </w:p>
    <w:p w14:paraId="5F34689B">
      <w:pPr>
        <w:pStyle w:val="2"/>
        <w:rPr>
          <w:rFonts w:hint="eastAsia"/>
          <w:highlight w:val="none"/>
        </w:rPr>
      </w:pPr>
    </w:p>
    <w:p w14:paraId="4AEC3161">
      <w:pPr>
        <w:rPr>
          <w:rFonts w:hint="eastAsia" w:ascii="宋体" w:hAnsi="宋体" w:eastAsia="宋体" w:cs="宋体"/>
          <w:b/>
          <w:bCs/>
          <w:color w:val="auto"/>
          <w:spacing w:val="-7"/>
          <w:sz w:val="24"/>
          <w:szCs w:val="24"/>
          <w:highlight w:val="none"/>
        </w:rPr>
      </w:pPr>
    </w:p>
    <w:p w14:paraId="125A965B">
      <w:pPr>
        <w:spacing w:before="78" w:line="220" w:lineRule="auto"/>
        <w:ind w:left="9"/>
        <w:jc w:val="center"/>
        <w:outlineLvl w:val="1"/>
        <w:rPr>
          <w:rFonts w:hint="eastAsia" w:ascii="宋体" w:hAnsi="宋体" w:eastAsia="宋体" w:cs="宋体"/>
          <w:b/>
          <w:bCs/>
          <w:color w:val="auto"/>
          <w:spacing w:val="-3"/>
          <w:sz w:val="24"/>
          <w:szCs w:val="24"/>
          <w:highlight w:val="none"/>
          <w:lang w:val="en-US" w:eastAsia="zh-CN"/>
        </w:rPr>
      </w:pPr>
      <w:bookmarkStart w:id="153" w:name="_Toc4926"/>
      <w:bookmarkStart w:id="154" w:name="_Toc209"/>
      <w:r>
        <w:rPr>
          <w:rFonts w:hint="eastAsia" w:ascii="宋体" w:hAnsi="宋体" w:eastAsia="宋体" w:cs="宋体"/>
          <w:b/>
          <w:bCs/>
          <w:color w:val="auto"/>
          <w:spacing w:val="-3"/>
          <w:sz w:val="24"/>
          <w:szCs w:val="24"/>
          <w:highlight w:val="none"/>
        </w:rPr>
        <w:t>第</w:t>
      </w:r>
      <w:r>
        <w:rPr>
          <w:rFonts w:hint="eastAsia" w:ascii="宋体" w:hAnsi="宋体" w:eastAsia="宋体" w:cs="宋体"/>
          <w:b/>
          <w:bCs/>
          <w:color w:val="auto"/>
          <w:spacing w:val="-3"/>
          <w:sz w:val="24"/>
          <w:szCs w:val="24"/>
          <w:highlight w:val="none"/>
          <w:lang w:val="en-US" w:eastAsia="zh-CN"/>
        </w:rPr>
        <w:t>六</w:t>
      </w:r>
      <w:r>
        <w:rPr>
          <w:rFonts w:hint="eastAsia" w:ascii="宋体" w:hAnsi="宋体" w:eastAsia="宋体" w:cs="宋体"/>
          <w:b/>
          <w:bCs/>
          <w:color w:val="auto"/>
          <w:spacing w:val="-3"/>
          <w:sz w:val="24"/>
          <w:szCs w:val="24"/>
          <w:highlight w:val="none"/>
        </w:rPr>
        <w:t>节 中标确认</w:t>
      </w:r>
      <w:bookmarkEnd w:id="153"/>
      <w:bookmarkEnd w:id="154"/>
    </w:p>
    <w:p w14:paraId="276CA96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1.中标人确定</w:t>
      </w:r>
    </w:p>
    <w:p w14:paraId="3A29BAB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1.1 中标人确定。中标结果公示期满无异议的，招标人确认排名第一的中标候选人为中标人，中标人的投标报价即为中标价。</w:t>
      </w:r>
    </w:p>
    <w:p w14:paraId="2EA71AC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1.2 中标人确定后，招标人应当于7日内在线完成加盖招标人单位电子签章的中标通知书并发放到中标人及各相关单位。招标人最迟应当在投标有效期届满30日前发出中标通知书，否则，应当按照本投标人须知投标有效期的规定延长投标有效期。</w:t>
      </w:r>
      <w:r>
        <w:rPr>
          <w:rFonts w:hint="eastAsia" w:ascii="宋体" w:hAnsi="宋体" w:eastAsia="宋体" w:cs="宋体"/>
          <w:snapToGrid w:val="0"/>
          <w:color w:val="auto"/>
          <w:kern w:val="0"/>
          <w:sz w:val="24"/>
          <w:szCs w:val="24"/>
          <w:highlight w:val="none"/>
        </w:rPr>
        <w:t>在中标通知书发出后5个工作日内，韶关市公共资源交易中心将投标保证金（或银行保函）退还给中标候选人以外的投标人。</w:t>
      </w:r>
    </w:p>
    <w:p w14:paraId="58F427C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1.3 招标人应当自中标通知书发出之日起15日内，通过广东省招标投标监管网和公共资源交易平台发布中标结果公示。 招标人应当自确定中标人之日起15日内，在线向有关招标管理部门提交招标投标情况的书面报告。</w:t>
      </w:r>
    </w:p>
    <w:p w14:paraId="723C0190">
      <w:pPr>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异议和投诉</w:t>
      </w:r>
    </w:p>
    <w:p w14:paraId="5075223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2.1 投标人或者其他利害关系人对招标项目的评标和中标结果有异议的，应当在定标候选人和中标候选人公示期间按规定线上向招标人提出，逾期提出的不予受理。招标人自收到异议之日起3日内作出答复；作出答复前，应当暂停招标投标活动。经招标人书面答复，异议人仍不满意的，可在法律规定的时限内向行政监督部门提出书面投诉。异议（投诉）提出、处理的具体办法和要求，按照《韶关市工程建设项目招标投标活动异议和投诉处理办法》（韶发改〔2021〕44号）执行。</w:t>
      </w:r>
    </w:p>
    <w:p w14:paraId="3DC88F0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2.2在定标候选人和中标候选人公示期间有关评标结果的异议成立的，招标人原则上应当组织原评标委员会和原定标委员会对有关的问题予以纠正，问题纠正后再公示定标候选人和中标候选人。</w:t>
      </w:r>
    </w:p>
    <w:p w14:paraId="79D9286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2.3投标人或其他利害关系人认为招标投标活动不符合法律、行政法规规定的，可以自知道或者应当知道之日起10日内按规定线上向有关招标管理部门投诉。投诉应当有明确的请求和必要的证明材料。招标管理部门应当自收到投诉之日起30个工作日内作出书面处理决定。</w:t>
      </w:r>
    </w:p>
    <w:p w14:paraId="46163FFD">
      <w:pPr>
        <w:pStyle w:val="12"/>
        <w:keepNext w:val="0"/>
        <w:keepLines w:val="0"/>
        <w:pageBreakBefore w:val="0"/>
        <w:widowControl w:val="0"/>
        <w:shd w:val="clear" w:color="auto" w:fill="auto"/>
        <w:kinsoku/>
        <w:wordWrap/>
        <w:overflowPunct/>
        <w:topLinePunct w:val="0"/>
        <w:bidi w:val="0"/>
        <w:adjustRightInd/>
        <w:snapToGrid/>
        <w:spacing w:before="0" w:beforeLines="0" w:after="0" w:afterLines="0" w:line="360" w:lineRule="auto"/>
        <w:ind w:left="0" w:leftChars="0" w:firstLine="482" w:firstLineChars="200"/>
        <w:jc w:val="both"/>
        <w:textAlignment w:val="auto"/>
        <w:outlineLvl w:val="9"/>
        <w:rPr>
          <w:rFonts w:hint="eastAsia" w:ascii="宋体" w:hAnsi="宋体" w:eastAsia="宋体" w:cs="宋体"/>
          <w:b/>
          <w:bCs/>
          <w:i/>
          <w:color w:val="auto"/>
          <w:sz w:val="24"/>
          <w:szCs w:val="24"/>
          <w:highlight w:val="none"/>
        </w:rPr>
      </w:pPr>
      <w:bookmarkStart w:id="155" w:name="_Toc236550039"/>
      <w:r>
        <w:rPr>
          <w:rStyle w:val="17"/>
          <w:rFonts w:hint="eastAsia" w:ascii="宋体" w:hAnsi="宋体" w:eastAsia="宋体" w:cs="宋体"/>
          <w:b/>
          <w:bCs/>
          <w:i w:val="0"/>
          <w:color w:val="auto"/>
          <w:sz w:val="24"/>
          <w:szCs w:val="24"/>
          <w:highlight w:val="none"/>
          <w:lang w:val="en-US" w:eastAsia="zh-CN"/>
        </w:rPr>
        <w:t>3</w:t>
      </w:r>
      <w:r>
        <w:rPr>
          <w:rStyle w:val="17"/>
          <w:rFonts w:hint="eastAsia" w:ascii="宋体" w:hAnsi="宋体" w:eastAsia="宋体" w:cs="宋体"/>
          <w:b/>
          <w:bCs/>
          <w:i w:val="0"/>
          <w:color w:val="auto"/>
          <w:sz w:val="24"/>
          <w:szCs w:val="24"/>
          <w:highlight w:val="none"/>
        </w:rPr>
        <w:t>．废除授标</w:t>
      </w:r>
      <w:bookmarkEnd w:id="155"/>
      <w:r>
        <w:rPr>
          <w:rStyle w:val="17"/>
          <w:rFonts w:hint="eastAsia" w:ascii="宋体" w:hAnsi="宋体" w:eastAsia="宋体" w:cs="宋体"/>
          <w:b/>
          <w:bCs/>
          <w:i w:val="0"/>
          <w:color w:val="auto"/>
          <w:sz w:val="24"/>
          <w:szCs w:val="24"/>
          <w:highlight w:val="none"/>
        </w:rPr>
        <w:t>及授标</w:t>
      </w:r>
    </w:p>
    <w:p w14:paraId="0362AA0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3.1评定标完成后，中标候选人有下列情形之一的，招标人应按规定取消中标候选人资格或废除授标：</w:t>
      </w:r>
    </w:p>
    <w:p w14:paraId="2CBAA0D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（1）以他人名义投标或者以其他方式弄虚作假骗取中标的；</w:t>
      </w:r>
    </w:p>
    <w:p w14:paraId="24BDE8D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（2）与其他投标人串通投标或以行贿的手段谋取中标的；</w:t>
      </w:r>
    </w:p>
    <w:p w14:paraId="6C85C9F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（3）不是从本投标企业基本账户提交投标担保或以虚假方式提交投标保证金保函（保单）的；</w:t>
      </w:r>
    </w:p>
    <w:p w14:paraId="7C70DC6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（4）中标人于投标有效期终止之前撤回投标文件，或者排名第一的中标候选人放弃中标资格的；</w:t>
      </w:r>
    </w:p>
    <w:p w14:paraId="7AB9C1D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（5）因中标人过错而未能按照规定与招标人签订工程总承包合同或中标人因不可抗力提出不能履行合同的；</w:t>
      </w:r>
    </w:p>
    <w:p w14:paraId="6044F17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（6）因中标人过错而未能按照招标文件要求向招标人提交履约担保的；</w:t>
      </w:r>
    </w:p>
    <w:p w14:paraId="0B03F67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（7）中标单位拟派的项目负责人从投标截止时间起在其他建设工程担任项目负责人；</w:t>
      </w:r>
    </w:p>
    <w:p w14:paraId="155A8FD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（8）中标人被有关部门查实存在影响中标结果的违法行为，不符合中标条件的；</w:t>
      </w:r>
    </w:p>
    <w:p w14:paraId="7BE77A8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（9）中标人在参加本项目投标时有本企业投标承诺书所列被依法限制或暂停承揽业务或停业的处罚的；</w:t>
      </w:r>
    </w:p>
    <w:p w14:paraId="24E9515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（10）招标文件明确规定可以废除授标的其他情形。</w:t>
      </w:r>
    </w:p>
    <w:p w14:paraId="6FB0715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3.2 排名第一的中标候选人被取消中标候选人资格或废除授标，招标人可以按照定标委员会提出的中标候选人名单排序按规定依次确定其他中标候选人为中标人，并按规定实行中标结果公示；也可以按规定重新组织招标或报原项目审批、核准部门重新审批、核准招标方式。</w:t>
      </w:r>
    </w:p>
    <w:p w14:paraId="271899B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3.3 招标人有下列情形之一的，应依法承担相应的责任：</w:t>
      </w:r>
    </w:p>
    <w:p w14:paraId="02A329C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（1）无正当理由不发出中标通知书的；</w:t>
      </w:r>
    </w:p>
    <w:p w14:paraId="5E11F3F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（2）招标人不按照规定确定中标人的；</w:t>
      </w:r>
    </w:p>
    <w:p w14:paraId="196BBAC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（3）中标通知书发出后无正当理由改变中标结果的；</w:t>
      </w:r>
    </w:p>
    <w:p w14:paraId="5913D60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（4）无正当理由不与中标人签订工程总承包合同的；</w:t>
      </w:r>
    </w:p>
    <w:p w14:paraId="541DA46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Style w:val="20"/>
          <w:rFonts w:hint="eastAsia" w:ascii="宋体" w:hAnsi="宋体" w:eastAsia="宋体" w:cs="宋体"/>
          <w:color w:val="auto"/>
          <w:kern w:val="0"/>
          <w:sz w:val="24"/>
          <w:szCs w:val="24"/>
          <w:highlight w:val="none"/>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（5）在签订工程总承包合同时向中标人提出附加条件或者更改合同实质性内容的。</w:t>
      </w:r>
    </w:p>
    <w:p w14:paraId="06AE4C69">
      <w:pPr>
        <w:keepNext w:val="0"/>
        <w:keepLines w:val="0"/>
        <w:pageBreakBefore w:val="0"/>
        <w:wordWrap/>
        <w:overflowPunct/>
        <w:topLinePunct w:val="0"/>
        <w:bidi w:val="0"/>
        <w:spacing w:line="360" w:lineRule="auto"/>
        <w:rPr>
          <w:rFonts w:hint="eastAsia"/>
          <w:color w:val="auto"/>
          <w:sz w:val="24"/>
          <w:szCs w:val="24"/>
          <w:highlight w:val="none"/>
        </w:rPr>
        <w:sectPr>
          <w:endnotePr>
            <w:numFmt w:val="decimal"/>
          </w:endnotePr>
          <w:pgSz w:w="11906" w:h="16838"/>
          <w:pgMar w:top="1247" w:right="1304" w:bottom="1247" w:left="1304" w:header="850" w:footer="544" w:gutter="0"/>
          <w:cols w:space="720" w:num="1"/>
          <w:rtlGutter w:val="0"/>
          <w:docGrid w:linePitch="327" w:charSpace="0"/>
        </w:sectPr>
      </w:pPr>
    </w:p>
    <w:p w14:paraId="477FF410">
      <w:pPr>
        <w:spacing w:before="78" w:line="219" w:lineRule="auto"/>
        <w:ind w:left="3525"/>
        <w:outlineLvl w:val="0"/>
        <w:rPr>
          <w:rFonts w:hint="eastAsia" w:ascii="宋体" w:hAnsi="宋体" w:eastAsia="宋体" w:cs="宋体"/>
          <w:color w:val="auto"/>
          <w:sz w:val="24"/>
          <w:szCs w:val="24"/>
          <w:highlight w:val="none"/>
        </w:rPr>
      </w:pPr>
      <w:bookmarkStart w:id="156" w:name="_Toc13655"/>
      <w:r>
        <w:rPr>
          <w:rFonts w:hint="eastAsia" w:ascii="宋体" w:hAnsi="宋体" w:eastAsia="宋体" w:cs="宋体"/>
          <w:b/>
          <w:bCs/>
          <w:color w:val="auto"/>
          <w:spacing w:val="-7"/>
          <w:sz w:val="24"/>
          <w:szCs w:val="24"/>
          <w:highlight w:val="none"/>
        </w:rPr>
        <w:t>第二章</w:t>
      </w:r>
      <w:r>
        <w:rPr>
          <w:rFonts w:hint="eastAsia" w:ascii="宋体" w:hAnsi="宋体" w:eastAsia="宋体" w:cs="宋体"/>
          <w:color w:val="auto"/>
          <w:spacing w:val="32"/>
          <w:sz w:val="24"/>
          <w:szCs w:val="24"/>
          <w:highlight w:val="none"/>
        </w:rPr>
        <w:t xml:space="preserve"> </w:t>
      </w:r>
      <w:r>
        <w:rPr>
          <w:rFonts w:hint="eastAsia" w:ascii="宋体" w:hAnsi="宋体" w:eastAsia="宋体" w:cs="宋体"/>
          <w:b/>
          <w:bCs/>
          <w:color w:val="auto"/>
          <w:spacing w:val="-7"/>
          <w:sz w:val="24"/>
          <w:szCs w:val="24"/>
          <w:highlight w:val="none"/>
        </w:rPr>
        <w:t>中标人须知</w:t>
      </w:r>
      <w:bookmarkEnd w:id="156"/>
    </w:p>
    <w:p w14:paraId="0D76B119">
      <w:pPr>
        <w:spacing w:before="78" w:line="219" w:lineRule="auto"/>
        <w:ind w:left="582"/>
        <w:outlineLvl w:val="2"/>
        <w:rPr>
          <w:rFonts w:hint="eastAsia" w:ascii="宋体" w:hAnsi="宋体" w:eastAsia="宋体" w:cs="宋体"/>
          <w:color w:val="auto"/>
          <w:sz w:val="24"/>
          <w:szCs w:val="24"/>
          <w:highlight w:val="none"/>
        </w:rPr>
      </w:pPr>
      <w:bookmarkStart w:id="157" w:name="_Toc21697"/>
      <w:r>
        <w:rPr>
          <w:rFonts w:hint="eastAsia" w:ascii="宋体" w:hAnsi="宋体" w:eastAsia="宋体" w:cs="宋体"/>
          <w:b/>
          <w:bCs/>
          <w:color w:val="auto"/>
          <w:spacing w:val="-9"/>
          <w:sz w:val="24"/>
          <w:szCs w:val="24"/>
          <w:highlight w:val="none"/>
        </w:rPr>
        <w:t>1</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9"/>
          <w:sz w:val="24"/>
          <w:szCs w:val="24"/>
          <w:highlight w:val="none"/>
        </w:rPr>
        <w:t>．中标通知书</w:t>
      </w:r>
      <w:bookmarkEnd w:id="157"/>
    </w:p>
    <w:p w14:paraId="32F31BA3">
      <w:pPr>
        <w:spacing w:before="152" w:line="332" w:lineRule="auto"/>
        <w:ind w:left="17" w:firstLine="559"/>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招标人确定第一中标候选人为中标人，并在中标人确定之日起</w:t>
      </w:r>
      <w:r>
        <w:rPr>
          <w:rFonts w:hint="eastAsia" w:ascii="宋体" w:hAnsi="宋体" w:eastAsia="宋体" w:cs="宋体"/>
          <w:color w:val="auto"/>
          <w:spacing w:val="-49"/>
          <w:sz w:val="24"/>
          <w:szCs w:val="24"/>
          <w:highlight w:val="none"/>
        </w:rPr>
        <w:t xml:space="preserve"> </w:t>
      </w:r>
      <w:r>
        <w:rPr>
          <w:rFonts w:hint="eastAsia" w:ascii="宋体" w:hAnsi="宋体" w:eastAsia="宋体" w:cs="宋体"/>
          <w:color w:val="auto"/>
          <w:spacing w:val="1"/>
          <w:sz w:val="24"/>
          <w:szCs w:val="24"/>
          <w:highlight w:val="none"/>
        </w:rPr>
        <w:t>7日内向中</w:t>
      </w:r>
      <w:r>
        <w:rPr>
          <w:rFonts w:hint="eastAsia" w:ascii="宋体" w:hAnsi="宋体" w:eastAsia="宋体" w:cs="宋体"/>
          <w:color w:val="auto"/>
          <w:sz w:val="24"/>
          <w:szCs w:val="24"/>
          <w:highlight w:val="none"/>
        </w:rPr>
        <w:t>标人发</w:t>
      </w:r>
      <w:r>
        <w:rPr>
          <w:rFonts w:hint="eastAsia" w:ascii="宋体" w:hAnsi="宋体" w:eastAsia="宋体" w:cs="宋体"/>
          <w:color w:val="auto"/>
          <w:spacing w:val="-3"/>
          <w:sz w:val="24"/>
          <w:szCs w:val="24"/>
          <w:highlight w:val="none"/>
        </w:rPr>
        <w:t>出中标通知书，中标人必须按韶关市公共资源交易中心的规定办理相关手续后方可领取。</w:t>
      </w:r>
      <w:r>
        <w:rPr>
          <w:rFonts w:hint="eastAsia" w:ascii="宋体" w:hAnsi="宋体" w:eastAsia="宋体" w:cs="宋体"/>
          <w:color w:val="auto"/>
          <w:spacing w:val="-2"/>
          <w:sz w:val="24"/>
          <w:szCs w:val="24"/>
          <w:highlight w:val="none"/>
        </w:rPr>
        <w:t>中标通知书对招标人和中标人均具有法律约束力。中标通知书发出后，招标人改变中标</w:t>
      </w:r>
      <w:r>
        <w:rPr>
          <w:rFonts w:hint="eastAsia" w:ascii="宋体" w:hAnsi="宋体" w:eastAsia="宋体" w:cs="宋体"/>
          <w:color w:val="auto"/>
          <w:spacing w:val="-1"/>
          <w:sz w:val="24"/>
          <w:szCs w:val="24"/>
          <w:highlight w:val="none"/>
        </w:rPr>
        <w:t>结果和中标人放弃中标的，应当承担法律责任。</w:t>
      </w:r>
    </w:p>
    <w:p w14:paraId="013B0F34">
      <w:pPr>
        <w:pStyle w:val="5"/>
        <w:spacing w:line="394" w:lineRule="auto"/>
        <w:rPr>
          <w:rFonts w:hint="eastAsia" w:ascii="宋体" w:hAnsi="宋体" w:eastAsia="宋体" w:cs="宋体"/>
          <w:color w:val="auto"/>
          <w:highlight w:val="none"/>
        </w:rPr>
      </w:pPr>
    </w:p>
    <w:p w14:paraId="05CE895D">
      <w:pPr>
        <w:spacing w:before="78" w:line="221" w:lineRule="auto"/>
        <w:ind w:left="572"/>
        <w:outlineLvl w:val="2"/>
        <w:rPr>
          <w:rFonts w:hint="eastAsia" w:ascii="宋体" w:hAnsi="宋体" w:eastAsia="宋体" w:cs="宋体"/>
          <w:color w:val="auto"/>
          <w:sz w:val="24"/>
          <w:szCs w:val="24"/>
          <w:highlight w:val="none"/>
        </w:rPr>
      </w:pPr>
      <w:bookmarkStart w:id="158" w:name="_Toc979"/>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．中标结果公示</w:t>
      </w:r>
      <w:bookmarkEnd w:id="158"/>
    </w:p>
    <w:p w14:paraId="3A691EA9">
      <w:pPr>
        <w:spacing w:before="115" w:line="316" w:lineRule="auto"/>
        <w:ind w:left="2" w:right="203" w:firstLine="595"/>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中标通知书发出后</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2"/>
          <w:sz w:val="24"/>
          <w:szCs w:val="24"/>
          <w:highlight w:val="none"/>
        </w:rPr>
        <w:t>15日内，招标人应将中标结果在广东省招标投标</w:t>
      </w:r>
      <w:r>
        <w:rPr>
          <w:rFonts w:hint="eastAsia" w:ascii="宋体" w:hAnsi="宋体" w:eastAsia="宋体" w:cs="宋体"/>
          <w:color w:val="auto"/>
          <w:spacing w:val="-3"/>
          <w:sz w:val="24"/>
          <w:szCs w:val="24"/>
          <w:highlight w:val="none"/>
        </w:rPr>
        <w:t>监管网（http:</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//zbtb.gd.gov.cn）、全国公共资源交易平台（广东省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34"/>
          <w:sz w:val="24"/>
          <w:szCs w:val="24"/>
          <w:highlight w:val="none"/>
        </w:rPr>
        <w:t>）（</w:t>
      </w:r>
      <w:r>
        <w:rPr>
          <w:rFonts w:hint="eastAsia" w:ascii="宋体" w:hAnsi="宋体" w:eastAsia="宋体" w:cs="宋体"/>
          <w:color w:val="auto"/>
          <w:spacing w:val="-2"/>
          <w:sz w:val="24"/>
          <w:szCs w:val="24"/>
          <w:highlight w:val="none"/>
        </w:rPr>
        <w:t>https://ygp.</w:t>
      </w:r>
      <w:r>
        <w:rPr>
          <w:rFonts w:hint="eastAsia" w:ascii="宋体" w:hAnsi="宋体" w:eastAsia="宋体" w:cs="宋体"/>
          <w:color w:val="auto"/>
          <w:spacing w:val="-3"/>
          <w:sz w:val="24"/>
          <w:szCs w:val="24"/>
          <w:highlight w:val="none"/>
        </w:rPr>
        <w:t>gdzwfw.gov.</w:t>
      </w:r>
      <w:r>
        <w:rPr>
          <w:rFonts w:hint="eastAsia" w:ascii="宋体" w:hAnsi="宋体" w:eastAsia="宋体" w:cs="宋体"/>
          <w:color w:val="auto"/>
          <w:sz w:val="24"/>
          <w:szCs w:val="24"/>
          <w:highlight w:val="none"/>
        </w:rPr>
        <w:t xml:space="preserve"> cn/ggzy-portal/#/440200/index）进行公示。</w:t>
      </w:r>
    </w:p>
    <w:p w14:paraId="48284D2A">
      <w:pPr>
        <w:pStyle w:val="5"/>
        <w:spacing w:line="475" w:lineRule="auto"/>
        <w:rPr>
          <w:rFonts w:hint="eastAsia" w:ascii="宋体" w:hAnsi="宋体" w:eastAsia="宋体" w:cs="宋体"/>
          <w:color w:val="auto"/>
          <w:highlight w:val="none"/>
        </w:rPr>
      </w:pPr>
    </w:p>
    <w:p w14:paraId="7F9996BC">
      <w:pPr>
        <w:spacing w:before="79" w:line="221" w:lineRule="auto"/>
        <w:ind w:left="570"/>
        <w:outlineLvl w:val="2"/>
        <w:rPr>
          <w:rFonts w:hint="eastAsia" w:ascii="宋体" w:hAnsi="宋体" w:eastAsia="宋体" w:cs="宋体"/>
          <w:color w:val="auto"/>
          <w:sz w:val="24"/>
          <w:szCs w:val="24"/>
          <w:highlight w:val="none"/>
        </w:rPr>
      </w:pPr>
      <w:bookmarkStart w:id="159" w:name="_Toc13145"/>
      <w:r>
        <w:rPr>
          <w:rFonts w:hint="eastAsia" w:ascii="宋体" w:hAnsi="宋体" w:eastAsia="宋体" w:cs="宋体"/>
          <w:b/>
          <w:bCs/>
          <w:color w:val="auto"/>
          <w:spacing w:val="-8"/>
          <w:sz w:val="24"/>
          <w:szCs w:val="24"/>
          <w:highlight w:val="none"/>
        </w:rPr>
        <w:t>3</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8"/>
          <w:sz w:val="24"/>
          <w:szCs w:val="24"/>
          <w:highlight w:val="none"/>
        </w:rPr>
        <w:t>．履约保证</w:t>
      </w:r>
      <w:bookmarkEnd w:id="159"/>
    </w:p>
    <w:p w14:paraId="2A654F72">
      <w:pPr>
        <w:keepNext w:val="0"/>
        <w:keepLines w:val="0"/>
        <w:pageBreakBefore w:val="0"/>
        <w:widowControl/>
        <w:kinsoku w:val="0"/>
        <w:wordWrap/>
        <w:overflowPunct/>
        <w:topLinePunct w:val="0"/>
        <w:autoSpaceDE w:val="0"/>
        <w:autoSpaceDN w:val="0"/>
        <w:bidi w:val="0"/>
        <w:adjustRightInd w:val="0"/>
        <w:snapToGrid w:val="0"/>
        <w:spacing w:before="153" w:line="312" w:lineRule="auto"/>
        <w:ind w:firstLine="47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3.1</w:t>
      </w:r>
      <w:r>
        <w:rPr>
          <w:rFonts w:hint="eastAsia" w:ascii="宋体" w:hAnsi="宋体" w:eastAsia="宋体" w:cs="宋体"/>
          <w:b/>
          <w:bCs/>
          <w:color w:val="auto"/>
          <w:spacing w:val="17"/>
          <w:sz w:val="24"/>
          <w:szCs w:val="24"/>
          <w:highlight w:val="none"/>
        </w:rPr>
        <w:t xml:space="preserve">  </w:t>
      </w:r>
      <w:r>
        <w:rPr>
          <w:rFonts w:hint="eastAsia" w:ascii="宋体" w:hAnsi="宋体" w:eastAsia="宋体" w:cs="宋体"/>
          <w:color w:val="auto"/>
          <w:spacing w:val="-3"/>
          <w:sz w:val="24"/>
          <w:szCs w:val="24"/>
          <w:highlight w:val="none"/>
        </w:rPr>
        <w:t>中标人须在领取中标通知书之日起</w:t>
      </w:r>
      <w:r>
        <w:rPr>
          <w:rFonts w:hint="eastAsia" w:ascii="宋体" w:hAnsi="宋体" w:eastAsia="宋体" w:cs="宋体"/>
          <w:color w:val="auto"/>
          <w:spacing w:val="-3"/>
          <w:sz w:val="24"/>
          <w:szCs w:val="24"/>
          <w:highlight w:val="none"/>
          <w:u w:val="single"/>
          <w:lang w:val="en-US" w:eastAsia="zh-CN"/>
        </w:rPr>
        <w:t xml:space="preserve"> 10 </w:t>
      </w:r>
      <w:r>
        <w:rPr>
          <w:rFonts w:hint="eastAsia" w:ascii="宋体" w:hAnsi="宋体" w:eastAsia="宋体" w:cs="宋体"/>
          <w:color w:val="auto"/>
          <w:spacing w:val="-3"/>
          <w:sz w:val="24"/>
          <w:szCs w:val="24"/>
          <w:highlight w:val="none"/>
        </w:rPr>
        <w:t>个工作日内、签订合同前向招标人提交金额</w:t>
      </w:r>
      <w:r>
        <w:rPr>
          <w:rFonts w:hint="eastAsia" w:ascii="宋体" w:hAnsi="宋体" w:eastAsia="宋体" w:cs="宋体"/>
          <w:color w:val="auto"/>
          <w:spacing w:val="-1"/>
          <w:position w:val="2"/>
          <w:sz w:val="24"/>
          <w:szCs w:val="24"/>
          <w:highlight w:val="none"/>
        </w:rPr>
        <w:t>为中标价</w:t>
      </w:r>
      <w:r>
        <w:rPr>
          <w:rFonts w:hint="eastAsia" w:ascii="宋体" w:hAnsi="宋体" w:eastAsia="宋体" w:cs="宋体"/>
          <w:color w:val="auto"/>
          <w:spacing w:val="-1"/>
          <w:position w:val="2"/>
          <w:sz w:val="24"/>
          <w:szCs w:val="24"/>
          <w:highlight w:val="none"/>
          <w:u w:val="single"/>
          <w:lang w:val="en-US" w:eastAsia="zh-CN"/>
        </w:rPr>
        <w:t xml:space="preserve"> 5</w:t>
      </w:r>
      <w:r>
        <w:rPr>
          <w:rFonts w:hint="eastAsia" w:ascii="宋体" w:hAnsi="宋体" w:eastAsia="宋体" w:cs="宋体"/>
          <w:color w:val="auto"/>
          <w:spacing w:val="-1"/>
          <w:position w:val="2"/>
          <w:sz w:val="24"/>
          <w:szCs w:val="24"/>
          <w:highlight w:val="none"/>
          <w:u w:val="single"/>
        </w:rPr>
        <w:t xml:space="preserve">%  </w:t>
      </w:r>
      <w:r>
        <w:rPr>
          <w:rFonts w:hint="eastAsia" w:ascii="宋体" w:hAnsi="宋体" w:eastAsia="宋体" w:cs="宋体"/>
          <w:color w:val="auto"/>
          <w:spacing w:val="-1"/>
          <w:position w:val="2"/>
          <w:sz w:val="24"/>
          <w:szCs w:val="24"/>
          <w:highlight w:val="none"/>
        </w:rPr>
        <w:t>的履约保证。联合体中标的，由联合体牵头人提交。</w:t>
      </w:r>
    </w:p>
    <w:p w14:paraId="63F343AD">
      <w:pPr>
        <w:spacing w:before="89" w:line="286" w:lineRule="auto"/>
        <w:ind w:left="12" w:right="108" w:firstLine="473"/>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3.2</w:t>
      </w:r>
      <w:r>
        <w:rPr>
          <w:rFonts w:hint="eastAsia" w:ascii="宋体" w:hAnsi="宋体" w:eastAsia="宋体" w:cs="宋体"/>
          <w:b/>
          <w:bCs/>
          <w:color w:val="auto"/>
          <w:spacing w:val="34"/>
          <w:w w:val="101"/>
          <w:sz w:val="24"/>
          <w:szCs w:val="24"/>
          <w:highlight w:val="none"/>
        </w:rPr>
        <w:t xml:space="preserve"> </w:t>
      </w:r>
      <w:r>
        <w:rPr>
          <w:rFonts w:hint="eastAsia" w:ascii="宋体" w:hAnsi="宋体" w:eastAsia="宋体" w:cs="宋体"/>
          <w:color w:val="auto"/>
          <w:spacing w:val="-1"/>
          <w:position w:val="2"/>
          <w:sz w:val="24"/>
          <w:szCs w:val="24"/>
          <w:highlight w:val="none"/>
        </w:rPr>
        <w:t>中标人根据《关于统一在市公共资源交易一体化服务平台缴退工程建设项目履约保证金的通知》办理相关手续，履约保证的形式包括履约保证金、履约保证担保、履约保证保险三种，由中标人自主选择</w:t>
      </w:r>
      <w:r>
        <w:rPr>
          <w:rFonts w:hint="eastAsia" w:ascii="宋体" w:hAnsi="宋体" w:eastAsia="宋体" w:cs="宋体"/>
          <w:color w:val="auto"/>
          <w:spacing w:val="-2"/>
          <w:sz w:val="24"/>
          <w:szCs w:val="24"/>
          <w:highlight w:val="none"/>
        </w:rPr>
        <w:t>。商业保函、银行保函或保险合同（或保险单）的</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1"/>
          <w:sz w:val="24"/>
          <w:szCs w:val="24"/>
          <w:highlight w:val="none"/>
        </w:rPr>
        <w:t>有效期应当自合同生效之日起至项目通过竣工验收之日后</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1"/>
          <w:sz w:val="24"/>
          <w:szCs w:val="24"/>
          <w:highlight w:val="none"/>
        </w:rPr>
        <w:t>28 天止。</w:t>
      </w:r>
    </w:p>
    <w:p w14:paraId="78DED6D5">
      <w:pPr>
        <w:wordWrap w:val="0"/>
        <w:spacing w:line="440" w:lineRule="exact"/>
        <w:ind w:firstLine="562"/>
        <w:rPr>
          <w:rFonts w:hint="eastAsia" w:ascii="宋体" w:hAnsi="宋体" w:eastAsia="宋体" w:cs="宋体"/>
          <w:color w:val="auto"/>
          <w:highlight w:val="none"/>
          <w:lang w:eastAsia="zh-CN"/>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position w:val="2"/>
          <w:sz w:val="24"/>
          <w:szCs w:val="24"/>
          <w:highlight w:val="none"/>
          <w:lang w:eastAsia="zh-CN"/>
        </w:rPr>
        <w:t>注：中标通知书发出时，招标人发起收缴履约保证金并填写保证金金额、缴交时限和项目工期；由中标人在建设工程交易系统中自主选择一种进行缴交。项目竣工后，由招标人发起退保。）</w:t>
      </w:r>
    </w:p>
    <w:p w14:paraId="5680480B">
      <w:pPr>
        <w:spacing w:before="145" w:line="319" w:lineRule="auto"/>
        <w:ind w:left="12" w:right="108"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3.3</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4"/>
          <w:sz w:val="24"/>
          <w:szCs w:val="24"/>
          <w:highlight w:val="none"/>
        </w:rPr>
        <w:t>中标人在领取中标通知书之日起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10 个工</w:t>
      </w:r>
      <w:r>
        <w:rPr>
          <w:rFonts w:hint="eastAsia" w:ascii="宋体" w:hAnsi="宋体" w:eastAsia="宋体" w:cs="宋体"/>
          <w:color w:val="auto"/>
          <w:spacing w:val="-5"/>
          <w:sz w:val="24"/>
          <w:szCs w:val="24"/>
          <w:highlight w:val="none"/>
        </w:rPr>
        <w:t>作日内仍未提交履约保证的，招标人发</w:t>
      </w:r>
      <w:r>
        <w:rPr>
          <w:rFonts w:hint="eastAsia" w:ascii="宋体" w:hAnsi="宋体" w:eastAsia="宋体" w:cs="宋体"/>
          <w:color w:val="auto"/>
          <w:spacing w:val="1"/>
          <w:sz w:val="24"/>
          <w:szCs w:val="24"/>
          <w:highlight w:val="none"/>
        </w:rPr>
        <w:t>出第一次提醒函；在领取中标通知书之日起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1"/>
          <w:sz w:val="24"/>
          <w:szCs w:val="24"/>
          <w:highlight w:val="none"/>
        </w:rPr>
        <w:t>15 个工作日内仍未提交的</w:t>
      </w:r>
      <w:r>
        <w:rPr>
          <w:rFonts w:hint="eastAsia" w:ascii="宋体" w:hAnsi="宋体" w:eastAsia="宋体" w:cs="宋体"/>
          <w:color w:val="auto"/>
          <w:sz w:val="24"/>
          <w:szCs w:val="24"/>
          <w:highlight w:val="none"/>
        </w:rPr>
        <w:t>，招标人发出第</w:t>
      </w:r>
      <w:r>
        <w:rPr>
          <w:rFonts w:hint="eastAsia" w:ascii="宋体" w:hAnsi="宋体" w:eastAsia="宋体" w:cs="宋体"/>
          <w:color w:val="auto"/>
          <w:spacing w:val="1"/>
          <w:sz w:val="24"/>
          <w:szCs w:val="24"/>
          <w:highlight w:val="none"/>
        </w:rPr>
        <w:t>二次提醒函；在领取中标通知书之日起</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1"/>
          <w:sz w:val="24"/>
          <w:szCs w:val="24"/>
          <w:highlight w:val="none"/>
        </w:rPr>
        <w:t>20 个工作日内仍未提交的，视其放弃中标。并</w:t>
      </w:r>
      <w:r>
        <w:rPr>
          <w:rFonts w:hint="eastAsia" w:ascii="宋体" w:hAnsi="宋体" w:eastAsia="宋体" w:cs="宋体"/>
          <w:color w:val="auto"/>
          <w:spacing w:val="-2"/>
          <w:sz w:val="24"/>
          <w:szCs w:val="24"/>
          <w:highlight w:val="none"/>
        </w:rPr>
        <w:t>由招标人通报建设行政管理部门。如采用商业保函、银行保函或保险合同方式缴纳履约保证金，在保函或保险合同到期前一个月，中标人须主动办理续期手续或提交新的商业</w:t>
      </w:r>
      <w:r>
        <w:rPr>
          <w:rFonts w:hint="eastAsia" w:ascii="宋体" w:hAnsi="宋体" w:eastAsia="宋体" w:cs="宋体"/>
          <w:color w:val="auto"/>
          <w:spacing w:val="-1"/>
          <w:sz w:val="24"/>
          <w:szCs w:val="24"/>
          <w:highlight w:val="none"/>
        </w:rPr>
        <w:t>保函、银行保函或保险合同。</w:t>
      </w:r>
    </w:p>
    <w:p w14:paraId="1772FFBF">
      <w:pPr>
        <w:spacing w:before="152" w:line="299" w:lineRule="auto"/>
        <w:ind w:left="12" w:right="108"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3.4  </w:t>
      </w:r>
      <w:r>
        <w:rPr>
          <w:rFonts w:hint="eastAsia" w:ascii="宋体" w:hAnsi="宋体" w:eastAsia="宋体" w:cs="宋体"/>
          <w:color w:val="auto"/>
          <w:sz w:val="24"/>
          <w:szCs w:val="24"/>
          <w:highlight w:val="none"/>
        </w:rPr>
        <w:t>在工程实施过程中，如果承包人（即招标阶段的中标人，下同）由于自身的资</w:t>
      </w:r>
      <w:r>
        <w:rPr>
          <w:rFonts w:hint="eastAsia" w:ascii="宋体" w:hAnsi="宋体" w:eastAsia="宋体" w:cs="宋体"/>
          <w:color w:val="auto"/>
          <w:spacing w:val="-2"/>
          <w:sz w:val="24"/>
          <w:szCs w:val="24"/>
          <w:highlight w:val="none"/>
        </w:rPr>
        <w:t>金、技术、质量、非不可抗力等原因给发包人（即招标阶段的招标人，下同）造成经济</w:t>
      </w:r>
      <w:r>
        <w:rPr>
          <w:rFonts w:hint="eastAsia" w:ascii="宋体" w:hAnsi="宋体" w:eastAsia="宋体" w:cs="宋体"/>
          <w:color w:val="auto"/>
          <w:spacing w:val="-1"/>
          <w:sz w:val="24"/>
          <w:szCs w:val="24"/>
          <w:highlight w:val="none"/>
        </w:rPr>
        <w:t>损失，发包人有权扣划相应金额的履约保证。</w:t>
      </w:r>
    </w:p>
    <w:p w14:paraId="10E237DB">
      <w:pPr>
        <w:spacing w:before="154" w:line="220" w:lineRule="auto"/>
        <w:ind w:left="48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3.5  </w:t>
      </w:r>
      <w:r>
        <w:rPr>
          <w:rFonts w:hint="eastAsia" w:ascii="宋体" w:hAnsi="宋体" w:eastAsia="宋体" w:cs="宋体"/>
          <w:color w:val="auto"/>
          <w:sz w:val="24"/>
          <w:szCs w:val="24"/>
          <w:highlight w:val="none"/>
        </w:rPr>
        <w:t>项目通过竣工验收之日后</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z w:val="24"/>
          <w:szCs w:val="24"/>
          <w:highlight w:val="none"/>
        </w:rPr>
        <w:t>28 天内，发包人将履</w:t>
      </w:r>
      <w:r>
        <w:rPr>
          <w:rFonts w:hint="eastAsia" w:ascii="宋体" w:hAnsi="宋体" w:eastAsia="宋体" w:cs="宋体"/>
          <w:color w:val="auto"/>
          <w:spacing w:val="-1"/>
          <w:sz w:val="24"/>
          <w:szCs w:val="24"/>
          <w:highlight w:val="none"/>
        </w:rPr>
        <w:t>约保证退还给承包人。</w:t>
      </w:r>
    </w:p>
    <w:p w14:paraId="432F8D77">
      <w:pPr>
        <w:pStyle w:val="5"/>
        <w:spacing w:line="256" w:lineRule="auto"/>
        <w:rPr>
          <w:rFonts w:hint="eastAsia" w:ascii="宋体" w:hAnsi="宋体" w:eastAsia="宋体" w:cs="宋体"/>
          <w:color w:val="auto"/>
          <w:highlight w:val="none"/>
        </w:rPr>
      </w:pPr>
    </w:p>
    <w:p w14:paraId="53274F32">
      <w:pPr>
        <w:pStyle w:val="5"/>
        <w:spacing w:line="257" w:lineRule="auto"/>
        <w:rPr>
          <w:rFonts w:hint="eastAsia" w:ascii="宋体" w:hAnsi="宋体" w:eastAsia="宋体" w:cs="宋体"/>
          <w:color w:val="auto"/>
          <w:highlight w:val="none"/>
        </w:rPr>
      </w:pPr>
    </w:p>
    <w:p w14:paraId="1374047A">
      <w:pPr>
        <w:spacing w:before="78" w:line="222" w:lineRule="auto"/>
        <w:ind w:left="488"/>
        <w:outlineLvl w:val="2"/>
        <w:rPr>
          <w:rFonts w:hint="eastAsia" w:ascii="宋体" w:hAnsi="宋体" w:eastAsia="宋体" w:cs="宋体"/>
          <w:color w:val="auto"/>
          <w:sz w:val="24"/>
          <w:szCs w:val="24"/>
          <w:highlight w:val="none"/>
        </w:rPr>
      </w:pPr>
      <w:bookmarkStart w:id="160" w:name="_Toc133"/>
      <w:r>
        <w:rPr>
          <w:rFonts w:hint="eastAsia" w:ascii="宋体" w:hAnsi="宋体" w:eastAsia="宋体" w:cs="宋体"/>
          <w:b/>
          <w:bCs/>
          <w:color w:val="auto"/>
          <w:spacing w:val="-8"/>
          <w:sz w:val="24"/>
          <w:szCs w:val="24"/>
          <w:highlight w:val="none"/>
        </w:rPr>
        <w:t>4</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b/>
          <w:bCs/>
          <w:color w:val="auto"/>
          <w:spacing w:val="-8"/>
          <w:sz w:val="24"/>
          <w:szCs w:val="24"/>
          <w:highlight w:val="none"/>
        </w:rPr>
        <w:t>．合同订立</w:t>
      </w:r>
      <w:bookmarkEnd w:id="160"/>
    </w:p>
    <w:p w14:paraId="1A200521">
      <w:pPr>
        <w:spacing w:before="150" w:line="279" w:lineRule="auto"/>
        <w:ind w:left="13" w:right="108"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4.1  </w:t>
      </w:r>
      <w:r>
        <w:rPr>
          <w:rFonts w:hint="eastAsia" w:ascii="宋体" w:hAnsi="宋体" w:eastAsia="宋体" w:cs="宋体"/>
          <w:color w:val="auto"/>
          <w:sz w:val="24"/>
          <w:szCs w:val="24"/>
          <w:highlight w:val="none"/>
        </w:rPr>
        <w:t>招标人应当自中标通知书发出之日起</w:t>
      </w:r>
      <w:r>
        <w:rPr>
          <w:rFonts w:hint="eastAsia" w:ascii="宋体" w:hAnsi="宋体" w:eastAsia="宋体" w:cs="宋体"/>
          <w:color w:val="auto"/>
          <w:sz w:val="24"/>
          <w:szCs w:val="24"/>
          <w:highlight w:val="none"/>
          <w:u w:val="single"/>
          <w:lang w:val="en-US" w:eastAsia="zh-CN"/>
        </w:rPr>
        <w:t xml:space="preserve"> 三十 </w:t>
      </w:r>
      <w:r>
        <w:rPr>
          <w:rFonts w:hint="eastAsia" w:ascii="宋体" w:hAnsi="宋体" w:eastAsia="宋体" w:cs="宋体"/>
          <w:color w:val="auto"/>
          <w:sz w:val="24"/>
          <w:szCs w:val="24"/>
          <w:highlight w:val="none"/>
        </w:rPr>
        <w:t>日内，按照招标文件、中标人的投标</w:t>
      </w:r>
      <w:r>
        <w:rPr>
          <w:rFonts w:hint="eastAsia" w:ascii="宋体" w:hAnsi="宋体" w:eastAsia="宋体" w:cs="宋体"/>
          <w:color w:val="auto"/>
          <w:spacing w:val="-1"/>
          <w:sz w:val="24"/>
          <w:szCs w:val="24"/>
          <w:highlight w:val="none"/>
        </w:rPr>
        <w:t>文件与中标人订立书面合同。</w:t>
      </w:r>
    </w:p>
    <w:p w14:paraId="2679C49D">
      <w:pPr>
        <w:spacing w:before="156" w:line="219"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4.2  </w:t>
      </w:r>
      <w:r>
        <w:rPr>
          <w:rFonts w:hint="eastAsia" w:ascii="宋体" w:hAnsi="宋体" w:eastAsia="宋体" w:cs="宋体"/>
          <w:color w:val="auto"/>
          <w:spacing w:val="-1"/>
          <w:sz w:val="24"/>
          <w:szCs w:val="24"/>
          <w:highlight w:val="none"/>
        </w:rPr>
        <w:t>不正常报价的梳理和确认</w:t>
      </w:r>
    </w:p>
    <w:p w14:paraId="4BC8F1D0">
      <w:pPr>
        <w:spacing w:before="154" w:line="299" w:lineRule="auto"/>
        <w:ind w:left="14" w:right="64"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4.2.1 合同订立期间，在不改变中标人的投标总价的前提下，招标人应对中标人的</w:t>
      </w:r>
      <w:r>
        <w:rPr>
          <w:rFonts w:hint="eastAsia" w:ascii="宋体" w:hAnsi="宋体" w:eastAsia="宋体" w:cs="宋体"/>
          <w:b/>
          <w:bCs/>
          <w:color w:val="auto"/>
          <w:spacing w:val="-3"/>
          <w:sz w:val="24"/>
          <w:szCs w:val="24"/>
          <w:highlight w:val="none"/>
        </w:rPr>
        <w:t>投标报价进行全面分析和整理，从而发现并提取其中可能存在的算术性错误、错漏项、不平衡报价等不正常报价，并修正其中的算术性错误。</w:t>
      </w:r>
      <w:r>
        <w:rPr>
          <w:rFonts w:hint="eastAsia" w:ascii="宋体" w:hAnsi="宋体" w:eastAsia="宋体" w:cs="宋体"/>
          <w:color w:val="auto"/>
          <w:spacing w:val="-3"/>
          <w:sz w:val="24"/>
          <w:szCs w:val="24"/>
          <w:highlight w:val="none"/>
        </w:rPr>
        <w:t>招标人不具备</w:t>
      </w:r>
      <w:r>
        <w:rPr>
          <w:rFonts w:hint="eastAsia" w:ascii="宋体" w:hAnsi="宋体" w:eastAsia="宋体" w:cs="宋体"/>
          <w:color w:val="auto"/>
          <w:spacing w:val="-4"/>
          <w:sz w:val="24"/>
          <w:szCs w:val="24"/>
          <w:highlight w:val="none"/>
        </w:rPr>
        <w:t>以上能力的，可授</w:t>
      </w:r>
      <w:r>
        <w:rPr>
          <w:rFonts w:hint="eastAsia" w:ascii="宋体" w:hAnsi="宋体" w:eastAsia="宋体" w:cs="宋体"/>
          <w:color w:val="auto"/>
          <w:spacing w:val="-1"/>
          <w:sz w:val="24"/>
          <w:szCs w:val="24"/>
          <w:highlight w:val="none"/>
        </w:rPr>
        <w:t>权编制本项目</w:t>
      </w:r>
      <w:r>
        <w:rPr>
          <w:rFonts w:hint="eastAsia" w:ascii="宋体" w:hAnsi="宋体" w:eastAsia="宋体" w:cs="宋体"/>
          <w:color w:val="auto"/>
          <w:spacing w:val="-1"/>
          <w:sz w:val="24"/>
          <w:szCs w:val="24"/>
          <w:highlight w:val="none"/>
          <w:lang w:eastAsia="zh-CN"/>
        </w:rPr>
        <w:t>最高投标限价</w:t>
      </w:r>
      <w:r>
        <w:rPr>
          <w:rFonts w:hint="eastAsia" w:ascii="宋体" w:hAnsi="宋体" w:eastAsia="宋体" w:cs="宋体"/>
          <w:color w:val="auto"/>
          <w:spacing w:val="-1"/>
          <w:sz w:val="24"/>
          <w:szCs w:val="24"/>
          <w:highlight w:val="none"/>
        </w:rPr>
        <w:t>的造价咨询单位实施。</w:t>
      </w:r>
    </w:p>
    <w:p w14:paraId="4CE5699A">
      <w:pPr>
        <w:spacing w:before="121" w:line="309" w:lineRule="auto"/>
        <w:ind w:left="14" w:right="65"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4.2.2  </w:t>
      </w:r>
      <w:r>
        <w:rPr>
          <w:rFonts w:hint="eastAsia" w:ascii="宋体" w:hAnsi="宋体" w:eastAsia="宋体" w:cs="宋体"/>
          <w:color w:val="auto"/>
          <w:spacing w:val="2"/>
          <w:sz w:val="24"/>
          <w:szCs w:val="24"/>
          <w:highlight w:val="none"/>
        </w:rPr>
        <w:t>算术性错误的分析和修正。投标报价汇</w:t>
      </w:r>
      <w:r>
        <w:rPr>
          <w:rFonts w:hint="eastAsia" w:ascii="宋体" w:hAnsi="宋体" w:eastAsia="宋体" w:cs="宋体"/>
          <w:color w:val="auto"/>
          <w:spacing w:val="1"/>
          <w:sz w:val="24"/>
          <w:szCs w:val="24"/>
          <w:highlight w:val="none"/>
        </w:rPr>
        <w:t>总表中，投标总价与各分项费用之和</w:t>
      </w:r>
      <w:r>
        <w:rPr>
          <w:rFonts w:hint="eastAsia" w:ascii="宋体" w:hAnsi="宋体" w:eastAsia="宋体" w:cs="宋体"/>
          <w:color w:val="auto"/>
          <w:spacing w:val="-2"/>
          <w:sz w:val="24"/>
          <w:szCs w:val="24"/>
          <w:highlight w:val="none"/>
        </w:rPr>
        <w:t>不一致的，以投标总价为准修正分项费用；投标报价汇总表的各分项费用与对应分项表中的费用不一致的，以投标报价汇总表中的分项费用为准修正对应分项表中的费用；各</w:t>
      </w:r>
      <w:r>
        <w:rPr>
          <w:rFonts w:hint="eastAsia" w:ascii="宋体" w:hAnsi="宋体" w:eastAsia="宋体" w:cs="宋体"/>
          <w:color w:val="auto"/>
          <w:sz w:val="24"/>
          <w:szCs w:val="24"/>
          <w:highlight w:val="none"/>
        </w:rPr>
        <w:t>分项表中总价金额与依据单价计算出的结果不</w:t>
      </w:r>
      <w:r>
        <w:rPr>
          <w:rFonts w:hint="eastAsia" w:ascii="宋体" w:hAnsi="宋体" w:eastAsia="宋体" w:cs="宋体"/>
          <w:color w:val="auto"/>
          <w:spacing w:val="-1"/>
          <w:sz w:val="24"/>
          <w:szCs w:val="24"/>
          <w:highlight w:val="none"/>
        </w:rPr>
        <w:t>一致的，以总价为准修正单价。</w:t>
      </w:r>
    </w:p>
    <w:p w14:paraId="11DE13F3">
      <w:pPr>
        <w:spacing w:before="157" w:line="279" w:lineRule="auto"/>
        <w:ind w:left="12" w:right="66"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4.2.3  </w:t>
      </w:r>
      <w:r>
        <w:rPr>
          <w:rFonts w:hint="eastAsia" w:ascii="宋体" w:hAnsi="宋体" w:eastAsia="宋体" w:cs="宋体"/>
          <w:color w:val="auto"/>
          <w:spacing w:val="2"/>
          <w:sz w:val="24"/>
          <w:szCs w:val="24"/>
          <w:highlight w:val="none"/>
        </w:rPr>
        <w:t>错漏项的认定。中标人已标价工程量清</w:t>
      </w:r>
      <w:r>
        <w:rPr>
          <w:rFonts w:hint="eastAsia" w:ascii="宋体" w:hAnsi="宋体" w:eastAsia="宋体" w:cs="宋体"/>
          <w:color w:val="auto"/>
          <w:spacing w:val="1"/>
          <w:sz w:val="24"/>
          <w:szCs w:val="24"/>
          <w:highlight w:val="none"/>
        </w:rPr>
        <w:t>单中，任一清单项目未填报价格或价</w:t>
      </w:r>
      <w:r>
        <w:rPr>
          <w:rFonts w:hint="eastAsia" w:ascii="宋体" w:hAnsi="宋体" w:eastAsia="宋体" w:cs="宋体"/>
          <w:color w:val="auto"/>
          <w:spacing w:val="-1"/>
          <w:sz w:val="24"/>
          <w:szCs w:val="24"/>
          <w:highlight w:val="none"/>
        </w:rPr>
        <w:t>格为零的，视为错漏项。</w:t>
      </w:r>
    </w:p>
    <w:p w14:paraId="59E7D3F9">
      <w:pPr>
        <w:spacing w:before="121" w:line="360" w:lineRule="auto"/>
        <w:ind w:firstLine="490"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4.2.4  </w:t>
      </w:r>
      <w:r>
        <w:rPr>
          <w:rFonts w:hint="eastAsia" w:ascii="宋体" w:hAnsi="宋体" w:eastAsia="宋体" w:cs="宋体"/>
          <w:color w:val="auto"/>
          <w:spacing w:val="2"/>
          <w:sz w:val="24"/>
          <w:szCs w:val="24"/>
          <w:highlight w:val="none"/>
        </w:rPr>
        <w:t>不平衡报价的认定。经修正算术性错误后的中标人已标价工程量清单中，</w:t>
      </w:r>
      <w:r>
        <w:rPr>
          <w:rFonts w:hint="eastAsia" w:ascii="宋体" w:hAnsi="宋体" w:eastAsia="宋体" w:cs="宋体"/>
          <w:color w:val="auto"/>
          <w:spacing w:val="2"/>
          <w:sz w:val="24"/>
          <w:szCs w:val="24"/>
          <w:highlight w:val="none"/>
          <w:u w:val="single"/>
        </w:rPr>
        <w:t>对于投标报价中综合单价相对</w:t>
      </w:r>
      <w:r>
        <w:rPr>
          <w:rFonts w:hint="eastAsia" w:ascii="宋体" w:hAnsi="宋体" w:eastAsia="宋体" w:cs="宋体"/>
          <w:color w:val="auto"/>
          <w:spacing w:val="2"/>
          <w:sz w:val="24"/>
          <w:szCs w:val="24"/>
          <w:highlight w:val="none"/>
          <w:u w:val="single"/>
          <w:lang w:eastAsia="zh-CN"/>
        </w:rPr>
        <w:t>最高投标限价</w:t>
      </w:r>
      <w:r>
        <w:rPr>
          <w:rFonts w:hint="eastAsia" w:ascii="宋体" w:hAnsi="宋体" w:eastAsia="宋体" w:cs="宋体"/>
          <w:color w:val="auto"/>
          <w:spacing w:val="2"/>
          <w:sz w:val="24"/>
          <w:szCs w:val="24"/>
          <w:highlight w:val="none"/>
          <w:u w:val="single"/>
        </w:rPr>
        <w:t xml:space="preserve">《分部分项工程和单价措施项目清单与计价表》中对应综合单价的偏差大于±15% </w:t>
      </w:r>
      <w:r>
        <w:rPr>
          <w:rFonts w:hint="eastAsia" w:ascii="宋体" w:hAnsi="宋体" w:eastAsia="宋体" w:cs="宋体"/>
          <w:color w:val="auto"/>
          <w:spacing w:val="2"/>
          <w:sz w:val="24"/>
          <w:szCs w:val="24"/>
          <w:highlight w:val="none"/>
          <w:u w:val="none"/>
        </w:rPr>
        <w:t>的清</w:t>
      </w:r>
      <w:r>
        <w:rPr>
          <w:rFonts w:hint="eastAsia" w:ascii="宋体" w:hAnsi="宋体" w:eastAsia="宋体" w:cs="宋体"/>
          <w:color w:val="auto"/>
          <w:spacing w:val="-3"/>
          <w:sz w:val="24"/>
          <w:szCs w:val="24"/>
          <w:highlight w:val="none"/>
          <w:u w:val="none"/>
        </w:rPr>
        <w:t>单项目</w:t>
      </w:r>
      <w:r>
        <w:rPr>
          <w:rFonts w:hint="eastAsia" w:ascii="宋体" w:hAnsi="宋体" w:eastAsia="宋体" w:cs="宋体"/>
          <w:color w:val="auto"/>
          <w:spacing w:val="-3"/>
          <w:sz w:val="24"/>
          <w:szCs w:val="24"/>
          <w:highlight w:val="none"/>
        </w:rPr>
        <w:t>，视为不平衡报价项目。</w:t>
      </w:r>
    </w:p>
    <w:p w14:paraId="4DB1B0CA">
      <w:pPr>
        <w:spacing w:before="146" w:line="330" w:lineRule="auto"/>
        <w:ind w:left="10" w:right="65" w:firstLine="478"/>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4.2.5 </w:t>
      </w:r>
      <w:r>
        <w:rPr>
          <w:rFonts w:hint="eastAsia" w:ascii="宋体" w:hAnsi="宋体" w:eastAsia="宋体" w:cs="宋体"/>
          <w:color w:val="auto"/>
          <w:spacing w:val="-3"/>
          <w:sz w:val="24"/>
          <w:szCs w:val="24"/>
          <w:highlight w:val="none"/>
        </w:rPr>
        <w:t>施工合同签订前，招标人或其授权的造价咨询单位应就发现的以上所有不平衡报价进行修正，形成《不平衡报价修正报告》，并由招标人和中标人共同签章确认，构成施工合同的组成部分。</w:t>
      </w:r>
    </w:p>
    <w:p w14:paraId="57725225">
      <w:pPr>
        <w:spacing w:before="34" w:line="326" w:lineRule="auto"/>
        <w:ind w:left="12" w:right="65" w:firstLine="47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4.2.6 合同履行过程中，被认定为错漏项的清单项目，结算时按照第三章“拟签订</w:t>
      </w:r>
      <w:r>
        <w:rPr>
          <w:rFonts w:hint="eastAsia" w:ascii="宋体" w:hAnsi="宋体" w:eastAsia="宋体" w:cs="宋体"/>
          <w:b/>
          <w:bCs/>
          <w:color w:val="auto"/>
          <w:spacing w:val="-6"/>
          <w:sz w:val="24"/>
          <w:szCs w:val="24"/>
          <w:highlight w:val="none"/>
        </w:rPr>
        <w:t>合同的主要条款</w:t>
      </w:r>
      <w:r>
        <w:rPr>
          <w:rFonts w:hint="eastAsia" w:ascii="宋体" w:hAnsi="宋体" w:eastAsia="宋体" w:cs="宋体"/>
          <w:color w:val="auto"/>
          <w:spacing w:val="-77"/>
          <w:sz w:val="24"/>
          <w:szCs w:val="24"/>
          <w:highlight w:val="none"/>
        </w:rPr>
        <w:t xml:space="preserve"> </w:t>
      </w:r>
      <w:r>
        <w:rPr>
          <w:rFonts w:hint="eastAsia" w:ascii="宋体" w:hAnsi="宋体" w:eastAsia="宋体" w:cs="宋体"/>
          <w:b/>
          <w:bCs/>
          <w:color w:val="auto"/>
          <w:spacing w:val="-6"/>
          <w:sz w:val="24"/>
          <w:szCs w:val="24"/>
          <w:highlight w:val="none"/>
        </w:rPr>
        <w:t>”规定处理。</w:t>
      </w:r>
    </w:p>
    <w:p w14:paraId="6AFE27E5">
      <w:pPr>
        <w:spacing w:before="33" w:line="317" w:lineRule="auto"/>
        <w:ind w:left="12" w:right="38" w:firstLine="476"/>
        <w:jc w:val="both"/>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4.2.7  合同履行过程中，合同约定的调</w:t>
      </w:r>
      <w:r>
        <w:rPr>
          <w:rFonts w:hint="eastAsia" w:ascii="宋体" w:hAnsi="宋体" w:eastAsia="宋体" w:cs="宋体"/>
          <w:b/>
          <w:bCs/>
          <w:color w:val="auto"/>
          <w:spacing w:val="-1"/>
          <w:sz w:val="24"/>
          <w:szCs w:val="24"/>
          <w:highlight w:val="none"/>
        </w:rPr>
        <w:t>整因素（如工程量偏差、工程变更、项目特</w:t>
      </w:r>
      <w:r>
        <w:rPr>
          <w:rFonts w:hint="eastAsia" w:ascii="宋体" w:hAnsi="宋体" w:eastAsia="宋体" w:cs="宋体"/>
          <w:b/>
          <w:bCs/>
          <w:color w:val="auto"/>
          <w:spacing w:val="-4"/>
          <w:sz w:val="24"/>
          <w:szCs w:val="24"/>
          <w:highlight w:val="none"/>
        </w:rPr>
        <w:t>征不符、招标工程量清单缺项等）出现时，被认定为不平衡报价的清单项目以及</w:t>
      </w:r>
      <w:r>
        <w:rPr>
          <w:rFonts w:hint="eastAsia" w:ascii="宋体" w:hAnsi="宋体" w:eastAsia="宋体" w:cs="宋体"/>
          <w:b/>
          <w:bCs/>
          <w:color w:val="auto"/>
          <w:spacing w:val="-5"/>
          <w:sz w:val="24"/>
          <w:szCs w:val="24"/>
          <w:highlight w:val="none"/>
        </w:rPr>
        <w:t>采用被</w:t>
      </w:r>
      <w:r>
        <w:rPr>
          <w:rFonts w:hint="eastAsia" w:ascii="宋体" w:hAnsi="宋体" w:eastAsia="宋体" w:cs="宋体"/>
          <w:b/>
          <w:bCs/>
          <w:color w:val="auto"/>
          <w:spacing w:val="-3"/>
          <w:sz w:val="24"/>
          <w:szCs w:val="24"/>
          <w:highlight w:val="none"/>
        </w:rPr>
        <w:t>认定为不平衡报价的清单项目的价格作为取价（或参照取</w:t>
      </w:r>
      <w:r>
        <w:rPr>
          <w:rFonts w:hint="eastAsia" w:ascii="宋体" w:hAnsi="宋体" w:eastAsia="宋体" w:cs="宋体"/>
          <w:b/>
          <w:bCs/>
          <w:color w:val="auto"/>
          <w:spacing w:val="-4"/>
          <w:sz w:val="24"/>
          <w:szCs w:val="24"/>
          <w:highlight w:val="none"/>
        </w:rPr>
        <w:t>价）依据的变更、新增项目，</w:t>
      </w: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pacing w:val="-3"/>
          <w:sz w:val="24"/>
          <w:szCs w:val="24"/>
          <w:highlight w:val="none"/>
        </w:rPr>
        <w:t>按照第三章“拟签订合同的主要条款</w:t>
      </w:r>
      <w:r>
        <w:rPr>
          <w:rFonts w:hint="eastAsia" w:ascii="宋体" w:hAnsi="宋体" w:eastAsia="宋体" w:cs="宋体"/>
          <w:color w:val="auto"/>
          <w:spacing w:val="-86"/>
          <w:sz w:val="24"/>
          <w:szCs w:val="24"/>
          <w:highlight w:val="none"/>
        </w:rPr>
        <w:t xml:space="preserve"> </w:t>
      </w:r>
      <w:r>
        <w:rPr>
          <w:rFonts w:hint="eastAsia" w:ascii="宋体" w:hAnsi="宋体" w:eastAsia="宋体" w:cs="宋体"/>
          <w:b/>
          <w:bCs/>
          <w:color w:val="auto"/>
          <w:spacing w:val="-3"/>
          <w:sz w:val="24"/>
          <w:szCs w:val="24"/>
          <w:highlight w:val="none"/>
        </w:rPr>
        <w:t>”有关规定调整</w:t>
      </w:r>
      <w:r>
        <w:rPr>
          <w:rFonts w:hint="eastAsia" w:ascii="宋体" w:hAnsi="宋体" w:eastAsia="宋体" w:cs="宋体"/>
          <w:b/>
          <w:bCs/>
          <w:color w:val="auto"/>
          <w:spacing w:val="-4"/>
          <w:sz w:val="24"/>
          <w:szCs w:val="24"/>
          <w:highlight w:val="none"/>
        </w:rPr>
        <w:t>合同价款。</w:t>
      </w:r>
    </w:p>
    <w:p w14:paraId="505FDF3C">
      <w:pPr>
        <w:spacing w:before="87" w:line="276"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4.3  </w:t>
      </w:r>
      <w:r>
        <w:rPr>
          <w:rFonts w:hint="eastAsia" w:ascii="宋体" w:hAnsi="宋体" w:eastAsia="宋体" w:cs="宋体"/>
          <w:color w:val="auto"/>
          <w:sz w:val="24"/>
          <w:szCs w:val="24"/>
          <w:highlight w:val="none"/>
        </w:rPr>
        <w:t>本招标项目合同计价方式为：</w:t>
      </w:r>
      <w:r>
        <w:rPr>
          <w:rFonts w:hint="eastAsia" w:ascii="宋体" w:hAnsi="宋体" w:eastAsia="宋体" w:cs="宋体"/>
          <w:color w:val="auto"/>
          <w:sz w:val="24"/>
          <w:szCs w:val="24"/>
          <w:highlight w:val="none"/>
          <w:u w:val="single"/>
        </w:rPr>
        <w:t xml:space="preserve"> 单价 </w:t>
      </w:r>
      <w:r>
        <w:rPr>
          <w:rFonts w:hint="eastAsia" w:ascii="宋体" w:hAnsi="宋体" w:eastAsia="宋体" w:cs="宋体"/>
          <w:color w:val="auto"/>
          <w:spacing w:val="-1"/>
          <w:sz w:val="24"/>
          <w:szCs w:val="24"/>
          <w:highlight w:val="none"/>
        </w:rPr>
        <w:t>合同。</w:t>
      </w:r>
    </w:p>
    <w:p w14:paraId="5126E8F2">
      <w:pPr>
        <w:spacing w:before="120" w:line="298" w:lineRule="auto"/>
        <w:ind w:left="11" w:right="28"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 xml:space="preserve">4.4  </w:t>
      </w:r>
      <w:r>
        <w:rPr>
          <w:rFonts w:hint="eastAsia" w:ascii="宋体" w:hAnsi="宋体" w:eastAsia="宋体" w:cs="宋体"/>
          <w:color w:val="auto"/>
          <w:spacing w:val="-4"/>
          <w:sz w:val="24"/>
          <w:szCs w:val="24"/>
          <w:highlight w:val="none"/>
        </w:rPr>
        <w:t>合同的标的、质量、履行期限条款和合同的价款、单</w:t>
      </w:r>
      <w:r>
        <w:rPr>
          <w:rFonts w:hint="eastAsia" w:ascii="宋体" w:hAnsi="宋体" w:eastAsia="宋体" w:cs="宋体"/>
          <w:color w:val="auto"/>
          <w:spacing w:val="-5"/>
          <w:sz w:val="24"/>
          <w:szCs w:val="24"/>
          <w:highlight w:val="none"/>
        </w:rPr>
        <w:t>价、比例条款等主要条款，</w:t>
      </w:r>
      <w:r>
        <w:rPr>
          <w:rFonts w:hint="eastAsia" w:ascii="宋体" w:hAnsi="宋体" w:eastAsia="宋体" w:cs="宋体"/>
          <w:color w:val="auto"/>
          <w:spacing w:val="-2"/>
          <w:sz w:val="24"/>
          <w:szCs w:val="24"/>
          <w:highlight w:val="none"/>
        </w:rPr>
        <w:t>应当与招标文件、中标人的投标文件的内容一致。中标人在签订合同时不得向招标人提出附加条件。</w:t>
      </w:r>
    </w:p>
    <w:p w14:paraId="1A98BEF7">
      <w:pPr>
        <w:spacing w:before="158" w:line="298" w:lineRule="auto"/>
        <w:ind w:left="12" w:right="9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4.5  </w:t>
      </w:r>
      <w:r>
        <w:rPr>
          <w:rFonts w:hint="eastAsia" w:ascii="宋体" w:hAnsi="宋体" w:eastAsia="宋体" w:cs="宋体"/>
          <w:color w:val="auto"/>
          <w:spacing w:val="-3"/>
          <w:sz w:val="24"/>
          <w:szCs w:val="24"/>
          <w:highlight w:val="none"/>
        </w:rPr>
        <w:t>若中标人在领取中标通知书之日起</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4"/>
          <w:sz w:val="24"/>
          <w:szCs w:val="24"/>
          <w:highlight w:val="none"/>
        </w:rPr>
        <w:t>30天内仍未签订合同，招标人发出第一次提</w:t>
      </w:r>
      <w:r>
        <w:rPr>
          <w:rFonts w:hint="eastAsia" w:ascii="宋体" w:hAnsi="宋体" w:eastAsia="宋体" w:cs="宋体"/>
          <w:color w:val="auto"/>
          <w:spacing w:val="1"/>
          <w:sz w:val="24"/>
          <w:szCs w:val="24"/>
          <w:highlight w:val="none"/>
        </w:rPr>
        <w:t>醒函；在领取中标通知书之日起</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1"/>
          <w:sz w:val="24"/>
          <w:szCs w:val="24"/>
          <w:highlight w:val="none"/>
        </w:rPr>
        <w:t>40天内仍未签订，招标人发出第二次提醒函；在</w:t>
      </w:r>
      <w:r>
        <w:rPr>
          <w:rFonts w:hint="eastAsia" w:ascii="宋体" w:hAnsi="宋体" w:eastAsia="宋体" w:cs="宋体"/>
          <w:color w:val="auto"/>
          <w:sz w:val="24"/>
          <w:szCs w:val="24"/>
          <w:highlight w:val="none"/>
        </w:rPr>
        <w:t>领取</w:t>
      </w:r>
      <w:r>
        <w:rPr>
          <w:rFonts w:hint="eastAsia" w:ascii="宋体" w:hAnsi="宋体" w:eastAsia="宋体" w:cs="宋体"/>
          <w:color w:val="auto"/>
          <w:spacing w:val="-1"/>
          <w:sz w:val="24"/>
          <w:szCs w:val="24"/>
          <w:highlight w:val="none"/>
        </w:rPr>
        <w:t>中标通知书之日起</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1"/>
          <w:sz w:val="24"/>
          <w:szCs w:val="24"/>
          <w:highlight w:val="none"/>
        </w:rPr>
        <w:t>45天内仍未签订，视其放弃中标。</w:t>
      </w:r>
    </w:p>
    <w:p w14:paraId="2096A616">
      <w:pPr>
        <w:spacing w:before="155" w:line="299" w:lineRule="auto"/>
        <w:ind w:left="12" w:right="82"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4.6  </w:t>
      </w:r>
      <w:r>
        <w:rPr>
          <w:rFonts w:hint="eastAsia" w:ascii="宋体" w:hAnsi="宋体" w:eastAsia="宋体" w:cs="宋体"/>
          <w:color w:val="auto"/>
          <w:sz w:val="24"/>
          <w:szCs w:val="24"/>
          <w:highlight w:val="none"/>
        </w:rPr>
        <w:t>在书面合同订立之日起</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z w:val="24"/>
          <w:szCs w:val="24"/>
          <w:highlight w:val="none"/>
        </w:rPr>
        <w:t>2 个工作日内，由中标人或招标代理机构将合同上传至</w:t>
      </w:r>
      <w:r>
        <w:rPr>
          <w:rFonts w:hint="eastAsia" w:ascii="宋体" w:hAnsi="宋体" w:eastAsia="宋体" w:cs="宋体"/>
          <w:color w:val="auto"/>
          <w:spacing w:val="-2"/>
          <w:sz w:val="24"/>
          <w:szCs w:val="24"/>
          <w:highlight w:val="none"/>
        </w:rPr>
        <w:t>建设工程交易系统，并发起退还投标保证的申请。韶关市公共资源交易中心在收到申请之日起</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2"/>
          <w:sz w:val="24"/>
          <w:szCs w:val="24"/>
          <w:highlight w:val="none"/>
        </w:rPr>
        <w:t>3 个工作日内，将投标保证金（或银行保函）退还给中标人和其他中标候选人。</w:t>
      </w:r>
    </w:p>
    <w:p w14:paraId="736E5DE8">
      <w:pPr>
        <w:spacing w:before="78" w:line="220" w:lineRule="auto"/>
        <w:ind w:left="489"/>
        <w:outlineLvl w:val="2"/>
        <w:rPr>
          <w:rFonts w:hint="eastAsia" w:ascii="宋体" w:hAnsi="宋体" w:eastAsia="宋体" w:cs="宋体"/>
          <w:color w:val="auto"/>
          <w:sz w:val="24"/>
          <w:szCs w:val="24"/>
          <w:highlight w:val="none"/>
        </w:rPr>
      </w:pPr>
      <w:bookmarkStart w:id="161" w:name="_Toc4089"/>
      <w:r>
        <w:rPr>
          <w:rFonts w:hint="eastAsia" w:ascii="宋体" w:hAnsi="宋体" w:eastAsia="宋体" w:cs="宋体"/>
          <w:b/>
          <w:bCs/>
          <w:color w:val="auto"/>
          <w:spacing w:val="-6"/>
          <w:sz w:val="24"/>
          <w:szCs w:val="24"/>
          <w:highlight w:val="none"/>
        </w:rPr>
        <w:t>5</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6"/>
          <w:sz w:val="24"/>
          <w:szCs w:val="24"/>
          <w:highlight w:val="none"/>
        </w:rPr>
        <w:t>．放弃中标的处理</w:t>
      </w:r>
      <w:bookmarkEnd w:id="161"/>
    </w:p>
    <w:p w14:paraId="148812D5">
      <w:pPr>
        <w:spacing w:before="150" w:line="319" w:lineRule="auto"/>
        <w:ind w:left="12" w:right="91" w:firstLine="477"/>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5.1</w:t>
      </w:r>
      <w:r>
        <w:rPr>
          <w:rFonts w:hint="eastAsia" w:ascii="宋体" w:hAnsi="宋体" w:eastAsia="宋体" w:cs="宋体"/>
          <w:b/>
          <w:bCs/>
          <w:color w:val="auto"/>
          <w:spacing w:val="19"/>
          <w:w w:val="101"/>
          <w:sz w:val="24"/>
          <w:szCs w:val="24"/>
          <w:highlight w:val="none"/>
        </w:rPr>
        <w:t xml:space="preserve">  </w:t>
      </w:r>
      <w:r>
        <w:rPr>
          <w:rFonts w:hint="eastAsia" w:ascii="宋体" w:hAnsi="宋体" w:eastAsia="宋体" w:cs="宋体"/>
          <w:color w:val="auto"/>
          <w:spacing w:val="-1"/>
          <w:sz w:val="24"/>
          <w:szCs w:val="24"/>
          <w:highlight w:val="none"/>
        </w:rPr>
        <w:t>中标人无正当理由放弃中标的，取消其中标资格，其投标保证不予退还，给招</w:t>
      </w:r>
      <w:r>
        <w:rPr>
          <w:rFonts w:hint="eastAsia" w:ascii="宋体" w:hAnsi="宋体" w:eastAsia="宋体" w:cs="宋体"/>
          <w:color w:val="auto"/>
          <w:spacing w:val="-2"/>
          <w:sz w:val="24"/>
          <w:szCs w:val="24"/>
          <w:highlight w:val="none"/>
        </w:rPr>
        <w:t>标人造成的损失超过投标保证金额的，弃标人还应当对超过部分予以赔偿。招标人可按照评标委员会提交的中标候选人名单排序依次确定其他中标候选人为中标人，如果招标人认为其他中标候选人的条件明显不利于招标人的，也可以重新招标。因此种情况造成招标人重新招标的，招标人可不接受该弃标人再次投标。同时，</w:t>
      </w:r>
      <w:r>
        <w:rPr>
          <w:rFonts w:hint="eastAsia" w:ascii="宋体" w:hAnsi="宋体" w:eastAsia="宋体" w:cs="宋体"/>
          <w:b/>
          <w:bCs/>
          <w:color w:val="auto"/>
          <w:spacing w:val="-2"/>
          <w:sz w:val="24"/>
          <w:szCs w:val="24"/>
          <w:highlight w:val="none"/>
        </w:rPr>
        <w:t>招</w:t>
      </w:r>
      <w:r>
        <w:rPr>
          <w:rFonts w:hint="eastAsia" w:ascii="宋体" w:hAnsi="宋体" w:eastAsia="宋体" w:cs="宋体"/>
          <w:b/>
          <w:bCs/>
          <w:color w:val="auto"/>
          <w:spacing w:val="-3"/>
          <w:sz w:val="24"/>
          <w:szCs w:val="24"/>
          <w:highlight w:val="none"/>
        </w:rPr>
        <w:t>标人应将该弃标人的失信行为向行政监督部门报告。</w:t>
      </w:r>
    </w:p>
    <w:p w14:paraId="7BD56114">
      <w:pPr>
        <w:spacing w:before="79" w:line="298" w:lineRule="auto"/>
        <w:ind w:left="10" w:right="91" w:firstLine="479"/>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5.2</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5"/>
          <w:sz w:val="24"/>
          <w:szCs w:val="24"/>
          <w:highlight w:val="none"/>
        </w:rPr>
        <w:t>中标人因不可抗力提出不能履行合同的，须在领取中标通知书之日起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5"/>
          <w:sz w:val="24"/>
          <w:szCs w:val="24"/>
          <w:highlight w:val="none"/>
        </w:rPr>
        <w:t>10天</w:t>
      </w:r>
      <w:r>
        <w:rPr>
          <w:rFonts w:hint="eastAsia" w:ascii="宋体" w:hAnsi="宋体" w:eastAsia="宋体" w:cs="宋体"/>
          <w:color w:val="auto"/>
          <w:spacing w:val="-6"/>
          <w:sz w:val="24"/>
          <w:szCs w:val="24"/>
          <w:highlight w:val="none"/>
        </w:rPr>
        <w:t>内提</w:t>
      </w:r>
      <w:r>
        <w:rPr>
          <w:rFonts w:hint="eastAsia" w:ascii="宋体" w:hAnsi="宋体" w:eastAsia="宋体" w:cs="宋体"/>
          <w:color w:val="auto"/>
          <w:spacing w:val="-2"/>
          <w:sz w:val="24"/>
          <w:szCs w:val="24"/>
          <w:highlight w:val="none"/>
        </w:rPr>
        <w:t>供有关证明文件或资料，其投标保证予以退还，招标人可按照评标委员会提出的中标候选人名单排序依次确定其他中标候选人为中标人。如果招标人认为其他中标候选人的条</w:t>
      </w:r>
      <w:bookmarkStart w:id="162" w:name="bookmark84"/>
      <w:bookmarkEnd w:id="162"/>
      <w:r>
        <w:rPr>
          <w:rFonts w:hint="eastAsia" w:ascii="宋体" w:hAnsi="宋体" w:eastAsia="宋体" w:cs="宋体"/>
          <w:color w:val="auto"/>
          <w:spacing w:val="-2"/>
          <w:sz w:val="24"/>
          <w:szCs w:val="24"/>
          <w:highlight w:val="none"/>
        </w:rPr>
        <w:t>件明显不利于招标人的，也可以重新招标</w:t>
      </w:r>
      <w:r>
        <w:rPr>
          <w:rFonts w:hint="eastAsia" w:ascii="宋体" w:hAnsi="宋体" w:eastAsia="宋体" w:cs="宋体"/>
          <w:color w:val="auto"/>
          <w:spacing w:val="-1"/>
          <w:sz w:val="24"/>
          <w:szCs w:val="24"/>
          <w:highlight w:val="none"/>
        </w:rPr>
        <w:t>。</w:t>
      </w:r>
    </w:p>
    <w:p w14:paraId="40983202">
      <w:pPr>
        <w:pStyle w:val="13"/>
        <w:rPr>
          <w:rFonts w:hint="eastAsia" w:ascii="宋体" w:hAnsi="宋体" w:eastAsia="宋体" w:cs="宋体"/>
          <w:color w:val="auto"/>
          <w:highlight w:val="none"/>
        </w:rPr>
        <w:sectPr>
          <w:footerReference r:id="rId10"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10B3EAE0">
      <w:pPr>
        <w:spacing w:before="78" w:line="219" w:lineRule="auto"/>
        <w:ind w:left="2923"/>
        <w:outlineLvl w:val="0"/>
        <w:rPr>
          <w:rFonts w:hint="eastAsia" w:ascii="宋体" w:hAnsi="宋体" w:eastAsia="宋体" w:cs="宋体"/>
          <w:color w:val="auto"/>
          <w:sz w:val="24"/>
          <w:szCs w:val="24"/>
          <w:highlight w:val="none"/>
        </w:rPr>
      </w:pPr>
      <w:bookmarkStart w:id="163" w:name="bookmark86"/>
      <w:bookmarkEnd w:id="163"/>
      <w:bookmarkStart w:id="164" w:name="_Toc7715"/>
      <w:r>
        <w:rPr>
          <w:rFonts w:hint="eastAsia" w:ascii="宋体" w:hAnsi="宋体" w:eastAsia="宋体" w:cs="宋体"/>
          <w:b/>
          <w:bCs/>
          <w:color w:val="auto"/>
          <w:spacing w:val="-3"/>
          <w:sz w:val="24"/>
          <w:szCs w:val="24"/>
          <w:highlight w:val="none"/>
        </w:rPr>
        <w:t>第三章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拟签订合同的主要条款</w:t>
      </w:r>
      <w:bookmarkEnd w:id="164"/>
    </w:p>
    <w:p w14:paraId="5C534CD3">
      <w:pPr>
        <w:pStyle w:val="5"/>
        <w:spacing w:line="257" w:lineRule="auto"/>
        <w:rPr>
          <w:rFonts w:hint="eastAsia" w:ascii="宋体" w:hAnsi="宋体" w:eastAsia="宋体" w:cs="宋体"/>
          <w:color w:val="auto"/>
          <w:highlight w:val="none"/>
        </w:rPr>
      </w:pPr>
    </w:p>
    <w:p w14:paraId="69498346">
      <w:pPr>
        <w:pStyle w:val="5"/>
        <w:spacing w:line="257" w:lineRule="auto"/>
        <w:rPr>
          <w:rFonts w:hint="eastAsia" w:ascii="宋体" w:hAnsi="宋体" w:eastAsia="宋体" w:cs="宋体"/>
          <w:color w:val="auto"/>
          <w:highlight w:val="none"/>
        </w:rPr>
      </w:pPr>
    </w:p>
    <w:p w14:paraId="50F7B5FC">
      <w:pPr>
        <w:spacing w:before="78" w:line="220" w:lineRule="auto"/>
        <w:ind w:left="498"/>
        <w:outlineLvl w:val="2"/>
        <w:rPr>
          <w:rFonts w:hint="eastAsia" w:ascii="宋体" w:hAnsi="宋体" w:eastAsia="宋体" w:cs="宋体"/>
          <w:color w:val="auto"/>
          <w:sz w:val="24"/>
          <w:szCs w:val="24"/>
          <w:highlight w:val="none"/>
        </w:rPr>
      </w:pPr>
      <w:bookmarkStart w:id="165" w:name="_Toc6603"/>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8"/>
          <w:sz w:val="24"/>
          <w:szCs w:val="24"/>
          <w:highlight w:val="none"/>
        </w:rPr>
        <w:t>．工程承包方式</w:t>
      </w:r>
      <w:bookmarkEnd w:id="165"/>
    </w:p>
    <w:p w14:paraId="15E51171">
      <w:pPr>
        <w:spacing w:before="153" w:line="299" w:lineRule="auto"/>
        <w:ind w:left="11" w:right="295" w:firstLine="48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1.1  </w:t>
      </w:r>
      <w:r>
        <w:rPr>
          <w:rFonts w:hint="eastAsia" w:ascii="宋体" w:hAnsi="宋体" w:eastAsia="宋体" w:cs="宋体"/>
          <w:color w:val="auto"/>
          <w:sz w:val="24"/>
          <w:szCs w:val="24"/>
          <w:highlight w:val="none"/>
        </w:rPr>
        <w:t>承包人以中标价按包工包料、包质量、包安全包文明施工、包工期</w:t>
      </w:r>
      <w:r>
        <w:rPr>
          <w:rFonts w:hint="eastAsia" w:ascii="宋体" w:hAnsi="宋体" w:eastAsia="宋体" w:cs="宋体"/>
          <w:color w:val="auto"/>
          <w:spacing w:val="-1"/>
          <w:sz w:val="24"/>
          <w:szCs w:val="24"/>
          <w:highlight w:val="none"/>
        </w:rPr>
        <w:t>方式总承包</w:t>
      </w:r>
      <w:r>
        <w:rPr>
          <w:rFonts w:hint="eastAsia" w:ascii="宋体" w:hAnsi="宋体" w:eastAsia="宋体" w:cs="宋体"/>
          <w:color w:val="auto"/>
          <w:spacing w:val="-2"/>
          <w:sz w:val="24"/>
          <w:szCs w:val="24"/>
          <w:highlight w:val="none"/>
        </w:rPr>
        <w:t>施工，不允许转包和违法分包，如果确需分包须与发包人协商，在得到发包人和监理单</w:t>
      </w:r>
      <w:r>
        <w:rPr>
          <w:rFonts w:hint="eastAsia" w:ascii="宋体" w:hAnsi="宋体" w:eastAsia="宋体" w:cs="宋体"/>
          <w:color w:val="auto"/>
          <w:spacing w:val="-1"/>
          <w:sz w:val="24"/>
          <w:szCs w:val="24"/>
          <w:highlight w:val="none"/>
        </w:rPr>
        <w:t>位同意后报建设行政主管部门备案。</w:t>
      </w:r>
    </w:p>
    <w:p w14:paraId="2B524C76">
      <w:pPr>
        <w:spacing w:before="153" w:line="219"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1.1.1  </w:t>
      </w:r>
      <w:r>
        <w:rPr>
          <w:rFonts w:hint="eastAsia" w:ascii="宋体" w:hAnsi="宋体" w:eastAsia="宋体" w:cs="宋体"/>
          <w:color w:val="auto"/>
          <w:spacing w:val="-1"/>
          <w:sz w:val="24"/>
          <w:szCs w:val="24"/>
          <w:highlight w:val="none"/>
        </w:rPr>
        <w:t>包工包料：材料符合招标文件要求并报验使用；办理用工保险。</w:t>
      </w:r>
    </w:p>
    <w:p w14:paraId="2C8F6059">
      <w:pPr>
        <w:spacing w:before="156" w:line="220"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1.1.2  </w:t>
      </w:r>
      <w:r>
        <w:rPr>
          <w:rFonts w:hint="eastAsia" w:ascii="宋体" w:hAnsi="宋体" w:eastAsia="宋体" w:cs="宋体"/>
          <w:color w:val="auto"/>
          <w:spacing w:val="-1"/>
          <w:sz w:val="24"/>
          <w:szCs w:val="24"/>
          <w:highlight w:val="none"/>
        </w:rPr>
        <w:t>包质量：符合招标文件要求。</w:t>
      </w:r>
    </w:p>
    <w:p w14:paraId="0FB12A34">
      <w:pPr>
        <w:spacing w:before="153" w:line="220"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1.1.3  </w:t>
      </w:r>
      <w:r>
        <w:rPr>
          <w:rFonts w:hint="eastAsia" w:ascii="宋体" w:hAnsi="宋体" w:eastAsia="宋体" w:cs="宋体"/>
          <w:color w:val="auto"/>
          <w:spacing w:val="-1"/>
          <w:sz w:val="24"/>
          <w:szCs w:val="24"/>
          <w:highlight w:val="none"/>
        </w:rPr>
        <w:t>包安全包文明施工：符合招标文件要求。</w:t>
      </w:r>
    </w:p>
    <w:p w14:paraId="3398DD31">
      <w:pPr>
        <w:spacing w:before="154" w:line="219"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1.1.4  </w:t>
      </w:r>
      <w:r>
        <w:rPr>
          <w:rFonts w:hint="eastAsia" w:ascii="宋体" w:hAnsi="宋体" w:eastAsia="宋体" w:cs="宋体"/>
          <w:color w:val="auto"/>
          <w:spacing w:val="-1"/>
          <w:sz w:val="24"/>
          <w:szCs w:val="24"/>
          <w:highlight w:val="none"/>
        </w:rPr>
        <w:t>包工期：本招标项目施工必须在招标工期内完成。</w:t>
      </w:r>
    </w:p>
    <w:p w14:paraId="1E6FD563">
      <w:pPr>
        <w:pStyle w:val="5"/>
        <w:spacing w:line="257" w:lineRule="auto"/>
        <w:rPr>
          <w:rFonts w:hint="eastAsia" w:ascii="宋体" w:hAnsi="宋体" w:eastAsia="宋体" w:cs="宋体"/>
          <w:color w:val="auto"/>
          <w:highlight w:val="none"/>
        </w:rPr>
      </w:pPr>
    </w:p>
    <w:p w14:paraId="0E04F086">
      <w:pPr>
        <w:pStyle w:val="5"/>
        <w:spacing w:line="257" w:lineRule="auto"/>
        <w:rPr>
          <w:rFonts w:hint="eastAsia" w:ascii="宋体" w:hAnsi="宋体" w:eastAsia="宋体" w:cs="宋体"/>
          <w:color w:val="auto"/>
          <w:highlight w:val="none"/>
        </w:rPr>
      </w:pPr>
    </w:p>
    <w:p w14:paraId="53182D61">
      <w:pPr>
        <w:spacing w:before="78" w:line="220" w:lineRule="auto"/>
        <w:ind w:left="488"/>
        <w:outlineLvl w:val="2"/>
        <w:rPr>
          <w:rFonts w:hint="eastAsia" w:ascii="宋体" w:hAnsi="宋体" w:eastAsia="宋体" w:cs="宋体"/>
          <w:color w:val="auto"/>
          <w:sz w:val="24"/>
          <w:szCs w:val="24"/>
          <w:highlight w:val="none"/>
        </w:rPr>
      </w:pPr>
      <w:bookmarkStart w:id="166" w:name="bookmark88"/>
      <w:bookmarkEnd w:id="166"/>
      <w:bookmarkStart w:id="167" w:name="_Toc24910"/>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．工程结算原则</w:t>
      </w:r>
      <w:bookmarkEnd w:id="167"/>
    </w:p>
    <w:p w14:paraId="684618CF">
      <w:pPr>
        <w:spacing w:before="153" w:line="219"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2.1 </w:t>
      </w:r>
      <w:r>
        <w:rPr>
          <w:rFonts w:hint="eastAsia" w:ascii="宋体" w:hAnsi="宋体" w:eastAsia="宋体" w:cs="宋体"/>
          <w:color w:val="auto"/>
          <w:spacing w:val="-1"/>
          <w:sz w:val="24"/>
          <w:szCs w:val="24"/>
          <w:highlight w:val="none"/>
        </w:rPr>
        <w:t>承包人的投标总价为中标价，即为签约合同价。</w:t>
      </w:r>
    </w:p>
    <w:p w14:paraId="50873142">
      <w:pPr>
        <w:spacing w:before="155" w:line="319" w:lineRule="auto"/>
        <w:ind w:left="12" w:right="231"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2.2 </w:t>
      </w:r>
      <w:r>
        <w:rPr>
          <w:rFonts w:hint="eastAsia" w:ascii="宋体" w:hAnsi="宋体" w:eastAsia="宋体" w:cs="宋体"/>
          <w:color w:val="auto"/>
          <w:spacing w:val="2"/>
          <w:sz w:val="24"/>
          <w:szCs w:val="24"/>
          <w:highlight w:val="none"/>
        </w:rPr>
        <w:t>招标工程量清单标明的工程量是投标人投标报价的</w:t>
      </w:r>
      <w:r>
        <w:rPr>
          <w:rFonts w:hint="eastAsia" w:ascii="宋体" w:hAnsi="宋体" w:eastAsia="宋体" w:cs="宋体"/>
          <w:color w:val="auto"/>
          <w:spacing w:val="1"/>
          <w:sz w:val="24"/>
          <w:szCs w:val="24"/>
          <w:highlight w:val="none"/>
        </w:rPr>
        <w:t>共同基础，竣工结算的工程</w:t>
      </w:r>
      <w:r>
        <w:rPr>
          <w:rFonts w:hint="eastAsia" w:ascii="宋体" w:hAnsi="宋体" w:eastAsia="宋体" w:cs="宋体"/>
          <w:color w:val="auto"/>
          <w:spacing w:val="-5"/>
          <w:sz w:val="24"/>
          <w:szCs w:val="24"/>
          <w:highlight w:val="none"/>
        </w:rPr>
        <w:t>量按</w:t>
      </w:r>
      <w:bookmarkStart w:id="168" w:name="OLE_LINK28"/>
      <w:r>
        <w:rPr>
          <w:rFonts w:hint="eastAsia" w:ascii="宋体" w:hAnsi="宋体" w:eastAsia="宋体" w:cs="宋体"/>
          <w:color w:val="auto"/>
          <w:spacing w:val="-5"/>
          <w:sz w:val="24"/>
          <w:szCs w:val="24"/>
          <w:highlight w:val="none"/>
        </w:rPr>
        <w:t>《建设工程工程量清单计价</w:t>
      </w:r>
      <w:r>
        <w:rPr>
          <w:rFonts w:hint="eastAsia" w:ascii="宋体" w:hAnsi="宋体" w:eastAsia="宋体" w:cs="宋体"/>
          <w:color w:val="auto"/>
          <w:spacing w:val="-5"/>
          <w:sz w:val="24"/>
          <w:szCs w:val="24"/>
          <w:highlight w:val="none"/>
          <w:lang w:val="en-US" w:eastAsia="zh-CN"/>
        </w:rPr>
        <w:t>标准</w:t>
      </w:r>
      <w:r>
        <w:rPr>
          <w:rFonts w:hint="eastAsia" w:ascii="宋体" w:hAnsi="宋体" w:eastAsia="宋体" w:cs="宋体"/>
          <w:color w:val="auto"/>
          <w:spacing w:val="-5"/>
          <w:sz w:val="24"/>
          <w:szCs w:val="24"/>
          <w:highlight w:val="none"/>
        </w:rPr>
        <w:t>》（GB50500—</w:t>
      </w:r>
      <w:r>
        <w:rPr>
          <w:rFonts w:hint="eastAsia" w:ascii="宋体" w:hAnsi="宋体" w:eastAsia="宋体" w:cs="宋体"/>
          <w:color w:val="auto"/>
          <w:spacing w:val="-5"/>
          <w:sz w:val="24"/>
          <w:szCs w:val="24"/>
          <w:highlight w:val="none"/>
          <w:lang w:val="en-US" w:eastAsia="zh-CN"/>
        </w:rPr>
        <w:t>2024</w:t>
      </w:r>
      <w:r>
        <w:rPr>
          <w:rFonts w:hint="eastAsia" w:ascii="宋体" w:hAnsi="宋体" w:eastAsia="宋体" w:cs="宋体"/>
          <w:color w:val="auto"/>
          <w:spacing w:val="-5"/>
          <w:sz w:val="24"/>
          <w:szCs w:val="24"/>
          <w:highlight w:val="none"/>
        </w:rPr>
        <w:t>）对工程计量的规定进行计量，</w:t>
      </w:r>
      <w:r>
        <w:rPr>
          <w:rFonts w:hint="eastAsia" w:ascii="宋体" w:hAnsi="宋体" w:eastAsia="宋体" w:cs="宋体"/>
          <w:color w:val="auto"/>
          <w:spacing w:val="-2"/>
          <w:sz w:val="24"/>
          <w:szCs w:val="24"/>
          <w:highlight w:val="none"/>
        </w:rPr>
        <w:t>必须以承包人完成合同工程应予计量的工程量确定。施</w:t>
      </w:r>
      <w:bookmarkEnd w:id="168"/>
      <w:r>
        <w:rPr>
          <w:rFonts w:hint="eastAsia" w:ascii="宋体" w:hAnsi="宋体" w:eastAsia="宋体" w:cs="宋体"/>
          <w:color w:val="auto"/>
          <w:spacing w:val="-2"/>
          <w:sz w:val="24"/>
          <w:szCs w:val="24"/>
          <w:highlight w:val="none"/>
        </w:rPr>
        <w:t>工中进行工程计量，当发现招标工程量清单中出现缺项、工程量偏差、或因工程变更引起工程量增减时，应按承包人在履行合同义务中完成的工程量计算。因承包人原因造成的超出合同工程范围施工或返工</w:t>
      </w:r>
      <w:r>
        <w:rPr>
          <w:rFonts w:hint="eastAsia" w:ascii="宋体" w:hAnsi="宋体" w:eastAsia="宋体" w:cs="宋体"/>
          <w:color w:val="auto"/>
          <w:spacing w:val="-1"/>
          <w:sz w:val="24"/>
          <w:szCs w:val="24"/>
          <w:highlight w:val="none"/>
        </w:rPr>
        <w:t>的工程量，发包人不予计量。</w:t>
      </w:r>
    </w:p>
    <w:p w14:paraId="52C2BD5C">
      <w:pPr>
        <w:spacing w:before="38" w:line="299" w:lineRule="auto"/>
        <w:ind w:left="12" w:right="183" w:firstLine="475"/>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2.3  </w:t>
      </w:r>
      <w:r>
        <w:rPr>
          <w:rFonts w:hint="eastAsia" w:ascii="宋体" w:hAnsi="宋体" w:eastAsia="宋体" w:cs="宋体"/>
          <w:color w:val="auto"/>
          <w:sz w:val="24"/>
          <w:szCs w:val="24"/>
          <w:highlight w:val="none"/>
        </w:rPr>
        <w:t>施工合同履行期间，若出现下列情形的，发、承包双方应当按照以下规定调整</w:t>
      </w:r>
      <w:r>
        <w:rPr>
          <w:rFonts w:hint="eastAsia" w:ascii="宋体" w:hAnsi="宋体" w:eastAsia="宋体" w:cs="宋体"/>
          <w:color w:val="auto"/>
          <w:spacing w:val="-3"/>
          <w:sz w:val="24"/>
          <w:szCs w:val="24"/>
          <w:highlight w:val="none"/>
        </w:rPr>
        <w:t>合同价款：</w:t>
      </w:r>
    </w:p>
    <w:p w14:paraId="123F83B6">
      <w:pPr>
        <w:spacing w:before="227" w:line="220"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2.3.1  </w:t>
      </w:r>
      <w:r>
        <w:rPr>
          <w:rFonts w:hint="eastAsia" w:ascii="宋体" w:hAnsi="宋体" w:eastAsia="宋体" w:cs="宋体"/>
          <w:color w:val="auto"/>
          <w:spacing w:val="-1"/>
          <w:sz w:val="24"/>
          <w:szCs w:val="24"/>
          <w:highlight w:val="none"/>
        </w:rPr>
        <w:t>法律法规变化</w:t>
      </w:r>
    </w:p>
    <w:p w14:paraId="4F8CA025">
      <w:pPr>
        <w:spacing w:before="156" w:line="298" w:lineRule="auto"/>
        <w:ind w:left="10" w:right="183"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2.3.1.1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基准日之后，因国家法律、法规、规章和政策发生变化引起工程造价增减变</w:t>
      </w:r>
      <w:r>
        <w:rPr>
          <w:rFonts w:hint="eastAsia" w:ascii="宋体" w:hAnsi="宋体" w:eastAsia="宋体" w:cs="宋体"/>
          <w:color w:val="auto"/>
          <w:spacing w:val="-2"/>
          <w:sz w:val="24"/>
          <w:szCs w:val="24"/>
          <w:highlight w:val="none"/>
        </w:rPr>
        <w:t>化时，发、承包双方应按照省级建设主管部门（或省级行业主管部门）或其授权的工程</w:t>
      </w:r>
      <w:r>
        <w:rPr>
          <w:rFonts w:hint="eastAsia" w:ascii="宋体" w:hAnsi="宋体" w:eastAsia="宋体" w:cs="宋体"/>
          <w:color w:val="auto"/>
          <w:spacing w:val="-1"/>
          <w:sz w:val="24"/>
          <w:szCs w:val="24"/>
          <w:highlight w:val="none"/>
        </w:rPr>
        <w:t>造价管理机构据此发布的最新规定调整合同价款。</w:t>
      </w:r>
    </w:p>
    <w:p w14:paraId="1DD96964">
      <w:pPr>
        <w:spacing w:before="157" w:line="325" w:lineRule="auto"/>
        <w:ind w:left="12" w:right="183" w:firstLine="479"/>
        <w:rPr>
          <w:rFonts w:hint="eastAsia" w:ascii="宋体" w:hAnsi="宋体" w:eastAsia="宋体" w:cs="宋体"/>
          <w:color w:val="auto"/>
          <w:sz w:val="24"/>
          <w:szCs w:val="24"/>
          <w:highlight w:val="none"/>
        </w:rPr>
      </w:pPr>
      <w:r>
        <w:rPr>
          <w:rFonts w:hint="eastAsia" w:ascii="宋体" w:hAnsi="宋体" w:eastAsia="宋体" w:cs="宋体"/>
          <w:b/>
          <w:bCs/>
          <w:color w:val="auto"/>
          <w:spacing w:val="-11"/>
          <w:sz w:val="24"/>
          <w:szCs w:val="24"/>
          <w:highlight w:val="none"/>
        </w:rPr>
        <w:t>注：本招标文件所称“基准日</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11"/>
          <w:sz w:val="24"/>
          <w:szCs w:val="24"/>
          <w:highlight w:val="none"/>
        </w:rPr>
        <w:t>”，均指投标文</w:t>
      </w:r>
      <w:r>
        <w:rPr>
          <w:rFonts w:hint="eastAsia" w:ascii="宋体" w:hAnsi="宋体" w:eastAsia="宋体" w:cs="宋体"/>
          <w:b/>
          <w:bCs/>
          <w:color w:val="auto"/>
          <w:spacing w:val="-12"/>
          <w:sz w:val="24"/>
          <w:szCs w:val="24"/>
          <w:highlight w:val="none"/>
        </w:rPr>
        <w:t>件递交截止时间（见第一章第二节“重</w:t>
      </w:r>
      <w:r>
        <w:rPr>
          <w:rFonts w:hint="eastAsia" w:ascii="宋体" w:hAnsi="宋体" w:eastAsia="宋体" w:cs="宋体"/>
          <w:b/>
          <w:bCs/>
          <w:color w:val="auto"/>
          <w:spacing w:val="-5"/>
          <w:sz w:val="24"/>
          <w:szCs w:val="24"/>
          <w:highlight w:val="none"/>
        </w:rPr>
        <w:t>要事项时间地点一览表</w:t>
      </w:r>
      <w:r>
        <w:rPr>
          <w:rFonts w:hint="eastAsia" w:ascii="宋体" w:hAnsi="宋体" w:eastAsia="宋体" w:cs="宋体"/>
          <w:color w:val="auto"/>
          <w:spacing w:val="-73"/>
          <w:sz w:val="24"/>
          <w:szCs w:val="24"/>
          <w:highlight w:val="none"/>
        </w:rPr>
        <w:t xml:space="preserve"> </w:t>
      </w:r>
      <w:r>
        <w:rPr>
          <w:rFonts w:hint="eastAsia" w:ascii="宋体" w:hAnsi="宋体" w:eastAsia="宋体" w:cs="宋体"/>
          <w:b/>
          <w:bCs/>
          <w:color w:val="auto"/>
          <w:spacing w:val="-5"/>
          <w:sz w:val="24"/>
          <w:szCs w:val="24"/>
          <w:highlight w:val="none"/>
        </w:rPr>
        <w:t>”）前</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5"/>
          <w:sz w:val="24"/>
          <w:szCs w:val="24"/>
          <w:highlight w:val="none"/>
        </w:rPr>
        <w:t>28 天。</w:t>
      </w:r>
    </w:p>
    <w:p w14:paraId="5D934C11">
      <w:pPr>
        <w:spacing w:before="33" w:line="299" w:lineRule="auto"/>
        <w:ind w:left="11"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2.3.1.2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1"/>
          <w:sz w:val="24"/>
          <w:szCs w:val="24"/>
          <w:highlight w:val="none"/>
        </w:rPr>
        <w:t>因承包人原因导致工程延误，本章第</w:t>
      </w:r>
      <w:r>
        <w:rPr>
          <w:rFonts w:hint="eastAsia" w:ascii="宋体" w:hAnsi="宋体" w:eastAsia="宋体" w:cs="宋体"/>
          <w:color w:val="auto"/>
          <w:spacing w:val="-51"/>
          <w:sz w:val="24"/>
          <w:szCs w:val="24"/>
          <w:highlight w:val="none"/>
        </w:rPr>
        <w:t xml:space="preserve"> </w:t>
      </w:r>
      <w:r>
        <w:rPr>
          <w:rFonts w:hint="eastAsia" w:ascii="宋体" w:hAnsi="宋体" w:eastAsia="宋体" w:cs="宋体"/>
          <w:b/>
          <w:bCs/>
          <w:color w:val="auto"/>
          <w:spacing w:val="1"/>
          <w:sz w:val="24"/>
          <w:szCs w:val="24"/>
          <w:highlight w:val="none"/>
        </w:rPr>
        <w:t>2</w:t>
      </w:r>
      <w:r>
        <w:rPr>
          <w:rFonts w:hint="eastAsia" w:ascii="宋体" w:hAnsi="宋体" w:eastAsia="宋体" w:cs="宋体"/>
          <w:b/>
          <w:bCs/>
          <w:color w:val="auto"/>
          <w:sz w:val="24"/>
          <w:szCs w:val="24"/>
          <w:highlight w:val="none"/>
        </w:rPr>
        <w:t xml:space="preserve">.3.1.1 </w:t>
      </w:r>
      <w:r>
        <w:rPr>
          <w:rFonts w:hint="eastAsia" w:ascii="宋体" w:hAnsi="宋体" w:eastAsia="宋体" w:cs="宋体"/>
          <w:color w:val="auto"/>
          <w:sz w:val="24"/>
          <w:szCs w:val="24"/>
          <w:highlight w:val="none"/>
        </w:rPr>
        <w:t>子目中的法定机构根据国家法</w:t>
      </w:r>
      <w:r>
        <w:rPr>
          <w:rFonts w:hint="eastAsia" w:ascii="宋体" w:hAnsi="宋体" w:eastAsia="宋体" w:cs="宋体"/>
          <w:color w:val="auto"/>
          <w:spacing w:val="-3"/>
          <w:sz w:val="24"/>
          <w:szCs w:val="24"/>
          <w:highlight w:val="none"/>
        </w:rPr>
        <w:t>律法规变化发布新规的时间在合同工程原定竣工时间之后的，合同价款调增的不予调整，</w:t>
      </w:r>
      <w:r>
        <w:rPr>
          <w:rFonts w:hint="eastAsia" w:ascii="宋体" w:hAnsi="宋体" w:eastAsia="宋体" w:cs="宋体"/>
          <w:color w:val="auto"/>
          <w:spacing w:val="-1"/>
          <w:sz w:val="24"/>
          <w:szCs w:val="24"/>
          <w:highlight w:val="none"/>
        </w:rPr>
        <w:t>合同价款调减的予以调整。</w:t>
      </w:r>
    </w:p>
    <w:p w14:paraId="0FEEE35F">
      <w:pPr>
        <w:spacing w:before="155" w:line="220"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2.3.2  </w:t>
      </w:r>
      <w:r>
        <w:rPr>
          <w:rFonts w:hint="eastAsia" w:ascii="宋体" w:hAnsi="宋体" w:eastAsia="宋体" w:cs="宋体"/>
          <w:color w:val="auto"/>
          <w:spacing w:val="-1"/>
          <w:sz w:val="24"/>
          <w:szCs w:val="24"/>
          <w:highlight w:val="none"/>
        </w:rPr>
        <w:t>工程量偏差或变化</w:t>
      </w:r>
    </w:p>
    <w:p w14:paraId="692AAD08">
      <w:pPr>
        <w:spacing w:before="158" w:line="309" w:lineRule="auto"/>
        <w:ind w:left="10" w:right="183"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"2.3.2.1"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2.3.2.1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合同履行期间，当应予计算的实际工程量与招标工程量清单出现偏差或因工程变更引起已标价工程量清单项目的工程数量发生变化时，工程量偏差或变化在</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3"/>
          <w:sz w:val="24"/>
          <w:szCs w:val="24"/>
          <w:highlight w:val="none"/>
        </w:rPr>
        <w:t>15%以</w:t>
      </w:r>
      <w:r>
        <w:rPr>
          <w:rFonts w:hint="eastAsia" w:ascii="宋体" w:hAnsi="宋体" w:eastAsia="宋体" w:cs="宋体"/>
          <w:color w:val="auto"/>
          <w:spacing w:val="-4"/>
          <w:sz w:val="24"/>
          <w:szCs w:val="24"/>
          <w:highlight w:val="none"/>
        </w:rPr>
        <w:t>内（含</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4"/>
          <w:sz w:val="24"/>
          <w:szCs w:val="24"/>
          <w:highlight w:val="none"/>
        </w:rPr>
        <w:t>15%）的，其综合单价不予调整；工程量偏差或变化超过</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15%的，按照以下规定</w:t>
      </w:r>
      <w:r>
        <w:rPr>
          <w:rFonts w:hint="eastAsia" w:ascii="宋体" w:hAnsi="宋体" w:eastAsia="宋体" w:cs="宋体"/>
          <w:color w:val="auto"/>
          <w:spacing w:val="-3"/>
          <w:sz w:val="24"/>
          <w:szCs w:val="24"/>
          <w:highlight w:val="none"/>
        </w:rPr>
        <w:t>调整：</w:t>
      </w:r>
    </w:p>
    <w:p w14:paraId="5440C71D">
      <w:pPr>
        <w:spacing w:before="78" w:line="327" w:lineRule="auto"/>
        <w:ind w:left="12" w:firstLine="478"/>
        <w:jc w:val="both"/>
        <w:rPr>
          <w:rFonts w:hint="eastAsia" w:ascii="宋体" w:hAnsi="宋体" w:eastAsia="宋体" w:cs="宋体"/>
          <w:color w:val="auto"/>
          <w:sz w:val="24"/>
          <w:szCs w:val="24"/>
          <w:highlight w:val="none"/>
        </w:rPr>
      </w:pPr>
      <w:bookmarkStart w:id="169" w:name="bookmark142"/>
      <w:bookmarkEnd w:id="169"/>
      <w:r>
        <w:rPr>
          <w:rFonts w:hint="eastAsia" w:ascii="宋体" w:hAnsi="宋体" w:eastAsia="宋体" w:cs="宋体"/>
          <w:color w:val="auto"/>
          <w:spacing w:val="-3"/>
          <w:sz w:val="24"/>
          <w:szCs w:val="24"/>
          <w:highlight w:val="none"/>
        </w:rPr>
        <w:t>对于合理报价的清单项目，当工程量增加超过</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3"/>
          <w:sz w:val="24"/>
          <w:szCs w:val="24"/>
          <w:highlight w:val="none"/>
        </w:rPr>
        <w:t>15%时，增加部分的工程量的综合单</w:t>
      </w:r>
      <w:r>
        <w:rPr>
          <w:rFonts w:hint="eastAsia" w:ascii="宋体" w:hAnsi="宋体" w:eastAsia="宋体" w:cs="宋体"/>
          <w:color w:val="auto"/>
          <w:spacing w:val="-7"/>
          <w:sz w:val="24"/>
          <w:szCs w:val="24"/>
          <w:highlight w:val="none"/>
        </w:rPr>
        <w:t>价以</w:t>
      </w:r>
      <w:r>
        <w:rPr>
          <w:rFonts w:hint="eastAsia" w:ascii="宋体" w:hAnsi="宋体" w:eastAsia="宋体" w:cs="宋体"/>
          <w:color w:val="auto"/>
          <w:spacing w:val="-3"/>
          <w:sz w:val="24"/>
          <w:szCs w:val="24"/>
          <w:highlight w:val="none"/>
        </w:rPr>
        <w:t>投标报价《分部分项工程和单价措施项目清单与计价表》中综合单价为基价调低 3%；当工程量减少超过 15%时，减少后剩余部分的工程量的综合单价以投标报价《分部分项工程和单价措施项目清单与计价表》中综合单价为基价调高 3%</w:t>
      </w:r>
      <w:r>
        <w:rPr>
          <w:rFonts w:hint="eastAsia" w:ascii="宋体" w:hAnsi="宋体" w:eastAsia="宋体" w:cs="宋体"/>
          <w:color w:val="auto"/>
          <w:spacing w:val="-1"/>
          <w:sz w:val="24"/>
          <w:szCs w:val="24"/>
          <w:highlight w:val="none"/>
        </w:rPr>
        <w:t>。</w:t>
      </w:r>
    </w:p>
    <w:p w14:paraId="2282BBC8">
      <w:pPr>
        <w:spacing w:before="97" w:line="324" w:lineRule="auto"/>
        <w:ind w:left="13" w:right="179"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对于按照第二章“</w:t>
      </w:r>
      <w:r>
        <w:rPr>
          <w:rFonts w:hint="eastAsia" w:ascii="宋体" w:hAnsi="宋体" w:eastAsia="宋体" w:cs="宋体"/>
          <w:color w:val="auto"/>
          <w:spacing w:val="-89"/>
          <w:sz w:val="24"/>
          <w:szCs w:val="24"/>
          <w:highlight w:val="none"/>
        </w:rPr>
        <w:t xml:space="preserve"> </w:t>
      </w:r>
      <w:r>
        <w:rPr>
          <w:rFonts w:hint="eastAsia" w:ascii="宋体" w:hAnsi="宋体" w:eastAsia="宋体" w:cs="宋体"/>
          <w:b/>
          <w:bCs/>
          <w:color w:val="auto"/>
          <w:spacing w:val="-4"/>
          <w:sz w:val="24"/>
          <w:szCs w:val="24"/>
          <w:highlight w:val="none"/>
        </w:rPr>
        <w:t>中标人须知</w:t>
      </w:r>
      <w:r>
        <w:rPr>
          <w:rFonts w:hint="eastAsia" w:ascii="宋体" w:hAnsi="宋体" w:eastAsia="宋体" w:cs="宋体"/>
          <w:color w:val="auto"/>
          <w:spacing w:val="-89"/>
          <w:sz w:val="24"/>
          <w:szCs w:val="24"/>
          <w:highlight w:val="none"/>
        </w:rPr>
        <w:t xml:space="preserve"> </w:t>
      </w:r>
      <w:r>
        <w:rPr>
          <w:rFonts w:hint="eastAsia" w:ascii="宋体" w:hAnsi="宋体" w:eastAsia="宋体" w:cs="宋体"/>
          <w:b/>
          <w:bCs/>
          <w:color w:val="auto"/>
          <w:spacing w:val="-4"/>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4"/>
          <w:sz w:val="24"/>
          <w:szCs w:val="24"/>
          <w:highlight w:val="none"/>
        </w:rPr>
        <w:t>4.2 条被认定为不平衡报价的清单项目，其综合</w:t>
      </w:r>
      <w:r>
        <w:rPr>
          <w:rFonts w:hint="eastAsia" w:ascii="宋体" w:hAnsi="宋体" w:eastAsia="宋体" w:cs="宋体"/>
          <w:b/>
          <w:bCs/>
          <w:color w:val="auto"/>
          <w:spacing w:val="-3"/>
          <w:sz w:val="24"/>
          <w:szCs w:val="24"/>
          <w:highlight w:val="none"/>
        </w:rPr>
        <w:t>单价按照以下方法调整：</w:t>
      </w:r>
    </w:p>
    <w:p w14:paraId="36DE154B">
      <w:pPr>
        <w:spacing w:before="97" w:line="324" w:lineRule="auto"/>
        <w:ind w:left="13" w:right="179" w:firstLine="477"/>
        <w:rPr>
          <w:rFonts w:hint="eastAsia" w:ascii="宋体" w:hAnsi="宋体" w:eastAsia="宋体" w:cs="宋体"/>
          <w:b/>
          <w:bCs/>
          <w:color w:val="auto"/>
          <w:spacing w:val="-4"/>
          <w:sz w:val="24"/>
          <w:szCs w:val="24"/>
          <w:highlight w:val="none"/>
        </w:rPr>
      </w:pPr>
      <w:r>
        <w:rPr>
          <w:rFonts w:hint="eastAsia" w:ascii="宋体" w:hAnsi="宋体" w:eastAsia="宋体" w:cs="宋体"/>
          <w:b/>
          <w:bCs/>
          <w:color w:val="auto"/>
          <w:spacing w:val="-4"/>
          <w:sz w:val="24"/>
          <w:szCs w:val="24"/>
          <w:highlight w:val="none"/>
        </w:rPr>
        <w:t>以</w:t>
      </w:r>
      <w:r>
        <w:rPr>
          <w:rFonts w:hint="eastAsia" w:ascii="宋体" w:hAnsi="宋体" w:eastAsia="宋体" w:cs="宋体"/>
          <w:b/>
          <w:bCs/>
          <w:color w:val="auto"/>
          <w:spacing w:val="-4"/>
          <w:sz w:val="24"/>
          <w:szCs w:val="24"/>
          <w:highlight w:val="none"/>
          <w:lang w:eastAsia="zh-CN"/>
        </w:rPr>
        <w:t>最高投标限价</w:t>
      </w:r>
      <w:r>
        <w:rPr>
          <w:rFonts w:hint="eastAsia" w:ascii="宋体" w:hAnsi="宋体" w:eastAsia="宋体" w:cs="宋体"/>
          <w:b/>
          <w:bCs/>
          <w:color w:val="auto"/>
          <w:spacing w:val="-4"/>
          <w:sz w:val="24"/>
          <w:szCs w:val="24"/>
          <w:highlight w:val="none"/>
        </w:rPr>
        <w:t>中《分部分项工程和单价措施项目清单与计价表》子目相对应综合单价×（1-中标下浮率）。</w:t>
      </w:r>
    </w:p>
    <w:p w14:paraId="55E5B01A">
      <w:pPr>
        <w:spacing w:before="97" w:line="324" w:lineRule="auto"/>
        <w:ind w:left="13" w:right="179" w:firstLine="477"/>
        <w:rPr>
          <w:rFonts w:hint="eastAsia" w:ascii="宋体" w:hAnsi="宋体" w:eastAsia="宋体" w:cs="宋体"/>
          <w:b/>
          <w:bCs/>
          <w:color w:val="auto"/>
          <w:spacing w:val="-4"/>
          <w:sz w:val="24"/>
          <w:szCs w:val="24"/>
          <w:highlight w:val="none"/>
        </w:rPr>
      </w:pPr>
      <w:bookmarkStart w:id="170" w:name="_Toc12035"/>
      <w:bookmarkStart w:id="171" w:name="_Toc18478"/>
      <w:bookmarkStart w:id="172" w:name="_Toc30068"/>
      <w:r>
        <w:rPr>
          <w:rFonts w:hint="eastAsia" w:ascii="宋体" w:hAnsi="宋体" w:eastAsia="宋体" w:cs="宋体"/>
          <w:b/>
          <w:bCs/>
          <w:color w:val="auto"/>
          <w:spacing w:val="-4"/>
          <w:sz w:val="24"/>
          <w:szCs w:val="24"/>
          <w:highlight w:val="none"/>
        </w:rPr>
        <w:t>中标下浮率=[1-（中标价-</w:t>
      </w:r>
      <w:r>
        <w:rPr>
          <w:rFonts w:hint="eastAsia" w:ascii="宋体" w:hAnsi="宋体" w:eastAsia="宋体" w:cs="宋体"/>
          <w:b/>
          <w:bCs/>
          <w:color w:val="auto"/>
          <w:spacing w:val="-4"/>
          <w:sz w:val="24"/>
          <w:szCs w:val="24"/>
          <w:highlight w:val="none"/>
          <w:lang w:val="en-US" w:eastAsia="zh-CN"/>
        </w:rPr>
        <w:t>中标安全生产措施费</w:t>
      </w:r>
      <w:r>
        <w:rPr>
          <w:rFonts w:hint="eastAsia" w:ascii="宋体" w:hAnsi="宋体" w:eastAsia="宋体" w:cs="宋体"/>
          <w:b/>
          <w:bCs/>
          <w:color w:val="auto"/>
          <w:spacing w:val="-4"/>
          <w:sz w:val="24"/>
          <w:szCs w:val="24"/>
          <w:highlight w:val="none"/>
        </w:rPr>
        <w:t>-暂列金额-暂估价）/（</w:t>
      </w:r>
      <w:bookmarkEnd w:id="170"/>
      <w:bookmarkEnd w:id="171"/>
      <w:bookmarkStart w:id="173" w:name="_Toc13602"/>
      <w:bookmarkStart w:id="174" w:name="_Toc15512"/>
      <w:r>
        <w:rPr>
          <w:rFonts w:hint="eastAsia" w:ascii="宋体" w:hAnsi="宋体" w:eastAsia="宋体" w:cs="宋体"/>
          <w:b/>
          <w:bCs/>
          <w:color w:val="auto"/>
          <w:spacing w:val="-4"/>
          <w:sz w:val="24"/>
          <w:szCs w:val="24"/>
          <w:highlight w:val="none"/>
          <w:lang w:eastAsia="zh-CN"/>
        </w:rPr>
        <w:t>最高投标限价</w:t>
      </w:r>
      <w:r>
        <w:rPr>
          <w:rFonts w:hint="eastAsia" w:ascii="宋体" w:hAnsi="宋体" w:eastAsia="宋体" w:cs="宋体"/>
          <w:b/>
          <w:bCs/>
          <w:color w:val="auto"/>
          <w:spacing w:val="-4"/>
          <w:sz w:val="24"/>
          <w:szCs w:val="24"/>
          <w:highlight w:val="none"/>
        </w:rPr>
        <w:t>-控制价</w:t>
      </w:r>
      <w:r>
        <w:rPr>
          <w:rFonts w:hint="eastAsia" w:ascii="宋体" w:hAnsi="宋体" w:eastAsia="宋体" w:cs="宋体"/>
          <w:b/>
          <w:bCs/>
          <w:color w:val="auto"/>
          <w:spacing w:val="-4"/>
          <w:sz w:val="24"/>
          <w:szCs w:val="24"/>
          <w:highlight w:val="none"/>
          <w:lang w:val="en-US" w:eastAsia="zh-CN"/>
        </w:rPr>
        <w:t>安全生产措施费</w:t>
      </w:r>
      <w:r>
        <w:rPr>
          <w:rFonts w:hint="eastAsia" w:ascii="宋体" w:hAnsi="宋体" w:eastAsia="宋体" w:cs="宋体"/>
          <w:b/>
          <w:bCs/>
          <w:color w:val="auto"/>
          <w:spacing w:val="-4"/>
          <w:sz w:val="24"/>
          <w:szCs w:val="24"/>
          <w:highlight w:val="none"/>
        </w:rPr>
        <w:t>-暂列金额-暂估价）] ×100%</w:t>
      </w:r>
      <w:bookmarkEnd w:id="172"/>
      <w:bookmarkEnd w:id="173"/>
      <w:bookmarkEnd w:id="174"/>
    </w:p>
    <w:p w14:paraId="6ABFAD1C">
      <w:pPr>
        <w:spacing w:before="123" w:line="301" w:lineRule="auto"/>
        <w:ind w:left="10" w:right="116" w:firstLine="482"/>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若修正后的该部分《分部分项工程和单价措施项目清单与计价表》总金额大于原投</w:t>
      </w:r>
      <w:r>
        <w:rPr>
          <w:rFonts w:hint="eastAsia" w:ascii="宋体" w:hAnsi="宋体" w:eastAsia="宋体" w:cs="宋体"/>
          <w:color w:val="auto"/>
          <w:spacing w:val="-1"/>
          <w:sz w:val="24"/>
          <w:szCs w:val="24"/>
          <w:highlight w:val="none"/>
        </w:rPr>
        <w:t>标报价中的该部分总金额，则从投标报价需</w:t>
      </w:r>
      <w:r>
        <w:rPr>
          <w:rFonts w:hint="eastAsia" w:ascii="宋体" w:hAnsi="宋体" w:eastAsia="宋体" w:cs="宋体"/>
          <w:color w:val="auto"/>
          <w:spacing w:val="-2"/>
          <w:sz w:val="24"/>
          <w:szCs w:val="24"/>
          <w:highlight w:val="none"/>
        </w:rPr>
        <w:t>调高的综合单价中选择偏离最大的清单开始</w:t>
      </w:r>
      <w:r>
        <w:rPr>
          <w:rFonts w:hint="eastAsia" w:ascii="宋体" w:hAnsi="宋体" w:eastAsia="宋体" w:cs="宋体"/>
          <w:color w:val="auto"/>
          <w:spacing w:val="-1"/>
          <w:sz w:val="24"/>
          <w:szCs w:val="24"/>
          <w:highlight w:val="none"/>
        </w:rPr>
        <w:t>调整，调整幅度逐步减少，直至修正后的该</w:t>
      </w:r>
      <w:r>
        <w:rPr>
          <w:rFonts w:hint="eastAsia" w:ascii="宋体" w:hAnsi="宋体" w:eastAsia="宋体" w:cs="宋体"/>
          <w:color w:val="auto"/>
          <w:spacing w:val="-2"/>
          <w:sz w:val="24"/>
          <w:szCs w:val="24"/>
          <w:highlight w:val="none"/>
        </w:rPr>
        <w:t>部分《分部分项工程和单价措施项目清单与</w:t>
      </w:r>
      <w:r>
        <w:rPr>
          <w:rFonts w:hint="eastAsia" w:ascii="宋体" w:hAnsi="宋体" w:eastAsia="宋体" w:cs="宋体"/>
          <w:color w:val="auto"/>
          <w:spacing w:val="-1"/>
          <w:sz w:val="24"/>
          <w:szCs w:val="24"/>
          <w:highlight w:val="none"/>
        </w:rPr>
        <w:t>计价表》总金额与原投标报价中的该部分总</w:t>
      </w:r>
      <w:r>
        <w:rPr>
          <w:rFonts w:hint="eastAsia" w:ascii="宋体" w:hAnsi="宋体" w:eastAsia="宋体" w:cs="宋体"/>
          <w:color w:val="auto"/>
          <w:spacing w:val="-2"/>
          <w:sz w:val="24"/>
          <w:szCs w:val="24"/>
          <w:highlight w:val="none"/>
        </w:rPr>
        <w:t>金额一致；若修正后的该部分《分部分项工</w:t>
      </w:r>
      <w:r>
        <w:rPr>
          <w:rFonts w:hint="eastAsia" w:ascii="宋体" w:hAnsi="宋体" w:eastAsia="宋体" w:cs="宋体"/>
          <w:color w:val="auto"/>
          <w:spacing w:val="-1"/>
          <w:sz w:val="24"/>
          <w:szCs w:val="24"/>
          <w:highlight w:val="none"/>
        </w:rPr>
        <w:t>程和单价措施项目清单与计价表》总金额小</w:t>
      </w:r>
      <w:r>
        <w:rPr>
          <w:rFonts w:hint="eastAsia" w:ascii="宋体" w:hAnsi="宋体" w:eastAsia="宋体" w:cs="宋体"/>
          <w:color w:val="auto"/>
          <w:spacing w:val="-2"/>
          <w:sz w:val="24"/>
          <w:szCs w:val="24"/>
          <w:highlight w:val="none"/>
        </w:rPr>
        <w:t>于原投标报价中的该部分总金额，则从投标</w:t>
      </w:r>
      <w:r>
        <w:rPr>
          <w:rFonts w:hint="eastAsia" w:ascii="宋体" w:hAnsi="宋体" w:eastAsia="宋体" w:cs="宋体"/>
          <w:color w:val="auto"/>
          <w:spacing w:val="-1"/>
          <w:sz w:val="24"/>
          <w:szCs w:val="24"/>
          <w:highlight w:val="none"/>
        </w:rPr>
        <w:t>报价需调低的综合单价中选择偏离最大的清</w:t>
      </w:r>
      <w:r>
        <w:rPr>
          <w:rFonts w:hint="eastAsia" w:ascii="宋体" w:hAnsi="宋体" w:eastAsia="宋体" w:cs="宋体"/>
          <w:color w:val="auto"/>
          <w:spacing w:val="-2"/>
          <w:sz w:val="24"/>
          <w:szCs w:val="24"/>
          <w:highlight w:val="none"/>
        </w:rPr>
        <w:t>单开始调整，调整幅度逐步减少，直至修正</w:t>
      </w:r>
      <w:r>
        <w:rPr>
          <w:rFonts w:hint="eastAsia" w:ascii="宋体" w:hAnsi="宋体" w:eastAsia="宋体" w:cs="宋体"/>
          <w:color w:val="auto"/>
          <w:spacing w:val="-1"/>
          <w:sz w:val="24"/>
          <w:szCs w:val="24"/>
          <w:highlight w:val="none"/>
        </w:rPr>
        <w:t>后的该部分《分部分项工程和单价措施项目</w:t>
      </w:r>
      <w:r>
        <w:rPr>
          <w:rFonts w:hint="eastAsia" w:ascii="宋体" w:hAnsi="宋体" w:eastAsia="宋体" w:cs="宋体"/>
          <w:color w:val="auto"/>
          <w:spacing w:val="-2"/>
          <w:sz w:val="24"/>
          <w:szCs w:val="24"/>
          <w:highlight w:val="none"/>
        </w:rPr>
        <w:t>清单与计价表》总金额与原投标报价中的该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2"/>
          <w:sz w:val="24"/>
          <w:szCs w:val="24"/>
          <w:highlight w:val="none"/>
        </w:rPr>
        <w:t>部分总金额一致。修正后的总造价应与总中标价保持一致，形成《不平衡报价修正报告》，</w:t>
      </w:r>
      <w:r>
        <w:rPr>
          <w:rFonts w:hint="eastAsia" w:ascii="宋体" w:hAnsi="宋体" w:eastAsia="宋体" w:cs="宋体"/>
          <w:color w:val="auto"/>
          <w:spacing w:val="-1"/>
          <w:sz w:val="24"/>
          <w:szCs w:val="24"/>
          <w:highlight w:val="none"/>
        </w:rPr>
        <w:t>并由招标人和中标人共同签章确认。</w:t>
      </w:r>
    </w:p>
    <w:p w14:paraId="2BD2CB57">
      <w:pPr>
        <w:spacing w:before="129" w:line="299" w:lineRule="auto"/>
        <w:ind w:left="12" w:right="179"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"2.3.2.2"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2.3.2.2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如果工程量出现本章第</w:t>
      </w:r>
      <w:r>
        <w:rPr>
          <w:rFonts w:hint="eastAsia" w:ascii="宋体" w:hAnsi="宋体" w:eastAsia="宋体" w:cs="宋体"/>
          <w:color w:val="auto"/>
          <w:spacing w:val="-41"/>
          <w:sz w:val="24"/>
          <w:szCs w:val="24"/>
          <w:highlight w:val="none"/>
        </w:rPr>
        <w:t xml:space="preserve"> </w:t>
      </w:r>
      <w:r>
        <w:rPr>
          <w:rFonts w:hint="eastAsia" w:ascii="宋体" w:hAnsi="宋体" w:eastAsia="宋体" w:cs="宋体"/>
          <w:b/>
          <w:bCs/>
          <w:color w:val="auto"/>
          <w:spacing w:val="1"/>
          <w:sz w:val="24"/>
          <w:szCs w:val="24"/>
          <w:highlight w:val="none"/>
        </w:rPr>
        <w:t xml:space="preserve">2.3.2.1 </w:t>
      </w:r>
      <w:r>
        <w:rPr>
          <w:rFonts w:hint="eastAsia" w:ascii="宋体" w:hAnsi="宋体" w:eastAsia="宋体" w:cs="宋体"/>
          <w:color w:val="auto"/>
          <w:spacing w:val="1"/>
          <w:sz w:val="24"/>
          <w:szCs w:val="24"/>
          <w:highlight w:val="none"/>
        </w:rPr>
        <w:t>子目的变化，且该变化引起相关措施项目相</w:t>
      </w:r>
      <w:r>
        <w:rPr>
          <w:rFonts w:hint="eastAsia" w:ascii="宋体" w:hAnsi="宋体" w:eastAsia="宋体" w:cs="宋体"/>
          <w:color w:val="auto"/>
          <w:spacing w:val="-2"/>
          <w:sz w:val="24"/>
          <w:szCs w:val="24"/>
          <w:highlight w:val="none"/>
        </w:rPr>
        <w:t>应发生变化时，按系数或单一总价方式计价的，工程量增加的措施项目费调增，工程量</w:t>
      </w:r>
      <w:r>
        <w:rPr>
          <w:rFonts w:hint="eastAsia" w:ascii="宋体" w:hAnsi="宋体" w:eastAsia="宋体" w:cs="宋体"/>
          <w:color w:val="auto"/>
          <w:spacing w:val="-1"/>
          <w:sz w:val="24"/>
          <w:szCs w:val="24"/>
          <w:highlight w:val="none"/>
        </w:rPr>
        <w:t>减少的措施项目费调减。</w:t>
      </w:r>
    </w:p>
    <w:p w14:paraId="06C738C3">
      <w:pPr>
        <w:spacing w:before="154" w:line="221"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2.3.3  </w:t>
      </w:r>
      <w:r>
        <w:rPr>
          <w:rFonts w:hint="eastAsia" w:ascii="宋体" w:hAnsi="宋体" w:eastAsia="宋体" w:cs="宋体"/>
          <w:color w:val="auto"/>
          <w:spacing w:val="-1"/>
          <w:sz w:val="24"/>
          <w:szCs w:val="24"/>
          <w:highlight w:val="none"/>
        </w:rPr>
        <w:t>工程变更</w:t>
      </w:r>
    </w:p>
    <w:p w14:paraId="46C43F19">
      <w:pPr>
        <w:spacing w:before="153" w:line="279" w:lineRule="auto"/>
        <w:ind w:left="19" w:right="179" w:firstLine="468"/>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合同履行期间，因工程变更引起已标价工程量清单项目发生变化时，按照以下规定调整：</w:t>
      </w:r>
    </w:p>
    <w:p w14:paraId="02B699CB">
      <w:pPr>
        <w:numPr>
          <w:ilvl w:val="0"/>
          <w:numId w:val="2"/>
        </w:numPr>
        <w:spacing w:before="78" w:line="360" w:lineRule="auto"/>
        <w:ind w:firstLine="242" w:firstLineChars="100"/>
        <w:rPr>
          <w:rFonts w:hint="eastAsia" w:ascii="宋体" w:hAnsi="宋体" w:eastAsia="宋体" w:cs="宋体"/>
          <w:b/>
          <w:bCs/>
          <w:color w:val="auto"/>
          <w:spacing w:val="-2"/>
          <w:sz w:val="24"/>
          <w:szCs w:val="24"/>
          <w:highlight w:val="none"/>
        </w:rPr>
      </w:pPr>
      <w:r>
        <w:rPr>
          <w:rFonts w:hint="eastAsia" w:ascii="宋体" w:hAnsi="宋体" w:eastAsia="宋体" w:cs="宋体"/>
          <w:color w:val="auto"/>
          <w:spacing w:val="1"/>
          <w:sz w:val="24"/>
          <w:szCs w:val="24"/>
          <w:highlight w:val="none"/>
        </w:rPr>
        <w:t>已标价工程量清单中有适用于变更工程项目的，采用该项目的单价。</w:t>
      </w:r>
      <w:r>
        <w:rPr>
          <w:rFonts w:hint="eastAsia" w:ascii="宋体" w:hAnsi="宋体" w:eastAsia="宋体" w:cs="宋体"/>
          <w:b/>
          <w:bCs/>
          <w:color w:val="auto"/>
          <w:spacing w:val="1"/>
          <w:sz w:val="24"/>
          <w:szCs w:val="24"/>
          <w:highlight w:val="none"/>
        </w:rPr>
        <w:t>但如果</w:t>
      </w:r>
      <w:bookmarkStart w:id="175" w:name="bookmark143"/>
      <w:bookmarkEnd w:id="175"/>
      <w:r>
        <w:rPr>
          <w:rFonts w:hint="eastAsia" w:ascii="宋体" w:hAnsi="宋体" w:eastAsia="宋体" w:cs="宋体"/>
          <w:b/>
          <w:bCs/>
          <w:color w:val="auto"/>
          <w:spacing w:val="-7"/>
          <w:sz w:val="24"/>
          <w:szCs w:val="24"/>
          <w:highlight w:val="none"/>
        </w:rPr>
        <w:t>被采用的项目属于按照第二章“中标人须知</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7"/>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8"/>
          <w:sz w:val="24"/>
          <w:szCs w:val="24"/>
          <w:highlight w:val="none"/>
        </w:rPr>
        <w:t>4.2 条被认定为不平衡报价的清单项目，</w:t>
      </w: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pacing w:val="-2"/>
          <w:sz w:val="24"/>
          <w:szCs w:val="24"/>
          <w:highlight w:val="none"/>
        </w:rPr>
        <w:t>变更工程项目的单价按照</w:t>
      </w:r>
      <w:r>
        <w:rPr>
          <w:rFonts w:hint="eastAsia" w:ascii="宋体" w:hAnsi="宋体" w:eastAsia="宋体" w:cs="宋体"/>
          <w:b/>
          <w:bCs/>
          <w:color w:val="auto"/>
          <w:spacing w:val="-7"/>
          <w:sz w:val="24"/>
          <w:szCs w:val="24"/>
          <w:highlight w:val="none"/>
        </w:rPr>
        <w:t>本章 2.3.2.1 的</w:t>
      </w:r>
      <w:r>
        <w:rPr>
          <w:rFonts w:hint="eastAsia" w:ascii="宋体" w:hAnsi="宋体" w:eastAsia="宋体" w:cs="宋体"/>
          <w:b/>
          <w:bCs/>
          <w:color w:val="auto"/>
          <w:spacing w:val="-2"/>
          <w:sz w:val="24"/>
          <w:szCs w:val="24"/>
          <w:highlight w:val="none"/>
        </w:rPr>
        <w:t>方法调整。】</w:t>
      </w:r>
    </w:p>
    <w:p w14:paraId="607212D6">
      <w:pPr>
        <w:numPr>
          <w:ilvl w:val="0"/>
          <w:numId w:val="0"/>
        </w:numPr>
        <w:spacing w:before="78" w:line="360" w:lineRule="auto"/>
        <w:ind w:firstLine="237" w:firstLineChars="1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b/>
          <w:bCs/>
          <w:color w:val="auto"/>
          <w:spacing w:val="-2"/>
          <w:sz w:val="24"/>
          <w:szCs w:val="24"/>
          <w:highlight w:val="none"/>
          <w:lang w:val="en-US" w:eastAsia="zh-CN"/>
        </w:rPr>
        <w:t>2</w:t>
      </w: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color w:val="auto"/>
          <w:spacing w:val="1"/>
          <w:sz w:val="24"/>
          <w:szCs w:val="24"/>
          <w:highlight w:val="none"/>
        </w:rPr>
        <w:t>已标价工程量清单中没有适用但有类似于变更工程项目的，可在合理范围内</w:t>
      </w:r>
      <w:r>
        <w:rPr>
          <w:rFonts w:hint="eastAsia" w:ascii="宋体" w:hAnsi="宋体" w:eastAsia="宋体" w:cs="宋体"/>
          <w:color w:val="auto"/>
          <w:spacing w:val="-3"/>
          <w:sz w:val="24"/>
          <w:szCs w:val="24"/>
          <w:highlight w:val="none"/>
        </w:rPr>
        <w:t>参照类似项目的单价。</w:t>
      </w:r>
      <w:r>
        <w:rPr>
          <w:rFonts w:hint="eastAsia" w:ascii="宋体" w:hAnsi="宋体" w:eastAsia="宋体" w:cs="宋体"/>
          <w:b/>
          <w:bCs/>
          <w:color w:val="auto"/>
          <w:spacing w:val="-3"/>
          <w:sz w:val="24"/>
          <w:szCs w:val="24"/>
          <w:highlight w:val="none"/>
        </w:rPr>
        <w:t>但如果被参考的类似项目属于按照第二章“</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4"/>
          <w:sz w:val="24"/>
          <w:szCs w:val="24"/>
          <w:highlight w:val="none"/>
        </w:rPr>
        <w:t>中标人须知</w:t>
      </w:r>
      <w:r>
        <w:rPr>
          <w:rFonts w:hint="eastAsia" w:ascii="宋体" w:hAnsi="宋体" w:eastAsia="宋体" w:cs="宋体"/>
          <w:color w:val="auto"/>
          <w:spacing w:val="-85"/>
          <w:sz w:val="24"/>
          <w:szCs w:val="24"/>
          <w:highlight w:val="none"/>
        </w:rPr>
        <w:t xml:space="preserve"> </w:t>
      </w:r>
      <w:r>
        <w:rPr>
          <w:rFonts w:hint="eastAsia" w:ascii="宋体" w:hAnsi="宋体" w:eastAsia="宋体" w:cs="宋体"/>
          <w:b/>
          <w:bCs/>
          <w:color w:val="auto"/>
          <w:spacing w:val="-4"/>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4"/>
          <w:sz w:val="24"/>
          <w:szCs w:val="24"/>
          <w:highlight w:val="none"/>
        </w:rPr>
        <w:t>4.2</w:t>
      </w:r>
      <w:r>
        <w:rPr>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spacing w:val="-4"/>
          <w:sz w:val="24"/>
          <w:szCs w:val="24"/>
          <w:highlight w:val="none"/>
        </w:rPr>
        <w:t>条被认定为不平衡报价的清单项目，变更工程项目的单价按照本章2.3.2.1 的方法调整。</w:t>
      </w:r>
    </w:p>
    <w:p w14:paraId="614A34F7">
      <w:pPr>
        <w:numPr>
          <w:ilvl w:val="0"/>
          <w:numId w:val="0"/>
        </w:numPr>
        <w:spacing w:before="38" w:line="310" w:lineRule="auto"/>
        <w:ind w:right="81" w:rightChars="0" w:firstLine="242" w:firstLineChars="100"/>
        <w:jc w:val="both"/>
        <w:rPr>
          <w:rFonts w:hint="eastAsia" w:ascii="宋体" w:hAnsi="宋体" w:eastAsia="宋体" w:cs="宋体"/>
          <w:color w:val="auto"/>
          <w:spacing w:val="-2"/>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3</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已标价工程量清单中没有适用也没有类似于变更工程项目的，由承包人根据</w:t>
      </w:r>
      <w:r>
        <w:rPr>
          <w:rFonts w:hint="eastAsia" w:ascii="宋体" w:hAnsi="宋体" w:eastAsia="宋体" w:cs="宋体"/>
          <w:color w:val="auto"/>
          <w:spacing w:val="-2"/>
          <w:sz w:val="24"/>
          <w:szCs w:val="24"/>
          <w:highlight w:val="none"/>
        </w:rPr>
        <w:t>变更工程资料、计量规则、计价办法、施工当月项目所在地工程造价管理机构发布的价格信息和中标下浮率提出变更工程项目的单价，报发包人确认后调整。中标下浮率的计算公式如下：</w:t>
      </w:r>
    </w:p>
    <w:p w14:paraId="5948F271">
      <w:pPr>
        <w:spacing w:before="126" w:line="314" w:lineRule="auto"/>
        <w:ind w:left="29" w:right="21" w:firstLine="503"/>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中标下浮率=[1-（中标价-中标</w:t>
      </w:r>
      <w:r>
        <w:rPr>
          <w:rFonts w:hint="eastAsia" w:ascii="宋体" w:hAnsi="宋体" w:eastAsia="宋体" w:cs="宋体"/>
          <w:b/>
          <w:bCs/>
          <w:color w:val="auto"/>
          <w:spacing w:val="-2"/>
          <w:sz w:val="24"/>
          <w:szCs w:val="24"/>
          <w:highlight w:val="none"/>
          <w:lang w:val="en-US" w:eastAsia="zh-CN"/>
        </w:rPr>
        <w:t>安全生产措施费</w:t>
      </w:r>
      <w:r>
        <w:rPr>
          <w:rFonts w:hint="eastAsia" w:ascii="宋体" w:hAnsi="宋体" w:eastAsia="宋体" w:cs="宋体"/>
          <w:b/>
          <w:bCs/>
          <w:color w:val="auto"/>
          <w:spacing w:val="-2"/>
          <w:sz w:val="24"/>
          <w:szCs w:val="24"/>
          <w:highlight w:val="none"/>
        </w:rPr>
        <w:t>-暂列</w:t>
      </w:r>
      <w:r>
        <w:rPr>
          <w:rFonts w:hint="eastAsia" w:ascii="宋体" w:hAnsi="宋体" w:eastAsia="宋体" w:cs="宋体"/>
          <w:b/>
          <w:bCs/>
          <w:color w:val="auto"/>
          <w:spacing w:val="-3"/>
          <w:sz w:val="24"/>
          <w:szCs w:val="24"/>
          <w:highlight w:val="none"/>
        </w:rPr>
        <w:t>金额-暂估价）/（</w:t>
      </w:r>
      <w:r>
        <w:rPr>
          <w:rFonts w:hint="eastAsia" w:ascii="宋体" w:hAnsi="宋体" w:eastAsia="宋体" w:cs="宋体"/>
          <w:b/>
          <w:bCs/>
          <w:color w:val="auto"/>
          <w:spacing w:val="-3"/>
          <w:sz w:val="24"/>
          <w:szCs w:val="24"/>
          <w:highlight w:val="none"/>
          <w:lang w:eastAsia="zh-CN"/>
        </w:rPr>
        <w:t>最高投标限价</w:t>
      </w:r>
      <w:r>
        <w:rPr>
          <w:rFonts w:hint="eastAsia" w:ascii="宋体" w:hAnsi="宋体" w:eastAsia="宋体" w:cs="宋体"/>
          <w:b/>
          <w:bCs/>
          <w:color w:val="auto"/>
          <w:spacing w:val="-3"/>
          <w:sz w:val="24"/>
          <w:szCs w:val="24"/>
          <w:highlight w:val="none"/>
        </w:rPr>
        <w:t>-控制价</w:t>
      </w:r>
      <w:r>
        <w:rPr>
          <w:rFonts w:hint="eastAsia" w:ascii="宋体" w:hAnsi="宋体" w:eastAsia="宋体" w:cs="宋体"/>
          <w:b/>
          <w:bCs/>
          <w:color w:val="auto"/>
          <w:spacing w:val="-2"/>
          <w:sz w:val="24"/>
          <w:szCs w:val="24"/>
          <w:highlight w:val="none"/>
          <w:lang w:val="en-US" w:eastAsia="zh-CN"/>
        </w:rPr>
        <w:t>安全生产措施费</w:t>
      </w:r>
      <w:r>
        <w:rPr>
          <w:rFonts w:hint="eastAsia" w:ascii="宋体" w:hAnsi="宋体" w:eastAsia="宋体" w:cs="宋体"/>
          <w:b/>
          <w:bCs/>
          <w:color w:val="auto"/>
          <w:spacing w:val="-3"/>
          <w:sz w:val="24"/>
          <w:szCs w:val="24"/>
          <w:highlight w:val="none"/>
        </w:rPr>
        <w:t>-暂列金额-暂估价）]</w:t>
      </w:r>
      <w:r>
        <w:rPr>
          <w:rFonts w:hint="eastAsia" w:ascii="宋体" w:hAnsi="宋体" w:eastAsia="宋体" w:cs="宋体"/>
          <w:color w:val="auto"/>
          <w:spacing w:val="-73"/>
          <w:sz w:val="24"/>
          <w:szCs w:val="24"/>
          <w:highlight w:val="none"/>
        </w:rPr>
        <w:t xml:space="preserve"> </w:t>
      </w:r>
      <w:r>
        <w:rPr>
          <w:rFonts w:hint="eastAsia" w:ascii="宋体" w:hAnsi="宋体" w:eastAsia="宋体" w:cs="宋体"/>
          <w:b/>
          <w:bCs/>
          <w:color w:val="auto"/>
          <w:spacing w:val="-3"/>
          <w:sz w:val="24"/>
          <w:szCs w:val="24"/>
          <w:highlight w:val="none"/>
        </w:rPr>
        <w:t>×100%</w:t>
      </w:r>
    </w:p>
    <w:p w14:paraId="3F324216">
      <w:pPr>
        <w:spacing w:before="145" w:line="309" w:lineRule="auto"/>
        <w:ind w:right="81" w:firstLine="242" w:firstLineChars="100"/>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4</w:t>
      </w:r>
      <w:r>
        <w:rPr>
          <w:rFonts w:hint="eastAsia" w:ascii="宋体" w:hAnsi="宋体" w:eastAsia="宋体" w:cs="宋体"/>
          <w:color w:val="auto"/>
          <w:spacing w:val="1"/>
          <w:sz w:val="24"/>
          <w:szCs w:val="24"/>
          <w:highlight w:val="none"/>
          <w:lang w:eastAsia="zh-CN"/>
        </w:rPr>
        <w:t>）</w:t>
      </w:r>
      <w:r>
        <w:rPr>
          <w:rFonts w:hint="eastAsia" w:ascii="宋体" w:hAnsi="宋体" w:eastAsia="宋体" w:cs="宋体"/>
          <w:snapToGrid w:val="0"/>
          <w:color w:val="auto"/>
          <w:kern w:val="0"/>
          <w:sz w:val="24"/>
          <w:szCs w:val="24"/>
          <w:highlight w:val="none"/>
          <w:lang w:eastAsia="zh-CN"/>
        </w:rPr>
        <w:t>已标价工程量清单中没有适用也没有类似于变更工程项目，且施工当月项目所在地工程造价管理机构发布的价格信息缺项的，由承包人根据变更工程资料、计量规则、计价办法和通过市场调查等取得有合法依据的市场价格提出变更工程项目的单价，报发包人确认后调整。</w:t>
      </w:r>
    </w:p>
    <w:p w14:paraId="5B2F5D0A">
      <w:pPr>
        <w:spacing w:before="156" w:line="309" w:lineRule="auto"/>
        <w:ind w:left="7" w:right="81"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2.3.3.2</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工程变更引起施工方案改变并使措施项目发生变化时，承包人提出调整措施</w:t>
      </w:r>
      <w:r>
        <w:rPr>
          <w:rFonts w:hint="eastAsia" w:ascii="宋体" w:hAnsi="宋体" w:eastAsia="宋体" w:cs="宋体"/>
          <w:color w:val="auto"/>
          <w:spacing w:val="-2"/>
          <w:sz w:val="24"/>
          <w:szCs w:val="24"/>
          <w:highlight w:val="none"/>
        </w:rPr>
        <w:t>项目费的，应事先将拟实施的方案提交发包人确认，并应详细说明与原方案措施项目相比的变化情况。拟实施的方案经发、承包双方确认后执行，并按照本章下列规定调整措施项目费：</w:t>
      </w:r>
    </w:p>
    <w:p w14:paraId="2F8C611A">
      <w:pPr>
        <w:spacing w:before="152" w:line="220" w:lineRule="auto"/>
        <w:ind w:left="499"/>
        <w:rPr>
          <w:rFonts w:hint="eastAsia" w:ascii="宋体" w:hAnsi="宋体" w:eastAsia="宋体" w:cs="宋体"/>
          <w:b w:val="0"/>
          <w:bCs w:val="0"/>
          <w:color w:val="auto"/>
          <w:sz w:val="24"/>
          <w:szCs w:val="24"/>
          <w:highlight w:val="none"/>
        </w:rPr>
      </w:pPr>
      <w:r>
        <w:rPr>
          <w:rFonts w:hint="eastAsia" w:ascii="宋体" w:hAnsi="宋体" w:eastAsia="宋体" w:cs="宋体"/>
          <w:color w:val="auto"/>
          <w:spacing w:val="-1"/>
          <w:sz w:val="24"/>
          <w:szCs w:val="24"/>
          <w:highlight w:val="none"/>
        </w:rPr>
        <w:t>（1</w:t>
      </w:r>
      <w:r>
        <w:rPr>
          <w:rFonts w:hint="eastAsia" w:ascii="宋体" w:hAnsi="宋体" w:eastAsia="宋体" w:cs="宋体"/>
          <w:b/>
          <w:bCs/>
          <w:color w:val="auto"/>
          <w:spacing w:val="-1"/>
          <w:sz w:val="24"/>
          <w:szCs w:val="24"/>
          <w:highlight w:val="none"/>
        </w:rPr>
        <w:t>）</w:t>
      </w:r>
      <w:r>
        <w:rPr>
          <w:rFonts w:hint="eastAsia" w:ascii="宋体" w:hAnsi="宋体" w:eastAsia="宋体" w:cs="宋体"/>
          <w:b w:val="0"/>
          <w:bCs w:val="0"/>
          <w:color w:val="auto"/>
          <w:spacing w:val="-1"/>
          <w:sz w:val="24"/>
          <w:szCs w:val="24"/>
          <w:highlight w:val="none"/>
        </w:rPr>
        <w:t>安全生产措施费应按照实际发生变化的措施项目计算。</w:t>
      </w:r>
    </w:p>
    <w:p w14:paraId="333CD790">
      <w:pPr>
        <w:spacing w:before="156" w:line="309" w:lineRule="auto"/>
        <w:ind w:left="7" w:right="81" w:firstLine="477"/>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（2）</w:t>
      </w:r>
      <w:r>
        <w:rPr>
          <w:rFonts w:hint="eastAsia" w:ascii="宋体" w:hAnsi="宋体" w:eastAsia="宋体" w:cs="宋体"/>
          <w:color w:val="auto"/>
          <w:spacing w:val="-3"/>
          <w:sz w:val="24"/>
          <w:szCs w:val="24"/>
          <w:highlight w:val="none"/>
        </w:rPr>
        <w:t>采用单价计算的措施项目费，应按照实际发生变化的措施项目，按本章第 2.3.3.1 子目的规定确定单价。</w:t>
      </w:r>
    </w:p>
    <w:p w14:paraId="088DAF00">
      <w:pPr>
        <w:spacing w:before="154" w:line="360" w:lineRule="auto"/>
        <w:ind w:left="8" w:right="81" w:firstLine="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（3）按总价或系数计算的措施项目费，应按照实际发生变化的措施项目费调整并</w:t>
      </w:r>
      <w:r>
        <w:rPr>
          <w:rFonts w:hint="eastAsia" w:ascii="宋体" w:hAnsi="宋体" w:eastAsia="宋体" w:cs="宋体"/>
          <w:color w:val="auto"/>
          <w:spacing w:val="-3"/>
          <w:sz w:val="24"/>
          <w:szCs w:val="24"/>
          <w:highlight w:val="none"/>
        </w:rPr>
        <w:t>考虑中标下浮率因素，即调整金额＝按照实际变化调整后的金额×（ 1-中标下浮率）。</w:t>
      </w:r>
    </w:p>
    <w:p w14:paraId="515109DD">
      <w:pPr>
        <w:spacing w:before="157" w:line="324" w:lineRule="auto"/>
        <w:ind w:left="21" w:right="81" w:firstLine="47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如果承包人未事先将拟实施的方案提交发包人确认，视为工程变更不引起措施项目费的调整或承包人放弃调整措施项目费的权利。</w:t>
      </w:r>
    </w:p>
    <w:p w14:paraId="0D1EB54E">
      <w:pPr>
        <w:spacing w:before="35" w:line="309" w:lineRule="auto"/>
        <w:ind w:right="81" w:firstLine="420" w:firstLineChars="200"/>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2.3.3.3</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当因非承包人原因，发包人提出的工程变更删减了合同中的某项原定工作或</w:t>
      </w:r>
      <w:r>
        <w:rPr>
          <w:rFonts w:hint="eastAsia" w:ascii="宋体" w:hAnsi="宋体" w:eastAsia="宋体" w:cs="宋体"/>
          <w:color w:val="auto"/>
          <w:spacing w:val="-2"/>
          <w:sz w:val="24"/>
          <w:szCs w:val="24"/>
          <w:highlight w:val="none"/>
        </w:rPr>
        <w:t>工程，致使承包人发生的费用或（和）得到的收益不能被包括在其他已支付或应支付的项目中，也未被包含在任何替代的工作或工程中时，承包人有权提出并应得到合理的费用及利润补偿。</w:t>
      </w:r>
    </w:p>
    <w:p w14:paraId="047FB0FC">
      <w:pPr>
        <w:spacing w:before="155" w:line="220"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2.3.4  </w:t>
      </w:r>
      <w:r>
        <w:rPr>
          <w:rFonts w:hint="eastAsia" w:ascii="宋体" w:hAnsi="宋体" w:eastAsia="宋体" w:cs="宋体"/>
          <w:color w:val="auto"/>
          <w:spacing w:val="-1"/>
          <w:sz w:val="24"/>
          <w:szCs w:val="24"/>
          <w:highlight w:val="none"/>
        </w:rPr>
        <w:t>项目特征不符</w:t>
      </w:r>
    </w:p>
    <w:p w14:paraId="6D62B6B4">
      <w:pPr>
        <w:spacing w:before="78" w:line="331" w:lineRule="auto"/>
        <w:ind w:left="8" w:right="108" w:firstLine="480"/>
        <w:jc w:val="both"/>
        <w:rPr>
          <w:rFonts w:hint="eastAsia" w:ascii="宋体" w:hAnsi="宋体" w:eastAsia="宋体" w:cs="宋体"/>
          <w:color w:val="auto"/>
          <w:sz w:val="24"/>
          <w:szCs w:val="24"/>
          <w:highlight w:val="none"/>
        </w:rPr>
      </w:pPr>
      <w:bookmarkStart w:id="176" w:name="bookmark144"/>
      <w:bookmarkEnd w:id="176"/>
      <w:r>
        <w:rPr>
          <w:rFonts w:hint="eastAsia" w:ascii="宋体" w:hAnsi="宋体" w:eastAsia="宋体" w:cs="宋体"/>
          <w:color w:val="auto"/>
          <w:spacing w:val="-2"/>
          <w:sz w:val="24"/>
          <w:szCs w:val="24"/>
          <w:highlight w:val="none"/>
        </w:rPr>
        <w:t>承包人应按照发包人提供的设计图纸实施合同工程，若在合同履行期间出现设计图纸（含设计变更）与招标工程量清单任一项目的特征描述不符，且该变化引起该项目工</w:t>
      </w:r>
      <w:r>
        <w:rPr>
          <w:rFonts w:hint="eastAsia" w:ascii="宋体" w:hAnsi="宋体" w:eastAsia="宋体" w:cs="宋体"/>
          <w:color w:val="auto"/>
          <w:sz w:val="24"/>
          <w:szCs w:val="24"/>
          <w:highlight w:val="none"/>
        </w:rPr>
        <w:t>程造价增减变化的，应按照实际施工的项目特征，并按本章第</w:t>
      </w:r>
      <w:r>
        <w:rPr>
          <w:rFonts w:hint="eastAsia" w:ascii="宋体" w:hAnsi="宋体" w:eastAsia="宋体" w:cs="宋体"/>
          <w:color w:val="auto"/>
          <w:spacing w:val="-52"/>
          <w:sz w:val="24"/>
          <w:szCs w:val="24"/>
          <w:highlight w:val="none"/>
        </w:rPr>
        <w:t xml:space="preserve"> </w:t>
      </w:r>
      <w:r>
        <w:rPr>
          <w:rFonts w:hint="eastAsia" w:ascii="宋体" w:hAnsi="宋体" w:eastAsia="宋体" w:cs="宋体"/>
          <w:b/>
          <w:bCs/>
          <w:color w:val="auto"/>
          <w:sz w:val="24"/>
          <w:szCs w:val="24"/>
          <w:highlight w:val="none"/>
        </w:rPr>
        <w:t xml:space="preserve">2.3.3 </w:t>
      </w:r>
      <w:r>
        <w:rPr>
          <w:rFonts w:hint="eastAsia" w:ascii="宋体" w:hAnsi="宋体" w:eastAsia="宋体" w:cs="宋体"/>
          <w:color w:val="auto"/>
          <w:sz w:val="24"/>
          <w:szCs w:val="24"/>
          <w:highlight w:val="none"/>
        </w:rPr>
        <w:t>目相</w:t>
      </w:r>
      <w:r>
        <w:rPr>
          <w:rFonts w:hint="eastAsia" w:ascii="宋体" w:hAnsi="宋体" w:eastAsia="宋体" w:cs="宋体"/>
          <w:color w:val="auto"/>
          <w:spacing w:val="-1"/>
          <w:sz w:val="24"/>
          <w:szCs w:val="24"/>
          <w:highlight w:val="none"/>
        </w:rPr>
        <w:t>关条款的规定重新确定相应工程量清单项目的综合单价，并调整合同价款。</w:t>
      </w:r>
    </w:p>
    <w:p w14:paraId="5EC40401">
      <w:pPr>
        <w:spacing w:before="38" w:line="221" w:lineRule="auto"/>
        <w:ind w:left="48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2.3.5  </w:t>
      </w:r>
      <w:r>
        <w:rPr>
          <w:rFonts w:hint="eastAsia" w:ascii="宋体" w:hAnsi="宋体" w:eastAsia="宋体" w:cs="宋体"/>
          <w:color w:val="auto"/>
          <w:spacing w:val="-1"/>
          <w:sz w:val="24"/>
          <w:szCs w:val="24"/>
          <w:highlight w:val="none"/>
        </w:rPr>
        <w:t>招标工程量清单缺项</w:t>
      </w:r>
    </w:p>
    <w:p w14:paraId="0C2F665E">
      <w:pPr>
        <w:spacing w:before="152" w:line="278" w:lineRule="auto"/>
        <w:ind w:left="9" w:right="56"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2.3.5.1</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合同履行期间，由于招标</w:t>
      </w:r>
      <w:r>
        <w:rPr>
          <w:rFonts w:hint="eastAsia" w:ascii="宋体" w:hAnsi="宋体" w:eastAsia="宋体" w:cs="宋体"/>
          <w:color w:val="auto"/>
          <w:spacing w:val="-2"/>
          <w:sz w:val="24"/>
          <w:szCs w:val="24"/>
          <w:highlight w:val="none"/>
        </w:rPr>
        <w:t>工程量清单中缺项，新增分部分项工程清单项目，</w:t>
      </w:r>
      <w:r>
        <w:rPr>
          <w:rFonts w:hint="eastAsia" w:ascii="宋体" w:hAnsi="宋体" w:eastAsia="宋体" w:cs="宋体"/>
          <w:color w:val="auto"/>
          <w:spacing w:val="-1"/>
          <w:sz w:val="24"/>
          <w:szCs w:val="24"/>
          <w:highlight w:val="none"/>
        </w:rPr>
        <w:t>应按照本章第</w:t>
      </w:r>
      <w:r>
        <w:rPr>
          <w:rFonts w:hint="eastAsia" w:ascii="宋体" w:hAnsi="宋体" w:eastAsia="宋体" w:cs="宋体"/>
          <w:color w:val="auto"/>
          <w:spacing w:val="-39"/>
          <w:sz w:val="24"/>
          <w:szCs w:val="24"/>
          <w:highlight w:val="none"/>
        </w:rPr>
        <w:t xml:space="preserve"> </w:t>
      </w:r>
      <w:r>
        <w:rPr>
          <w:rFonts w:hint="eastAsia" w:ascii="宋体" w:hAnsi="宋体" w:eastAsia="宋体" w:cs="宋体"/>
          <w:b/>
          <w:bCs/>
          <w:color w:val="auto"/>
          <w:spacing w:val="-1"/>
          <w:sz w:val="24"/>
          <w:szCs w:val="24"/>
          <w:highlight w:val="none"/>
        </w:rPr>
        <w:t xml:space="preserve">2.3.3.1 </w:t>
      </w:r>
      <w:r>
        <w:rPr>
          <w:rFonts w:hint="eastAsia" w:ascii="宋体" w:hAnsi="宋体" w:eastAsia="宋体" w:cs="宋体"/>
          <w:color w:val="auto"/>
          <w:spacing w:val="-1"/>
          <w:sz w:val="24"/>
          <w:szCs w:val="24"/>
          <w:highlight w:val="none"/>
        </w:rPr>
        <w:t>子目的规定确定单价，并调整合同价款。</w:t>
      </w:r>
    </w:p>
    <w:p w14:paraId="44C1D396">
      <w:pPr>
        <w:spacing w:before="157" w:line="219" w:lineRule="auto"/>
        <w:ind w:firstLine="420" w:firstLineChars="200"/>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2.3.5.2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新增分部分项工程清单项目后，引起</w:t>
      </w:r>
      <w:r>
        <w:rPr>
          <w:rFonts w:hint="eastAsia" w:ascii="宋体" w:hAnsi="宋体" w:eastAsia="宋体" w:cs="宋体"/>
          <w:color w:val="auto"/>
          <w:spacing w:val="-2"/>
          <w:sz w:val="24"/>
          <w:szCs w:val="24"/>
          <w:highlight w:val="none"/>
        </w:rPr>
        <w:t>措施项目发生变化的，应按照本章第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2"/>
          <w:sz w:val="24"/>
          <w:szCs w:val="24"/>
          <w:highlight w:val="none"/>
        </w:rPr>
        <w:t>2.</w:t>
      </w:r>
      <w:r>
        <w:rPr>
          <w:rFonts w:hint="eastAsia" w:ascii="宋体" w:hAnsi="宋体" w:eastAsia="宋体" w:cs="宋体"/>
          <w:b/>
          <w:bCs/>
          <w:color w:val="auto"/>
          <w:sz w:val="24"/>
          <w:szCs w:val="24"/>
          <w:highlight w:val="none"/>
        </w:rPr>
        <w:t xml:space="preserve">3.3.2 </w:t>
      </w:r>
      <w:r>
        <w:rPr>
          <w:rFonts w:hint="eastAsia" w:ascii="宋体" w:hAnsi="宋体" w:eastAsia="宋体" w:cs="宋体"/>
          <w:color w:val="auto"/>
          <w:sz w:val="24"/>
          <w:szCs w:val="24"/>
          <w:highlight w:val="none"/>
        </w:rPr>
        <w:t>子目的规定，在承包人提交的实施方案被发包人批准后调整</w:t>
      </w:r>
      <w:r>
        <w:rPr>
          <w:rFonts w:hint="eastAsia" w:ascii="宋体" w:hAnsi="宋体" w:eastAsia="宋体" w:cs="宋体"/>
          <w:color w:val="auto"/>
          <w:spacing w:val="-1"/>
          <w:sz w:val="24"/>
          <w:szCs w:val="24"/>
          <w:highlight w:val="none"/>
        </w:rPr>
        <w:t>合同价款。</w:t>
      </w:r>
    </w:p>
    <w:p w14:paraId="068505DF">
      <w:pPr>
        <w:spacing w:before="156" w:line="279" w:lineRule="auto"/>
        <w:ind w:left="13" w:right="108" w:firstLine="471"/>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4"/>
          <w:sz w:val="24"/>
          <w:szCs w:val="24"/>
          <w:highlight w:val="none"/>
        </w:rPr>
        <w:t>2.3.5.3</w:t>
      </w:r>
      <w:r>
        <w:rPr>
          <w:rFonts w:hint="eastAsia" w:ascii="宋体" w:hAnsi="宋体" w:eastAsia="宋体" w:cs="宋体"/>
          <w:b/>
          <w:bCs/>
          <w:color w:val="auto"/>
          <w:spacing w:val="-4"/>
          <w:sz w:val="24"/>
          <w:szCs w:val="24"/>
          <w:highlight w:val="none"/>
        </w:rPr>
        <w:fldChar w:fldCharType="end"/>
      </w:r>
      <w:r>
        <w:rPr>
          <w:rFonts w:hint="eastAsia" w:ascii="宋体" w:hAnsi="宋体" w:eastAsia="宋体" w:cs="宋体"/>
          <w:b/>
          <w:bCs/>
          <w:color w:val="auto"/>
          <w:spacing w:val="22"/>
          <w:w w:val="101"/>
          <w:sz w:val="24"/>
          <w:szCs w:val="24"/>
          <w:highlight w:val="none"/>
        </w:rPr>
        <w:t xml:space="preserve">  </w:t>
      </w:r>
      <w:r>
        <w:rPr>
          <w:rFonts w:hint="eastAsia" w:ascii="宋体" w:hAnsi="宋体" w:eastAsia="宋体" w:cs="宋体"/>
          <w:color w:val="auto"/>
          <w:spacing w:val="-4"/>
          <w:sz w:val="24"/>
          <w:szCs w:val="24"/>
          <w:highlight w:val="none"/>
        </w:rPr>
        <w:t>由于招标工程量清单中措施项目缺项，承包人应将新增措施项目实施方案提</w:t>
      </w:r>
      <w:r>
        <w:rPr>
          <w:rFonts w:hint="eastAsia" w:ascii="宋体" w:hAnsi="宋体" w:eastAsia="宋体" w:cs="宋体"/>
          <w:color w:val="auto"/>
          <w:spacing w:val="-1"/>
          <w:sz w:val="24"/>
          <w:szCs w:val="24"/>
          <w:highlight w:val="none"/>
        </w:rPr>
        <w:t>交发包人批准后，按照本章第</w:t>
      </w:r>
      <w:r>
        <w:rPr>
          <w:rFonts w:hint="eastAsia" w:ascii="宋体" w:hAnsi="宋体" w:eastAsia="宋体" w:cs="宋体"/>
          <w:color w:val="auto"/>
          <w:spacing w:val="-36"/>
          <w:sz w:val="24"/>
          <w:szCs w:val="24"/>
          <w:highlight w:val="none"/>
        </w:rPr>
        <w:t xml:space="preserve"> </w:t>
      </w:r>
      <w:r>
        <w:rPr>
          <w:rFonts w:hint="eastAsia" w:ascii="宋体" w:hAnsi="宋体" w:eastAsia="宋体" w:cs="宋体"/>
          <w:b/>
          <w:bCs/>
          <w:color w:val="auto"/>
          <w:spacing w:val="-1"/>
          <w:sz w:val="24"/>
          <w:szCs w:val="24"/>
          <w:highlight w:val="none"/>
        </w:rPr>
        <w:t xml:space="preserve">2.3.3.1 </w:t>
      </w:r>
      <w:r>
        <w:rPr>
          <w:rFonts w:hint="eastAsia" w:ascii="宋体" w:hAnsi="宋体" w:eastAsia="宋体" w:cs="宋体"/>
          <w:color w:val="auto"/>
          <w:spacing w:val="-1"/>
          <w:sz w:val="24"/>
          <w:szCs w:val="24"/>
          <w:highlight w:val="none"/>
        </w:rPr>
        <w:t>子目、第</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1"/>
          <w:sz w:val="24"/>
          <w:szCs w:val="24"/>
          <w:highlight w:val="none"/>
        </w:rPr>
        <w:t xml:space="preserve">2.3.3.2 </w:t>
      </w:r>
      <w:r>
        <w:rPr>
          <w:rFonts w:hint="eastAsia" w:ascii="宋体" w:hAnsi="宋体" w:eastAsia="宋体" w:cs="宋体"/>
          <w:color w:val="auto"/>
          <w:spacing w:val="-1"/>
          <w:sz w:val="24"/>
          <w:szCs w:val="24"/>
          <w:highlight w:val="none"/>
        </w:rPr>
        <w:t>子目的规定调整合同价款。</w:t>
      </w:r>
    </w:p>
    <w:p w14:paraId="13F65CBF">
      <w:pPr>
        <w:spacing w:before="154" w:line="219" w:lineRule="auto"/>
        <w:ind w:left="48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2.3.6  </w:t>
      </w:r>
      <w:r>
        <w:rPr>
          <w:rFonts w:hint="eastAsia" w:ascii="宋体" w:hAnsi="宋体" w:eastAsia="宋体" w:cs="宋体"/>
          <w:color w:val="auto"/>
          <w:spacing w:val="-1"/>
          <w:sz w:val="24"/>
          <w:szCs w:val="24"/>
          <w:highlight w:val="none"/>
        </w:rPr>
        <w:t>物价变化</w:t>
      </w:r>
    </w:p>
    <w:p w14:paraId="2033D4F9">
      <w:pPr>
        <w:spacing w:before="156" w:line="315" w:lineRule="auto"/>
        <w:ind w:left="8" w:right="108"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合同履行期间，项目所在地工程造价管理机构发布的动态人工调整系数发生变化时，如果承包人投标报价中人工费（以下简称“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中标人工费</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4"/>
          <w:sz w:val="24"/>
          <w:szCs w:val="24"/>
          <w:highlight w:val="none"/>
        </w:rPr>
        <w:t>等于或超过施工当</w:t>
      </w:r>
      <w:r>
        <w:rPr>
          <w:rFonts w:hint="eastAsia" w:ascii="宋体" w:hAnsi="宋体" w:eastAsia="宋体" w:cs="宋体"/>
          <w:color w:val="auto"/>
          <w:spacing w:val="-2"/>
          <w:sz w:val="24"/>
          <w:szCs w:val="24"/>
          <w:highlight w:val="none"/>
        </w:rPr>
        <w:t>月经动态调整后的定额人工费，该清单项目中标人工费不予调整；如果中标人工费低于施工当月经动态调整后的定额人工费，该清单项目中标人工费可以调整，相关费用按有</w:t>
      </w:r>
      <w:r>
        <w:rPr>
          <w:rFonts w:hint="eastAsia" w:ascii="宋体" w:hAnsi="宋体" w:eastAsia="宋体" w:cs="宋体"/>
          <w:color w:val="auto"/>
          <w:spacing w:val="-1"/>
          <w:sz w:val="24"/>
          <w:szCs w:val="24"/>
          <w:highlight w:val="none"/>
        </w:rPr>
        <w:t>关规定进行相应调整。结算人工费调整公式为：</w:t>
      </w:r>
    </w:p>
    <w:p w14:paraId="29AB0F6A">
      <w:pPr>
        <w:spacing w:before="153" w:line="220" w:lineRule="auto"/>
        <w:ind w:left="494"/>
        <w:rPr>
          <w:rFonts w:hint="eastAsia" w:ascii="宋体" w:hAnsi="宋体" w:eastAsia="宋体" w:cs="宋体"/>
          <w:color w:val="auto"/>
          <w:sz w:val="15"/>
          <w:szCs w:val="15"/>
          <w:highlight w:val="none"/>
        </w:rPr>
      </w:pPr>
      <w:r>
        <w:rPr>
          <w:rFonts w:hint="eastAsia" w:ascii="宋体" w:hAnsi="宋体" w:eastAsia="宋体" w:cs="宋体"/>
          <w:color w:val="auto"/>
          <w:spacing w:val="-1"/>
          <w:sz w:val="24"/>
          <w:szCs w:val="24"/>
          <w:highlight w:val="none"/>
        </w:rPr>
        <w:t>结算人工费＝中标人工费×F</w:t>
      </w:r>
      <w:r>
        <w:rPr>
          <w:rFonts w:hint="eastAsia" w:ascii="宋体" w:hAnsi="宋体" w:eastAsia="宋体" w:cs="宋体"/>
          <w:color w:val="auto"/>
          <w:spacing w:val="-1"/>
          <w:position w:val="-1"/>
          <w:sz w:val="15"/>
          <w:szCs w:val="15"/>
          <w:highlight w:val="none"/>
        </w:rPr>
        <w:t>1</w:t>
      </w:r>
    </w:p>
    <w:p w14:paraId="27F82D1B">
      <w:pPr>
        <w:spacing w:before="152"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式中，F</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23"/>
          <w:w w:val="101"/>
          <w:position w:val="-1"/>
          <w:sz w:val="15"/>
          <w:szCs w:val="15"/>
          <w:highlight w:val="none"/>
        </w:rPr>
        <w:t xml:space="preserve"> </w:t>
      </w:r>
      <w:r>
        <w:rPr>
          <w:rFonts w:hint="eastAsia" w:ascii="宋体" w:hAnsi="宋体" w:eastAsia="宋体" w:cs="宋体"/>
          <w:color w:val="auto"/>
          <w:spacing w:val="-1"/>
          <w:sz w:val="24"/>
          <w:szCs w:val="24"/>
          <w:highlight w:val="none"/>
        </w:rPr>
        <w:t>为施工当月项目所在地工程造价管理机构发布的动态人工调整系数。</w:t>
      </w:r>
    </w:p>
    <w:p w14:paraId="6301761F">
      <w:pPr>
        <w:spacing w:before="119" w:line="324" w:lineRule="auto"/>
        <w:ind w:left="1" w:right="108" w:firstLine="483"/>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fldChar w:fldCharType="begin"/>
      </w:r>
      <w:r>
        <w:rPr>
          <w:rFonts w:hint="eastAsia" w:ascii="宋体" w:hAnsi="宋体" w:eastAsia="宋体" w:cs="宋体"/>
          <w:b/>
          <w:bCs/>
          <w:color w:val="auto"/>
          <w:spacing w:val="-1"/>
          <w:sz w:val="24"/>
          <w:szCs w:val="24"/>
          <w:highlight w:val="none"/>
        </w:rPr>
        <w:instrText xml:space="preserve"> HYPERLINK "2.3.6.2" </w:instrText>
      </w:r>
      <w:r>
        <w:rPr>
          <w:rFonts w:hint="eastAsia" w:ascii="宋体" w:hAnsi="宋体" w:eastAsia="宋体" w:cs="宋体"/>
          <w:b/>
          <w:bCs/>
          <w:color w:val="auto"/>
          <w:spacing w:val="-1"/>
          <w:sz w:val="24"/>
          <w:szCs w:val="24"/>
          <w:highlight w:val="none"/>
        </w:rPr>
        <w:fldChar w:fldCharType="separate"/>
      </w:r>
      <w:r>
        <w:rPr>
          <w:rFonts w:hint="eastAsia" w:ascii="宋体" w:hAnsi="宋体" w:eastAsia="宋体" w:cs="宋体"/>
          <w:b/>
          <w:bCs/>
          <w:color w:val="auto"/>
          <w:spacing w:val="-1"/>
          <w:sz w:val="24"/>
          <w:szCs w:val="24"/>
          <w:highlight w:val="none"/>
        </w:rPr>
        <w:t>2.3.6.2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本招标项目约定，材料、工程设备</w:t>
      </w:r>
      <w:r>
        <w:rPr>
          <w:rFonts w:hint="eastAsia" w:ascii="宋体" w:hAnsi="宋体" w:eastAsia="宋体" w:cs="宋体"/>
          <w:color w:val="auto"/>
          <w:spacing w:val="-2"/>
          <w:sz w:val="24"/>
          <w:szCs w:val="24"/>
          <w:highlight w:val="none"/>
        </w:rPr>
        <w:t>单价涨跌风险幅度值</w:t>
      </w:r>
      <w:r>
        <w:rPr>
          <w:rFonts w:hint="eastAsia" w:ascii="宋体" w:hAnsi="宋体" w:eastAsia="宋体" w:cs="宋体"/>
          <w:color w:val="auto"/>
          <w:spacing w:val="-59"/>
          <w:sz w:val="24"/>
          <w:szCs w:val="24"/>
          <w:highlight w:val="none"/>
        </w:rPr>
        <w:t xml:space="preserve"> </w:t>
      </w:r>
      <w:r>
        <w:rPr>
          <w:rFonts w:hint="eastAsia" w:ascii="宋体" w:hAnsi="宋体" w:eastAsia="宋体" w:cs="宋体"/>
          <w:color w:val="auto"/>
          <w:spacing w:val="-2"/>
          <w:sz w:val="24"/>
          <w:szCs w:val="24"/>
          <w:highlight w:val="none"/>
        </w:rPr>
        <w:t>A 为</w:t>
      </w:r>
      <w:r>
        <w:rPr>
          <w:rFonts w:hint="eastAsia" w:ascii="宋体" w:hAnsi="宋体" w:eastAsia="宋体" w:cs="宋体"/>
          <w:color w:val="auto"/>
          <w:spacing w:val="-2"/>
          <w:sz w:val="24"/>
          <w:szCs w:val="24"/>
          <w:highlight w:val="none"/>
          <w:u w:val="single"/>
        </w:rPr>
        <w:t xml:space="preserve">  5%   </w:t>
      </w:r>
      <w:r>
        <w:rPr>
          <w:rFonts w:hint="eastAsia" w:ascii="宋体" w:hAnsi="宋体" w:eastAsia="宋体" w:cs="宋体"/>
          <w:color w:val="auto"/>
          <w:spacing w:val="-2"/>
          <w:sz w:val="24"/>
          <w:szCs w:val="24"/>
          <w:highlight w:val="none"/>
        </w:rPr>
        <w:t>。合同履</w:t>
      </w:r>
      <w:r>
        <w:rPr>
          <w:rFonts w:hint="eastAsia" w:ascii="宋体" w:hAnsi="宋体" w:eastAsia="宋体" w:cs="宋体"/>
          <w:color w:val="auto"/>
          <w:spacing w:val="-1"/>
          <w:sz w:val="24"/>
          <w:szCs w:val="24"/>
          <w:highlight w:val="none"/>
        </w:rPr>
        <w:t>行期间，当《承包人提供主要材料和工程设备一览表》（</w:t>
      </w:r>
      <w:r>
        <w:rPr>
          <w:rFonts w:hint="eastAsia" w:ascii="宋体" w:hAnsi="宋体" w:eastAsia="宋体" w:cs="宋体"/>
          <w:color w:val="auto"/>
          <w:spacing w:val="-2"/>
          <w:sz w:val="24"/>
          <w:szCs w:val="24"/>
          <w:highlight w:val="none"/>
        </w:rPr>
        <w:t>详见招标工程量清单）中的材</w:t>
      </w:r>
      <w:r>
        <w:rPr>
          <w:rFonts w:hint="eastAsia" w:ascii="宋体" w:hAnsi="宋体" w:eastAsia="宋体" w:cs="宋体"/>
          <w:color w:val="auto"/>
          <w:spacing w:val="-3"/>
          <w:sz w:val="24"/>
          <w:szCs w:val="24"/>
          <w:highlight w:val="none"/>
        </w:rPr>
        <w:t>料、工程设备单价涨跌幅度等于或低于</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A 值时，该材料、工程设备单价不予调整；超过</w:t>
      </w:r>
      <w:r>
        <w:rPr>
          <w:rFonts w:hint="eastAsia" w:ascii="宋体" w:hAnsi="宋体" w:eastAsia="宋体" w:cs="宋体"/>
          <w:color w:val="auto"/>
          <w:sz w:val="24"/>
          <w:szCs w:val="24"/>
          <w:highlight w:val="none"/>
        </w:rPr>
        <w:t>A 值时，其超过部分可以调整。相关费用按有关规定进行相</w:t>
      </w:r>
      <w:r>
        <w:rPr>
          <w:rFonts w:hint="eastAsia" w:ascii="宋体" w:hAnsi="宋体" w:eastAsia="宋体" w:cs="宋体"/>
          <w:color w:val="auto"/>
          <w:spacing w:val="-1"/>
          <w:sz w:val="24"/>
          <w:szCs w:val="24"/>
          <w:highlight w:val="none"/>
        </w:rPr>
        <w:t>应调整。</w:t>
      </w:r>
    </w:p>
    <w:p w14:paraId="266AED0D">
      <w:pPr>
        <w:spacing w:before="126" w:line="295" w:lineRule="auto"/>
        <w:ind w:left="11" w:right="108" w:firstLine="477"/>
        <w:jc w:val="both"/>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eastAsia="zh-CN"/>
        </w:rPr>
        <w:t>a ．如果承包人投标报价中材料、工程设备单价（以下简称“ 中标单价 ”）低于基准日当月项目所在地工程造价管理机构发布的对应材料、工程设备单价（以下简称“基准单价 ”），该材料、工程设备的结算单价调整公式为：</w:t>
      </w:r>
    </w:p>
    <w:p w14:paraId="17CE028D">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a．涨价时，</w:t>
      </w:r>
      <w:r>
        <w:rPr>
          <w:rFonts w:hint="eastAsia" w:ascii="宋体" w:hAnsi="宋体" w:eastAsia="宋体" w:cs="宋体"/>
          <w:snapToGrid w:val="0"/>
          <w:color w:val="auto"/>
          <w:kern w:val="0"/>
          <w:position w:val="-30"/>
          <w:sz w:val="24"/>
          <w:szCs w:val="24"/>
          <w:highlight w:val="none"/>
        </w:rPr>
        <w:object>
          <v:shape id="_x0000_i1025" o:spt="75" type="#_x0000_t75" style="height:33.95pt;width:200.95pt;" o:ole="t" filled="f" o:preferrelative="t" stroked="f" coordsize="21600,21600">
            <v:path/>
            <v:fill on="f" focussize="0,0"/>
            <v:stroke on="f"/>
            <v:imagedata r:id="rId30" embosscolor="#FFFFFF" o:title=""/>
            <o:lock v:ext="edit" grouping="f" rotation="f" text="f" aspectratio="t"/>
            <w10:wrap type="none"/>
            <w10:anchorlock/>
          </v:shape>
          <o:OLEObject Type="Embed" ProgID="Equation.KSEE3" ShapeID="_x0000_i1025" DrawAspect="Content" ObjectID="_1468075725" r:id="rId29">
            <o:LockedField>false</o:LockedField>
          </o:OLEObject>
        </w:object>
      </w:r>
    </w:p>
    <w:p w14:paraId="1DAEC11B">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26" o:spt="75" type="#_x0000_t75" style="height:33.95pt;width:198.95pt;" o:ole="t" filled="f" o:preferrelative="t" stroked="f" coordsize="21600,21600">
            <v:path/>
            <v:fill on="f" focussize="0,0"/>
            <v:stroke on="f"/>
            <v:imagedata r:id="rId32" embosscolor="#FFFFFF" o:title=""/>
            <o:lock v:ext="edit" grouping="f" rotation="f" text="f" aspectratio="t"/>
            <w10:wrap type="none"/>
            <w10:anchorlock/>
          </v:shape>
          <o:OLEObject Type="Embed" ProgID="Equation.KSEE3" ShapeID="_x0000_i1026" DrawAspect="Content" ObjectID="_1468075726" r:id="rId31">
            <o:LockedField>false</o:LockedField>
          </o:OLEObject>
        </w:object>
      </w:r>
    </w:p>
    <w:p w14:paraId="0F78345B">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b．涨价时，</w:t>
      </w:r>
      <w:r>
        <w:rPr>
          <w:rFonts w:hint="eastAsia" w:ascii="宋体" w:hAnsi="宋体" w:eastAsia="宋体" w:cs="宋体"/>
          <w:snapToGrid w:val="0"/>
          <w:color w:val="auto"/>
          <w:kern w:val="0"/>
          <w:position w:val="-30"/>
          <w:sz w:val="24"/>
          <w:szCs w:val="24"/>
          <w:highlight w:val="none"/>
        </w:rPr>
        <w:object>
          <v:shape id="_x0000_i1027" o:spt="75" type="#_x0000_t75" style="height:33.95pt;width:198.95pt;" o:ole="t" filled="f" o:preferrelative="t" stroked="f" coordsize="21600,21600">
            <v:path/>
            <v:fill on="f" focussize="0,0"/>
            <v:stroke on="f"/>
            <v:imagedata r:id="rId34" embosscolor="#FFFFFF" o:title=""/>
            <o:lock v:ext="edit" grouping="f" rotation="f" text="f" aspectratio="t"/>
            <w10:wrap type="none"/>
            <w10:anchorlock/>
          </v:shape>
          <o:OLEObject Type="Embed" ProgID="Equation.KSEE3" ShapeID="_x0000_i1027" DrawAspect="Content" ObjectID="_1468075727" r:id="rId33">
            <o:LockedField>false</o:LockedField>
          </o:OLEObject>
        </w:object>
      </w:r>
    </w:p>
    <w:p w14:paraId="27B2B575">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28" o:spt="75" type="#_x0000_t75" style="height:33.95pt;width:200.95pt;" o:ole="t" filled="f" o:preferrelative="t" stroked="f" coordsize="21600,21600">
            <v:path/>
            <v:fill on="f" focussize="0,0"/>
            <v:stroke on="f"/>
            <v:imagedata r:id="rId36" embosscolor="#FFFFFF" o:title=""/>
            <o:lock v:ext="edit" grouping="f" rotation="f" text="f" aspectratio="t"/>
            <w10:wrap type="none"/>
            <w10:anchorlock/>
          </v:shape>
          <o:OLEObject Type="Embed" ProgID="Equation.KSEE3" ShapeID="_x0000_i1028" DrawAspect="Content" ObjectID="_1468075728" r:id="rId35">
            <o:LockedField>false</o:LockedField>
          </o:OLEObject>
        </w:object>
      </w:r>
    </w:p>
    <w:p w14:paraId="14309D94">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c．涨价时，</w:t>
      </w:r>
      <w:r>
        <w:rPr>
          <w:rFonts w:hint="eastAsia" w:ascii="宋体" w:hAnsi="宋体" w:eastAsia="宋体" w:cs="宋体"/>
          <w:snapToGrid w:val="0"/>
          <w:color w:val="auto"/>
          <w:kern w:val="0"/>
          <w:position w:val="-30"/>
          <w:sz w:val="24"/>
          <w:szCs w:val="24"/>
          <w:highlight w:val="none"/>
        </w:rPr>
        <w:object>
          <v:shape id="_x0000_i1029" o:spt="75" type="#_x0000_t75" style="height:33.95pt;width:200.95pt;" o:ole="t" filled="f" o:preferrelative="t" stroked="f" coordsize="21600,21600">
            <v:path/>
            <v:fill on="f" focussize="0,0"/>
            <v:stroke on="f"/>
            <v:imagedata r:id="rId38" embosscolor="#FFFFFF" o:title=""/>
            <o:lock v:ext="edit" grouping="f" rotation="f" text="f" aspectratio="t"/>
            <w10:wrap type="none"/>
            <w10:anchorlock/>
          </v:shape>
          <o:OLEObject Type="Embed" ProgID="Equation.KSEE3" ShapeID="_x0000_i1029" DrawAspect="Content" ObjectID="_1468075729" r:id="rId37">
            <o:LockedField>false</o:LockedField>
          </o:OLEObject>
        </w:object>
      </w:r>
    </w:p>
    <w:p w14:paraId="55761B5C">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0" o:spt="75" type="#_x0000_t75" style="height:33.95pt;width:200.95pt;" o:ole="t" filled="f" o:preferrelative="t" stroked="f" coordsize="21600,21600">
            <v:path/>
            <v:fill on="f" focussize="0,0"/>
            <v:stroke on="f"/>
            <v:imagedata r:id="rId40" embosscolor="#FFFFFF" o:title=""/>
            <o:lock v:ext="edit" grouping="f" rotation="f" text="f" aspectratio="t"/>
            <w10:wrap type="none"/>
            <w10:anchorlock/>
          </v:shape>
          <o:OLEObject Type="Embed" ProgID="Equation.KSEE3" ShapeID="_x0000_i1030" DrawAspect="Content" ObjectID="_1468075730" r:id="rId39">
            <o:LockedField>false</o:LockedField>
          </o:OLEObject>
        </w:object>
      </w:r>
    </w:p>
    <w:p w14:paraId="4364D528">
      <w:pPr>
        <w:spacing w:before="78"/>
        <w:ind w:left="330"/>
        <w:rPr>
          <w:rFonts w:hint="eastAsia" w:ascii="宋体" w:hAnsi="宋体" w:eastAsia="宋体" w:cs="宋体"/>
          <w:color w:val="auto"/>
          <w:sz w:val="24"/>
          <w:szCs w:val="24"/>
          <w:highlight w:val="none"/>
        </w:rPr>
      </w:pPr>
    </w:p>
    <w:p w14:paraId="57864BBF">
      <w:pPr>
        <w:spacing w:before="140" w:line="196" w:lineRule="auto"/>
        <w:ind w:left="3758"/>
        <w:rPr>
          <w:rFonts w:hint="eastAsia" w:ascii="宋体" w:hAnsi="宋体" w:eastAsia="宋体" w:cs="宋体"/>
          <w:color w:val="auto"/>
          <w:sz w:val="13"/>
          <w:szCs w:val="13"/>
          <w:highlight w:val="none"/>
        </w:rPr>
      </w:pPr>
      <w:r>
        <w:rPr>
          <w:rFonts w:hint="eastAsia" w:ascii="宋体" w:hAnsi="宋体" w:eastAsia="宋体" w:cs="宋体"/>
          <w:color w:val="auto"/>
          <w:spacing w:val="-2"/>
          <w:position w:val="1"/>
          <w:sz w:val="24"/>
          <w:szCs w:val="24"/>
          <w:highlight w:val="none"/>
        </w:rPr>
        <w:t>F</w:t>
      </w:r>
      <w:r>
        <w:rPr>
          <w:rFonts w:hint="eastAsia" w:ascii="宋体" w:hAnsi="宋体" w:eastAsia="宋体" w:cs="宋体"/>
          <w:color w:val="auto"/>
          <w:spacing w:val="-2"/>
          <w:position w:val="-4"/>
          <w:sz w:val="13"/>
          <w:szCs w:val="13"/>
          <w:highlight w:val="none"/>
        </w:rPr>
        <w:t>0</w:t>
      </w:r>
    </w:p>
    <w:p w14:paraId="07ED61AB">
      <w:pPr>
        <w:spacing w:before="78" w:line="330" w:lineRule="auto"/>
        <w:ind w:right="59" w:firstLine="507"/>
        <w:jc w:val="both"/>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以上公式中，F</w:t>
      </w:r>
      <w:r>
        <w:rPr>
          <w:rFonts w:hint="eastAsia" w:ascii="宋体" w:hAnsi="宋体" w:eastAsia="宋体" w:cs="宋体"/>
          <w:color w:val="auto"/>
          <w:spacing w:val="-4"/>
          <w:position w:val="-1"/>
          <w:sz w:val="15"/>
          <w:szCs w:val="15"/>
          <w:highlight w:val="none"/>
        </w:rPr>
        <w:t>1</w:t>
      </w:r>
      <w:r>
        <w:rPr>
          <w:rFonts w:hint="eastAsia" w:ascii="宋体" w:hAnsi="宋体" w:eastAsia="宋体" w:cs="宋体"/>
          <w:color w:val="auto"/>
          <w:spacing w:val="26"/>
          <w:position w:val="-1"/>
          <w:sz w:val="15"/>
          <w:szCs w:val="15"/>
          <w:highlight w:val="none"/>
        </w:rPr>
        <w:t xml:space="preserve"> </w:t>
      </w:r>
      <w:r>
        <w:rPr>
          <w:rFonts w:hint="eastAsia" w:ascii="宋体" w:hAnsi="宋体" w:eastAsia="宋体" w:cs="宋体"/>
          <w:color w:val="auto"/>
          <w:spacing w:val="-4"/>
          <w:sz w:val="24"/>
          <w:szCs w:val="24"/>
          <w:highlight w:val="none"/>
        </w:rPr>
        <w:t>为中标单价；F</w:t>
      </w:r>
      <w:r>
        <w:rPr>
          <w:rFonts w:hint="eastAsia" w:ascii="宋体" w:hAnsi="宋体" w:eastAsia="宋体" w:cs="宋体"/>
          <w:color w:val="auto"/>
          <w:spacing w:val="-4"/>
          <w:position w:val="-1"/>
          <w:sz w:val="15"/>
          <w:szCs w:val="15"/>
          <w:highlight w:val="none"/>
        </w:rPr>
        <w:t>0</w:t>
      </w:r>
      <w:r>
        <w:rPr>
          <w:rFonts w:hint="eastAsia" w:ascii="宋体" w:hAnsi="宋体" w:eastAsia="宋体" w:cs="宋体"/>
          <w:color w:val="auto"/>
          <w:spacing w:val="14"/>
          <w:w w:val="101"/>
          <w:position w:val="-1"/>
          <w:sz w:val="15"/>
          <w:szCs w:val="15"/>
          <w:highlight w:val="none"/>
        </w:rPr>
        <w:t xml:space="preserve"> </w:t>
      </w:r>
      <w:r>
        <w:rPr>
          <w:rFonts w:hint="eastAsia" w:ascii="宋体" w:hAnsi="宋体" w:eastAsia="宋体" w:cs="宋体"/>
          <w:color w:val="auto"/>
          <w:spacing w:val="-4"/>
          <w:sz w:val="24"/>
          <w:szCs w:val="24"/>
          <w:highlight w:val="none"/>
        </w:rPr>
        <w:t>为基准单价；F</w:t>
      </w:r>
      <w:r>
        <w:rPr>
          <w:rFonts w:hint="eastAsia" w:ascii="宋体" w:hAnsi="宋体" w:eastAsia="宋体" w:cs="宋体"/>
          <w:color w:val="auto"/>
          <w:spacing w:val="-4"/>
          <w:position w:val="-1"/>
          <w:sz w:val="15"/>
          <w:szCs w:val="15"/>
          <w:highlight w:val="none"/>
        </w:rPr>
        <w:t>2</w:t>
      </w:r>
      <w:r>
        <w:rPr>
          <w:rFonts w:hint="eastAsia" w:ascii="宋体" w:hAnsi="宋体" w:eastAsia="宋体" w:cs="宋体"/>
          <w:color w:val="auto"/>
          <w:spacing w:val="12"/>
          <w:position w:val="-1"/>
          <w:sz w:val="15"/>
          <w:szCs w:val="15"/>
          <w:highlight w:val="none"/>
        </w:rPr>
        <w:t xml:space="preserve"> </w:t>
      </w:r>
      <w:r>
        <w:rPr>
          <w:rFonts w:hint="eastAsia" w:ascii="宋体" w:hAnsi="宋体" w:eastAsia="宋体" w:cs="宋体"/>
          <w:color w:val="auto"/>
          <w:spacing w:val="-4"/>
          <w:sz w:val="24"/>
          <w:szCs w:val="24"/>
          <w:highlight w:val="none"/>
        </w:rPr>
        <w:t>为施工当月项目所在地工程造价管</w:t>
      </w:r>
      <w:r>
        <w:rPr>
          <w:rFonts w:hint="eastAsia" w:ascii="宋体" w:hAnsi="宋体" w:eastAsia="宋体" w:cs="宋体"/>
          <w:color w:val="auto"/>
          <w:spacing w:val="-1"/>
          <w:sz w:val="24"/>
          <w:szCs w:val="24"/>
          <w:highlight w:val="none"/>
        </w:rPr>
        <w:t>理机构发布的材料、工程设备单价；A 为合同约定的材料</w:t>
      </w:r>
      <w:r>
        <w:rPr>
          <w:rFonts w:hint="eastAsia" w:ascii="宋体" w:hAnsi="宋体" w:eastAsia="宋体" w:cs="宋体"/>
          <w:color w:val="auto"/>
          <w:spacing w:val="-2"/>
          <w:sz w:val="24"/>
          <w:szCs w:val="24"/>
          <w:highlight w:val="none"/>
        </w:rPr>
        <w:t>、工程设备单价涨跌风险幅度</w:t>
      </w:r>
      <w:r>
        <w:rPr>
          <w:rFonts w:hint="eastAsia" w:ascii="宋体" w:hAnsi="宋体" w:eastAsia="宋体" w:cs="宋体"/>
          <w:color w:val="auto"/>
          <w:spacing w:val="-5"/>
          <w:sz w:val="24"/>
          <w:szCs w:val="24"/>
          <w:highlight w:val="none"/>
        </w:rPr>
        <w:t>值。</w:t>
      </w:r>
    </w:p>
    <w:p w14:paraId="30753A35">
      <w:pPr>
        <w:spacing w:before="33" w:line="299" w:lineRule="auto"/>
        <w:ind w:right="59"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2.3.6.3</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合同履行期间，当《发包人提供材料和工程设备一览表》（详见招标工程量</w:t>
      </w:r>
      <w:r>
        <w:rPr>
          <w:rFonts w:hint="eastAsia" w:ascii="宋体" w:hAnsi="宋体" w:eastAsia="宋体" w:cs="宋体"/>
          <w:color w:val="auto"/>
          <w:spacing w:val="-2"/>
          <w:sz w:val="24"/>
          <w:szCs w:val="24"/>
          <w:highlight w:val="none"/>
        </w:rPr>
        <w:t>清单）中的材料、工程设备单价发生变化时，由发包人按照实际变化调整，并列入合同</w:t>
      </w:r>
      <w:r>
        <w:rPr>
          <w:rFonts w:hint="eastAsia" w:ascii="宋体" w:hAnsi="宋体" w:eastAsia="宋体" w:cs="宋体"/>
          <w:color w:val="auto"/>
          <w:spacing w:val="-4"/>
          <w:sz w:val="24"/>
          <w:szCs w:val="24"/>
          <w:highlight w:val="none"/>
        </w:rPr>
        <w:t>价款。</w:t>
      </w:r>
    </w:p>
    <w:p w14:paraId="0E854E2A">
      <w:pPr>
        <w:spacing w:before="121" w:line="308" w:lineRule="auto"/>
        <w:ind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"2.3.6.4"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2.3.6.4</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本招标项目约定，施工机具台班单价涨跌风险幅度值</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3"/>
          <w:sz w:val="24"/>
          <w:szCs w:val="24"/>
          <w:highlight w:val="none"/>
        </w:rPr>
        <w:t>B</w:t>
      </w:r>
      <w:r>
        <w:rPr>
          <w:rFonts w:hint="eastAsia" w:ascii="宋体" w:hAnsi="宋体" w:eastAsia="宋体" w:cs="宋体"/>
          <w:color w:val="auto"/>
          <w:spacing w:val="-4"/>
          <w:sz w:val="24"/>
          <w:szCs w:val="24"/>
          <w:highlight w:val="none"/>
        </w:rPr>
        <w:t xml:space="preserve"> 为</w:t>
      </w:r>
      <w:r>
        <w:rPr>
          <w:rFonts w:hint="eastAsia" w:ascii="宋体" w:hAnsi="宋体" w:eastAsia="宋体" w:cs="宋体"/>
          <w:color w:val="auto"/>
          <w:spacing w:val="14"/>
          <w:sz w:val="24"/>
          <w:szCs w:val="24"/>
          <w:highlight w:val="none"/>
          <w:u w:val="single"/>
        </w:rPr>
        <w:t xml:space="preserve">  </w:t>
      </w:r>
      <w:r>
        <w:rPr>
          <w:rFonts w:hint="eastAsia" w:ascii="宋体" w:hAnsi="宋体" w:eastAsia="宋体" w:cs="宋体"/>
          <w:color w:val="auto"/>
          <w:spacing w:val="-4"/>
          <w:sz w:val="24"/>
          <w:szCs w:val="24"/>
          <w:highlight w:val="none"/>
          <w:u w:val="single"/>
        </w:rPr>
        <w:t xml:space="preserve">10%  </w:t>
      </w:r>
      <w:r>
        <w:rPr>
          <w:rFonts w:hint="eastAsia" w:ascii="宋体" w:hAnsi="宋体" w:eastAsia="宋体" w:cs="宋体"/>
          <w:color w:val="auto"/>
          <w:spacing w:val="-4"/>
          <w:sz w:val="24"/>
          <w:szCs w:val="24"/>
          <w:highlight w:val="none"/>
        </w:rPr>
        <w:t>。合同履行</w:t>
      </w:r>
      <w:r>
        <w:rPr>
          <w:rFonts w:hint="eastAsia" w:ascii="宋体" w:hAnsi="宋体" w:eastAsia="宋体" w:cs="宋体"/>
          <w:color w:val="auto"/>
          <w:spacing w:val="-7"/>
          <w:sz w:val="24"/>
          <w:szCs w:val="24"/>
          <w:highlight w:val="none"/>
        </w:rPr>
        <w:t>期间，当施工机具台班单价涨跌幅度等于或低于</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7"/>
          <w:sz w:val="24"/>
          <w:szCs w:val="24"/>
          <w:highlight w:val="none"/>
        </w:rPr>
        <w:t>B 值时，该施工机具台班单价不予调</w:t>
      </w:r>
      <w:r>
        <w:rPr>
          <w:rFonts w:hint="eastAsia" w:ascii="宋体" w:hAnsi="宋体" w:eastAsia="宋体" w:cs="宋体"/>
          <w:color w:val="auto"/>
          <w:spacing w:val="-8"/>
          <w:sz w:val="24"/>
          <w:szCs w:val="24"/>
          <w:highlight w:val="none"/>
        </w:rPr>
        <w:t>整；</w:t>
      </w:r>
      <w:r>
        <w:rPr>
          <w:rFonts w:hint="eastAsia" w:ascii="宋体" w:hAnsi="宋体" w:eastAsia="宋体" w:cs="宋体"/>
          <w:color w:val="auto"/>
          <w:sz w:val="24"/>
          <w:szCs w:val="24"/>
          <w:highlight w:val="none"/>
        </w:rPr>
        <w:t>超过</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z w:val="24"/>
          <w:szCs w:val="24"/>
          <w:highlight w:val="none"/>
        </w:rPr>
        <w:t>B 值时，其超过部分可以调整。相关费</w:t>
      </w:r>
      <w:r>
        <w:rPr>
          <w:rFonts w:hint="eastAsia" w:ascii="宋体" w:hAnsi="宋体" w:eastAsia="宋体" w:cs="宋体"/>
          <w:color w:val="auto"/>
          <w:spacing w:val="-1"/>
          <w:sz w:val="24"/>
          <w:szCs w:val="24"/>
          <w:highlight w:val="none"/>
        </w:rPr>
        <w:t>用按有关规定进行相应调整。</w:t>
      </w:r>
    </w:p>
    <w:p w14:paraId="56D691D2">
      <w:pPr>
        <w:spacing w:before="153" w:line="278" w:lineRule="auto"/>
        <w:ind w:left="42" w:right="59" w:firstLine="4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a</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color w:val="auto"/>
          <w:spacing w:val="-1"/>
          <w:sz w:val="24"/>
          <w:szCs w:val="24"/>
          <w:highlight w:val="none"/>
        </w:rPr>
        <w:t>．如果承包人投标报价中施工机具台班单价（以下简称“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中标单价</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2"/>
          <w:sz w:val="24"/>
          <w:szCs w:val="24"/>
          <w:highlight w:val="none"/>
        </w:rPr>
        <w:t>）低于基准</w:t>
      </w:r>
      <w:r>
        <w:rPr>
          <w:rFonts w:hint="eastAsia" w:ascii="宋体" w:hAnsi="宋体" w:eastAsia="宋体" w:cs="宋体"/>
          <w:color w:val="auto"/>
          <w:spacing w:val="-3"/>
          <w:sz w:val="24"/>
          <w:szCs w:val="24"/>
          <w:highlight w:val="none"/>
        </w:rPr>
        <w:t>日当月项目所在地工程造价管理机构发布的对应施工机具台班单价（以下简称“基准单</w:t>
      </w:r>
      <w:r>
        <w:rPr>
          <w:rFonts w:hint="eastAsia" w:ascii="宋体" w:hAnsi="宋体" w:eastAsia="宋体" w:cs="宋体"/>
          <w:color w:val="auto"/>
          <w:spacing w:val="-2"/>
          <w:sz w:val="24"/>
          <w:szCs w:val="24"/>
          <w:highlight w:val="none"/>
        </w:rPr>
        <w:t>价</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”），该施工机具台班的结算单价调整公式为：</w:t>
      </w:r>
    </w:p>
    <w:p w14:paraId="2EFEBCF0">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1" o:spt="75" type="#_x0000_t75" style="height:33.95pt;width:200.95pt;" o:ole="t" filled="f" o:preferrelative="t" stroked="f" coordsize="21600,21600">
            <v:path/>
            <v:fill on="f" focussize="0,0"/>
            <v:stroke on="f"/>
            <v:imagedata r:id="rId42" embosscolor="#FFFFFF" o:title=""/>
            <o:lock v:ext="edit" grouping="f" rotation="f" text="f" aspectratio="t"/>
            <w10:wrap type="none"/>
            <w10:anchorlock/>
          </v:shape>
          <o:OLEObject Type="Embed" ProgID="Equation.KSEE3" ShapeID="_x0000_i1031" DrawAspect="Content" ObjectID="_1468075731" r:id="rId41">
            <o:LockedField>false</o:LockedField>
          </o:OLEObject>
        </w:object>
      </w:r>
    </w:p>
    <w:p w14:paraId="05977695">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2" o:spt="75" type="#_x0000_t75" style="height:33.95pt;width:198pt;" o:ole="t" filled="f" o:preferrelative="t" stroked="f" coordsize="21600,21600">
            <v:path/>
            <v:fill on="f" focussize="0,0"/>
            <v:stroke on="f"/>
            <v:imagedata r:id="rId44" embosscolor="#FFFFFF" o:title=""/>
            <o:lock v:ext="edit" grouping="f" rotation="f" text="f" aspectratio="t"/>
            <w10:wrap type="none"/>
            <w10:anchorlock/>
          </v:shape>
          <o:OLEObject Type="Embed" ProgID="Equation.KSEE3" ShapeID="_x0000_i1032" DrawAspect="Content" ObjectID="_1468075732" r:id="rId43">
            <o:LockedField>false</o:LockedField>
          </o:OLEObject>
        </w:object>
      </w:r>
    </w:p>
    <w:p w14:paraId="60ECB2AB">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b</w:t>
      </w:r>
      <w:r>
        <w:rPr>
          <w:rFonts w:hint="eastAsia" w:ascii="宋体" w:hAnsi="宋体" w:eastAsia="宋体" w:cs="宋体"/>
          <w:snapToGrid w:val="0"/>
          <w:color w:val="auto"/>
          <w:kern w:val="0"/>
          <w:sz w:val="24"/>
          <w:szCs w:val="24"/>
          <w:highlight w:val="none"/>
        </w:rPr>
        <w:t>．如果中标单价高于基准单价，该施工机具台班的结算单价调整公式为：</w:t>
      </w:r>
    </w:p>
    <w:p w14:paraId="1397C7BC">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3" o:spt="75" type="#_x0000_t75" style="height:33.95pt;width:198pt;" o:ole="t" filled="f" o:preferrelative="t" stroked="f" coordsize="21600,21600">
            <v:path/>
            <v:fill on="f" focussize="0,0"/>
            <v:stroke on="f"/>
            <v:imagedata r:id="rId46" embosscolor="#FFFFFF" o:title=""/>
            <o:lock v:ext="edit" grouping="f" rotation="f" text="f" aspectratio="t"/>
            <w10:wrap type="none"/>
            <w10:anchorlock/>
          </v:shape>
          <o:OLEObject Type="Embed" ProgID="Equation.KSEE3" ShapeID="_x0000_i1033" DrawAspect="Content" ObjectID="_1468075733" r:id="rId45">
            <o:LockedField>false</o:LockedField>
          </o:OLEObject>
        </w:object>
      </w:r>
    </w:p>
    <w:p w14:paraId="7EAE322B">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4" o:spt="75" type="#_x0000_t75" style="height:33.95pt;width:200.95pt;" o:ole="t" filled="f" o:preferrelative="t" stroked="f" coordsize="21600,21600">
            <v:path/>
            <v:fill on="f" focussize="0,0"/>
            <v:stroke on="f"/>
            <v:imagedata r:id="rId48" embosscolor="#FFFFFF" o:title=""/>
            <o:lock v:ext="edit" grouping="f" rotation="f" text="f" aspectratio="t"/>
            <w10:wrap type="none"/>
            <w10:anchorlock/>
          </v:shape>
          <o:OLEObject Type="Embed" ProgID="Equation.KSEE3" ShapeID="_x0000_i1034" DrawAspect="Content" ObjectID="_1468075734" r:id="rId47">
            <o:LockedField>false</o:LockedField>
          </o:OLEObject>
        </w:object>
      </w:r>
    </w:p>
    <w:p w14:paraId="601355E0">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c</w:t>
      </w:r>
      <w:r>
        <w:rPr>
          <w:rFonts w:hint="eastAsia" w:ascii="宋体" w:hAnsi="宋体" w:eastAsia="宋体" w:cs="宋体"/>
          <w:snapToGrid w:val="0"/>
          <w:color w:val="auto"/>
          <w:kern w:val="0"/>
          <w:sz w:val="24"/>
          <w:szCs w:val="24"/>
          <w:highlight w:val="none"/>
        </w:rPr>
        <w:t>．如果中标单价等于基准单价，该施工机具台班的结算单价调整公式为：</w:t>
      </w:r>
    </w:p>
    <w:p w14:paraId="78ED18B4">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5" o:spt="75" type="#_x0000_t75" style="height:33.95pt;width:200.95pt;" o:ole="t" filled="f" o:preferrelative="t" stroked="f" coordsize="21600,21600">
            <v:path/>
            <v:fill on="f" focussize="0,0"/>
            <v:stroke on="f"/>
            <v:imagedata r:id="rId50" embosscolor="#FFFFFF" o:title=""/>
            <o:lock v:ext="edit" grouping="f" rotation="f" text="f" aspectratio="t"/>
            <w10:wrap type="none"/>
            <w10:anchorlock/>
          </v:shape>
          <o:OLEObject Type="Embed" ProgID="Equation.KSEE3" ShapeID="_x0000_i1035" DrawAspect="Content" ObjectID="_1468075735" r:id="rId49">
            <o:LockedField>false</o:LockedField>
          </o:OLEObject>
        </w:object>
      </w:r>
    </w:p>
    <w:p w14:paraId="11B28D87">
      <w:pPr>
        <w:spacing w:before="79" w:line="324" w:lineRule="auto"/>
        <w:ind w:left="11" w:right="65" w:firstLine="504"/>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6" o:spt="75" type="#_x0000_t75" style="height:33.95pt;width:200.95pt;" o:ole="t" filled="f" o:preferrelative="t" stroked="f" coordsize="21600,21600">
            <v:path/>
            <v:fill on="f" focussize="0,0"/>
            <v:stroke on="f"/>
            <v:imagedata r:id="rId52" embosscolor="#FFFFFF" o:title=""/>
            <o:lock v:ext="edit" grouping="f" rotation="f" text="f" aspectratio="t"/>
            <w10:wrap type="none"/>
            <w10:anchorlock/>
          </v:shape>
          <o:OLEObject Type="Embed" ProgID="Equation.KSEE3" ShapeID="_x0000_i1036" DrawAspect="Content" ObjectID="_1468075736" r:id="rId51">
            <o:LockedField>false</o:LockedField>
          </o:OLEObject>
        </w:object>
      </w:r>
    </w:p>
    <w:p w14:paraId="419E4FE0">
      <w:pPr>
        <w:spacing w:before="79" w:line="324" w:lineRule="auto"/>
        <w:ind w:left="11" w:right="65" w:firstLine="504"/>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以上公式中，F</w:t>
      </w:r>
      <w:r>
        <w:rPr>
          <w:rFonts w:hint="eastAsia" w:ascii="宋体" w:hAnsi="宋体" w:eastAsia="宋体" w:cs="宋体"/>
          <w:color w:val="auto"/>
          <w:spacing w:val="-4"/>
          <w:position w:val="-1"/>
          <w:sz w:val="15"/>
          <w:szCs w:val="15"/>
          <w:highlight w:val="none"/>
        </w:rPr>
        <w:t>1</w:t>
      </w:r>
      <w:r>
        <w:rPr>
          <w:rFonts w:hint="eastAsia" w:ascii="宋体" w:hAnsi="宋体" w:eastAsia="宋体" w:cs="宋体"/>
          <w:color w:val="auto"/>
          <w:spacing w:val="26"/>
          <w:position w:val="-1"/>
          <w:sz w:val="15"/>
          <w:szCs w:val="15"/>
          <w:highlight w:val="none"/>
        </w:rPr>
        <w:t xml:space="preserve"> </w:t>
      </w:r>
      <w:r>
        <w:rPr>
          <w:rFonts w:hint="eastAsia" w:ascii="宋体" w:hAnsi="宋体" w:eastAsia="宋体" w:cs="宋体"/>
          <w:color w:val="auto"/>
          <w:spacing w:val="-4"/>
          <w:sz w:val="24"/>
          <w:szCs w:val="24"/>
          <w:highlight w:val="none"/>
        </w:rPr>
        <w:t>为中标单价；F</w:t>
      </w:r>
      <w:r>
        <w:rPr>
          <w:rFonts w:hint="eastAsia" w:ascii="宋体" w:hAnsi="宋体" w:eastAsia="宋体" w:cs="宋体"/>
          <w:color w:val="auto"/>
          <w:spacing w:val="-4"/>
          <w:position w:val="-1"/>
          <w:sz w:val="15"/>
          <w:szCs w:val="15"/>
          <w:highlight w:val="none"/>
        </w:rPr>
        <w:t>0</w:t>
      </w:r>
      <w:r>
        <w:rPr>
          <w:rFonts w:hint="eastAsia" w:ascii="宋体" w:hAnsi="宋体" w:eastAsia="宋体" w:cs="宋体"/>
          <w:color w:val="auto"/>
          <w:spacing w:val="14"/>
          <w:w w:val="101"/>
          <w:position w:val="-1"/>
          <w:sz w:val="15"/>
          <w:szCs w:val="15"/>
          <w:highlight w:val="none"/>
        </w:rPr>
        <w:t xml:space="preserve"> </w:t>
      </w:r>
      <w:r>
        <w:rPr>
          <w:rFonts w:hint="eastAsia" w:ascii="宋体" w:hAnsi="宋体" w:eastAsia="宋体" w:cs="宋体"/>
          <w:color w:val="auto"/>
          <w:spacing w:val="-4"/>
          <w:sz w:val="24"/>
          <w:szCs w:val="24"/>
          <w:highlight w:val="none"/>
        </w:rPr>
        <w:t>为基准单价；F</w:t>
      </w:r>
      <w:r>
        <w:rPr>
          <w:rFonts w:hint="eastAsia" w:ascii="宋体" w:hAnsi="宋体" w:eastAsia="宋体" w:cs="宋体"/>
          <w:color w:val="auto"/>
          <w:spacing w:val="-4"/>
          <w:position w:val="-1"/>
          <w:sz w:val="15"/>
          <w:szCs w:val="15"/>
          <w:highlight w:val="none"/>
        </w:rPr>
        <w:t>2</w:t>
      </w:r>
      <w:r>
        <w:rPr>
          <w:rFonts w:hint="eastAsia" w:ascii="宋体" w:hAnsi="宋体" w:eastAsia="宋体" w:cs="宋体"/>
          <w:color w:val="auto"/>
          <w:spacing w:val="12"/>
          <w:position w:val="-1"/>
          <w:sz w:val="15"/>
          <w:szCs w:val="15"/>
          <w:highlight w:val="none"/>
        </w:rPr>
        <w:t xml:space="preserve"> </w:t>
      </w:r>
      <w:r>
        <w:rPr>
          <w:rFonts w:hint="eastAsia" w:ascii="宋体" w:hAnsi="宋体" w:eastAsia="宋体" w:cs="宋体"/>
          <w:color w:val="auto"/>
          <w:spacing w:val="-4"/>
          <w:sz w:val="24"/>
          <w:szCs w:val="24"/>
          <w:highlight w:val="none"/>
        </w:rPr>
        <w:t>为施工当月项目所在地工程造价管</w:t>
      </w:r>
      <w:r>
        <w:rPr>
          <w:rFonts w:hint="eastAsia" w:ascii="宋体" w:hAnsi="宋体" w:eastAsia="宋体" w:cs="宋体"/>
          <w:color w:val="auto"/>
          <w:spacing w:val="-1"/>
          <w:sz w:val="24"/>
          <w:szCs w:val="24"/>
          <w:highlight w:val="none"/>
        </w:rPr>
        <w:t>理机构发布的施工机具台班单价；B 为合同约定的施工机具台班单价</w:t>
      </w:r>
      <w:r>
        <w:rPr>
          <w:rFonts w:hint="eastAsia" w:ascii="宋体" w:hAnsi="宋体" w:eastAsia="宋体" w:cs="宋体"/>
          <w:color w:val="auto"/>
          <w:spacing w:val="-2"/>
          <w:sz w:val="24"/>
          <w:szCs w:val="24"/>
          <w:highlight w:val="none"/>
        </w:rPr>
        <w:t>涨跌风险幅度值。</w:t>
      </w:r>
    </w:p>
    <w:p w14:paraId="2203A1B8">
      <w:pPr>
        <w:spacing w:before="39" w:line="219"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2.3.7  </w:t>
      </w:r>
      <w:r>
        <w:rPr>
          <w:rFonts w:hint="eastAsia" w:ascii="宋体" w:hAnsi="宋体" w:eastAsia="宋体" w:cs="宋体"/>
          <w:color w:val="auto"/>
          <w:spacing w:val="-1"/>
          <w:sz w:val="24"/>
          <w:szCs w:val="24"/>
          <w:highlight w:val="none"/>
        </w:rPr>
        <w:t>暂估价和暂列金额</w:t>
      </w:r>
    </w:p>
    <w:p w14:paraId="07450170">
      <w:pPr>
        <w:spacing w:before="154" w:line="299" w:lineRule="auto"/>
        <w:ind w:left="7" w:right="57" w:firstLine="477"/>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"2.3.7.1"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2.3.7.1</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snapToGrid w:val="0"/>
          <w:color w:val="auto"/>
          <w:kern w:val="0"/>
          <w:sz w:val="24"/>
          <w:szCs w:val="24"/>
          <w:highlight w:val="none"/>
          <w:lang w:eastAsia="zh-CN"/>
        </w:rPr>
        <w:t xml:space="preserve">暂估价项目按第一章第三节“投标人须知正文 ”第 </w:t>
      </w:r>
      <w:r>
        <w:rPr>
          <w:rFonts w:hint="eastAsia" w:ascii="宋体" w:hAnsi="宋体" w:eastAsia="宋体" w:cs="宋体"/>
          <w:b/>
          <w:bCs/>
          <w:snapToGrid w:val="0"/>
          <w:color w:val="auto"/>
          <w:kern w:val="0"/>
          <w:sz w:val="24"/>
          <w:szCs w:val="24"/>
          <w:highlight w:val="none"/>
          <w:lang w:eastAsia="zh-CN"/>
        </w:rPr>
        <w:t>8.5</w:t>
      </w:r>
      <w:r>
        <w:rPr>
          <w:rFonts w:hint="eastAsia" w:ascii="宋体" w:hAnsi="宋体" w:eastAsia="宋体" w:cs="宋体"/>
          <w:snapToGrid w:val="0"/>
          <w:color w:val="auto"/>
          <w:kern w:val="0"/>
          <w:sz w:val="24"/>
          <w:szCs w:val="24"/>
          <w:highlight w:val="none"/>
          <w:lang w:eastAsia="zh-CN"/>
        </w:rPr>
        <w:t xml:space="preserve"> 条的规定确定专业工程承包人（或材料供应商、工程设备供应商）后，将专业工程合同价款（或材料单价、工程设备单价）取代相应暂估价，并调整合同价款。</w:t>
      </w:r>
    </w:p>
    <w:p w14:paraId="73FF33E6">
      <w:pPr>
        <w:spacing w:before="153" w:line="315" w:lineRule="auto"/>
        <w:ind w:left="8" w:right="2" w:firstLine="476"/>
        <w:rPr>
          <w:rFonts w:hint="eastAsia" w:ascii="宋体" w:hAnsi="宋体" w:eastAsia="宋体" w:cs="宋体"/>
          <w:color w:val="auto"/>
          <w:spacing w:val="-3"/>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"2.3.7.2"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8"/>
          <w:sz w:val="24"/>
          <w:szCs w:val="24"/>
          <w:highlight w:val="none"/>
        </w:rPr>
        <w:t>2.3.7.2</w:t>
      </w:r>
      <w:r>
        <w:rPr>
          <w:rFonts w:hint="eastAsia" w:ascii="宋体" w:hAnsi="宋体" w:eastAsia="宋体" w:cs="宋体"/>
          <w:b/>
          <w:bCs/>
          <w:color w:val="auto"/>
          <w:spacing w:val="-8"/>
          <w:sz w:val="24"/>
          <w:szCs w:val="24"/>
          <w:highlight w:val="none"/>
        </w:rPr>
        <w:fldChar w:fldCharType="end"/>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8"/>
          <w:sz w:val="24"/>
          <w:szCs w:val="24"/>
          <w:highlight w:val="none"/>
        </w:rPr>
        <w:t>暂列金额由发包人掌握和使用。暂列金额项目若有发</w:t>
      </w:r>
      <w:r>
        <w:rPr>
          <w:rFonts w:hint="eastAsia" w:ascii="宋体" w:hAnsi="宋体" w:eastAsia="宋体" w:cs="宋体"/>
          <w:color w:val="auto"/>
          <w:spacing w:val="-9"/>
          <w:sz w:val="24"/>
          <w:szCs w:val="24"/>
          <w:highlight w:val="none"/>
        </w:rPr>
        <w:t>生，按第一章第三节“投</w:t>
      </w:r>
      <w:r>
        <w:rPr>
          <w:rFonts w:hint="eastAsia" w:ascii="宋体" w:hAnsi="宋体" w:eastAsia="宋体" w:cs="宋体"/>
          <w:color w:val="auto"/>
          <w:spacing w:val="-5"/>
          <w:sz w:val="24"/>
          <w:szCs w:val="24"/>
          <w:highlight w:val="none"/>
        </w:rPr>
        <w:t>标人须知正文</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5"/>
          <w:sz w:val="24"/>
          <w:szCs w:val="24"/>
          <w:highlight w:val="none"/>
        </w:rPr>
        <w:t>”第</w:t>
      </w:r>
      <w:r>
        <w:rPr>
          <w:rFonts w:hint="eastAsia" w:ascii="宋体" w:hAnsi="宋体" w:eastAsia="宋体" w:cs="宋体"/>
          <w:color w:val="auto"/>
          <w:spacing w:val="-51"/>
          <w:sz w:val="24"/>
          <w:szCs w:val="24"/>
          <w:highlight w:val="none"/>
        </w:rPr>
        <w:t xml:space="preserve"> </w:t>
      </w:r>
      <w:r>
        <w:rPr>
          <w:rFonts w:hint="eastAsia" w:ascii="宋体" w:hAnsi="宋体" w:eastAsia="宋体" w:cs="宋体"/>
          <w:b/>
          <w:bCs/>
          <w:color w:val="auto"/>
          <w:spacing w:val="-5"/>
          <w:sz w:val="24"/>
          <w:szCs w:val="24"/>
          <w:highlight w:val="none"/>
        </w:rPr>
        <w:t xml:space="preserve">8.6 </w:t>
      </w:r>
      <w:r>
        <w:rPr>
          <w:rFonts w:hint="eastAsia" w:ascii="宋体" w:hAnsi="宋体" w:eastAsia="宋体" w:cs="宋体"/>
          <w:color w:val="auto"/>
          <w:spacing w:val="-5"/>
          <w:sz w:val="24"/>
          <w:szCs w:val="24"/>
          <w:highlight w:val="none"/>
        </w:rPr>
        <w:t>条的规定确定材料供应商（或工程设备供</w:t>
      </w:r>
      <w:r>
        <w:rPr>
          <w:rFonts w:hint="eastAsia" w:ascii="宋体" w:hAnsi="宋体" w:eastAsia="宋体" w:cs="宋体"/>
          <w:color w:val="auto"/>
          <w:spacing w:val="-6"/>
          <w:sz w:val="24"/>
          <w:szCs w:val="24"/>
          <w:highlight w:val="none"/>
        </w:rPr>
        <w:t>应商、服务供应商）后，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材料（或工程设备、服务）的合同价款从暂列金额中支付。暂列金额扣除已发生的暂列金额项目合同价款、已发生的合同约定调整因素出现时的调整价款、已发生的索赔以及</w:t>
      </w:r>
      <w:r>
        <w:rPr>
          <w:rFonts w:hint="eastAsia" w:ascii="宋体" w:hAnsi="宋体" w:eastAsia="宋体" w:cs="宋体"/>
          <w:color w:val="auto"/>
          <w:spacing w:val="-1"/>
          <w:sz w:val="24"/>
          <w:szCs w:val="24"/>
          <w:highlight w:val="none"/>
        </w:rPr>
        <w:t>现场签证确认等的费用后，余额（若有）归发包人所有。</w:t>
      </w:r>
    </w:p>
    <w:p w14:paraId="3313F8DF">
      <w:pPr>
        <w:spacing w:before="153" w:line="315" w:lineRule="auto"/>
        <w:ind w:left="8" w:right="2" w:firstLine="476"/>
        <w:rPr>
          <w:rFonts w:hint="eastAsia" w:ascii="宋体" w:hAnsi="宋体" w:eastAsia="宋体" w:cs="宋体"/>
          <w:color w:val="auto"/>
          <w:spacing w:val="-8"/>
          <w:sz w:val="24"/>
          <w:szCs w:val="24"/>
          <w:highlight w:val="none"/>
        </w:rPr>
      </w:pPr>
      <w:r>
        <w:rPr>
          <w:rFonts w:hint="eastAsia" w:ascii="宋体" w:hAnsi="宋体" w:eastAsia="宋体" w:cs="宋体"/>
          <w:b/>
          <w:bCs/>
          <w:color w:val="auto"/>
          <w:spacing w:val="-8"/>
          <w:sz w:val="24"/>
          <w:szCs w:val="24"/>
          <w:highlight w:val="none"/>
        </w:rPr>
        <w:t>2.3.8</w:t>
      </w:r>
      <w:r>
        <w:rPr>
          <w:rFonts w:hint="eastAsia" w:ascii="宋体" w:hAnsi="宋体" w:eastAsia="宋体" w:cs="宋体"/>
          <w:color w:val="auto"/>
          <w:spacing w:val="-8"/>
          <w:sz w:val="24"/>
          <w:szCs w:val="24"/>
          <w:highlight w:val="none"/>
        </w:rPr>
        <w:t xml:space="preserve"> 预算包干费：根据《市政工程工程量计算标准》（GB/T 50857-2024）、《房屋建筑与装饰工程工程量计算标准》（GB/T 50854-2024）、《通用安装工程工程量计算标准》（GB/T 50856-2024）、《园林绿化工程工程量计算标准》（GB/T 50858-2024），以各专业分部分项的人工费与施工机具费之和为基础计算预算包干费。本工程的预算包干内容包括：按《广东省建设工程计价依据（2024）》相关规定。若发生工程签证变更，应按合同约定计取预算包干费。</w:t>
      </w:r>
    </w:p>
    <w:p w14:paraId="1A14D812">
      <w:pPr>
        <w:spacing w:before="153" w:line="315" w:lineRule="auto"/>
        <w:ind w:left="8" w:right="2" w:firstLine="476"/>
        <w:rPr>
          <w:rFonts w:hint="eastAsia" w:ascii="宋体" w:hAnsi="宋体" w:eastAsia="宋体" w:cs="宋体"/>
          <w:color w:val="auto"/>
          <w:spacing w:val="-8"/>
          <w:sz w:val="24"/>
          <w:szCs w:val="24"/>
          <w:highlight w:val="none"/>
        </w:rPr>
      </w:pPr>
      <w:r>
        <w:rPr>
          <w:rFonts w:hint="eastAsia" w:ascii="宋体" w:hAnsi="宋体" w:eastAsia="宋体" w:cs="宋体"/>
          <w:b/>
          <w:bCs/>
          <w:color w:val="auto"/>
          <w:spacing w:val="-8"/>
          <w:sz w:val="24"/>
          <w:szCs w:val="24"/>
          <w:highlight w:val="none"/>
        </w:rPr>
        <w:t>2.3.</w:t>
      </w:r>
      <w:r>
        <w:rPr>
          <w:rFonts w:hint="eastAsia" w:ascii="宋体" w:hAnsi="宋体" w:eastAsia="宋体" w:cs="宋体"/>
          <w:b/>
          <w:bCs/>
          <w:color w:val="auto"/>
          <w:spacing w:val="-8"/>
          <w:sz w:val="24"/>
          <w:szCs w:val="24"/>
          <w:highlight w:val="none"/>
          <w:lang w:val="en-US" w:eastAsia="zh-CN"/>
        </w:rPr>
        <w:t>9</w:t>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8"/>
          <w:sz w:val="24"/>
          <w:szCs w:val="24"/>
          <w:highlight w:val="none"/>
        </w:rPr>
        <w:t>其余事项（如不可抗力、索赔、现场签证等）的调整原则按照《建设工程工程量清单计价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8"/>
          <w:sz w:val="24"/>
          <w:szCs w:val="24"/>
          <w:highlight w:val="none"/>
        </w:rPr>
        <w:t>》（GB50500—20</w:t>
      </w:r>
      <w:r>
        <w:rPr>
          <w:rFonts w:hint="eastAsia" w:ascii="宋体" w:hAnsi="宋体" w:eastAsia="宋体" w:cs="宋体"/>
          <w:color w:val="auto"/>
          <w:spacing w:val="-8"/>
          <w:sz w:val="24"/>
          <w:szCs w:val="24"/>
          <w:highlight w:val="none"/>
          <w:lang w:val="en-US" w:eastAsia="zh-CN"/>
        </w:rPr>
        <w:t>24</w:t>
      </w:r>
      <w:r>
        <w:rPr>
          <w:rFonts w:hint="eastAsia" w:ascii="宋体" w:hAnsi="宋体" w:eastAsia="宋体" w:cs="宋体"/>
          <w:color w:val="auto"/>
          <w:spacing w:val="-8"/>
          <w:sz w:val="24"/>
          <w:szCs w:val="24"/>
          <w:highlight w:val="none"/>
        </w:rPr>
        <w:t>）有关规定执行。</w:t>
      </w:r>
    </w:p>
    <w:p w14:paraId="13236EE1">
      <w:pPr>
        <w:spacing w:before="156" w:line="299" w:lineRule="auto"/>
        <w:ind w:left="12" w:right="65" w:firstLine="55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2.4  </w:t>
      </w:r>
      <w:r>
        <w:rPr>
          <w:rFonts w:hint="eastAsia" w:ascii="宋体" w:hAnsi="宋体" w:eastAsia="宋体" w:cs="宋体"/>
          <w:color w:val="auto"/>
          <w:sz w:val="24"/>
          <w:szCs w:val="24"/>
          <w:highlight w:val="none"/>
        </w:rPr>
        <w:t>凡将引起合同价款调增的事项，承包人必须于拟实施</w:t>
      </w:r>
      <w:r>
        <w:rPr>
          <w:rFonts w:hint="eastAsia" w:ascii="宋体" w:hAnsi="宋体" w:eastAsia="宋体" w:cs="宋体"/>
          <w:color w:val="auto"/>
          <w:spacing w:val="-31"/>
          <w:sz w:val="24"/>
          <w:szCs w:val="24"/>
          <w:highlight w:val="none"/>
        </w:rPr>
        <w:t xml:space="preserve"> </w:t>
      </w:r>
      <w:r>
        <w:rPr>
          <w:rFonts w:hint="eastAsia" w:ascii="宋体" w:hAnsi="宋体" w:eastAsia="宋体" w:cs="宋体"/>
          <w:color w:val="auto"/>
          <w:sz w:val="24"/>
          <w:szCs w:val="24"/>
          <w:highlight w:val="none"/>
        </w:rPr>
        <w:t>14</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z w:val="24"/>
          <w:szCs w:val="24"/>
          <w:highlight w:val="none"/>
        </w:rPr>
        <w:t>天前，将详细的</w:t>
      </w:r>
      <w:r>
        <w:rPr>
          <w:rFonts w:hint="eastAsia" w:ascii="宋体" w:hAnsi="宋体" w:eastAsia="宋体" w:cs="宋体"/>
          <w:color w:val="auto"/>
          <w:spacing w:val="-1"/>
          <w:sz w:val="24"/>
          <w:szCs w:val="24"/>
          <w:highlight w:val="none"/>
        </w:rPr>
        <w:t>报价</w:t>
      </w:r>
      <w:r>
        <w:rPr>
          <w:rFonts w:hint="eastAsia" w:ascii="宋体" w:hAnsi="宋体" w:eastAsia="宋体" w:cs="宋体"/>
          <w:color w:val="auto"/>
          <w:spacing w:val="-2"/>
          <w:sz w:val="24"/>
          <w:szCs w:val="24"/>
          <w:highlight w:val="none"/>
        </w:rPr>
        <w:t>书（含拟实施项目名称、变更部位、理由、预计造价等）报监理单位审核和发包人批准后方可实施。</w:t>
      </w:r>
    </w:p>
    <w:p w14:paraId="6D92B8A8">
      <w:pPr>
        <w:spacing w:before="153" w:line="279" w:lineRule="auto"/>
        <w:ind w:left="9" w:right="102"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2.5 </w:t>
      </w:r>
      <w:r>
        <w:rPr>
          <w:rFonts w:hint="eastAsia" w:ascii="宋体" w:hAnsi="宋体" w:eastAsia="宋体" w:cs="宋体"/>
          <w:color w:val="auto"/>
          <w:spacing w:val="1"/>
          <w:sz w:val="24"/>
          <w:szCs w:val="24"/>
          <w:highlight w:val="none"/>
        </w:rPr>
        <w:t>承包人不得以不完全了解现场情况为理由，提出额外付</w:t>
      </w:r>
      <w:r>
        <w:rPr>
          <w:rFonts w:hint="eastAsia" w:ascii="宋体" w:hAnsi="宋体" w:eastAsia="宋体" w:cs="宋体"/>
          <w:color w:val="auto"/>
          <w:sz w:val="24"/>
          <w:szCs w:val="24"/>
          <w:highlight w:val="none"/>
        </w:rPr>
        <w:t>款或延长工期等要求。</w:t>
      </w:r>
      <w:r>
        <w:rPr>
          <w:rFonts w:hint="eastAsia" w:ascii="宋体" w:hAnsi="宋体" w:eastAsia="宋体" w:cs="宋体"/>
          <w:color w:val="auto"/>
          <w:spacing w:val="-1"/>
          <w:sz w:val="24"/>
          <w:szCs w:val="24"/>
          <w:highlight w:val="none"/>
        </w:rPr>
        <w:t>对此类要求，发包人不作任何考虑及答复。</w:t>
      </w:r>
    </w:p>
    <w:p w14:paraId="1C6774BB">
      <w:pPr>
        <w:spacing w:before="154" w:line="279" w:lineRule="auto"/>
        <w:ind w:left="10" w:right="63"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2.6 </w:t>
      </w:r>
      <w:r>
        <w:rPr>
          <w:rFonts w:hint="eastAsia" w:ascii="宋体" w:hAnsi="宋体" w:eastAsia="宋体" w:cs="宋体"/>
          <w:color w:val="auto"/>
          <w:spacing w:val="2"/>
          <w:sz w:val="24"/>
          <w:szCs w:val="24"/>
          <w:highlight w:val="none"/>
        </w:rPr>
        <w:t>承包人已标价工程量清单中漏报、错报或少报的清单项目</w:t>
      </w:r>
      <w:r>
        <w:rPr>
          <w:rFonts w:hint="eastAsia" w:ascii="宋体" w:hAnsi="宋体" w:eastAsia="宋体" w:cs="宋体"/>
          <w:color w:val="auto"/>
          <w:spacing w:val="1"/>
          <w:sz w:val="24"/>
          <w:szCs w:val="24"/>
          <w:highlight w:val="none"/>
        </w:rPr>
        <w:t>，其价格均视为已经</w:t>
      </w:r>
      <w:r>
        <w:rPr>
          <w:rFonts w:hint="eastAsia" w:ascii="宋体" w:hAnsi="宋体" w:eastAsia="宋体" w:cs="宋体"/>
          <w:color w:val="auto"/>
          <w:spacing w:val="-1"/>
          <w:sz w:val="24"/>
          <w:szCs w:val="24"/>
          <w:highlight w:val="none"/>
        </w:rPr>
        <w:t>包含在其它清单项目中，竣工结算时不得重新组价和调整。</w:t>
      </w:r>
    </w:p>
    <w:p w14:paraId="761E818F">
      <w:pPr>
        <w:spacing w:before="155" w:line="299" w:lineRule="auto"/>
        <w:ind w:left="12" w:right="65"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2.7  </w:t>
      </w:r>
      <w:r>
        <w:rPr>
          <w:rFonts w:hint="eastAsia" w:ascii="宋体" w:hAnsi="宋体" w:eastAsia="宋体" w:cs="宋体"/>
          <w:color w:val="auto"/>
          <w:sz w:val="24"/>
          <w:szCs w:val="24"/>
          <w:highlight w:val="none"/>
        </w:rPr>
        <w:t>项目完工后，发、承包双方和受其委托具备相应资质的工程造价咨询单位必须</w:t>
      </w:r>
      <w:r>
        <w:rPr>
          <w:rFonts w:hint="eastAsia" w:ascii="宋体" w:hAnsi="宋体" w:eastAsia="宋体" w:cs="宋体"/>
          <w:color w:val="auto"/>
          <w:spacing w:val="-1"/>
          <w:sz w:val="24"/>
          <w:szCs w:val="24"/>
          <w:highlight w:val="none"/>
        </w:rPr>
        <w:t>按照《建设工程工程量清单计价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》（GB50500—20</w:t>
      </w:r>
      <w:r>
        <w:rPr>
          <w:rFonts w:hint="eastAsia" w:ascii="宋体" w:hAnsi="宋体" w:eastAsia="宋体" w:cs="宋体"/>
          <w:color w:val="auto"/>
          <w:spacing w:val="-1"/>
          <w:sz w:val="24"/>
          <w:szCs w:val="24"/>
          <w:highlight w:val="none"/>
          <w:lang w:val="en-US" w:eastAsia="zh-CN"/>
        </w:rPr>
        <w:t>24</w:t>
      </w:r>
      <w:r>
        <w:rPr>
          <w:rFonts w:hint="eastAsia" w:ascii="宋体" w:hAnsi="宋体" w:eastAsia="宋体" w:cs="宋体"/>
          <w:color w:val="auto"/>
          <w:spacing w:val="-1"/>
          <w:sz w:val="24"/>
          <w:szCs w:val="24"/>
          <w:highlight w:val="none"/>
        </w:rPr>
        <w:t>）和国家、省、市的有关规定</w:t>
      </w:r>
      <w:r>
        <w:rPr>
          <w:rFonts w:hint="eastAsia" w:ascii="宋体" w:hAnsi="宋体" w:eastAsia="宋体" w:cs="宋体"/>
          <w:color w:val="auto"/>
          <w:spacing w:val="-2"/>
          <w:sz w:val="24"/>
          <w:szCs w:val="24"/>
          <w:highlight w:val="none"/>
        </w:rPr>
        <w:t>办理竣工结算。</w:t>
      </w:r>
    </w:p>
    <w:p w14:paraId="6404574C">
      <w:pPr>
        <w:spacing w:before="152" w:line="319" w:lineRule="auto"/>
        <w:ind w:left="8" w:right="38" w:firstLine="55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2.8  </w:t>
      </w:r>
      <w:r>
        <w:rPr>
          <w:rFonts w:hint="eastAsia" w:ascii="宋体" w:hAnsi="宋体" w:eastAsia="宋体" w:cs="宋体"/>
          <w:color w:val="auto"/>
          <w:spacing w:val="-1"/>
          <w:sz w:val="24"/>
          <w:szCs w:val="24"/>
          <w:highlight w:val="none"/>
        </w:rPr>
        <w:t>承包人已标价工程量清单中没有的材料（或工程设备</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1"/>
          <w:sz w:val="24"/>
          <w:szCs w:val="24"/>
          <w:highlight w:val="none"/>
        </w:rPr>
        <w:t>承包人在使</w:t>
      </w:r>
      <w:r>
        <w:rPr>
          <w:rFonts w:hint="eastAsia" w:ascii="宋体" w:hAnsi="宋体" w:eastAsia="宋体" w:cs="宋体"/>
          <w:color w:val="auto"/>
          <w:spacing w:val="-2"/>
          <w:sz w:val="24"/>
          <w:szCs w:val="24"/>
          <w:highlight w:val="none"/>
        </w:rPr>
        <w:t>用前必须</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将材料（或工程设备）样板、材料合格证明（或产品合格证书）、材料（或工程设备）检验报告提交给监理单位和发包人审核。发</w:t>
      </w:r>
      <w:r>
        <w:rPr>
          <w:rFonts w:hint="eastAsia" w:ascii="宋体" w:hAnsi="宋体" w:eastAsia="宋体" w:cs="宋体"/>
          <w:color w:val="auto"/>
          <w:spacing w:val="-2"/>
          <w:sz w:val="24"/>
          <w:szCs w:val="24"/>
          <w:highlight w:val="none"/>
        </w:rPr>
        <w:t>包人审定并确定价格后，承包人方可采购和</w:t>
      </w:r>
      <w:r>
        <w:rPr>
          <w:rFonts w:hint="eastAsia" w:ascii="宋体" w:hAnsi="宋体" w:eastAsia="宋体" w:cs="宋体"/>
          <w:color w:val="auto"/>
          <w:spacing w:val="-1"/>
          <w:sz w:val="24"/>
          <w:szCs w:val="24"/>
          <w:highlight w:val="none"/>
        </w:rPr>
        <w:t>使用。如果在交货验收和使用过程中发现货</w:t>
      </w:r>
      <w:r>
        <w:rPr>
          <w:rFonts w:hint="eastAsia" w:ascii="宋体" w:hAnsi="宋体" w:eastAsia="宋体" w:cs="宋体"/>
          <w:color w:val="auto"/>
          <w:spacing w:val="-2"/>
          <w:sz w:val="24"/>
          <w:szCs w:val="24"/>
          <w:highlight w:val="none"/>
        </w:rPr>
        <w:t>不对板，监理单位和发包人有权拒用，并要</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求承包人立即进行更换。更换后的材料（或</w:t>
      </w:r>
      <w:r>
        <w:rPr>
          <w:rFonts w:hint="eastAsia" w:ascii="宋体" w:hAnsi="宋体" w:eastAsia="宋体" w:cs="宋体"/>
          <w:color w:val="auto"/>
          <w:spacing w:val="-2"/>
          <w:sz w:val="24"/>
          <w:szCs w:val="24"/>
          <w:highlight w:val="none"/>
        </w:rPr>
        <w:t>工程设备）应再次进行检查和检验。由此增</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加的费用和（或）工期延误由承包人承担。</w:t>
      </w:r>
    </w:p>
    <w:p w14:paraId="623BFEFE">
      <w:pPr>
        <w:spacing w:before="152" w:line="319" w:lineRule="auto"/>
        <w:ind w:left="8" w:right="38" w:firstLine="559"/>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 xml:space="preserve">2.9 </w:t>
      </w:r>
      <w:r>
        <w:rPr>
          <w:rFonts w:hint="eastAsia" w:ascii="宋体" w:hAnsi="宋体" w:eastAsia="宋体" w:cs="宋体"/>
          <w:color w:val="auto"/>
          <w:spacing w:val="-1"/>
          <w:sz w:val="24"/>
          <w:szCs w:val="24"/>
          <w:highlight w:val="none"/>
        </w:rPr>
        <w:t>承包人已标价工程量清单中没有的材料（或工程设备）结算价格确定原则：按施工当月项目所在地工程造价管理机构发布的信息价格；若当地信息价格缺项的，由承包人根据变更工程资料依次参考韶关、清远、佛山、东莞、肇庆、惠州、广州等广东省内地区信息价执行；若以上城市均没有信息价则按厂商信息价、</w:t>
      </w:r>
      <w:r>
        <w:rPr>
          <w:rFonts w:hint="eastAsia" w:ascii="宋体" w:hAnsi="宋体" w:eastAsia="宋体" w:cs="宋体"/>
          <w:color w:val="auto"/>
          <w:spacing w:val="-1"/>
          <w:sz w:val="24"/>
          <w:szCs w:val="24"/>
          <w:highlight w:val="none"/>
          <w:lang w:val="en-US" w:eastAsia="zh-CN"/>
        </w:rPr>
        <w:t>造价通、</w:t>
      </w:r>
      <w:r>
        <w:rPr>
          <w:rFonts w:hint="eastAsia" w:ascii="宋体" w:hAnsi="宋体" w:eastAsia="宋体" w:cs="宋体"/>
          <w:color w:val="auto"/>
          <w:spacing w:val="-1"/>
          <w:sz w:val="24"/>
          <w:szCs w:val="24"/>
          <w:highlight w:val="none"/>
        </w:rPr>
        <w:t>电商平台价格（优先从京东、国美、苏宁等大型电商平台查询取其平均价）；若以上方式均无法确定材料价格 的，则采用厂商报价或市场询价等方式取得有合法依据的市场价格，报发包人确认。</w:t>
      </w:r>
    </w:p>
    <w:p w14:paraId="5DDA4611">
      <w:pPr>
        <w:pStyle w:val="29"/>
        <w:snapToGrid w:val="0"/>
        <w:spacing w:line="440" w:lineRule="exact"/>
        <w:ind w:firstLine="480"/>
        <w:jc w:val="both"/>
        <w:outlineLvl w:val="2"/>
        <w:rPr>
          <w:rStyle w:val="20"/>
          <w:rFonts w:hint="eastAsia" w:ascii="宋体" w:hAnsi="宋体" w:eastAsia="宋体" w:cs="宋体"/>
          <w:b/>
          <w:bCs/>
          <w:color w:val="auto"/>
          <w:sz w:val="24"/>
          <w:szCs w:val="24"/>
          <w:highlight w:val="none"/>
        </w:rPr>
      </w:pPr>
      <w:bookmarkStart w:id="177" w:name="_Toc5247"/>
      <w:bookmarkStart w:id="178" w:name="_Toc1816"/>
      <w:r>
        <w:rPr>
          <w:rStyle w:val="20"/>
          <w:rFonts w:hint="eastAsia" w:ascii="宋体" w:hAnsi="宋体" w:eastAsia="宋体" w:cs="宋体"/>
          <w:b/>
          <w:bCs/>
          <w:color w:val="auto"/>
          <w:sz w:val="24"/>
          <w:szCs w:val="24"/>
          <w:highlight w:val="none"/>
        </w:rPr>
        <w:t>3. 工程付款办法</w:t>
      </w:r>
      <w:bookmarkEnd w:id="177"/>
      <w:bookmarkEnd w:id="178"/>
    </w:p>
    <w:p w14:paraId="700B0E94">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3.1</w:t>
      </w:r>
      <w:r>
        <w:rPr>
          <w:rFonts w:hint="eastAsia" w:ascii="宋体" w:hAnsi="宋体" w:eastAsia="宋体" w:cs="宋体"/>
          <w:snapToGrid w:val="0"/>
          <w:color w:val="auto"/>
          <w:kern w:val="0"/>
          <w:sz w:val="24"/>
          <w:szCs w:val="20"/>
          <w:highlight w:val="none"/>
          <w:lang w:eastAsia="zh-CN"/>
        </w:rPr>
        <w:t xml:space="preserve"> 本工程 </w:t>
      </w:r>
      <w:r>
        <w:rPr>
          <w:rFonts w:hint="eastAsia" w:ascii="宋体" w:hAnsi="宋体" w:eastAsia="宋体" w:cs="宋体"/>
          <w:snapToGrid w:val="0"/>
          <w:color w:val="auto"/>
          <w:kern w:val="0"/>
          <w:sz w:val="24"/>
          <w:szCs w:val="20"/>
          <w:highlight w:val="none"/>
          <w:u w:val="single"/>
          <w:lang w:eastAsia="zh-CN"/>
        </w:rPr>
        <w:t>支付</w:t>
      </w:r>
      <w:r>
        <w:rPr>
          <w:rFonts w:hint="eastAsia" w:ascii="宋体" w:hAnsi="宋体" w:eastAsia="宋体" w:cs="宋体"/>
          <w:snapToGrid w:val="0"/>
          <w:color w:val="auto"/>
          <w:kern w:val="0"/>
          <w:sz w:val="24"/>
          <w:szCs w:val="20"/>
          <w:highlight w:val="none"/>
          <w:lang w:eastAsia="zh-CN"/>
        </w:rPr>
        <w:t xml:space="preserve"> 施工预付款。</w:t>
      </w:r>
    </w:p>
    <w:p w14:paraId="48B832B0">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w:t>
      </w:r>
      <w:r>
        <w:rPr>
          <w:rFonts w:hint="eastAsia" w:ascii="宋体" w:hAnsi="宋体" w:eastAsia="宋体" w:cs="宋体"/>
          <w:snapToGrid w:val="0"/>
          <w:color w:val="auto"/>
          <w:kern w:val="0"/>
          <w:sz w:val="24"/>
          <w:szCs w:val="20"/>
          <w:highlight w:val="none"/>
          <w:lang w:eastAsia="zh-CN"/>
        </w:rPr>
        <w:t xml:space="preserve"> 施工预付款必须专用于合同工程，并按以下原则支付和抵扣：</w:t>
      </w:r>
    </w:p>
    <w:p w14:paraId="207970DB">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3.2.1</w:t>
      </w:r>
      <w:r>
        <w:rPr>
          <w:rFonts w:hint="eastAsia" w:ascii="宋体" w:hAnsi="宋体" w:eastAsia="宋体" w:cs="宋体"/>
          <w:snapToGrid w:val="0"/>
          <w:color w:val="auto"/>
          <w:kern w:val="0"/>
          <w:sz w:val="24"/>
          <w:szCs w:val="20"/>
          <w:highlight w:val="none"/>
          <w:lang w:eastAsia="zh-CN"/>
        </w:rPr>
        <w:t xml:space="preserve"> 施工预付款支付比例为：按施工合同价的</w:t>
      </w:r>
      <w:r>
        <w:rPr>
          <w:rFonts w:hint="eastAsia" w:ascii="宋体" w:hAnsi="宋体" w:eastAsia="宋体" w:cs="宋体"/>
          <w:snapToGrid w:val="0"/>
          <w:color w:val="auto"/>
          <w:kern w:val="0"/>
          <w:sz w:val="24"/>
          <w:szCs w:val="20"/>
          <w:highlight w:val="none"/>
          <w:u w:val="single"/>
          <w:lang w:eastAsia="zh-CN"/>
        </w:rPr>
        <w:t xml:space="preserve"> 30% </w:t>
      </w:r>
      <w:r>
        <w:rPr>
          <w:rFonts w:hint="eastAsia" w:ascii="宋体" w:hAnsi="宋体" w:eastAsia="宋体" w:cs="宋体"/>
          <w:snapToGrid w:val="0"/>
          <w:color w:val="auto"/>
          <w:kern w:val="0"/>
          <w:sz w:val="24"/>
          <w:szCs w:val="20"/>
          <w:highlight w:val="none"/>
          <w:lang w:eastAsia="zh-CN"/>
        </w:rPr>
        <w:t>支付。</w:t>
      </w:r>
    </w:p>
    <w:p w14:paraId="751D5DD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3.2.2</w:t>
      </w:r>
      <w:r>
        <w:rPr>
          <w:rFonts w:hint="eastAsia" w:ascii="宋体" w:hAnsi="宋体" w:eastAsia="宋体" w:cs="宋体"/>
          <w:snapToGrid w:val="0"/>
          <w:color w:val="auto"/>
          <w:kern w:val="0"/>
          <w:sz w:val="24"/>
          <w:szCs w:val="20"/>
          <w:highlight w:val="none"/>
          <w:lang w:eastAsia="zh-CN"/>
        </w:rPr>
        <w:t xml:space="preserve"> 本招标项目</w:t>
      </w:r>
      <w:r>
        <w:rPr>
          <w:rFonts w:hint="eastAsia" w:ascii="宋体" w:hAnsi="宋体" w:eastAsia="宋体" w:cs="宋体"/>
          <w:b/>
          <w:bCs/>
          <w:snapToGrid w:val="0"/>
          <w:color w:val="auto"/>
          <w:kern w:val="0"/>
          <w:sz w:val="24"/>
          <w:szCs w:val="20"/>
          <w:highlight w:val="none"/>
          <w:u w:val="single"/>
          <w:lang w:eastAsia="zh-CN"/>
        </w:rPr>
        <w:t xml:space="preserve"> </w:t>
      </w:r>
      <w:r>
        <w:rPr>
          <w:rFonts w:hint="eastAsia" w:ascii="宋体" w:hAnsi="宋体" w:eastAsia="宋体" w:cs="宋体"/>
          <w:b/>
          <w:bCs/>
          <w:snapToGrid w:val="0"/>
          <w:color w:val="auto"/>
          <w:kern w:val="0"/>
          <w:sz w:val="24"/>
          <w:szCs w:val="20"/>
          <w:highlight w:val="none"/>
          <w:u w:val="single"/>
          <w:lang w:val="en-US" w:eastAsia="zh-CN"/>
        </w:rPr>
        <w:t>不</w:t>
      </w:r>
      <w:r>
        <w:rPr>
          <w:rFonts w:hint="eastAsia" w:ascii="宋体" w:hAnsi="宋体" w:eastAsia="宋体" w:cs="宋体"/>
          <w:b/>
          <w:bCs/>
          <w:snapToGrid w:val="0"/>
          <w:color w:val="auto"/>
          <w:kern w:val="0"/>
          <w:sz w:val="24"/>
          <w:szCs w:val="20"/>
          <w:highlight w:val="none"/>
          <w:u w:val="single"/>
          <w:lang w:eastAsia="zh-CN"/>
        </w:rPr>
        <w:t xml:space="preserve">要求 </w:t>
      </w:r>
      <w:r>
        <w:rPr>
          <w:rFonts w:hint="eastAsia" w:ascii="宋体" w:hAnsi="宋体" w:eastAsia="宋体" w:cs="宋体"/>
          <w:snapToGrid w:val="0"/>
          <w:color w:val="auto"/>
          <w:kern w:val="0"/>
          <w:sz w:val="24"/>
          <w:szCs w:val="20"/>
          <w:highlight w:val="none"/>
          <w:lang w:eastAsia="zh-CN"/>
        </w:rPr>
        <w:t>承包人提供与预付款等额的预付款保函。</w:t>
      </w:r>
    </w:p>
    <w:p w14:paraId="3205B6D0">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3.2.3</w:t>
      </w:r>
      <w:r>
        <w:rPr>
          <w:rFonts w:hint="eastAsia" w:ascii="宋体" w:hAnsi="宋体" w:eastAsia="宋体" w:cs="宋体"/>
          <w:snapToGrid w:val="0"/>
          <w:color w:val="auto"/>
          <w:kern w:val="0"/>
          <w:sz w:val="24"/>
          <w:szCs w:val="20"/>
          <w:highlight w:val="none"/>
          <w:lang w:eastAsia="zh-CN"/>
        </w:rPr>
        <w:t xml:space="preserve"> 承包人应在签订合同后，</w:t>
      </w:r>
      <w:r>
        <w:rPr>
          <w:rFonts w:hint="eastAsia" w:ascii="宋体" w:hAnsi="宋体" w:eastAsia="宋体" w:cs="宋体"/>
          <w:b/>
          <w:bCs/>
          <w:snapToGrid w:val="0"/>
          <w:color w:val="auto"/>
          <w:kern w:val="0"/>
          <w:sz w:val="24"/>
          <w:szCs w:val="20"/>
          <w:highlight w:val="none"/>
          <w:lang w:eastAsia="zh-CN"/>
        </w:rPr>
        <w:t>在提供符合要求的预付款保函或预付款保险</w:t>
      </w:r>
      <w:r>
        <w:rPr>
          <w:rFonts w:hint="eastAsia" w:ascii="宋体" w:hAnsi="宋体" w:eastAsia="宋体" w:cs="宋体"/>
          <w:snapToGrid w:val="0"/>
          <w:color w:val="auto"/>
          <w:kern w:val="0"/>
          <w:sz w:val="24"/>
          <w:szCs w:val="20"/>
          <w:highlight w:val="none"/>
          <w:lang w:eastAsia="zh-CN"/>
        </w:rPr>
        <w:t>及具备施工条件的前提下，向发包人提交预付款支付申请。发包人应对在收到支付申请的</w:t>
      </w:r>
      <w:r>
        <w:rPr>
          <w:rFonts w:hint="eastAsia" w:ascii="宋体" w:hAnsi="宋体" w:eastAsia="宋体" w:cs="宋体"/>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天内进行核实后向承包人发出预付款支付证书，并在签发支付证书后的</w:t>
      </w:r>
      <w:r>
        <w:rPr>
          <w:rFonts w:hint="eastAsia" w:ascii="宋体" w:hAnsi="宋体" w:eastAsia="宋体" w:cs="宋体"/>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天内向承包人支付预付款。凡未签订合同或不具备施工条件的工程，发包人不得预付工程款。</w:t>
      </w:r>
    </w:p>
    <w:p w14:paraId="4D18566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w:t>
      </w:r>
      <w:r>
        <w:rPr>
          <w:rFonts w:hint="eastAsia" w:ascii="宋体" w:hAnsi="宋体" w:eastAsia="宋体" w:cs="宋体"/>
          <w:b/>
          <w:bCs/>
          <w:snapToGrid w:val="0"/>
          <w:color w:val="auto"/>
          <w:kern w:val="0"/>
          <w:sz w:val="24"/>
          <w:szCs w:val="20"/>
          <w:highlight w:val="none"/>
          <w:lang w:val="en-US" w:eastAsia="zh-CN"/>
        </w:rPr>
        <w:t>4</w:t>
      </w:r>
      <w:r>
        <w:rPr>
          <w:rFonts w:hint="eastAsia" w:ascii="宋体" w:hAnsi="宋体" w:eastAsia="宋体" w:cs="宋体"/>
          <w:snapToGrid w:val="0"/>
          <w:color w:val="auto"/>
          <w:kern w:val="0"/>
          <w:sz w:val="24"/>
          <w:szCs w:val="20"/>
          <w:highlight w:val="none"/>
          <w:lang w:eastAsia="zh-CN"/>
        </w:rPr>
        <w:t xml:space="preserve"> 发包人没有按时支付预付款的，承包人可催告发包人支付；发包人在付款期满后的 7 天内仍未支付的，承包人可在付款期满后的第 8 天起暂停施工。发包人应向承包人支付应付款的利息（从付款期满后之日起计算，利率按同期银行贷款利率计算），并承担违约责任。</w:t>
      </w:r>
    </w:p>
    <w:p w14:paraId="7338FAE4">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val="en-US" w:eastAsia="zh-CN"/>
        </w:rPr>
        <w:t>3.2.5</w:t>
      </w:r>
      <w:r>
        <w:rPr>
          <w:rFonts w:hint="eastAsia" w:ascii="宋体" w:hAnsi="宋体" w:eastAsia="宋体" w:cs="宋体"/>
          <w:snapToGrid w:val="0"/>
          <w:color w:val="auto"/>
          <w:kern w:val="0"/>
          <w:sz w:val="24"/>
          <w:szCs w:val="20"/>
          <w:highlight w:val="none"/>
          <w:lang w:val="en-US" w:eastAsia="zh-CN"/>
        </w:rPr>
        <w:t xml:space="preserve"> 预付款应从每支付期应支付给承包人的工程进度款中扣回，直到扣回的金额达到合同约定的预付款金额为止。</w:t>
      </w:r>
    </w:p>
    <w:p w14:paraId="070C0CBD">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3.3</w:t>
      </w:r>
      <w:r>
        <w:rPr>
          <w:rFonts w:hint="eastAsia" w:ascii="宋体" w:hAnsi="宋体" w:eastAsia="宋体" w:cs="宋体"/>
          <w:snapToGrid w:val="0"/>
          <w:color w:val="auto"/>
          <w:kern w:val="0"/>
          <w:sz w:val="24"/>
          <w:szCs w:val="20"/>
          <w:highlight w:val="none"/>
          <w:lang w:eastAsia="zh-CN"/>
        </w:rPr>
        <w:t xml:space="preserve"> 施工过程中按月支付工程进度款：承包人每月按工程实际完成工程量（含变更及增加工程）申报，承包人必须将《已完成工程量报表》和《工程付款申请书》于当月26 日前报监理单位核实。经监理单位审核、发包人审定后的工程进度款（指已经按照合同约定，扣除该支付期内因承包人违约而应扣除的管理费），于申报次月支付。</w:t>
      </w:r>
    </w:p>
    <w:p w14:paraId="75B9AF6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3.4</w:t>
      </w:r>
      <w:r>
        <w:rPr>
          <w:rFonts w:hint="eastAsia" w:ascii="宋体" w:hAnsi="宋体" w:eastAsia="宋体" w:cs="宋体"/>
          <w:snapToGrid w:val="0"/>
          <w:color w:val="auto"/>
          <w:kern w:val="0"/>
          <w:sz w:val="24"/>
          <w:szCs w:val="20"/>
          <w:highlight w:val="none"/>
          <w:lang w:eastAsia="zh-CN"/>
        </w:rPr>
        <w:t xml:space="preserve"> 每月的工程进度款按工程实际完成工程量的 80% 申请支付，工程进度款中的作业工人工资款项由发包人单独足额拨付到承包人的工资专户。</w:t>
      </w:r>
    </w:p>
    <w:p w14:paraId="3A73F845">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5</w:t>
      </w:r>
      <w:r>
        <w:rPr>
          <w:rFonts w:hint="eastAsia" w:ascii="宋体" w:hAnsi="宋体" w:eastAsia="宋体" w:cs="宋体"/>
          <w:snapToGrid w:val="0"/>
          <w:color w:val="auto"/>
          <w:kern w:val="0"/>
          <w:sz w:val="24"/>
          <w:szCs w:val="20"/>
          <w:highlight w:val="none"/>
          <w:lang w:eastAsia="zh-CN"/>
        </w:rPr>
        <w:t xml:space="preserve"> 措施项目费中的“</w:t>
      </w:r>
      <w:r>
        <w:rPr>
          <w:rFonts w:hint="eastAsia" w:ascii="宋体" w:hAnsi="宋体" w:eastAsia="宋体" w:cs="宋体"/>
          <w:snapToGrid w:val="0"/>
          <w:color w:val="auto"/>
          <w:kern w:val="0"/>
          <w:sz w:val="24"/>
          <w:szCs w:val="20"/>
          <w:highlight w:val="none"/>
          <w:lang w:val="en-US" w:eastAsia="zh-CN"/>
        </w:rPr>
        <w:t>安全生产措施费</w:t>
      </w:r>
      <w:r>
        <w:rPr>
          <w:rFonts w:hint="eastAsia" w:ascii="宋体" w:hAnsi="宋体" w:eastAsia="宋体" w:cs="宋体"/>
          <w:snapToGrid w:val="0"/>
          <w:color w:val="auto"/>
          <w:kern w:val="0"/>
          <w:sz w:val="24"/>
          <w:szCs w:val="20"/>
          <w:highlight w:val="none"/>
          <w:lang w:eastAsia="zh-CN"/>
        </w:rPr>
        <w:t>”拨付按照《广东省建设工程计价依据（20</w:t>
      </w:r>
      <w:r>
        <w:rPr>
          <w:rFonts w:hint="eastAsia" w:ascii="宋体" w:hAnsi="宋体" w:eastAsia="宋体" w:cs="宋体"/>
          <w:snapToGrid w:val="0"/>
          <w:color w:val="auto"/>
          <w:kern w:val="0"/>
          <w:sz w:val="24"/>
          <w:szCs w:val="20"/>
          <w:highlight w:val="none"/>
          <w:lang w:val="en-US" w:eastAsia="zh-CN"/>
        </w:rPr>
        <w:t>24</w:t>
      </w:r>
      <w:r>
        <w:rPr>
          <w:rFonts w:hint="eastAsia" w:ascii="宋体" w:hAnsi="宋体" w:eastAsia="宋体" w:cs="宋体"/>
          <w:snapToGrid w:val="0"/>
          <w:color w:val="auto"/>
          <w:kern w:val="0"/>
          <w:sz w:val="24"/>
          <w:szCs w:val="20"/>
          <w:highlight w:val="none"/>
          <w:lang w:eastAsia="zh-CN"/>
        </w:rPr>
        <w:t>）》执行，按照项目所在地的建设行政主管部门有关规定支付。发生一般事故及以上等级重大安全事故的，发包人可扣除承包人金额相当于所有“</w:t>
      </w:r>
      <w:r>
        <w:rPr>
          <w:rFonts w:hint="eastAsia" w:ascii="宋体" w:hAnsi="宋体" w:eastAsia="宋体" w:cs="宋体"/>
          <w:snapToGrid w:val="0"/>
          <w:color w:val="auto"/>
          <w:kern w:val="0"/>
          <w:sz w:val="24"/>
          <w:szCs w:val="20"/>
          <w:highlight w:val="none"/>
          <w:lang w:val="en-US" w:eastAsia="zh-CN"/>
        </w:rPr>
        <w:t>安全生产措施费</w:t>
      </w:r>
      <w:r>
        <w:rPr>
          <w:rFonts w:hint="eastAsia" w:ascii="宋体" w:hAnsi="宋体" w:eastAsia="宋体" w:cs="宋体"/>
          <w:snapToGrid w:val="0"/>
          <w:color w:val="auto"/>
          <w:kern w:val="0"/>
          <w:sz w:val="24"/>
          <w:szCs w:val="20"/>
          <w:highlight w:val="none"/>
          <w:lang w:eastAsia="zh-CN"/>
        </w:rPr>
        <w:t>”的工程管理费。</w:t>
      </w:r>
    </w:p>
    <w:p w14:paraId="738F555B">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6</w:t>
      </w:r>
      <w:r>
        <w:rPr>
          <w:rFonts w:hint="eastAsia" w:ascii="宋体" w:hAnsi="宋体" w:eastAsia="宋体" w:cs="宋体"/>
          <w:snapToGrid w:val="0"/>
          <w:color w:val="auto"/>
          <w:kern w:val="0"/>
          <w:sz w:val="24"/>
          <w:szCs w:val="20"/>
          <w:highlight w:val="none"/>
          <w:lang w:eastAsia="zh-CN"/>
        </w:rPr>
        <w:t xml:space="preserve"> 变更工程造价必须经监理单位核实，并经发包人核定后方可支付。</w:t>
      </w:r>
    </w:p>
    <w:p w14:paraId="29EEE166">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 xml:space="preserve"> 结算审核完成后，</w:t>
      </w:r>
      <w:r>
        <w:rPr>
          <w:rFonts w:hint="eastAsia" w:ascii="宋体" w:hAnsi="宋体" w:eastAsia="宋体" w:cs="宋体"/>
          <w:snapToGrid w:val="0"/>
          <w:color w:val="auto"/>
          <w:kern w:val="0"/>
          <w:sz w:val="24"/>
          <w:szCs w:val="20"/>
          <w:highlight w:val="none"/>
          <w:lang w:val="en-US" w:eastAsia="zh-CN"/>
        </w:rPr>
        <w:t>可</w:t>
      </w:r>
      <w:r>
        <w:rPr>
          <w:rFonts w:hint="eastAsia" w:ascii="宋体" w:hAnsi="宋体" w:eastAsia="宋体" w:cs="宋体"/>
          <w:snapToGrid w:val="0"/>
          <w:color w:val="auto"/>
          <w:kern w:val="0"/>
          <w:sz w:val="24"/>
          <w:szCs w:val="20"/>
          <w:highlight w:val="none"/>
          <w:lang w:eastAsia="zh-CN"/>
        </w:rPr>
        <w:t>支付至合同价格的97%，剩余3%转为质量保证金；承包人提交了等额质量保证担保或质量保证保险的，</w:t>
      </w:r>
      <w:r>
        <w:rPr>
          <w:rFonts w:hint="eastAsia" w:ascii="宋体" w:hAnsi="宋体" w:eastAsia="宋体" w:cs="宋体"/>
          <w:snapToGrid w:val="0"/>
          <w:color w:val="auto"/>
          <w:kern w:val="0"/>
          <w:sz w:val="24"/>
          <w:szCs w:val="20"/>
          <w:highlight w:val="none"/>
          <w:lang w:val="en-US" w:eastAsia="zh-CN"/>
        </w:rPr>
        <w:t>可</w:t>
      </w:r>
      <w:r>
        <w:rPr>
          <w:rFonts w:hint="eastAsia" w:ascii="宋体" w:hAnsi="宋体" w:eastAsia="宋体" w:cs="宋体"/>
          <w:snapToGrid w:val="0"/>
          <w:color w:val="auto"/>
          <w:kern w:val="0"/>
          <w:sz w:val="24"/>
          <w:szCs w:val="20"/>
          <w:highlight w:val="none"/>
          <w:lang w:eastAsia="zh-CN"/>
        </w:rPr>
        <w:t>一次性结清合同价格。</w:t>
      </w:r>
    </w:p>
    <w:p w14:paraId="35128F04">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8</w:t>
      </w:r>
      <w:r>
        <w:rPr>
          <w:rFonts w:hint="eastAsia" w:ascii="宋体" w:hAnsi="宋体" w:eastAsia="宋体" w:cs="宋体"/>
          <w:snapToGrid w:val="0"/>
          <w:color w:val="auto"/>
          <w:kern w:val="0"/>
          <w:sz w:val="24"/>
          <w:szCs w:val="20"/>
          <w:highlight w:val="none"/>
          <w:lang w:eastAsia="zh-CN"/>
        </w:rPr>
        <w:t>本招标项目缺陷责任期为</w:t>
      </w:r>
      <w:r>
        <w:rPr>
          <w:rFonts w:hint="eastAsia" w:ascii="宋体" w:hAnsi="宋体" w:eastAsia="宋体" w:cs="宋体"/>
          <w:snapToGrid w:val="0"/>
          <w:color w:val="auto"/>
          <w:kern w:val="0"/>
          <w:sz w:val="24"/>
          <w:szCs w:val="20"/>
          <w:highlight w:val="none"/>
          <w:u w:val="single"/>
          <w:lang w:val="en-US" w:eastAsia="zh-CN"/>
        </w:rPr>
        <w:t>2</w:t>
      </w:r>
      <w:r>
        <w:rPr>
          <w:rFonts w:hint="eastAsia" w:ascii="宋体" w:hAnsi="宋体" w:eastAsia="宋体" w:cs="宋体"/>
          <w:snapToGrid w:val="0"/>
          <w:color w:val="auto"/>
          <w:kern w:val="0"/>
          <w:sz w:val="24"/>
          <w:szCs w:val="20"/>
          <w:highlight w:val="none"/>
          <w:lang w:eastAsia="zh-CN"/>
        </w:rPr>
        <w:t xml:space="preserve"> 年（自通过竣工验收之日起计）。缺陷责任期到期后，承包人向发包人申请退还质量保证。发包人收到退还申请后，于</w:t>
      </w:r>
      <w:r>
        <w:rPr>
          <w:rFonts w:hint="eastAsia" w:ascii="宋体" w:hAnsi="宋体" w:eastAsia="宋体" w:cs="宋体"/>
          <w:snapToGrid w:val="0"/>
          <w:color w:val="auto"/>
          <w:kern w:val="0"/>
          <w:sz w:val="24"/>
          <w:szCs w:val="20"/>
          <w:highlight w:val="none"/>
          <w:u w:val="single"/>
          <w:lang w:eastAsia="zh-CN"/>
        </w:rPr>
        <w:t>14</w:t>
      </w:r>
      <w:r>
        <w:rPr>
          <w:rFonts w:hint="eastAsia" w:ascii="宋体" w:hAnsi="宋体" w:eastAsia="宋体" w:cs="宋体"/>
          <w:snapToGrid w:val="0"/>
          <w:color w:val="auto"/>
          <w:kern w:val="0"/>
          <w:sz w:val="24"/>
          <w:szCs w:val="20"/>
          <w:highlight w:val="none"/>
          <w:lang w:eastAsia="zh-CN"/>
        </w:rPr>
        <w:t>天内会同承包人进行核实。经双方核实且均无异议后，发包人在核实之日起</w:t>
      </w:r>
      <w:r>
        <w:rPr>
          <w:rFonts w:hint="eastAsia" w:ascii="宋体" w:hAnsi="宋体" w:eastAsia="宋体" w:cs="宋体"/>
          <w:snapToGrid w:val="0"/>
          <w:color w:val="auto"/>
          <w:kern w:val="0"/>
          <w:sz w:val="24"/>
          <w:szCs w:val="20"/>
          <w:highlight w:val="none"/>
          <w:u w:val="single"/>
          <w:lang w:eastAsia="zh-CN"/>
        </w:rPr>
        <w:t xml:space="preserve"> 14 </w:t>
      </w:r>
      <w:r>
        <w:rPr>
          <w:rFonts w:hint="eastAsia" w:ascii="宋体" w:hAnsi="宋体" w:eastAsia="宋体" w:cs="宋体"/>
          <w:snapToGrid w:val="0"/>
          <w:color w:val="auto"/>
          <w:kern w:val="0"/>
          <w:sz w:val="24"/>
          <w:szCs w:val="20"/>
          <w:highlight w:val="none"/>
          <w:lang w:eastAsia="zh-CN"/>
        </w:rPr>
        <w:t>天内将应返保证金（或银行保函）退还承包人。</w:t>
      </w:r>
    </w:p>
    <w:p w14:paraId="7B410B9A">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3.9</w:t>
      </w:r>
      <w:r>
        <w:rPr>
          <w:rFonts w:hint="eastAsia" w:ascii="宋体" w:hAnsi="宋体" w:eastAsia="宋体" w:cs="宋体"/>
          <w:snapToGrid w:val="0"/>
          <w:color w:val="auto"/>
          <w:kern w:val="0"/>
          <w:sz w:val="24"/>
          <w:szCs w:val="20"/>
          <w:highlight w:val="none"/>
          <w:lang w:eastAsia="zh-CN"/>
        </w:rPr>
        <w:t xml:space="preserve"> </w:t>
      </w:r>
      <w:r>
        <w:rPr>
          <w:rFonts w:hint="eastAsia" w:ascii="宋体" w:hAnsi="宋体" w:eastAsia="宋体" w:cs="宋体"/>
          <w:b/>
          <w:bCs/>
          <w:snapToGrid w:val="0"/>
          <w:color w:val="auto"/>
          <w:kern w:val="0"/>
          <w:sz w:val="24"/>
          <w:szCs w:val="20"/>
          <w:highlight w:val="none"/>
          <w:lang w:eastAsia="zh-CN"/>
        </w:rPr>
        <w:t>发包人每次支付工程款前，承包人均应提供有效的增值税专用发票。如果承包人无法提供符合要求的发票，由此造成的相应损失由承包人承担。</w:t>
      </w:r>
    </w:p>
    <w:p w14:paraId="79D37AA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10</w:t>
      </w:r>
      <w:r>
        <w:rPr>
          <w:rFonts w:hint="eastAsia" w:ascii="宋体" w:hAnsi="宋体" w:eastAsia="宋体" w:cs="宋体"/>
          <w:snapToGrid w:val="0"/>
          <w:color w:val="auto"/>
          <w:kern w:val="0"/>
          <w:sz w:val="24"/>
          <w:szCs w:val="20"/>
          <w:highlight w:val="none"/>
          <w:lang w:eastAsia="zh-CN"/>
        </w:rPr>
        <w:t>暂列金额支付方式：</w:t>
      </w:r>
      <w:r>
        <w:rPr>
          <w:rFonts w:hint="eastAsia" w:ascii="宋体" w:hAnsi="宋体" w:eastAsia="宋体" w:cs="宋体"/>
          <w:snapToGrid w:val="0"/>
          <w:color w:val="auto"/>
          <w:kern w:val="0"/>
          <w:sz w:val="24"/>
          <w:szCs w:val="20"/>
          <w:highlight w:val="none"/>
          <w:u w:val="single"/>
          <w:lang w:val="en-US" w:eastAsia="zh-CN"/>
        </w:rPr>
        <w:t>承包人需根据发包人发布的《工程变更管理办法》和《工程签证管理办法》完善工程变更签证相关程序后，与每个月的工程进度款一并报送；若承包人原因未按上述办法在规定时间内完善工程变更签证相关程序的，当月工程进度款中的变更签证部分暂停拨付。在暂列金额的范围内，最终经发包人委托的全过程造价咨询公司审核、发包人确认后支付至该部分实际完成工程量的80％，其余部分待结算完成审核后支付至97%，剩余3%为工程质量保修金。</w:t>
      </w:r>
    </w:p>
    <w:p w14:paraId="184A088B">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u w:val="single"/>
          <w:lang w:eastAsia="zh-CN"/>
        </w:rPr>
      </w:pPr>
      <w:r>
        <w:rPr>
          <w:rFonts w:hint="eastAsia" w:ascii="宋体" w:hAnsi="宋体" w:eastAsia="宋体" w:cs="宋体"/>
          <w:b/>
          <w:bCs/>
          <w:snapToGrid w:val="0"/>
          <w:color w:val="auto"/>
          <w:kern w:val="0"/>
          <w:sz w:val="24"/>
          <w:szCs w:val="20"/>
          <w:highlight w:val="none"/>
          <w:lang w:eastAsia="zh-CN"/>
        </w:rPr>
        <w:t>3.11</w:t>
      </w:r>
      <w:r>
        <w:rPr>
          <w:rFonts w:hint="eastAsia" w:ascii="宋体" w:hAnsi="宋体" w:eastAsia="宋体" w:cs="宋体"/>
          <w:snapToGrid w:val="0"/>
          <w:color w:val="auto"/>
          <w:kern w:val="0"/>
          <w:sz w:val="24"/>
          <w:szCs w:val="20"/>
          <w:highlight w:val="none"/>
          <w:lang w:eastAsia="zh-CN"/>
        </w:rPr>
        <w:t xml:space="preserve"> 材料暂估价、专业工程暂估价支付方式：</w:t>
      </w:r>
      <w:r>
        <w:rPr>
          <w:rFonts w:hint="eastAsia" w:ascii="宋体" w:hAnsi="宋体" w:eastAsia="宋体" w:cs="宋体"/>
          <w:snapToGrid w:val="0"/>
          <w:color w:val="auto"/>
          <w:kern w:val="0"/>
          <w:sz w:val="24"/>
          <w:szCs w:val="20"/>
          <w:highlight w:val="none"/>
          <w:u w:val="single"/>
          <w:lang w:eastAsia="zh-CN"/>
        </w:rPr>
        <w:t>材料暂估价、专业工程暂估价与每个月的工程进度款一并报送，但需要列明详细项目内容，该部分材料暂估价、专业工程暂估价按该部分实际完成工程量的50%支付，工程竣工验收合格后支付至8</w:t>
      </w:r>
      <w:r>
        <w:rPr>
          <w:rFonts w:hint="eastAsia" w:ascii="宋体" w:hAnsi="宋体" w:eastAsia="宋体" w:cs="宋体"/>
          <w:snapToGrid w:val="0"/>
          <w:color w:val="auto"/>
          <w:kern w:val="0"/>
          <w:sz w:val="24"/>
          <w:szCs w:val="20"/>
          <w:highlight w:val="none"/>
          <w:u w:val="single"/>
          <w:lang w:val="en-US" w:eastAsia="zh-CN"/>
        </w:rPr>
        <w:t>0</w:t>
      </w:r>
      <w:r>
        <w:rPr>
          <w:rFonts w:hint="eastAsia" w:ascii="宋体" w:hAnsi="宋体" w:eastAsia="宋体" w:cs="宋体"/>
          <w:snapToGrid w:val="0"/>
          <w:color w:val="auto"/>
          <w:kern w:val="0"/>
          <w:sz w:val="24"/>
          <w:szCs w:val="20"/>
          <w:highlight w:val="none"/>
          <w:u w:val="single"/>
          <w:lang w:eastAsia="zh-CN"/>
        </w:rPr>
        <w:t>%，剩余部分结算完成后支付至审定造价的97%，剩余3%为工程质量保修金。</w:t>
      </w:r>
    </w:p>
    <w:p w14:paraId="0DB87552">
      <w:pPr>
        <w:spacing w:before="154" w:line="212" w:lineRule="auto"/>
        <w:ind w:left="486"/>
        <w:outlineLvl w:val="2"/>
        <w:rPr>
          <w:rFonts w:hint="eastAsia" w:ascii="宋体" w:hAnsi="宋体" w:eastAsia="宋体" w:cs="宋体"/>
          <w:b/>
          <w:bCs/>
          <w:color w:val="auto"/>
          <w:spacing w:val="-7"/>
          <w:sz w:val="24"/>
          <w:szCs w:val="24"/>
          <w:highlight w:val="none"/>
        </w:rPr>
      </w:pPr>
      <w:bookmarkStart w:id="179" w:name="_Toc29229"/>
      <w:r>
        <w:rPr>
          <w:rFonts w:hint="eastAsia" w:ascii="宋体" w:hAnsi="宋体" w:eastAsia="宋体" w:cs="宋体"/>
          <w:b/>
          <w:bCs/>
          <w:color w:val="auto"/>
          <w:spacing w:val="-7"/>
          <w:sz w:val="24"/>
          <w:szCs w:val="24"/>
          <w:highlight w:val="none"/>
        </w:rPr>
        <w:t>4</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7"/>
          <w:sz w:val="24"/>
          <w:szCs w:val="24"/>
          <w:highlight w:val="none"/>
        </w:rPr>
        <w:t>．其他专用合同条款</w:t>
      </w:r>
      <w:bookmarkEnd w:id="179"/>
    </w:p>
    <w:p w14:paraId="01EFC9A1">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 </w:t>
      </w:r>
      <w:r>
        <w:rPr>
          <w:rFonts w:hint="eastAsia" w:ascii="宋体" w:hAnsi="宋体" w:eastAsia="宋体" w:cs="宋体"/>
          <w:bCs/>
          <w:snapToGrid w:val="0"/>
          <w:color w:val="auto"/>
          <w:kern w:val="0"/>
          <w:sz w:val="24"/>
          <w:szCs w:val="24"/>
          <w:highlight w:val="none"/>
          <w:lang w:val="en-US" w:eastAsia="zh-CN"/>
        </w:rPr>
        <w:t xml:space="preserve">专业工程分包 </w:t>
      </w:r>
    </w:p>
    <w:p w14:paraId="26A1ED5B">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 </w:t>
      </w:r>
    </w:p>
    <w:p w14:paraId="17734C5A">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w:t>
      </w:r>
      <w:r>
        <w:rPr>
          <w:rFonts w:hint="eastAsia" w:ascii="宋体" w:hAnsi="宋体" w:eastAsia="宋体" w:cs="宋体"/>
          <w:bCs/>
          <w:snapToGrid w:val="0"/>
          <w:color w:val="auto"/>
          <w:kern w:val="0"/>
          <w:sz w:val="24"/>
          <w:szCs w:val="24"/>
          <w:highlight w:val="none"/>
          <w:lang w:val="en-US" w:eastAsia="zh-CN"/>
        </w:rPr>
        <w:t xml:space="preserve"> 工人工资支付专用账户 </w:t>
      </w:r>
    </w:p>
    <w:p w14:paraId="5F615FD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4.2.1</w:t>
      </w:r>
      <w:r>
        <w:rPr>
          <w:rFonts w:hint="eastAsia" w:ascii="宋体" w:hAnsi="宋体" w:eastAsia="宋体" w:cs="宋体"/>
          <w:bCs/>
          <w:snapToGrid w:val="0"/>
          <w:color w:val="auto"/>
          <w:kern w:val="0"/>
          <w:sz w:val="24"/>
          <w:szCs w:val="24"/>
          <w:highlight w:val="none"/>
          <w:lang w:val="en-US" w:eastAsia="zh-CN"/>
        </w:rPr>
        <w:t xml:space="preserve"> 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  </w:t>
      </w:r>
    </w:p>
    <w:p w14:paraId="310B41B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4.2.2</w:t>
      </w:r>
      <w:r>
        <w:rPr>
          <w:rFonts w:hint="eastAsia" w:ascii="宋体" w:hAnsi="宋体" w:eastAsia="宋体" w:cs="宋体"/>
          <w:bCs/>
          <w:snapToGrid w:val="0"/>
          <w:color w:val="auto"/>
          <w:kern w:val="0"/>
          <w:sz w:val="24"/>
          <w:szCs w:val="24"/>
          <w:highlight w:val="none"/>
          <w:lang w:val="en-US" w:eastAsia="zh-CN"/>
        </w:rPr>
        <w:t xml:space="preserve"> 依据人力资源社会保障部等十部门印发的《工程建设领域农民工工资专用账户管理暂行办法》（人社部发〔2021〕53 号）文件规定，承包人中标后，须到银行设立工人工资支付专用账户，用于支付工人工资。发包人支付工程款时，将按工程款（不含工人工资）和工人工资两部分分开支付，工人工资支付至专用账户。承包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 </w:t>
      </w:r>
    </w:p>
    <w:p w14:paraId="4C837173">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按韶关市人力资源和社会保障局、韶关市住房和城乡建设管理局、韶关市交通运输局韶关市水务局、韶关市金融工作局、国家金融监督管理总局韶关监管分局关于印发《韶关市工程建设领域农民工工资保证金管理实施细则》的通知(韶人社规〔2023〕2 号) 及《韶关市工程建设领域农民工工资保证金管理实施细则》（韶法审〔2023〕19 号）规定执行。承包人在签订工程施工承包合同后一个月内必须办妥该事项，并将办妥回执交发包人。 </w:t>
      </w:r>
    </w:p>
    <w:p w14:paraId="20A96B31">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承包人须按照发包人所垫付的民工工资 2 倍向发包人支付违约金。 </w:t>
      </w:r>
    </w:p>
    <w:p w14:paraId="04932DDF">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4.2.3 承包人应在工资专户开立后 2 个工作日内，将开户银行及其账号、开户协议等资料提交给发包人。 </w:t>
      </w:r>
    </w:p>
    <w:p w14:paraId="2EDDE0EC">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（1）用人单位应当在建设项目动工前，在建设项目所在地商业银行设立工人工资支付专用账户。 </w:t>
      </w:r>
    </w:p>
    <w:p w14:paraId="393F8C3B">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（2）用人单位应当在用工之日起 15 日内为每一位工人办理个人银行账户。</w:t>
      </w:r>
    </w:p>
    <w:p w14:paraId="5DB0DF8B">
      <w:pPr>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（3）用人单位应当指定专人负责建设项目施工现场台账管理，真实、准确记录工人名册、劳务合同、劳动合同、工程进度、工时台账、劳务承包款和工人工资支付等信息， 并保存两年以上备查。 </w:t>
      </w:r>
    </w:p>
    <w:p w14:paraId="6EBACBFE">
      <w:pPr>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（4）用人单位应当按照“及时支付，按实结算”的原则，在规定日期前通过银行工人 工资支付专用账户将工人工资直接支付到工人的个人银行账户，并按月将工人工资支付 明细表报施工总承包单位和建设单位备案。</w:t>
      </w:r>
    </w:p>
    <w:p w14:paraId="29039645">
      <w:pPr>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 用人单位未建立、保存用工管理台账，或者伪造相关台账的，按照《广东省劳动保障监察条例》第五十条的规定，由人力资源社会保障部门责令改正，并可处以二千元以上二万元以下的人民币罚款。</w:t>
      </w:r>
    </w:p>
    <w:p w14:paraId="7635F553">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4.2.4</w:t>
      </w:r>
      <w:r>
        <w:rPr>
          <w:rFonts w:hint="eastAsia" w:ascii="宋体" w:hAnsi="宋体" w:eastAsia="宋体" w:cs="宋体"/>
          <w:bCs/>
          <w:snapToGrid w:val="0"/>
          <w:color w:val="auto"/>
          <w:kern w:val="0"/>
          <w:sz w:val="24"/>
          <w:szCs w:val="24"/>
          <w:highlight w:val="none"/>
          <w:lang w:val="en-US" w:eastAsia="zh-CN"/>
        </w:rPr>
        <w:t xml:space="preserve"> 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 </w:t>
      </w:r>
    </w:p>
    <w:p w14:paraId="38A9E3E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4.3</w:t>
      </w:r>
      <w:r>
        <w:rPr>
          <w:rFonts w:hint="eastAsia" w:ascii="宋体" w:hAnsi="宋体" w:eastAsia="宋体" w:cs="宋体"/>
          <w:bCs/>
          <w:snapToGrid w:val="0"/>
          <w:color w:val="auto"/>
          <w:kern w:val="0"/>
          <w:sz w:val="24"/>
          <w:szCs w:val="24"/>
          <w:highlight w:val="none"/>
          <w:lang w:val="en-US" w:eastAsia="zh-CN"/>
        </w:rPr>
        <w:t xml:space="preserve"> 诚信登记 </w:t>
      </w:r>
    </w:p>
    <w:p w14:paraId="3C7D81E4">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根据资质管理规定，许可机关应当建立、健全建筑业企业信用档案管理制度，包括企业基本信息、资质、业绩、工程质量和安全、合同履约、社会投诉和违法行为等情况。 </w:t>
      </w:r>
    </w:p>
    <w:p w14:paraId="591F44E6">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w:t>
      </w:r>
      <w:r>
        <w:rPr>
          <w:rFonts w:hint="eastAsia" w:ascii="宋体" w:hAnsi="宋体" w:eastAsia="宋体" w:cs="宋体"/>
          <w:bCs/>
          <w:snapToGrid w:val="0"/>
          <w:color w:val="auto"/>
          <w:kern w:val="0"/>
          <w:sz w:val="24"/>
          <w:szCs w:val="24"/>
          <w:highlight w:val="none"/>
          <w:lang w:val="en-US" w:eastAsia="zh-CN"/>
        </w:rPr>
        <w:t xml:space="preserve"> 工期进度 </w:t>
      </w:r>
    </w:p>
    <w:p w14:paraId="5A7E027A">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4.4.1</w:t>
      </w:r>
      <w:r>
        <w:rPr>
          <w:rFonts w:hint="eastAsia" w:ascii="宋体" w:hAnsi="宋体" w:eastAsia="宋体" w:cs="宋体"/>
          <w:bCs/>
          <w:snapToGrid w:val="0"/>
          <w:color w:val="auto"/>
          <w:kern w:val="0"/>
          <w:sz w:val="24"/>
          <w:szCs w:val="24"/>
          <w:highlight w:val="none"/>
          <w:lang w:val="en-US" w:eastAsia="zh-CN"/>
        </w:rPr>
        <w:t xml:space="preserve"> 本招标项目施工标准工期为</w:t>
      </w:r>
      <w:r>
        <w:rPr>
          <w:rFonts w:hint="eastAsia" w:ascii="宋体" w:hAnsi="宋体" w:eastAsia="宋体" w:cs="宋体"/>
          <w:bCs/>
          <w:snapToGrid w:val="0"/>
          <w:color w:val="auto"/>
          <w:kern w:val="0"/>
          <w:sz w:val="24"/>
          <w:szCs w:val="24"/>
          <w:highlight w:val="none"/>
          <w:u w:val="single"/>
          <w:lang w:val="en-US" w:eastAsia="zh-CN"/>
        </w:rPr>
        <w:t>180</w:t>
      </w:r>
      <w:r>
        <w:rPr>
          <w:rFonts w:hint="eastAsia" w:ascii="宋体" w:hAnsi="宋体" w:eastAsia="宋体" w:cs="宋体"/>
          <w:bCs/>
          <w:snapToGrid w:val="0"/>
          <w:color w:val="auto"/>
          <w:kern w:val="0"/>
          <w:sz w:val="24"/>
          <w:szCs w:val="24"/>
          <w:highlight w:val="none"/>
          <w:lang w:val="en-US" w:eastAsia="zh-CN"/>
        </w:rPr>
        <w:t>个日历天，招标工期为</w:t>
      </w:r>
      <w:r>
        <w:rPr>
          <w:rFonts w:hint="eastAsia" w:ascii="宋体" w:hAnsi="宋体" w:eastAsia="宋体" w:cs="宋体"/>
          <w:bCs/>
          <w:snapToGrid w:val="0"/>
          <w:color w:val="auto"/>
          <w:kern w:val="0"/>
          <w:sz w:val="24"/>
          <w:szCs w:val="24"/>
          <w:highlight w:val="none"/>
          <w:u w:val="single"/>
          <w:lang w:val="en-US" w:eastAsia="zh-CN"/>
        </w:rPr>
        <w:t>180</w:t>
      </w:r>
      <w:r>
        <w:rPr>
          <w:rFonts w:hint="eastAsia" w:ascii="宋体" w:hAnsi="宋体" w:eastAsia="宋体" w:cs="宋体"/>
          <w:bCs/>
          <w:snapToGrid w:val="0"/>
          <w:color w:val="auto"/>
          <w:kern w:val="0"/>
          <w:sz w:val="24"/>
          <w:szCs w:val="24"/>
          <w:highlight w:val="none"/>
          <w:lang w:val="en-US" w:eastAsia="zh-CN"/>
        </w:rPr>
        <w:t xml:space="preserve">个日历天，承包人必须在招标工期内完成招标范围内的全部内容。 </w:t>
      </w:r>
    </w:p>
    <w:p w14:paraId="3AD3FEC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4.4.2</w:t>
      </w:r>
      <w:r>
        <w:rPr>
          <w:rFonts w:hint="eastAsia" w:ascii="宋体" w:hAnsi="宋体" w:eastAsia="宋体" w:cs="宋体"/>
          <w:bCs/>
          <w:snapToGrid w:val="0"/>
          <w:color w:val="auto"/>
          <w:kern w:val="0"/>
          <w:sz w:val="24"/>
          <w:szCs w:val="24"/>
          <w:highlight w:val="none"/>
          <w:lang w:val="en-US" w:eastAsia="zh-CN"/>
        </w:rPr>
        <w:t xml:space="preserve"> 施工工期从承包人收到监理单位签发的开工令之日起计，至竣工验收合格之日止。 </w:t>
      </w:r>
    </w:p>
    <w:p w14:paraId="744114A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4.4.3</w:t>
      </w:r>
      <w:r>
        <w:rPr>
          <w:rFonts w:hint="eastAsia" w:ascii="宋体" w:hAnsi="宋体" w:eastAsia="宋体" w:cs="宋体"/>
          <w:bCs/>
          <w:snapToGrid w:val="0"/>
          <w:color w:val="auto"/>
          <w:kern w:val="0"/>
          <w:sz w:val="24"/>
          <w:szCs w:val="24"/>
          <w:highlight w:val="none"/>
          <w:lang w:val="en-US" w:eastAsia="zh-CN"/>
        </w:rPr>
        <w:t xml:space="preserve"> 工期奖罚 </w:t>
      </w:r>
    </w:p>
    <w:p w14:paraId="2645B83E">
      <w:pPr>
        <w:adjustRightInd w:val="0"/>
        <w:snapToGrid w:val="0"/>
        <w:spacing w:line="440" w:lineRule="exact"/>
        <w:ind w:firstLine="480" w:firstLineChars="200"/>
        <w:rPr>
          <w:rFonts w:hint="default" w:ascii="宋体" w:hAnsi="宋体" w:eastAsia="宋体" w:cs="宋体"/>
          <w:bCs/>
          <w:snapToGrid w:val="0"/>
          <w:color w:val="auto"/>
          <w:kern w:val="0"/>
          <w:sz w:val="24"/>
          <w:szCs w:val="24"/>
          <w:highlight w:val="none"/>
          <w:u w:val="single"/>
          <w:lang w:val="en-US"/>
        </w:rPr>
      </w:pPr>
      <w:r>
        <w:rPr>
          <w:rFonts w:hint="eastAsia" w:ascii="宋体" w:hAnsi="宋体" w:eastAsia="宋体" w:cs="宋体"/>
          <w:bCs/>
          <w:snapToGrid w:val="0"/>
          <w:color w:val="auto"/>
          <w:kern w:val="0"/>
          <w:sz w:val="24"/>
          <w:szCs w:val="24"/>
          <w:highlight w:val="none"/>
          <w:lang w:val="en-US" w:eastAsia="zh-CN"/>
        </w:rPr>
        <w:t>□竣工验收合格交付使用每提前</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天竣工；奖</w:t>
      </w:r>
      <w:r>
        <w:rPr>
          <w:rFonts w:hint="eastAsia" w:ascii="宋体" w:hAnsi="宋体" w:eastAsia="宋体" w:cs="宋体"/>
          <w:bCs/>
          <w:snapToGrid w:val="0"/>
          <w:color w:val="auto"/>
          <w:kern w:val="0"/>
          <w:sz w:val="24"/>
          <w:szCs w:val="24"/>
          <w:highlight w:val="none"/>
          <w:u w:val="single"/>
          <w:lang w:val="en-US" w:eastAsia="zh-CN"/>
        </w:rPr>
        <w:t>/</w:t>
      </w:r>
    </w:p>
    <w:p w14:paraId="0536562A">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元，奖励金额不超过合同价款的</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%（一般为 2%～5%）且不超过</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元。 </w:t>
      </w:r>
    </w:p>
    <w:p w14:paraId="5CDEF152">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□按施工合同期约定,因承包人原因每延误</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天竣工,罚</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元。 </w:t>
      </w:r>
    </w:p>
    <w:p w14:paraId="29A1CCAF">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□按施工合同期约定,因承包人原因延误工期</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天内不处罚， 自第壹天起每延误</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天竣工,罚元。处罚金额不超过合同价款的</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%（一般为 2%～5%）且不超过万元，累计延误工期达到</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天，报请建设行政主管部门作不良行为记录，非承包方原因或不可抗力造成延误的除外。 </w:t>
      </w:r>
    </w:p>
    <w:p w14:paraId="18751D9C">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☑其它说明：（1）因承包人原因，工程没有按期竣工时，承包人须在逾期第壹天起每天按合同价的 1‰ 向发包人返纳逾期竣工违约金。逾期竣工违约金的最高限额为合同价款的3%。</w:t>
      </w:r>
    </w:p>
    <w:p w14:paraId="07428277">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2）承包人需提供各子项目的年度、季度、月、周施工计划报监理单位及发包人确认，在计划实施过程中，发包人及监理单位对承包人实际工期按周、月、季度进行检查、分析、评价，如与实际施工进度发生偏离的，由监理单位书面提醒承包人采取措施，如提醒后承包人未采取有效措施按施工计划按时完成的，每次按2000元缴纳违约金给发包人，在结算中一并扣除。</w:t>
      </w:r>
    </w:p>
    <w:p w14:paraId="533F00A0">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（3）承包人在进场后7天内提交施工进度计划，并注明主要施工节点时间，送监理单位及发包人审核后，作为工期考核的阶段性指标。</w:t>
      </w:r>
    </w:p>
    <w:p w14:paraId="2CC5BC6E">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w:t>
      </w:r>
      <w:r>
        <w:rPr>
          <w:rFonts w:hint="eastAsia" w:ascii="宋体" w:hAnsi="宋体" w:eastAsia="宋体" w:cs="宋体"/>
          <w:bCs/>
          <w:snapToGrid w:val="0"/>
          <w:color w:val="auto"/>
          <w:kern w:val="0"/>
          <w:sz w:val="24"/>
          <w:szCs w:val="24"/>
          <w:highlight w:val="none"/>
          <w:lang w:val="en-US" w:eastAsia="zh-CN"/>
        </w:rPr>
        <w:t xml:space="preserve"> 项目管理机构 </w:t>
      </w:r>
    </w:p>
    <w:p w14:paraId="6FD38FDF">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4.5.1</w:t>
      </w:r>
      <w:r>
        <w:rPr>
          <w:rFonts w:hint="eastAsia" w:ascii="宋体" w:hAnsi="宋体" w:eastAsia="宋体" w:cs="宋体"/>
          <w:bCs/>
          <w:snapToGrid w:val="0"/>
          <w:color w:val="auto"/>
          <w:kern w:val="0"/>
          <w:sz w:val="24"/>
          <w:szCs w:val="24"/>
          <w:highlight w:val="none"/>
          <w:lang w:val="en-US" w:eastAsia="zh-CN"/>
        </w:rPr>
        <w:t xml:space="preserve"> 承包人派驻的项目管理班子成员必须为其投标文件确定的人员，否则发包人有权终止合同。 </w:t>
      </w:r>
    </w:p>
    <w:p w14:paraId="1D0EAE8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4.5.2</w:t>
      </w:r>
      <w:r>
        <w:rPr>
          <w:rFonts w:hint="eastAsia" w:ascii="宋体" w:hAnsi="宋体" w:eastAsia="宋体" w:cs="宋体"/>
          <w:bCs/>
          <w:snapToGrid w:val="0"/>
          <w:color w:val="auto"/>
          <w:kern w:val="0"/>
          <w:sz w:val="24"/>
          <w:szCs w:val="24"/>
          <w:highlight w:val="none"/>
          <w:lang w:val="en-US" w:eastAsia="zh-CN"/>
        </w:rPr>
        <w:t xml:space="preserve"> 项目管理班子成员不得擅自变更。其中，项目经理若有《广东省住房和城乡建设厅关于建设工程项目招标中标后监督检查的办法》（粤建市〔2009〕8 号，以下简称“《办法》”）第九条所述除外情形之一确需变更的，承包人应填写《建设工程项目管理班子变更情况报告表》（《办法》附件 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 </w:t>
      </w:r>
    </w:p>
    <w:p w14:paraId="77D16F4E">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w:t>
      </w:r>
      <w:r>
        <w:rPr>
          <w:rFonts w:hint="eastAsia" w:ascii="宋体" w:hAnsi="宋体" w:eastAsia="宋体" w:cs="宋体"/>
          <w:bCs/>
          <w:snapToGrid w:val="0"/>
          <w:color w:val="auto"/>
          <w:kern w:val="0"/>
          <w:sz w:val="24"/>
          <w:szCs w:val="24"/>
          <w:highlight w:val="none"/>
          <w:lang w:val="en-US" w:eastAsia="zh-CN"/>
        </w:rPr>
        <w:t xml:space="preserve"> 现场管理 </w:t>
      </w:r>
    </w:p>
    <w:p w14:paraId="1AA74039">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4.6.1</w:t>
      </w:r>
      <w:r>
        <w:rPr>
          <w:rFonts w:hint="eastAsia" w:ascii="宋体" w:hAnsi="宋体" w:eastAsia="宋体" w:cs="宋体"/>
          <w:bCs/>
          <w:snapToGrid w:val="0"/>
          <w:color w:val="auto"/>
          <w:kern w:val="0"/>
          <w:sz w:val="24"/>
          <w:szCs w:val="24"/>
          <w:highlight w:val="none"/>
          <w:lang w:val="en-US" w:eastAsia="zh-CN"/>
        </w:rPr>
        <w:t xml:space="preserve"> 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 </w:t>
      </w:r>
    </w:p>
    <w:p w14:paraId="329F79D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4.6.2</w:t>
      </w:r>
      <w:r>
        <w:rPr>
          <w:rFonts w:hint="eastAsia" w:ascii="宋体" w:hAnsi="宋体" w:eastAsia="宋体" w:cs="宋体"/>
          <w:bCs/>
          <w:snapToGrid w:val="0"/>
          <w:color w:val="auto"/>
          <w:kern w:val="0"/>
          <w:sz w:val="24"/>
          <w:szCs w:val="24"/>
          <w:highlight w:val="none"/>
          <w:lang w:val="en-US" w:eastAsia="zh-CN"/>
        </w:rPr>
        <w:t xml:space="preserve"> 承包人应按安全施工有关规定，采取严格、科学的安全防护措施，确保施工和人员（包括第三者）的安全，承担由于自身安全防护措施不力所造成的安全事故责任和发生的费用。 </w:t>
      </w:r>
    </w:p>
    <w:p w14:paraId="7853C315">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4.6.3</w:t>
      </w:r>
      <w:r>
        <w:rPr>
          <w:rFonts w:hint="eastAsia" w:ascii="宋体" w:hAnsi="宋体" w:eastAsia="宋体" w:cs="宋体"/>
          <w:bCs/>
          <w:snapToGrid w:val="0"/>
          <w:color w:val="auto"/>
          <w:kern w:val="0"/>
          <w:sz w:val="24"/>
          <w:szCs w:val="24"/>
          <w:highlight w:val="none"/>
          <w:lang w:val="en-US" w:eastAsia="zh-CN"/>
        </w:rPr>
        <w:t xml:space="preserve"> 为保证施工现场的环境卫生，承包人在本招标项目施工过程中，所有的车辆必须按发包人规定的行车路线行驶。 </w:t>
      </w:r>
    </w:p>
    <w:p w14:paraId="6C30F2D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4.7</w:t>
      </w:r>
      <w:r>
        <w:rPr>
          <w:rFonts w:hint="eastAsia" w:ascii="宋体" w:hAnsi="宋体" w:eastAsia="宋体" w:cs="宋体"/>
          <w:bCs/>
          <w:snapToGrid w:val="0"/>
          <w:color w:val="auto"/>
          <w:kern w:val="0"/>
          <w:sz w:val="24"/>
          <w:szCs w:val="24"/>
          <w:highlight w:val="none"/>
          <w:lang w:val="en-US" w:eastAsia="zh-CN"/>
        </w:rPr>
        <w:t xml:space="preserve"> 监督实施 </w:t>
      </w:r>
    </w:p>
    <w:p w14:paraId="7234F127">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须服从发包人对工程质量、进度、成本的全方位监督，施工中的年度计划、季度计划、月度计划、施工方案等应报送监理单位审批和发包人备案。施工中的质量保措施等资料均应及时报送监理单位和发包人备案。 </w:t>
      </w:r>
    </w:p>
    <w:p w14:paraId="633EA71E">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4.8</w:t>
      </w:r>
      <w:r>
        <w:rPr>
          <w:rFonts w:hint="eastAsia" w:ascii="宋体" w:hAnsi="宋体" w:eastAsia="宋体" w:cs="宋体"/>
          <w:bCs/>
          <w:snapToGrid w:val="0"/>
          <w:color w:val="auto"/>
          <w:kern w:val="0"/>
          <w:sz w:val="24"/>
          <w:szCs w:val="24"/>
          <w:highlight w:val="none"/>
          <w:lang w:val="en-US" w:eastAsia="zh-CN"/>
        </w:rPr>
        <w:t xml:space="preserve"> 主材的采购和使用 </w:t>
      </w:r>
    </w:p>
    <w:p w14:paraId="5DD11F32">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 </w:t>
      </w:r>
    </w:p>
    <w:p w14:paraId="18A1E2A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4.9 </w:t>
      </w:r>
      <w:r>
        <w:rPr>
          <w:rFonts w:hint="eastAsia" w:ascii="宋体" w:hAnsi="宋体" w:eastAsia="宋体" w:cs="宋体"/>
          <w:bCs/>
          <w:snapToGrid w:val="0"/>
          <w:color w:val="auto"/>
          <w:kern w:val="0"/>
          <w:sz w:val="24"/>
          <w:szCs w:val="24"/>
          <w:highlight w:val="none"/>
          <w:lang w:val="en-US" w:eastAsia="zh-CN"/>
        </w:rPr>
        <w:t xml:space="preserve">竣工资料移交 </w:t>
      </w:r>
    </w:p>
    <w:p w14:paraId="26BD6431">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项目竣工验收时，承包人应向监理单位和发包人提供符合国家档案部门备案要求的，编制成册的竣工图及有关的技术档案资料（含声像档案）一式份。 </w:t>
      </w:r>
    </w:p>
    <w:p w14:paraId="6CD1FDD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w:t>
      </w:r>
      <w:r>
        <w:rPr>
          <w:rFonts w:hint="eastAsia" w:ascii="宋体" w:hAnsi="宋体" w:eastAsia="宋体" w:cs="宋体"/>
          <w:bCs/>
          <w:snapToGrid w:val="0"/>
          <w:color w:val="auto"/>
          <w:kern w:val="0"/>
          <w:sz w:val="24"/>
          <w:szCs w:val="24"/>
          <w:highlight w:val="none"/>
          <w:lang w:val="en-US" w:eastAsia="zh-CN"/>
        </w:rPr>
        <w:t xml:space="preserve"> 质量保证</w:t>
      </w:r>
    </w:p>
    <w:p w14:paraId="707A6EB6">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4.10.1</w:t>
      </w:r>
      <w:r>
        <w:rPr>
          <w:rFonts w:hint="eastAsia" w:ascii="宋体" w:hAnsi="宋体" w:eastAsia="宋体" w:cs="宋体"/>
          <w:bCs/>
          <w:snapToGrid w:val="0"/>
          <w:color w:val="auto"/>
          <w:kern w:val="0"/>
          <w:sz w:val="24"/>
          <w:szCs w:val="24"/>
          <w:highlight w:val="none"/>
          <w:lang w:val="en-US" w:eastAsia="zh-CN"/>
        </w:rPr>
        <w:t xml:space="preserve"> 本招标项目缺陷责任期为</w:t>
      </w:r>
      <w:r>
        <w:rPr>
          <w:rFonts w:hint="eastAsia" w:ascii="宋体" w:hAnsi="宋体" w:eastAsia="宋体" w:cs="宋体"/>
          <w:bCs/>
          <w:snapToGrid w:val="0"/>
          <w:color w:val="auto"/>
          <w:kern w:val="0"/>
          <w:sz w:val="24"/>
          <w:szCs w:val="24"/>
          <w:highlight w:val="none"/>
          <w:u w:val="single"/>
          <w:lang w:val="en-US" w:eastAsia="zh-CN"/>
        </w:rPr>
        <w:t>2</w:t>
      </w:r>
      <w:r>
        <w:rPr>
          <w:rFonts w:hint="eastAsia" w:ascii="宋体" w:hAnsi="宋体" w:eastAsia="宋体" w:cs="宋体"/>
          <w:bCs/>
          <w:snapToGrid w:val="0"/>
          <w:color w:val="auto"/>
          <w:kern w:val="0"/>
          <w:sz w:val="24"/>
          <w:szCs w:val="24"/>
          <w:highlight w:val="none"/>
          <w:lang w:val="en-US" w:eastAsia="zh-CN"/>
        </w:rPr>
        <w:t>年（自通过竣工验收之日起计），在此期间预留金额为结算价</w:t>
      </w:r>
      <w:r>
        <w:rPr>
          <w:rFonts w:hint="eastAsia" w:ascii="宋体" w:hAnsi="宋体" w:eastAsia="宋体" w:cs="宋体"/>
          <w:bCs/>
          <w:snapToGrid w:val="0"/>
          <w:color w:val="auto"/>
          <w:kern w:val="0"/>
          <w:sz w:val="24"/>
          <w:szCs w:val="24"/>
          <w:highlight w:val="none"/>
          <w:u w:val="single"/>
          <w:lang w:val="en-US" w:eastAsia="zh-CN"/>
        </w:rPr>
        <w:t>3%</w:t>
      </w:r>
      <w:r>
        <w:rPr>
          <w:rFonts w:hint="eastAsia" w:ascii="宋体" w:hAnsi="宋体" w:eastAsia="宋体" w:cs="宋体"/>
          <w:bCs/>
          <w:snapToGrid w:val="0"/>
          <w:color w:val="auto"/>
          <w:kern w:val="0"/>
          <w:sz w:val="24"/>
          <w:szCs w:val="24"/>
          <w:highlight w:val="none"/>
          <w:lang w:val="en-US" w:eastAsia="zh-CN"/>
        </w:rPr>
        <w:t xml:space="preserve">的质量保证。 </w:t>
      </w:r>
    </w:p>
    <w:p w14:paraId="2398B991">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4.10.2</w:t>
      </w:r>
      <w:r>
        <w:rPr>
          <w:rFonts w:hint="eastAsia" w:ascii="宋体" w:hAnsi="宋体" w:eastAsia="宋体" w:cs="宋体"/>
          <w:bCs/>
          <w:snapToGrid w:val="0"/>
          <w:color w:val="auto"/>
          <w:kern w:val="0"/>
          <w:sz w:val="24"/>
          <w:szCs w:val="24"/>
          <w:highlight w:val="none"/>
          <w:lang w:val="en-US" w:eastAsia="zh-CN"/>
        </w:rPr>
        <w:t xml:space="preserve"> 质量保证的形式包括质量保证金、质量保证担保、质量保证保险三种，由承包人自主选择。 </w:t>
      </w:r>
    </w:p>
    <w:p w14:paraId="5B411B16">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（1）采用质量保证金形式的，在结清审定总造价时一次性扣留相应金额作为质量保证金。 </w:t>
      </w:r>
    </w:p>
    <w:p w14:paraId="1181DE18">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2）采用质量保证担保或质量保证保险的，承包人应在竣工验收时向发包人提交有效的商业保函、银行保函或保险合同（或保险单）原件，商业保函、银行保函或保险合同（或保险单）的有效期不得短于缺陷责任期。 </w:t>
      </w:r>
    </w:p>
    <w:p w14:paraId="52ED9B76">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4.10.3</w:t>
      </w:r>
      <w:r>
        <w:rPr>
          <w:rFonts w:hint="eastAsia" w:ascii="宋体" w:hAnsi="宋体" w:eastAsia="宋体" w:cs="宋体"/>
          <w:bCs/>
          <w:snapToGrid w:val="0"/>
          <w:color w:val="auto"/>
          <w:kern w:val="0"/>
          <w:sz w:val="24"/>
          <w:szCs w:val="24"/>
          <w:highlight w:val="none"/>
          <w:lang w:val="en-US" w:eastAsia="zh-CN"/>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 </w:t>
      </w:r>
    </w:p>
    <w:p w14:paraId="67B762C5">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由他人原因造成的缺陷，发包人负责组织维修，承包人不承担费用，且发包人不得从质量保证中扣除费用。 </w:t>
      </w:r>
    </w:p>
    <w:p w14:paraId="0DABCA9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4.10.4</w:t>
      </w:r>
      <w:r>
        <w:rPr>
          <w:rFonts w:hint="eastAsia" w:ascii="宋体" w:hAnsi="宋体" w:eastAsia="宋体" w:cs="宋体"/>
          <w:bCs/>
          <w:snapToGrid w:val="0"/>
          <w:color w:val="auto"/>
          <w:kern w:val="0"/>
          <w:sz w:val="24"/>
          <w:szCs w:val="24"/>
          <w:highlight w:val="none"/>
          <w:lang w:val="en-US" w:eastAsia="zh-CN"/>
        </w:rPr>
        <w:t xml:space="preserve"> 缺陷责任期内，承包人应认真履行合同约定的责任。缺陷责任期到期后，承包人向发包人申请退还质量保证，发包人应按照《建设工程质量保证金管理办法》有关规定将质量保证退还给承包人。  </w:t>
      </w:r>
    </w:p>
    <w:p w14:paraId="0D018C9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4.11</w:t>
      </w:r>
      <w:r>
        <w:rPr>
          <w:rFonts w:hint="eastAsia" w:ascii="宋体" w:hAnsi="宋体" w:eastAsia="宋体" w:cs="宋体"/>
          <w:bCs/>
          <w:snapToGrid w:val="0"/>
          <w:color w:val="auto"/>
          <w:kern w:val="0"/>
          <w:sz w:val="24"/>
          <w:szCs w:val="24"/>
          <w:highlight w:val="none"/>
          <w:lang w:val="en-US" w:eastAsia="zh-CN"/>
        </w:rPr>
        <w:t xml:space="preserve"> 不良行为处理 </w:t>
      </w:r>
    </w:p>
    <w:p w14:paraId="68DC32D9">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及其有关人员有下列行为之一的，发包人应及时向建设行政主管部门报告。除按照有关法律、法规进行处罚外，不良行为将计入企业及有关个人诚信档案，并在韶关市住房和城乡建设管理局网站（http://zgj.sg.gov.cn）公示。 </w:t>
      </w:r>
    </w:p>
    <w:p w14:paraId="33521F9F">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（1）转包、违法分包或违反投标承诺分包工程的； </w:t>
      </w:r>
    </w:p>
    <w:p w14:paraId="495C3345">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（2）非原参加投标中标的项目经理负责组织施工或在实施过程中擅自更换项目经理的、项目的其他主要管理人员与中标文件确定的人员不相符的；</w:t>
      </w:r>
    </w:p>
    <w:p w14:paraId="10849C0B">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（3）投标文件确定的大型机械设备没有进入施工现场的； </w:t>
      </w:r>
    </w:p>
    <w:p w14:paraId="48E4FF31">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（4）与建设单位、监理单位串通，签认虚假工程量或工程造价的； </w:t>
      </w:r>
    </w:p>
    <w:p w14:paraId="3BF9C0FE">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（5）项目经理施工现场管理不到位的； </w:t>
      </w:r>
    </w:p>
    <w:p w14:paraId="2ECD3434">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（6）项目经理在非本人资格证书注册单位从事工程项目施工管理的； </w:t>
      </w:r>
    </w:p>
    <w:p w14:paraId="39ABD251">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（7）项目经理同时承担超过一项工程项目的； </w:t>
      </w:r>
    </w:p>
    <w:p w14:paraId="02E9687E">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（8）违反有关法律、法规、规章规定的其它行为。 </w:t>
      </w:r>
    </w:p>
    <w:p w14:paraId="10E7EB8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4.12 </w:t>
      </w:r>
      <w:r>
        <w:rPr>
          <w:rFonts w:hint="eastAsia" w:ascii="宋体" w:hAnsi="宋体" w:eastAsia="宋体" w:cs="宋体"/>
          <w:bCs/>
          <w:snapToGrid w:val="0"/>
          <w:color w:val="auto"/>
          <w:kern w:val="0"/>
          <w:sz w:val="24"/>
          <w:szCs w:val="24"/>
          <w:highlight w:val="none"/>
          <w:lang w:val="en-US" w:eastAsia="zh-CN"/>
        </w:rPr>
        <w:t xml:space="preserve">信用评价条款内容 </w:t>
      </w:r>
    </w:p>
    <w:p w14:paraId="2337A1FF">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由发包人决定是否对施工单位的履约情况进行信用评价。若进行信用评价，评价条款由发包人自拟，条款内容可参考人员到位情况、服务配合程度、服务成果质量、项目后期服务及信用评价结果的运用等。 </w:t>
      </w:r>
    </w:p>
    <w:p w14:paraId="5C8044C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4.13</w:t>
      </w:r>
      <w:r>
        <w:rPr>
          <w:rFonts w:hint="eastAsia" w:ascii="宋体" w:hAnsi="宋体" w:eastAsia="宋体" w:cs="宋体"/>
          <w:bCs/>
          <w:snapToGrid w:val="0"/>
          <w:color w:val="auto"/>
          <w:kern w:val="0"/>
          <w:sz w:val="24"/>
          <w:szCs w:val="24"/>
          <w:highlight w:val="none"/>
          <w:lang w:val="en-US" w:eastAsia="zh-CN"/>
        </w:rPr>
        <w:t xml:space="preserve"> 危险性较大的分部分项工程安全管理约定 。对危险性较大的工程必须按《危险性较大的分部分项工程安全管理规定》（中华人民共和国住房和城乡建设部令第37号）的规定编制专项施工方案。同时，从承包人必须按照《危险性较大的分部分项工程安全管理规定》的规定和经审批的专项施工方案履行安全职责，严格执行国家、地方政府有关施工安全管理方面的法律、法规及规章制度，同时严格执行发包人制订的本项目安全生产管理方面的规章制度、安全检查程序及施工安全管理要求，以及监理人有关安全工作的指令。 </w:t>
      </w:r>
    </w:p>
    <w:p w14:paraId="218A7915">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承包人应根据《危险性较大的分部分项工程安全管理规定》（住房城乡建设部令第 37 号）、《住房城乡建设部办公厅关于实施&lt;危险性较大的分部分项工程安全管理规定&gt;有关问题的通知》（建办质〔2018〕31 号）、《广东省住房和城乡建设厅关于房屋市政工程危险性较大的分部分项工程安全管理的实施细则的通知》(粤建规范〔2019〕2 号) 和《广东省安全生产委员会办公室 广东省住房和城乡建设厅关于&lt;严格落实危险性较大的分部分项工程“六不施工”要求的通知&gt;》（粤安办〔2020〕151 号）等有关危险性较大的分部分项工程的法规规定通知，履行建设工程安全生产管理职责。 </w:t>
      </w:r>
    </w:p>
    <w:p w14:paraId="57F2618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4.14</w:t>
      </w:r>
      <w:r>
        <w:rPr>
          <w:rFonts w:hint="eastAsia" w:ascii="宋体" w:hAnsi="宋体" w:eastAsia="宋体" w:cs="宋体"/>
          <w:bCs/>
          <w:snapToGrid w:val="0"/>
          <w:color w:val="auto"/>
          <w:kern w:val="0"/>
          <w:sz w:val="24"/>
          <w:szCs w:val="24"/>
          <w:highlight w:val="none"/>
          <w:lang w:val="en-US" w:eastAsia="zh-CN"/>
        </w:rPr>
        <w:t xml:space="preserve"> 承包人在工程实施过程中，按照国家、省、市的相关规定制定相关的专项安全施工方案（如高支模、基坑支护、沉井等），编制专项施工方案报监理人、发包人审批后方可开展专项工程的施工。 </w:t>
      </w:r>
    </w:p>
    <w:p w14:paraId="451FCAB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4.15</w:t>
      </w:r>
      <w:r>
        <w:rPr>
          <w:rFonts w:hint="eastAsia" w:ascii="宋体" w:hAnsi="宋体" w:eastAsia="宋体" w:cs="宋体"/>
          <w:bCs/>
          <w:snapToGrid w:val="0"/>
          <w:color w:val="auto"/>
          <w:kern w:val="0"/>
          <w:sz w:val="24"/>
          <w:szCs w:val="24"/>
          <w:highlight w:val="none"/>
          <w:lang w:val="en-US" w:eastAsia="zh-CN"/>
        </w:rPr>
        <w:t xml:space="preserve"> 承包人须按照《韶关市建筑垃圾管理条例》（2021 年 5 月 1 日起施行），将弃土运至发包人指定的场所，否则发包人有权要求承包人无条件将弃土从违约弃土点运至发包人指定的场所并扣除违约金人民币</w:t>
      </w:r>
      <w:r>
        <w:rPr>
          <w:rFonts w:hint="eastAsia" w:ascii="宋体" w:hAnsi="宋体" w:eastAsia="宋体" w:cs="宋体"/>
          <w:color w:val="auto"/>
          <w:kern w:val="2"/>
          <w:sz w:val="24"/>
          <w:szCs w:val="24"/>
          <w:highlight w:val="none"/>
          <w:u w:val="single"/>
          <w:shd w:val="clear" w:color="auto" w:fill="FFFFFF"/>
          <w:lang w:val="en-US" w:eastAsia="zh-CN" w:bidi="ar-SA"/>
        </w:rPr>
        <w:t xml:space="preserve"> 壹 </w:t>
      </w:r>
      <w:r>
        <w:rPr>
          <w:rFonts w:hint="eastAsia" w:ascii="宋体" w:hAnsi="宋体" w:eastAsia="宋体" w:cs="宋体"/>
          <w:bCs/>
          <w:snapToGrid w:val="0"/>
          <w:color w:val="auto"/>
          <w:kern w:val="0"/>
          <w:sz w:val="24"/>
          <w:szCs w:val="24"/>
          <w:highlight w:val="none"/>
          <w:lang w:val="en-US" w:eastAsia="zh-CN"/>
        </w:rPr>
        <w:t xml:space="preserve">万元/次。承包人对建筑垃圾须按《韶关市建筑垃圾管理条例》（2021 年 5 月 1 日起施行）的相关规定进行排放和运输，投标人在投标报价时综合考虑在报价内。承包人应在施工现场建立洗车槽和临时排水系统等确保外运车辆（土方运输车辆应符合韶关市相关规定）不带泥上路，投标人在投标报价时综合考虑在报价内，发包人不另行支付该部分费用）。建设单位、施工单位应当在施工工地出入口显著位置公示建筑垃圾处理方案主要信息，包括建设工程垃圾种类、产生量、外运处置去向等信息及各相关单位名称、联系人及联系电话等。 </w:t>
      </w:r>
    </w:p>
    <w:p w14:paraId="6BC77ED9">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4.16 </w:t>
      </w:r>
      <w:r>
        <w:rPr>
          <w:rFonts w:hint="eastAsia" w:ascii="宋体" w:hAnsi="宋体" w:eastAsia="宋体" w:cs="宋体"/>
          <w:bCs/>
          <w:snapToGrid w:val="0"/>
          <w:color w:val="auto"/>
          <w:kern w:val="0"/>
          <w:sz w:val="24"/>
          <w:szCs w:val="24"/>
          <w:highlight w:val="none"/>
          <w:lang w:val="en-US" w:eastAsia="zh-CN"/>
        </w:rPr>
        <w:t xml:space="preserve">工程竣工验收后 15 日内，承包人应按市城建档案馆的要求（质量、数量），将编制成册的施工档案资料（含声像档案和电子档案）提供给发包人、市城建档案馆、市住建管理局、管养单位及监理单位，并承担档案涉及的所有费用（制作标准和相关要求按市城建档案馆的有关规定执行）。承包人提交符合城建档案馆要求的竣工资料经发包人确认签收后，即可办理工程结算手续。 </w:t>
      </w:r>
    </w:p>
    <w:p w14:paraId="2105B66E">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4.17</w:t>
      </w:r>
      <w:r>
        <w:rPr>
          <w:rFonts w:hint="eastAsia" w:ascii="宋体" w:hAnsi="宋体" w:eastAsia="宋体" w:cs="宋体"/>
          <w:bCs/>
          <w:snapToGrid w:val="0"/>
          <w:color w:val="auto"/>
          <w:kern w:val="0"/>
          <w:sz w:val="24"/>
          <w:szCs w:val="24"/>
          <w:highlight w:val="none"/>
          <w:lang w:val="en-US" w:eastAsia="zh-CN"/>
        </w:rPr>
        <w:t xml:space="preserve"> 承包人应做好周边设施（含军用光缆、燃气、供电、供水、排水、排污、人行道、路灯、治安监控、交通电警等）的成品保护并及时与周边设施的权属单位协调解决，如因承包人原因导致上述设施发生损坏，承包人无条件按发包人规定的期限内修复，涉及成品保护费、索赔等一切费用全部由承包人自行解决。</w:t>
      </w:r>
    </w:p>
    <w:p w14:paraId="56FD5FA3">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4.17.1 </w:t>
      </w:r>
      <w:r>
        <w:rPr>
          <w:rFonts w:hint="eastAsia" w:ascii="宋体" w:hAnsi="宋体" w:eastAsia="宋体" w:cs="宋体"/>
          <w:bCs/>
          <w:snapToGrid w:val="0"/>
          <w:color w:val="auto"/>
          <w:kern w:val="0"/>
          <w:sz w:val="24"/>
          <w:szCs w:val="24"/>
          <w:highlight w:val="none"/>
          <w:lang w:val="en-US" w:eastAsia="zh-CN"/>
        </w:rPr>
        <w:t>承包人在施工阶段应做好水土保持工作，相关费用承包人自行考虑在投标报价中。</w:t>
      </w:r>
    </w:p>
    <w:p w14:paraId="377C83C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4.18</w:t>
      </w:r>
      <w:r>
        <w:rPr>
          <w:rFonts w:hint="eastAsia" w:ascii="宋体" w:hAnsi="宋体" w:eastAsia="宋体" w:cs="宋体"/>
          <w:bCs/>
          <w:snapToGrid w:val="0"/>
          <w:color w:val="auto"/>
          <w:kern w:val="0"/>
          <w:sz w:val="24"/>
          <w:szCs w:val="24"/>
          <w:highlight w:val="none"/>
          <w:lang w:val="en-US" w:eastAsia="zh-CN"/>
        </w:rPr>
        <w:t xml:space="preserve"> 承包人中标后必须按规定及时缴交工人工资保证金、环保噪声排污费等。 </w:t>
      </w:r>
    </w:p>
    <w:p w14:paraId="0DCEA183">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4.19</w:t>
      </w:r>
      <w:r>
        <w:rPr>
          <w:rFonts w:hint="eastAsia" w:ascii="宋体" w:hAnsi="宋体" w:eastAsia="宋体" w:cs="宋体"/>
          <w:bCs/>
          <w:snapToGrid w:val="0"/>
          <w:color w:val="auto"/>
          <w:kern w:val="0"/>
          <w:sz w:val="24"/>
          <w:szCs w:val="24"/>
          <w:highlight w:val="none"/>
          <w:lang w:val="en-US" w:eastAsia="zh-CN"/>
        </w:rPr>
        <w:t xml:space="preserve"> 工程质量保修期按《中华人民共和国建筑法》、《建设工程质量管理条例》等相关规定实施。 </w:t>
      </w:r>
    </w:p>
    <w:p w14:paraId="6C12C69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4.20</w:t>
      </w:r>
      <w:r>
        <w:rPr>
          <w:rFonts w:hint="eastAsia" w:ascii="宋体" w:hAnsi="宋体" w:eastAsia="宋体" w:cs="宋体"/>
          <w:bCs/>
          <w:snapToGrid w:val="0"/>
          <w:color w:val="auto"/>
          <w:kern w:val="0"/>
          <w:sz w:val="24"/>
          <w:szCs w:val="24"/>
          <w:highlight w:val="none"/>
          <w:lang w:val="en-US" w:eastAsia="zh-CN"/>
        </w:rPr>
        <w:t xml:space="preserve"> 如项目实施过程中发生了工程变更及工程签证，承包人需根据发包人发布的《工程变更管理办法》和《工程签证管理办法》完善工程变更签证相关程序。 </w:t>
      </w:r>
    </w:p>
    <w:p w14:paraId="7C2DFF9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4.21</w:t>
      </w:r>
      <w:r>
        <w:rPr>
          <w:rFonts w:hint="eastAsia" w:ascii="宋体" w:hAnsi="宋体" w:eastAsia="宋体" w:cs="宋体"/>
          <w:bCs/>
          <w:snapToGrid w:val="0"/>
          <w:color w:val="auto"/>
          <w:kern w:val="0"/>
          <w:sz w:val="24"/>
          <w:szCs w:val="24"/>
          <w:highlight w:val="none"/>
          <w:lang w:val="en-US" w:eastAsia="zh-CN"/>
        </w:rPr>
        <w:t xml:space="preserve"> 承包人需按相关规定要求，设置本工程符合相关要求的永久性标牌及规划公示牌，投标人在投标报价时综合考虑在报价内，发包人不另行支付该部分费用。 </w:t>
      </w:r>
    </w:p>
    <w:p w14:paraId="5D272057">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4.22</w:t>
      </w:r>
      <w:r>
        <w:rPr>
          <w:rFonts w:hint="eastAsia" w:ascii="宋体" w:hAnsi="宋体" w:eastAsia="宋体" w:cs="宋体"/>
          <w:bCs/>
          <w:snapToGrid w:val="0"/>
          <w:color w:val="auto"/>
          <w:kern w:val="0"/>
          <w:sz w:val="24"/>
          <w:szCs w:val="24"/>
          <w:highlight w:val="none"/>
          <w:lang w:val="en-US" w:eastAsia="zh-CN"/>
        </w:rPr>
        <w:t xml:space="preserve"> 承包人应在项目所在地住建管理部门办理诚信登记，发包人将严格按住建管理部门诚信登记管理办法对承包人履约情况进行考核。 </w:t>
      </w:r>
    </w:p>
    <w:p w14:paraId="091BEF8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4.23</w:t>
      </w:r>
      <w:r>
        <w:rPr>
          <w:rFonts w:hint="eastAsia" w:ascii="宋体" w:hAnsi="宋体" w:eastAsia="宋体" w:cs="宋体"/>
          <w:bCs/>
          <w:snapToGrid w:val="0"/>
          <w:color w:val="auto"/>
          <w:kern w:val="0"/>
          <w:sz w:val="24"/>
          <w:szCs w:val="24"/>
          <w:highlight w:val="none"/>
          <w:lang w:val="en-US" w:eastAsia="zh-CN"/>
        </w:rPr>
        <w:t xml:space="preserve"> 承包人应按韶关市住房和城乡建设管理局、韶关市人力资源和社会保障局等职能部门对用工实名制的相关规定,落实工人及相关软硬件设施要求。</w:t>
      </w:r>
    </w:p>
    <w:p w14:paraId="17EB941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w:t>
      </w:r>
      <w:r>
        <w:rPr>
          <w:rFonts w:hint="eastAsia" w:ascii="宋体" w:hAnsi="宋体" w:eastAsia="宋体" w:cs="宋体"/>
          <w:bCs/>
          <w:snapToGrid w:val="0"/>
          <w:color w:val="auto"/>
          <w:kern w:val="0"/>
          <w:sz w:val="24"/>
          <w:szCs w:val="24"/>
          <w:highlight w:val="none"/>
          <w:lang w:val="en-US" w:eastAsia="zh-CN"/>
        </w:rPr>
        <w:t xml:space="preserve"> 质量违约</w:t>
      </w:r>
    </w:p>
    <w:p w14:paraId="1242688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4.24.1</w:t>
      </w:r>
      <w:r>
        <w:rPr>
          <w:rFonts w:hint="eastAsia" w:ascii="宋体" w:hAnsi="宋体" w:eastAsia="宋体" w:cs="宋体"/>
          <w:bCs/>
          <w:snapToGrid w:val="0"/>
          <w:color w:val="auto"/>
          <w:kern w:val="0"/>
          <w:sz w:val="24"/>
          <w:szCs w:val="24"/>
          <w:highlight w:val="none"/>
          <w:lang w:val="en-US" w:eastAsia="zh-CN"/>
        </w:rPr>
        <w:t xml:space="preserve">材料违约处理：若发现材料不符合国家标准或发包人在技术规范中规定的标准， </w:t>
      </w:r>
    </w:p>
    <w:p w14:paraId="0ED3797B">
      <w:pPr>
        <w:adjustRightInd w:val="0"/>
        <w:snapToGrid w:val="0"/>
        <w:spacing w:line="440" w:lineRule="exact"/>
        <w:ind w:left="0" w:leftChars="0" w:firstLine="0" w:firstLineChars="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 xml:space="preserve">视为承包人违约，按现行《建设工程质量管理条例》处理。 </w:t>
      </w:r>
    </w:p>
    <w:p w14:paraId="25255EB5">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4.24.1.1</w:t>
      </w:r>
      <w:r>
        <w:rPr>
          <w:rFonts w:hint="eastAsia" w:ascii="宋体" w:hAnsi="宋体" w:eastAsia="宋体" w:cs="宋体"/>
          <w:bCs/>
          <w:snapToGrid w:val="0"/>
          <w:color w:val="auto"/>
          <w:kern w:val="0"/>
          <w:sz w:val="24"/>
          <w:szCs w:val="24"/>
          <w:highlight w:val="none"/>
          <w:lang w:val="en-US" w:eastAsia="zh-CN"/>
        </w:rPr>
        <w:t xml:space="preserve"> 成品采购项目在采购前，承包人必须先行书面征求监理人、发包人的同意并 </w:t>
      </w:r>
    </w:p>
    <w:p w14:paraId="42E52D8F">
      <w:pPr>
        <w:adjustRightInd w:val="0"/>
        <w:snapToGrid w:val="0"/>
        <w:spacing w:line="440" w:lineRule="exact"/>
        <w:ind w:left="0" w:leftChars="0" w:firstLine="0" w:firstLineChars="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 xml:space="preserve">一起看样定版后方能实施。未经监理人、发包人同意擅自先行采购和实施的，否则因不符 </w:t>
      </w:r>
    </w:p>
    <w:p w14:paraId="2F28E572">
      <w:pPr>
        <w:adjustRightInd w:val="0"/>
        <w:snapToGrid w:val="0"/>
        <w:spacing w:line="440" w:lineRule="exact"/>
        <w:ind w:left="0" w:leftChars="0" w:firstLine="0" w:firstLineChars="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合设计要求返工造成的费用由承包人承担。</w:t>
      </w:r>
    </w:p>
    <w:p w14:paraId="63226B74">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4.24.2</w:t>
      </w:r>
      <w:r>
        <w:rPr>
          <w:rFonts w:hint="eastAsia" w:ascii="宋体" w:hAnsi="宋体" w:eastAsia="宋体" w:cs="宋体"/>
          <w:b w:val="0"/>
          <w:bCs/>
          <w:snapToGrid w:val="0"/>
          <w:color w:val="auto"/>
          <w:kern w:val="0"/>
          <w:sz w:val="24"/>
          <w:szCs w:val="24"/>
          <w:highlight w:val="none"/>
          <w:lang w:val="en-US" w:eastAsia="zh-CN"/>
        </w:rPr>
        <w:t xml:space="preserve">工程质量违约： </w:t>
      </w:r>
    </w:p>
    <w:p w14:paraId="66F205BC">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4.24.2.1</w:t>
      </w:r>
      <w:r>
        <w:rPr>
          <w:rFonts w:hint="eastAsia" w:ascii="宋体" w:hAnsi="宋体" w:eastAsia="宋体" w:cs="宋体"/>
          <w:b w:val="0"/>
          <w:bCs/>
          <w:snapToGrid w:val="0"/>
          <w:color w:val="auto"/>
          <w:kern w:val="0"/>
          <w:sz w:val="24"/>
          <w:szCs w:val="24"/>
          <w:highlight w:val="none"/>
          <w:lang w:val="en-US" w:eastAsia="zh-CN"/>
        </w:rPr>
        <w:t xml:space="preserve"> 在施工过程中经监理单位日常巡查或抽检发现未达到合格标准，责令承包人进 </w:t>
      </w:r>
    </w:p>
    <w:p w14:paraId="7E5E1749">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行整改，如未按规定时间进行整改或整改不到位的，每次按 5000元缴纳违约金给发包人，在进度款或结算款中一并扣除。 </w:t>
      </w:r>
    </w:p>
    <w:p w14:paraId="14F3C3FF">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4.24.2.2</w:t>
      </w:r>
      <w:r>
        <w:rPr>
          <w:rFonts w:hint="eastAsia" w:ascii="宋体" w:hAnsi="宋体" w:eastAsia="宋体" w:cs="宋体"/>
          <w:b w:val="0"/>
          <w:bCs/>
          <w:snapToGrid w:val="0"/>
          <w:color w:val="auto"/>
          <w:kern w:val="0"/>
          <w:sz w:val="24"/>
          <w:szCs w:val="24"/>
          <w:highlight w:val="none"/>
          <w:lang w:val="en-US" w:eastAsia="zh-CN"/>
        </w:rPr>
        <w:t xml:space="preserve"> 工程质量标准须达到国家验收合格标准。如未达到合格标准，除无偿返工至合 </w:t>
      </w:r>
    </w:p>
    <w:p w14:paraId="69E40686">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格外，还要按合同价款的 1%向招标人支付质量违约金，工期不予顺延。 </w:t>
      </w:r>
    </w:p>
    <w:p w14:paraId="4C313533">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4.25</w:t>
      </w:r>
      <w:r>
        <w:rPr>
          <w:rFonts w:hint="eastAsia" w:ascii="宋体" w:hAnsi="宋体" w:eastAsia="宋体" w:cs="宋体"/>
          <w:b w:val="0"/>
          <w:bCs/>
          <w:snapToGrid w:val="0"/>
          <w:color w:val="auto"/>
          <w:kern w:val="0"/>
          <w:sz w:val="24"/>
          <w:szCs w:val="24"/>
          <w:highlight w:val="none"/>
          <w:lang w:val="en-US" w:eastAsia="zh-CN"/>
        </w:rPr>
        <w:t xml:space="preserve"> 重大责任事故违约 </w:t>
      </w:r>
    </w:p>
    <w:p w14:paraId="34BBCA07">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4.25.1</w:t>
      </w:r>
      <w:r>
        <w:rPr>
          <w:rFonts w:hint="eastAsia" w:ascii="宋体" w:hAnsi="宋体" w:eastAsia="宋体" w:cs="宋体"/>
          <w:b w:val="0"/>
          <w:bCs/>
          <w:snapToGrid w:val="0"/>
          <w:color w:val="auto"/>
          <w:kern w:val="0"/>
          <w:sz w:val="24"/>
          <w:szCs w:val="24"/>
          <w:highlight w:val="none"/>
          <w:lang w:val="en-US" w:eastAsia="zh-CN"/>
        </w:rPr>
        <w:t xml:space="preserve"> 承包人因违反国家安全质量法规及合同有关条款约定,出现火灾、坍塌、人员重 </w:t>
      </w:r>
    </w:p>
    <w:p w14:paraId="6CC212DE">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伤、死亡等重大责任事故,则承包人应承担全部损失,并按相关法规接受行政处罚；如造成发 </w:t>
      </w:r>
    </w:p>
    <w:p w14:paraId="02D16D14">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包人及对第三人利益的损害,该等损害赔偿责任均由承包人承担。 </w:t>
      </w:r>
    </w:p>
    <w:p w14:paraId="1554D55D">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4.26</w:t>
      </w:r>
      <w:r>
        <w:rPr>
          <w:rFonts w:hint="eastAsia" w:ascii="宋体" w:hAnsi="宋体" w:eastAsia="宋体" w:cs="宋体"/>
          <w:b w:val="0"/>
          <w:bCs/>
          <w:snapToGrid w:val="0"/>
          <w:color w:val="auto"/>
          <w:kern w:val="0"/>
          <w:sz w:val="24"/>
          <w:szCs w:val="24"/>
          <w:highlight w:val="none"/>
          <w:lang w:val="en-US" w:eastAsia="zh-CN"/>
        </w:rPr>
        <w:t xml:space="preserve"> 用工违约 </w:t>
      </w:r>
    </w:p>
    <w:p w14:paraId="3FBE233E">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4.26.1</w:t>
      </w:r>
      <w:r>
        <w:rPr>
          <w:rFonts w:hint="eastAsia" w:ascii="宋体" w:hAnsi="宋体" w:eastAsia="宋体" w:cs="宋体"/>
          <w:b w:val="0"/>
          <w:bCs/>
          <w:snapToGrid w:val="0"/>
          <w:color w:val="auto"/>
          <w:kern w:val="0"/>
          <w:sz w:val="24"/>
          <w:szCs w:val="24"/>
          <w:highlight w:val="none"/>
          <w:lang w:val="en-US" w:eastAsia="zh-CN"/>
        </w:rPr>
        <w:t xml:space="preserve"> 在合同履行期间，如经查实承包人拖欠或克扣农民工或劳务工工资，导致劳资纠纷或发生危及公共安全或正常社会秩序的事件的，按承包人违约处理，承包人应按拖欠或克 </w:t>
      </w:r>
    </w:p>
    <w:p w14:paraId="6458EA94">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扣农民工工资总金额 2 倍的标准向发包人缴纳惩罚性违约金。 </w:t>
      </w:r>
    </w:p>
    <w:p w14:paraId="17ADCC67">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4.27</w:t>
      </w:r>
      <w:r>
        <w:rPr>
          <w:rFonts w:hint="eastAsia" w:ascii="宋体" w:hAnsi="宋体" w:eastAsia="宋体" w:cs="宋体"/>
          <w:b w:val="0"/>
          <w:bCs/>
          <w:snapToGrid w:val="0"/>
          <w:color w:val="auto"/>
          <w:kern w:val="0"/>
          <w:sz w:val="24"/>
          <w:szCs w:val="24"/>
          <w:highlight w:val="none"/>
          <w:lang w:val="en-US" w:eastAsia="zh-CN"/>
        </w:rPr>
        <w:t xml:space="preserve"> 安全文明施工违约 </w:t>
      </w:r>
    </w:p>
    <w:p w14:paraId="08A3B467">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4.27.1</w:t>
      </w:r>
      <w:r>
        <w:rPr>
          <w:rFonts w:hint="eastAsia" w:ascii="宋体" w:hAnsi="宋体" w:eastAsia="宋体" w:cs="宋体"/>
          <w:b w:val="0"/>
          <w:bCs/>
          <w:snapToGrid w:val="0"/>
          <w:color w:val="auto"/>
          <w:kern w:val="0"/>
          <w:sz w:val="24"/>
          <w:szCs w:val="24"/>
          <w:highlight w:val="none"/>
          <w:lang w:val="en-US" w:eastAsia="zh-CN"/>
        </w:rPr>
        <w:t xml:space="preserve"> 如承包人违反国家、广东省、发包人及合同关于安全文明施工的规定，但尚未造 </w:t>
      </w:r>
    </w:p>
    <w:p w14:paraId="7E77E40D">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成安全责任事故，承包人应及时改正行为并赔偿相关方的损失，如未及时整改，针对每一违约 </w:t>
      </w:r>
    </w:p>
    <w:p w14:paraId="3DA27048">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行为每持续一天应缴纳违约金1000元。</w:t>
      </w:r>
    </w:p>
    <w:p w14:paraId="0F875A79">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27</w:t>
      </w:r>
      <w:r>
        <w:rPr>
          <w:rFonts w:hint="default" w:ascii="宋体" w:hAnsi="宋体" w:eastAsia="宋体" w:cs="宋体"/>
          <w:b/>
          <w:bCs w:val="0"/>
          <w:snapToGrid w:val="0"/>
          <w:color w:val="auto"/>
          <w:kern w:val="0"/>
          <w:sz w:val="24"/>
          <w:szCs w:val="24"/>
          <w:highlight w:val="none"/>
          <w:lang w:val="en-US" w:eastAsia="zh-CN"/>
        </w:rPr>
        <w:t>.2</w:t>
      </w:r>
      <w:r>
        <w:rPr>
          <w:rFonts w:hint="default" w:ascii="宋体" w:hAnsi="宋体" w:eastAsia="宋体" w:cs="宋体"/>
          <w:b w:val="0"/>
          <w:bCs/>
          <w:snapToGrid w:val="0"/>
          <w:color w:val="auto"/>
          <w:kern w:val="0"/>
          <w:sz w:val="24"/>
          <w:szCs w:val="24"/>
          <w:highlight w:val="none"/>
          <w:lang w:val="en-US" w:eastAsia="zh-CN"/>
        </w:rPr>
        <w:t xml:space="preserve"> 承包人必须接受发包人及监理单位组织的安全、文明施工的检查，检查中的不合 </w:t>
      </w:r>
    </w:p>
    <w:p w14:paraId="5D37AD04">
      <w:pPr>
        <w:adjustRightInd w:val="0"/>
        <w:snapToGrid w:val="0"/>
        <w:spacing w:line="440" w:lineRule="exact"/>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格项目、安全隐患必须在规定的时间内整改完成，否则每拖延一天处以2000元人民币违约金，直至整改合格。</w:t>
      </w:r>
    </w:p>
    <w:p w14:paraId="4EF3DFAB">
      <w:pPr>
        <w:adjustRightInd w:val="0"/>
        <w:snapToGrid w:val="0"/>
        <w:spacing w:line="440" w:lineRule="exact"/>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 xml:space="preserve"> </w:t>
      </w:r>
      <w:r>
        <w:rPr>
          <w:rFonts w:hint="eastAsia" w:ascii="宋体" w:hAnsi="宋体" w:eastAsia="宋体" w:cs="宋体"/>
          <w:b w:val="0"/>
          <w:bCs/>
          <w:snapToGrid w:val="0"/>
          <w:color w:val="auto"/>
          <w:kern w:val="0"/>
          <w:sz w:val="24"/>
          <w:szCs w:val="24"/>
          <w:highlight w:val="none"/>
          <w:lang w:val="en-US" w:eastAsia="zh-CN"/>
        </w:rPr>
        <w:t xml:space="preserve">   </w:t>
      </w: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27</w:t>
      </w:r>
      <w:r>
        <w:rPr>
          <w:rFonts w:hint="default" w:ascii="宋体" w:hAnsi="宋体" w:eastAsia="宋体" w:cs="宋体"/>
          <w:b/>
          <w:bCs w:val="0"/>
          <w:snapToGrid w:val="0"/>
          <w:color w:val="auto"/>
          <w:kern w:val="0"/>
          <w:sz w:val="24"/>
          <w:szCs w:val="24"/>
          <w:highlight w:val="none"/>
          <w:lang w:val="en-US" w:eastAsia="zh-CN"/>
        </w:rPr>
        <w:t>.</w:t>
      </w:r>
      <w:r>
        <w:rPr>
          <w:rFonts w:hint="eastAsia" w:ascii="宋体" w:hAnsi="宋体" w:eastAsia="宋体" w:cs="宋体"/>
          <w:b/>
          <w:bCs w:val="0"/>
          <w:snapToGrid w:val="0"/>
          <w:color w:val="auto"/>
          <w:kern w:val="0"/>
          <w:sz w:val="24"/>
          <w:szCs w:val="24"/>
          <w:highlight w:val="none"/>
          <w:lang w:val="en-US" w:eastAsia="zh-CN"/>
        </w:rPr>
        <w:t xml:space="preserve">3 </w:t>
      </w:r>
      <w:r>
        <w:rPr>
          <w:rFonts w:hint="eastAsia" w:ascii="宋体" w:hAnsi="宋体" w:eastAsia="宋体" w:cs="宋体"/>
          <w:b w:val="0"/>
          <w:bCs/>
          <w:snapToGrid w:val="0"/>
          <w:color w:val="auto"/>
          <w:kern w:val="0"/>
          <w:sz w:val="24"/>
          <w:szCs w:val="24"/>
          <w:highlight w:val="none"/>
          <w:lang w:val="en-US" w:eastAsia="zh-CN"/>
        </w:rPr>
        <w:t>承包人现场施工人员未按相关规定佩戴安全帽和反光衣进入施工区域的，经现场发包人（监理单位）管理人员确认后，承包人须按100元/人/次缴纳违约金。</w:t>
      </w:r>
    </w:p>
    <w:p w14:paraId="63CD755A">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val="0"/>
          <w:bCs/>
          <w:snapToGrid w:val="0"/>
          <w:color w:val="auto"/>
          <w:kern w:val="0"/>
          <w:sz w:val="24"/>
          <w:szCs w:val="24"/>
          <w:highlight w:val="none"/>
          <w:lang w:val="en-US" w:eastAsia="zh-CN"/>
        </w:rPr>
        <w:t xml:space="preserve"> 其他违约 </w:t>
      </w:r>
    </w:p>
    <w:p w14:paraId="6C6C1A33">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bCs w:val="0"/>
          <w:snapToGrid w:val="0"/>
          <w:color w:val="auto"/>
          <w:kern w:val="0"/>
          <w:sz w:val="24"/>
          <w:szCs w:val="24"/>
          <w:highlight w:val="none"/>
          <w:lang w:val="en-US" w:eastAsia="zh-CN"/>
        </w:rPr>
        <w:t>.1</w:t>
      </w:r>
      <w:r>
        <w:rPr>
          <w:rFonts w:hint="default" w:ascii="宋体" w:hAnsi="宋体" w:eastAsia="宋体" w:cs="宋体"/>
          <w:b w:val="0"/>
          <w:bCs/>
          <w:snapToGrid w:val="0"/>
          <w:color w:val="auto"/>
          <w:kern w:val="0"/>
          <w:sz w:val="24"/>
          <w:szCs w:val="24"/>
          <w:highlight w:val="none"/>
          <w:lang w:val="en-US" w:eastAsia="zh-CN"/>
        </w:rPr>
        <w:t xml:space="preserve"> 承包人安排在施工场地的主要管理人员（主要指项目经理、项目技术负责人和专 </w:t>
      </w:r>
    </w:p>
    <w:p w14:paraId="16EE1B0E">
      <w:pPr>
        <w:adjustRightInd w:val="0"/>
        <w:snapToGrid w:val="0"/>
        <w:spacing w:line="440" w:lineRule="exact"/>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职安全生产管理人员）应与承包人投标文件承诺的名单一致，并保持相对稳定。未经总监理工程师批准，上述人员不应无故不到位或被替换。若确实无法到位或需替换，需经总监理工程师审核并报发包人批准后，承包人可安排同等资历的人员替换；</w:t>
      </w:r>
      <w:r>
        <w:rPr>
          <w:rFonts w:hint="eastAsia" w:ascii="宋体" w:hAnsi="宋体" w:eastAsia="宋体" w:cs="宋体"/>
          <w:b w:val="0"/>
          <w:bCs/>
          <w:snapToGrid w:val="0"/>
          <w:color w:val="auto"/>
          <w:kern w:val="0"/>
          <w:sz w:val="24"/>
          <w:szCs w:val="24"/>
          <w:highlight w:val="none"/>
          <w:lang w:val="en-US" w:eastAsia="zh-CN"/>
        </w:rPr>
        <w:t>在日常检查及相关会议中主要管理人员不到岗，按 500元/人/次缴纳违约金给发包人。</w:t>
      </w:r>
    </w:p>
    <w:p w14:paraId="2646E737">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bCs w:val="0"/>
          <w:snapToGrid w:val="0"/>
          <w:color w:val="auto"/>
          <w:kern w:val="0"/>
          <w:sz w:val="24"/>
          <w:szCs w:val="24"/>
          <w:highlight w:val="none"/>
          <w:lang w:val="en-US" w:eastAsia="zh-CN"/>
        </w:rPr>
        <w:t>.2</w:t>
      </w:r>
      <w:r>
        <w:rPr>
          <w:rFonts w:hint="default" w:ascii="宋体" w:hAnsi="宋体" w:eastAsia="宋体" w:cs="宋体"/>
          <w:b w:val="0"/>
          <w:bCs/>
          <w:snapToGrid w:val="0"/>
          <w:color w:val="auto"/>
          <w:kern w:val="0"/>
          <w:sz w:val="24"/>
          <w:szCs w:val="24"/>
          <w:highlight w:val="none"/>
          <w:lang w:val="en-US" w:eastAsia="zh-CN"/>
        </w:rPr>
        <w:t xml:space="preserve"> 中标人施工资料必须与形象进度同步</w:t>
      </w:r>
      <w:r>
        <w:rPr>
          <w:rFonts w:hint="eastAsia" w:ascii="宋体" w:hAnsi="宋体" w:eastAsia="宋体" w:cs="宋体"/>
          <w:b w:val="0"/>
          <w:bCs/>
          <w:snapToGrid w:val="0"/>
          <w:color w:val="auto"/>
          <w:kern w:val="0"/>
          <w:sz w:val="24"/>
          <w:szCs w:val="24"/>
          <w:highlight w:val="none"/>
          <w:lang w:val="en-US" w:eastAsia="zh-CN"/>
        </w:rPr>
        <w:t>，如发包人在日常检查中发现不同步的现象的，视为违约并扣除违约金2000元/每次</w:t>
      </w:r>
      <w:r>
        <w:rPr>
          <w:rFonts w:hint="default" w:ascii="宋体" w:hAnsi="宋体" w:eastAsia="宋体" w:cs="宋体"/>
          <w:b w:val="0"/>
          <w:bCs/>
          <w:snapToGrid w:val="0"/>
          <w:color w:val="auto"/>
          <w:kern w:val="0"/>
          <w:sz w:val="24"/>
          <w:szCs w:val="24"/>
          <w:highlight w:val="none"/>
          <w:lang w:val="en-US" w:eastAsia="zh-CN"/>
        </w:rPr>
        <w:t xml:space="preserve">。 </w:t>
      </w:r>
    </w:p>
    <w:p w14:paraId="6316E14F">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bCs w:val="0"/>
          <w:snapToGrid w:val="0"/>
          <w:color w:val="auto"/>
          <w:kern w:val="0"/>
          <w:sz w:val="24"/>
          <w:szCs w:val="24"/>
          <w:highlight w:val="none"/>
          <w:lang w:val="en-US" w:eastAsia="zh-CN"/>
        </w:rPr>
        <w:t>.3</w:t>
      </w:r>
      <w:r>
        <w:rPr>
          <w:rFonts w:hint="default" w:ascii="宋体" w:hAnsi="宋体" w:eastAsia="宋体" w:cs="宋体"/>
          <w:b w:val="0"/>
          <w:bCs/>
          <w:snapToGrid w:val="0"/>
          <w:color w:val="auto"/>
          <w:kern w:val="0"/>
          <w:sz w:val="24"/>
          <w:szCs w:val="24"/>
          <w:highlight w:val="none"/>
          <w:lang w:val="en-US" w:eastAsia="zh-CN"/>
        </w:rPr>
        <w:t xml:space="preserve"> 承包人没有正当合理的理由中途退场，可扣除承包人已递交的所有履约风险保证 </w:t>
      </w:r>
    </w:p>
    <w:p w14:paraId="3AB81941">
      <w:pPr>
        <w:adjustRightInd w:val="0"/>
        <w:snapToGrid w:val="0"/>
        <w:spacing w:line="440" w:lineRule="exact"/>
        <w:rPr>
          <w:rFonts w:hint="default" w:ascii="宋体" w:hAnsi="宋体" w:eastAsia="宋体" w:cs="宋体"/>
          <w:bCs/>
          <w:snapToGrid w:val="0"/>
          <w:color w:val="auto"/>
          <w:kern w:val="0"/>
          <w:sz w:val="24"/>
          <w:szCs w:val="24"/>
          <w:highlight w:val="none"/>
          <w:lang w:val="en-US" w:eastAsia="zh-CN" w:bidi="ar-SA"/>
        </w:rPr>
      </w:pPr>
      <w:r>
        <w:rPr>
          <w:rFonts w:hint="default" w:ascii="宋体" w:hAnsi="宋体" w:eastAsia="宋体" w:cs="宋体"/>
          <w:b w:val="0"/>
          <w:bCs/>
          <w:snapToGrid w:val="0"/>
          <w:color w:val="auto"/>
          <w:kern w:val="0"/>
          <w:sz w:val="24"/>
          <w:szCs w:val="24"/>
          <w:highlight w:val="none"/>
          <w:lang w:val="en-US" w:eastAsia="zh-CN"/>
        </w:rPr>
        <w:t>金。承包人因上述违约行为而须缴纳的违约金在工程进度款中或结算时一并扣除。</w:t>
      </w:r>
    </w:p>
    <w:p w14:paraId="45319432">
      <w:pPr>
        <w:adjustRightInd w:val="0"/>
        <w:snapToGrid w:val="0"/>
        <w:spacing w:line="440" w:lineRule="exact"/>
        <w:ind w:firstLine="482" w:firstLineChars="200"/>
        <w:rPr>
          <w:rFonts w:hint="eastAsia" w:ascii="宋体" w:hAnsi="宋体" w:eastAsia="宋体" w:cs="宋体"/>
          <w:b/>
          <w:bCs w:val="0"/>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5.其他合同条款由招标人与中标人自行协商约定</w:t>
      </w:r>
    </w:p>
    <w:p w14:paraId="4B17F356">
      <w:pPr>
        <w:pStyle w:val="13"/>
        <w:rPr>
          <w:rFonts w:hint="eastAsia" w:ascii="宋体" w:hAnsi="宋体" w:eastAsia="宋体" w:cs="宋体"/>
          <w:color w:val="auto"/>
          <w:sz w:val="24"/>
          <w:szCs w:val="24"/>
          <w:highlight w:val="none"/>
          <w:lang w:eastAsia="zh-CN"/>
        </w:rPr>
      </w:pPr>
    </w:p>
    <w:p w14:paraId="00E29B87">
      <w:pPr>
        <w:pStyle w:val="13"/>
        <w:rPr>
          <w:rFonts w:hint="eastAsia" w:ascii="宋体" w:hAnsi="宋体" w:eastAsia="宋体" w:cs="宋体"/>
          <w:color w:val="auto"/>
          <w:sz w:val="24"/>
          <w:szCs w:val="24"/>
          <w:highlight w:val="none"/>
          <w:lang w:eastAsia="zh-CN"/>
        </w:rPr>
      </w:pPr>
    </w:p>
    <w:p w14:paraId="6EE2E99C">
      <w:pPr>
        <w:pStyle w:val="13"/>
        <w:rPr>
          <w:rFonts w:hint="eastAsia" w:ascii="宋体" w:hAnsi="宋体" w:eastAsia="宋体" w:cs="宋体"/>
          <w:color w:val="auto"/>
          <w:sz w:val="24"/>
          <w:szCs w:val="24"/>
          <w:highlight w:val="none"/>
          <w:lang w:eastAsia="zh-CN"/>
        </w:rPr>
      </w:pPr>
    </w:p>
    <w:p w14:paraId="4BDA0E56">
      <w:pPr>
        <w:pStyle w:val="13"/>
        <w:rPr>
          <w:rFonts w:hint="eastAsia" w:ascii="宋体" w:hAnsi="宋体" w:eastAsia="宋体" w:cs="宋体"/>
          <w:color w:val="auto"/>
          <w:sz w:val="24"/>
          <w:szCs w:val="24"/>
          <w:highlight w:val="none"/>
          <w:lang w:eastAsia="zh-CN"/>
        </w:rPr>
      </w:pPr>
    </w:p>
    <w:p w14:paraId="673329EB">
      <w:pPr>
        <w:pStyle w:val="13"/>
        <w:rPr>
          <w:rFonts w:hint="eastAsia" w:ascii="宋体" w:hAnsi="宋体" w:eastAsia="宋体" w:cs="宋体"/>
          <w:color w:val="auto"/>
          <w:sz w:val="24"/>
          <w:szCs w:val="24"/>
          <w:highlight w:val="none"/>
          <w:lang w:eastAsia="zh-CN"/>
        </w:rPr>
      </w:pPr>
    </w:p>
    <w:p w14:paraId="1E357784">
      <w:pPr>
        <w:pStyle w:val="13"/>
        <w:rPr>
          <w:rFonts w:hint="eastAsia" w:ascii="宋体" w:hAnsi="宋体" w:eastAsia="宋体" w:cs="宋体"/>
          <w:color w:val="auto"/>
          <w:sz w:val="24"/>
          <w:szCs w:val="24"/>
          <w:highlight w:val="none"/>
          <w:lang w:eastAsia="zh-CN"/>
        </w:rPr>
      </w:pPr>
    </w:p>
    <w:p w14:paraId="6E6F0A85">
      <w:pPr>
        <w:pStyle w:val="13"/>
        <w:rPr>
          <w:rFonts w:hint="eastAsia" w:ascii="宋体" w:hAnsi="宋体" w:eastAsia="宋体" w:cs="宋体"/>
          <w:color w:val="auto"/>
          <w:sz w:val="24"/>
          <w:szCs w:val="24"/>
          <w:highlight w:val="none"/>
          <w:lang w:eastAsia="zh-CN"/>
        </w:rPr>
      </w:pPr>
    </w:p>
    <w:p w14:paraId="0390B878">
      <w:pPr>
        <w:pStyle w:val="13"/>
        <w:rPr>
          <w:rFonts w:hint="eastAsia" w:ascii="宋体" w:hAnsi="宋体" w:eastAsia="宋体" w:cs="宋体"/>
          <w:color w:val="auto"/>
          <w:sz w:val="24"/>
          <w:szCs w:val="24"/>
          <w:highlight w:val="none"/>
          <w:lang w:eastAsia="zh-CN"/>
        </w:rPr>
      </w:pPr>
    </w:p>
    <w:p w14:paraId="34442139">
      <w:pPr>
        <w:pStyle w:val="13"/>
        <w:rPr>
          <w:rFonts w:hint="eastAsia" w:ascii="宋体" w:hAnsi="宋体" w:eastAsia="宋体" w:cs="宋体"/>
          <w:color w:val="auto"/>
          <w:sz w:val="24"/>
          <w:szCs w:val="24"/>
          <w:highlight w:val="none"/>
          <w:lang w:eastAsia="zh-CN"/>
        </w:rPr>
      </w:pPr>
    </w:p>
    <w:p w14:paraId="42CDD58A">
      <w:pPr>
        <w:spacing w:before="78" w:line="219" w:lineRule="auto"/>
        <w:outlineLvl w:val="9"/>
        <w:rPr>
          <w:rFonts w:hint="eastAsia" w:ascii="宋体" w:hAnsi="宋体" w:eastAsia="宋体" w:cs="宋体"/>
          <w:b/>
          <w:bCs/>
          <w:color w:val="auto"/>
          <w:spacing w:val="-3"/>
          <w:sz w:val="24"/>
          <w:szCs w:val="24"/>
          <w:highlight w:val="none"/>
        </w:rPr>
      </w:pPr>
      <w:bookmarkStart w:id="180" w:name="bookmark96"/>
      <w:bookmarkEnd w:id="180"/>
    </w:p>
    <w:p w14:paraId="2BDC7F7A">
      <w:pPr>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pacing w:val="-3"/>
          <w:sz w:val="24"/>
          <w:szCs w:val="24"/>
          <w:highlight w:val="none"/>
        </w:rPr>
        <w:br w:type="page"/>
      </w:r>
    </w:p>
    <w:p w14:paraId="2B87CA60">
      <w:pPr>
        <w:spacing w:before="78" w:line="219" w:lineRule="auto"/>
        <w:ind w:left="3273"/>
        <w:outlineLvl w:val="0"/>
        <w:rPr>
          <w:rFonts w:hint="eastAsia" w:ascii="宋体" w:hAnsi="宋体" w:eastAsia="宋体" w:cs="宋体"/>
          <w:color w:val="auto"/>
          <w:highlight w:val="none"/>
        </w:rPr>
      </w:pPr>
      <w:bookmarkStart w:id="181" w:name="_Toc30225"/>
      <w:r>
        <w:rPr>
          <w:rFonts w:hint="eastAsia" w:ascii="宋体" w:hAnsi="宋体" w:eastAsia="宋体" w:cs="宋体"/>
          <w:b/>
          <w:bCs/>
          <w:color w:val="auto"/>
          <w:spacing w:val="-3"/>
          <w:sz w:val="24"/>
          <w:szCs w:val="24"/>
          <w:highlight w:val="none"/>
        </w:rPr>
        <w:t>第四章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技术要求</w:t>
      </w:r>
      <w:bookmarkEnd w:id="181"/>
    </w:p>
    <w:p w14:paraId="379571EE">
      <w:pPr>
        <w:pStyle w:val="5"/>
        <w:spacing w:line="257" w:lineRule="auto"/>
        <w:rPr>
          <w:rFonts w:hint="eastAsia" w:ascii="宋体" w:hAnsi="宋体" w:eastAsia="宋体" w:cs="宋体"/>
          <w:color w:val="auto"/>
          <w:highlight w:val="none"/>
        </w:rPr>
      </w:pPr>
    </w:p>
    <w:p w14:paraId="5BE30722">
      <w:pPr>
        <w:spacing w:before="78" w:line="221" w:lineRule="auto"/>
        <w:ind w:left="125"/>
        <w:outlineLvl w:val="2"/>
        <w:rPr>
          <w:rFonts w:hint="eastAsia" w:ascii="宋体" w:hAnsi="宋体" w:eastAsia="宋体" w:cs="宋体"/>
          <w:color w:val="auto"/>
          <w:sz w:val="24"/>
          <w:szCs w:val="24"/>
          <w:highlight w:val="none"/>
        </w:rPr>
      </w:pPr>
      <w:bookmarkStart w:id="182" w:name="_Toc19340"/>
      <w:bookmarkStart w:id="183" w:name="_Toc10155"/>
      <w:r>
        <w:rPr>
          <w:rFonts w:hint="eastAsia" w:ascii="宋体" w:hAnsi="宋体" w:eastAsia="宋体" w:cs="宋体"/>
          <w:b/>
          <w:bCs/>
          <w:color w:val="auto"/>
          <w:spacing w:val="-6"/>
          <w:sz w:val="24"/>
          <w:szCs w:val="24"/>
          <w:highlight w:val="none"/>
        </w:rPr>
        <w:t>1</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6"/>
          <w:sz w:val="24"/>
          <w:szCs w:val="24"/>
          <w:highlight w:val="none"/>
        </w:rPr>
        <w:t>．</w:t>
      </w:r>
      <w:r>
        <w:rPr>
          <w:rFonts w:hint="eastAsia" w:ascii="宋体" w:hAnsi="宋体" w:eastAsia="宋体" w:cs="宋体"/>
          <w:b/>
          <w:bCs/>
          <w:color w:val="auto"/>
          <w:spacing w:val="-1"/>
          <w:sz w:val="24"/>
          <w:szCs w:val="24"/>
          <w:highlight w:val="none"/>
        </w:rPr>
        <w:t>房屋建筑工程建设项目</w:t>
      </w:r>
      <w:bookmarkEnd w:id="182"/>
      <w:bookmarkEnd w:id="183"/>
    </w:p>
    <w:p w14:paraId="3989A8B1">
      <w:pPr>
        <w:spacing w:before="152" w:line="220"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房屋建筑工程建设项目必须执行的现行技术规范，包括且不限于：</w:t>
      </w:r>
    </w:p>
    <w:p w14:paraId="75FB82B5">
      <w:pP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（1）《建筑工程施工质量验收统一标准》；</w:t>
      </w:r>
    </w:p>
    <w:p w14:paraId="0F8F10F4">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（2）《建筑地基基础工程施工质量验收规范》；</w:t>
      </w:r>
    </w:p>
    <w:p w14:paraId="12F6D15F">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（3）《砌体工程施工质量验收规范》；</w:t>
      </w:r>
    </w:p>
    <w:p w14:paraId="6755EFEB">
      <w:pP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（4）《混凝土结构工程施工质量验收规范》；</w:t>
      </w:r>
    </w:p>
    <w:p w14:paraId="3F9C2AD6">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（5）《屋面工程质量验收规范》；</w:t>
      </w:r>
    </w:p>
    <w:p w14:paraId="35E6FD8D">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（6）《地下防水工程质量验收规范》；</w:t>
      </w:r>
    </w:p>
    <w:p w14:paraId="152B7914">
      <w:pPr>
        <w:spacing w:before="156"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（7）《建筑地面工程施工质量验收规范》；</w:t>
      </w:r>
    </w:p>
    <w:p w14:paraId="63C9A67F">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（8）《建筑装饰装修工程施工质量验收规范》；</w:t>
      </w:r>
    </w:p>
    <w:p w14:paraId="2579DEFA">
      <w:pPr>
        <w:spacing w:before="153" w:line="219"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（9）《建筑给排水及采暖工程施工质量验收规范》；</w:t>
      </w:r>
    </w:p>
    <w:p w14:paraId="76EE1100">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（10）《建筑电气工程施工质量验收规范》；</w:t>
      </w:r>
    </w:p>
    <w:p w14:paraId="2680FFFD">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（11）《住建部绿色建筑评价标准》；</w:t>
      </w:r>
    </w:p>
    <w:p w14:paraId="6AD1C11B">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（12）《建筑节能与可再生能源利用通用规范》（GB55015-2021）；</w:t>
      </w:r>
    </w:p>
    <w:p w14:paraId="439755B9">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（13）《建筑环境通用规范》；</w:t>
      </w:r>
    </w:p>
    <w:p w14:paraId="2B333EA3">
      <w:pPr>
        <w:spacing w:before="153" w:line="219" w:lineRule="auto"/>
        <w:ind w:left="130"/>
        <w:rPr>
          <w:rFonts w:hint="eastAsia" w:ascii="宋体" w:hAnsi="宋体" w:eastAsia="宋体" w:cs="宋体"/>
          <w:color w:val="auto"/>
          <w:spacing w:val="-1"/>
          <w:sz w:val="24"/>
          <w:szCs w:val="24"/>
          <w:highlight w:val="none"/>
        </w:rPr>
      </w:pPr>
      <w:bookmarkStart w:id="184" w:name="_Toc16294"/>
      <w:bookmarkStart w:id="185" w:name="_Toc12084"/>
      <w:r>
        <w:rPr>
          <w:rFonts w:hint="eastAsia" w:ascii="宋体" w:hAnsi="宋体" w:eastAsia="宋体" w:cs="宋体"/>
          <w:color w:val="auto"/>
          <w:spacing w:val="-1"/>
          <w:sz w:val="24"/>
          <w:szCs w:val="24"/>
          <w:highlight w:val="none"/>
        </w:rPr>
        <w:t>（14）《建筑与市政工程无障碍通用规范》 GB 55019-2021；</w:t>
      </w:r>
      <w:bookmarkEnd w:id="184"/>
      <w:bookmarkEnd w:id="185"/>
    </w:p>
    <w:p w14:paraId="7B3C5264">
      <w:pPr>
        <w:spacing w:before="153" w:line="219" w:lineRule="auto"/>
        <w:ind w:left="130"/>
        <w:rPr>
          <w:rFonts w:hint="eastAsia" w:ascii="宋体" w:hAnsi="宋体" w:eastAsia="宋体" w:cs="宋体"/>
          <w:color w:val="auto"/>
          <w:spacing w:val="-1"/>
          <w:sz w:val="24"/>
          <w:szCs w:val="24"/>
          <w:highlight w:val="none"/>
        </w:rPr>
      </w:pPr>
      <w:bookmarkStart w:id="186" w:name="_Toc15158"/>
      <w:bookmarkStart w:id="187" w:name="_Toc1177"/>
      <w:r>
        <w:rPr>
          <w:rFonts w:hint="eastAsia" w:ascii="宋体" w:hAnsi="宋体" w:eastAsia="宋体" w:cs="宋体"/>
          <w:color w:val="auto"/>
          <w:spacing w:val="-1"/>
          <w:sz w:val="24"/>
          <w:szCs w:val="24"/>
          <w:highlight w:val="none"/>
        </w:rPr>
        <w:t>（15）《建筑防火通用规范》GB 55037-2022;</w:t>
      </w:r>
      <w:bookmarkEnd w:id="186"/>
      <w:bookmarkEnd w:id="187"/>
    </w:p>
    <w:p w14:paraId="61F141A9">
      <w:pPr>
        <w:spacing w:before="153" w:line="219" w:lineRule="auto"/>
        <w:ind w:left="130"/>
        <w:rPr>
          <w:rFonts w:hint="eastAsia" w:ascii="宋体" w:hAnsi="宋体" w:eastAsia="宋体" w:cs="宋体"/>
          <w:color w:val="auto"/>
          <w:spacing w:val="-1"/>
          <w:sz w:val="24"/>
          <w:szCs w:val="24"/>
          <w:highlight w:val="none"/>
        </w:rPr>
      </w:pPr>
      <w:bookmarkStart w:id="188" w:name="_Toc2461"/>
      <w:bookmarkStart w:id="189" w:name="_Toc24233"/>
      <w:r>
        <w:rPr>
          <w:rFonts w:hint="eastAsia" w:ascii="宋体" w:hAnsi="宋体" w:eastAsia="宋体" w:cs="宋体"/>
          <w:color w:val="auto"/>
          <w:spacing w:val="-1"/>
          <w:sz w:val="24"/>
          <w:szCs w:val="24"/>
          <w:highlight w:val="none"/>
        </w:rPr>
        <w:t>（16）《建筑与市政工程抗震通用规范》GB55002-2001;</w:t>
      </w:r>
      <w:bookmarkEnd w:id="188"/>
      <w:bookmarkEnd w:id="189"/>
    </w:p>
    <w:p w14:paraId="3BC258D5">
      <w:pPr>
        <w:spacing w:before="153" w:line="219" w:lineRule="auto"/>
        <w:ind w:left="130"/>
        <w:rPr>
          <w:rFonts w:hint="eastAsia" w:ascii="宋体" w:hAnsi="宋体" w:eastAsia="宋体" w:cs="宋体"/>
          <w:color w:val="auto"/>
          <w:spacing w:val="-1"/>
          <w:sz w:val="24"/>
          <w:szCs w:val="24"/>
          <w:highlight w:val="none"/>
        </w:rPr>
      </w:pPr>
      <w:bookmarkStart w:id="190" w:name="_Toc5777"/>
      <w:bookmarkStart w:id="191" w:name="_Toc8109"/>
      <w:r>
        <w:rPr>
          <w:rFonts w:hint="eastAsia" w:ascii="宋体" w:hAnsi="宋体" w:eastAsia="宋体" w:cs="宋体"/>
          <w:color w:val="auto"/>
          <w:spacing w:val="-1"/>
          <w:sz w:val="24"/>
          <w:szCs w:val="24"/>
          <w:highlight w:val="none"/>
        </w:rPr>
        <w:t>（17）《建筑与市政地基基础通用规范》GB55003-2001;</w:t>
      </w:r>
      <w:bookmarkEnd w:id="190"/>
      <w:bookmarkEnd w:id="191"/>
    </w:p>
    <w:p w14:paraId="7EABE99D">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（18）《广东省住房和城乡建设厅绿色施工导则》；</w:t>
      </w:r>
    </w:p>
    <w:p w14:paraId="22C6EA0E">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（19）《广东省建筑工程绿色施工评价标准》；</w:t>
      </w:r>
    </w:p>
    <w:p w14:paraId="2E498EA8">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（20）《广东省建筑节能与绿色建筑工程施工质量验收规范》</w:t>
      </w:r>
    </w:p>
    <w:p w14:paraId="08F26131">
      <w:pPr>
        <w:spacing w:before="153" w:line="219"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（21）其他现行国家、广东省关于房建工程的施工及验收规范、定额</w:t>
      </w:r>
      <w:r>
        <w:rPr>
          <w:rFonts w:hint="eastAsia" w:ascii="宋体" w:hAnsi="宋体" w:eastAsia="宋体" w:cs="宋体"/>
          <w:color w:val="auto"/>
          <w:spacing w:val="-6"/>
          <w:sz w:val="24"/>
          <w:szCs w:val="24"/>
          <w:highlight w:val="none"/>
        </w:rPr>
        <w:t>、规程、标准。</w:t>
      </w:r>
    </w:p>
    <w:p w14:paraId="7BB3D7FB">
      <w:pPr>
        <w:pStyle w:val="5"/>
        <w:spacing w:line="257" w:lineRule="auto"/>
        <w:rPr>
          <w:rFonts w:hint="eastAsia" w:ascii="宋体" w:hAnsi="宋体" w:eastAsia="宋体" w:cs="宋体"/>
          <w:color w:val="auto"/>
          <w:highlight w:val="none"/>
        </w:rPr>
      </w:pPr>
    </w:p>
    <w:p w14:paraId="5D97A8A7">
      <w:pPr>
        <w:spacing w:before="78" w:line="220" w:lineRule="auto"/>
        <w:ind w:left="115"/>
        <w:outlineLvl w:val="2"/>
        <w:rPr>
          <w:rFonts w:hint="eastAsia" w:ascii="宋体" w:hAnsi="宋体" w:eastAsia="宋体" w:cs="宋体"/>
          <w:color w:val="auto"/>
          <w:sz w:val="24"/>
          <w:szCs w:val="24"/>
          <w:highlight w:val="none"/>
        </w:rPr>
      </w:pPr>
      <w:bookmarkStart w:id="192" w:name="_Toc16340"/>
      <w:bookmarkStart w:id="193" w:name="_Toc15652"/>
      <w:r>
        <w:rPr>
          <w:rFonts w:hint="eastAsia" w:ascii="宋体" w:hAnsi="宋体" w:eastAsia="宋体" w:cs="宋体"/>
          <w:b/>
          <w:bCs/>
          <w:color w:val="auto"/>
          <w:spacing w:val="-5"/>
          <w:sz w:val="24"/>
          <w:szCs w:val="24"/>
          <w:highlight w:val="none"/>
        </w:rPr>
        <w:t>2</w:t>
      </w:r>
      <w:r>
        <w:rPr>
          <w:rFonts w:hint="eastAsia" w:ascii="宋体" w:hAnsi="宋体" w:eastAsia="宋体" w:cs="宋体"/>
          <w:b/>
          <w:bCs/>
          <w:color w:val="auto"/>
          <w:spacing w:val="-18"/>
          <w:sz w:val="24"/>
          <w:szCs w:val="24"/>
          <w:highlight w:val="none"/>
        </w:rPr>
        <w:t xml:space="preserve"> </w:t>
      </w:r>
      <w:r>
        <w:rPr>
          <w:rFonts w:hint="eastAsia" w:ascii="宋体" w:hAnsi="宋体" w:eastAsia="宋体" w:cs="宋体"/>
          <w:b/>
          <w:bCs/>
          <w:color w:val="auto"/>
          <w:spacing w:val="-5"/>
          <w:sz w:val="24"/>
          <w:szCs w:val="24"/>
          <w:highlight w:val="none"/>
        </w:rPr>
        <w:t>．市政基础设施工程建设项目</w:t>
      </w:r>
      <w:bookmarkEnd w:id="192"/>
      <w:bookmarkEnd w:id="193"/>
    </w:p>
    <w:p w14:paraId="3D883B18">
      <w:pPr>
        <w:spacing w:before="154" w:line="220" w:lineRule="auto"/>
        <w:ind w:left="12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市政基础设施工程建设项目必须执行的现行技术规范，包括且不限于：</w:t>
      </w:r>
    </w:p>
    <w:p w14:paraId="6C693652">
      <w:pP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（1）《公路路基施工技术规范》；</w:t>
      </w:r>
    </w:p>
    <w:p w14:paraId="6D80DEC4">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（2）《市政道路工程质量检验评定标准》；</w:t>
      </w:r>
    </w:p>
    <w:p w14:paraId="0237C6F7">
      <w:pPr>
        <w:spacing w:before="154"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（3）《市政排水管渠工程质量检验评定标准》；</w:t>
      </w:r>
    </w:p>
    <w:p w14:paraId="5A0A8A2B">
      <w:pPr>
        <w:keepNext w:val="0"/>
        <w:keepLines w:val="0"/>
        <w:pageBreakBefore w:val="0"/>
        <w:widowControl w:val="0"/>
        <w:kinsoku w:val="0"/>
        <w:wordWrap/>
        <w:overflowPunct/>
        <w:topLinePunct w:val="0"/>
        <w:autoSpaceDE w:val="0"/>
        <w:autoSpaceDN w:val="0"/>
        <w:bidi w:val="0"/>
        <w:adjustRightInd w:val="0"/>
        <w:snapToGrid w:val="0"/>
        <w:spacing w:before="155" w:line="220" w:lineRule="auto"/>
        <w:ind w:left="130"/>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（4）《给水排水管道工程施工及验收规范》；</w:t>
      </w:r>
    </w:p>
    <w:p w14:paraId="3F18BF51">
      <w:pPr>
        <w:keepNext w:val="0"/>
        <w:keepLines w:val="0"/>
        <w:pageBreakBefore w:val="0"/>
        <w:widowControl w:val="0"/>
        <w:kinsoku w:val="0"/>
        <w:wordWrap/>
        <w:overflowPunct/>
        <w:topLinePunct w:val="0"/>
        <w:autoSpaceDE w:val="0"/>
        <w:autoSpaceDN w:val="0"/>
        <w:bidi w:val="0"/>
        <w:adjustRightInd w:val="0"/>
        <w:snapToGrid w:val="0"/>
        <w:spacing w:before="78"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（5）《城市道路路基工程施工及验收规范》；</w:t>
      </w:r>
    </w:p>
    <w:p w14:paraId="4DD7CD7E">
      <w:pPr>
        <w:keepNext w:val="0"/>
        <w:keepLines w:val="0"/>
        <w:pageBreakBefore w:val="0"/>
        <w:widowControl w:val="0"/>
        <w:kinsoku w:val="0"/>
        <w:wordWrap/>
        <w:overflowPunct/>
        <w:topLinePunct w:val="0"/>
        <w:autoSpaceDE w:val="0"/>
        <w:autoSpaceDN w:val="0"/>
        <w:bidi w:val="0"/>
        <w:adjustRightInd w:val="0"/>
        <w:snapToGrid w:val="0"/>
        <w:spacing w:before="155"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（6）《水泥砼路面施工及验收规范》；</w:t>
      </w:r>
    </w:p>
    <w:p w14:paraId="2A6E8F89">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（7）《公路水泥砼路面施工技术规范》；</w:t>
      </w:r>
    </w:p>
    <w:p w14:paraId="71A4541D">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（8）《埋地硬聚氯乙烯排水管道工程技术规程》；</w:t>
      </w:r>
    </w:p>
    <w:p w14:paraId="11417329">
      <w:pPr>
        <w:keepNext w:val="0"/>
        <w:keepLines w:val="0"/>
        <w:pageBreakBefore w:val="0"/>
        <w:widowControl w:val="0"/>
        <w:kinsoku w:val="0"/>
        <w:wordWrap/>
        <w:overflowPunct/>
        <w:topLinePunct w:val="0"/>
        <w:autoSpaceDE w:val="0"/>
        <w:autoSpaceDN w:val="0"/>
        <w:bidi w:val="0"/>
        <w:adjustRightInd w:val="0"/>
        <w:snapToGrid w:val="0"/>
        <w:spacing w:before="122" w:line="219"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（9）《沥青路面施工及验收规范》；</w:t>
      </w:r>
    </w:p>
    <w:p w14:paraId="4D5A8059">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（10）《广东省市政工程施工质量技术资料统一用表》。</w:t>
      </w:r>
    </w:p>
    <w:p w14:paraId="387D73AC">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4" w:name="_Toc30781"/>
      <w:bookmarkStart w:id="195" w:name="_Toc8494"/>
      <w:r>
        <w:rPr>
          <w:rFonts w:hint="eastAsia" w:ascii="宋体" w:hAnsi="宋体" w:eastAsia="宋体" w:cs="宋体"/>
          <w:color w:val="auto"/>
          <w:spacing w:val="-2"/>
          <w:sz w:val="24"/>
          <w:szCs w:val="24"/>
          <w:highlight w:val="none"/>
        </w:rPr>
        <w:t>（11）《建筑与市政工程无障碍通用规范》 GB 55019-2021；</w:t>
      </w:r>
      <w:bookmarkEnd w:id="194"/>
      <w:bookmarkEnd w:id="195"/>
    </w:p>
    <w:p w14:paraId="0DCC9771">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6" w:name="_Toc31143"/>
      <w:bookmarkStart w:id="197" w:name="_Toc17383"/>
      <w:r>
        <w:rPr>
          <w:rFonts w:hint="eastAsia" w:ascii="宋体" w:hAnsi="宋体" w:eastAsia="宋体" w:cs="宋体"/>
          <w:color w:val="auto"/>
          <w:spacing w:val="-2"/>
          <w:sz w:val="24"/>
          <w:szCs w:val="24"/>
          <w:highlight w:val="none"/>
        </w:rPr>
        <w:t>（12）《建筑防火通用规范》GB 55037-2022;</w:t>
      </w:r>
      <w:bookmarkEnd w:id="196"/>
      <w:bookmarkEnd w:id="197"/>
    </w:p>
    <w:p w14:paraId="1007A637">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8" w:name="_Toc32476"/>
      <w:bookmarkStart w:id="199" w:name="_Toc954"/>
      <w:r>
        <w:rPr>
          <w:rFonts w:hint="eastAsia" w:ascii="宋体" w:hAnsi="宋体" w:eastAsia="宋体" w:cs="宋体"/>
          <w:color w:val="auto"/>
          <w:spacing w:val="-2"/>
          <w:sz w:val="24"/>
          <w:szCs w:val="24"/>
          <w:highlight w:val="none"/>
        </w:rPr>
        <w:t>（13）《建筑与市政工程抗震通用规范》GB55002-2001;</w:t>
      </w:r>
      <w:bookmarkEnd w:id="198"/>
      <w:bookmarkEnd w:id="199"/>
    </w:p>
    <w:p w14:paraId="605E1A85">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0" w:name="_Toc7185"/>
      <w:bookmarkStart w:id="201" w:name="_Toc27898"/>
      <w:r>
        <w:rPr>
          <w:rFonts w:hint="eastAsia" w:ascii="宋体" w:hAnsi="宋体" w:eastAsia="宋体" w:cs="宋体"/>
          <w:color w:val="auto"/>
          <w:spacing w:val="-2"/>
          <w:sz w:val="24"/>
          <w:szCs w:val="24"/>
          <w:highlight w:val="none"/>
        </w:rPr>
        <w:t>（14）《建筑与市政地基基础通用规范》GB55003-2001;</w:t>
      </w:r>
      <w:bookmarkEnd w:id="200"/>
      <w:bookmarkEnd w:id="201"/>
    </w:p>
    <w:p w14:paraId="6DD04A48">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2" w:name="_Toc29669"/>
      <w:bookmarkStart w:id="203" w:name="_Toc17281"/>
      <w:r>
        <w:rPr>
          <w:rFonts w:hint="eastAsia" w:ascii="宋体" w:hAnsi="宋体" w:eastAsia="宋体" w:cs="宋体"/>
          <w:color w:val="auto"/>
          <w:spacing w:val="-2"/>
          <w:sz w:val="24"/>
          <w:szCs w:val="24"/>
          <w:highlight w:val="none"/>
        </w:rPr>
        <w:t>（15）《城市道路照明设计标准》（CJJ45-2015）；</w:t>
      </w:r>
      <w:bookmarkEnd w:id="202"/>
      <w:bookmarkEnd w:id="203"/>
    </w:p>
    <w:p w14:paraId="6E232C70">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4" w:name="_Toc9161"/>
      <w:bookmarkStart w:id="205" w:name="_Toc31812"/>
      <w:r>
        <w:rPr>
          <w:rFonts w:hint="eastAsia" w:ascii="宋体" w:hAnsi="宋体" w:eastAsia="宋体" w:cs="宋体"/>
          <w:color w:val="auto"/>
          <w:spacing w:val="-2"/>
          <w:sz w:val="24"/>
          <w:szCs w:val="24"/>
          <w:highlight w:val="none"/>
        </w:rPr>
        <w:t>（16）《低压配电设计规范》（GB50054-2011）；</w:t>
      </w:r>
      <w:bookmarkEnd w:id="204"/>
      <w:bookmarkEnd w:id="205"/>
    </w:p>
    <w:p w14:paraId="4BA22D25">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6" w:name="_Toc18255"/>
      <w:bookmarkStart w:id="207" w:name="_Toc6405"/>
      <w:r>
        <w:rPr>
          <w:rFonts w:hint="eastAsia" w:ascii="宋体" w:hAnsi="宋体" w:eastAsia="宋体" w:cs="宋体"/>
          <w:color w:val="auto"/>
          <w:spacing w:val="-2"/>
          <w:sz w:val="24"/>
          <w:szCs w:val="24"/>
          <w:highlight w:val="none"/>
        </w:rPr>
        <w:t>（17）《城市道路照明工程施工及验收规程》（CJJ89-2012）；</w:t>
      </w:r>
      <w:bookmarkEnd w:id="206"/>
      <w:bookmarkEnd w:id="207"/>
    </w:p>
    <w:p w14:paraId="2778203A">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（18）《LED 道路照明工程技术规范》（DB44/T 1898-2016）；</w:t>
      </w:r>
    </w:p>
    <w:p w14:paraId="05CEC0C5">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（19）《灯具第 1 部分：一般要求与试验》（GB7000.1-2015）；</w:t>
      </w:r>
    </w:p>
    <w:p w14:paraId="020E2463">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（20）《电缆工程电缆设计标准》（GB50217-2018）；</w:t>
      </w:r>
    </w:p>
    <w:p w14:paraId="5EA03498">
      <w:pPr>
        <w:keepNext w:val="0"/>
        <w:keepLines w:val="0"/>
        <w:pageBreakBefore w:val="0"/>
        <w:widowControl w:val="0"/>
        <w:kinsoku w:val="0"/>
        <w:wordWrap/>
        <w:overflowPunct/>
        <w:topLinePunct w:val="0"/>
        <w:autoSpaceDE w:val="0"/>
        <w:autoSpaceDN w:val="0"/>
        <w:bidi w:val="0"/>
        <w:adjustRightInd w:val="0"/>
        <w:snapToGrid w:val="0"/>
        <w:spacing w:before="146" w:line="220" w:lineRule="auto"/>
        <w:ind w:left="216" w:leftChars="103" w:firstLine="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（21）其他现行国家、广东省关于市政工程的技术及验收规范、定额、规程、标准。</w:t>
      </w:r>
    </w:p>
    <w:p w14:paraId="4FB1DDF1">
      <w:pPr>
        <w:pStyle w:val="5"/>
        <w:keepNext w:val="0"/>
        <w:keepLines w:val="0"/>
        <w:pageBreakBefore w:val="0"/>
        <w:widowControl w:val="0"/>
        <w:kinsoku w:val="0"/>
        <w:wordWrap/>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highlight w:val="none"/>
        </w:rPr>
      </w:pPr>
    </w:p>
    <w:p w14:paraId="4A164D7E">
      <w:pPr>
        <w:pStyle w:val="5"/>
        <w:keepNext w:val="0"/>
        <w:keepLines w:val="0"/>
        <w:pageBreakBefore w:val="0"/>
        <w:widowControl w:val="0"/>
        <w:kinsoku w:val="0"/>
        <w:wordWrap/>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highlight w:val="none"/>
        </w:rPr>
      </w:pPr>
    </w:p>
    <w:p w14:paraId="4AD096E9">
      <w:pPr>
        <w:keepNext w:val="0"/>
        <w:keepLines w:val="0"/>
        <w:pageBreakBefore w:val="0"/>
        <w:widowControl w:val="0"/>
        <w:kinsoku w:val="0"/>
        <w:wordWrap/>
        <w:overflowPunct/>
        <w:topLinePunct w:val="0"/>
        <w:autoSpaceDE w:val="0"/>
        <w:autoSpaceDN w:val="0"/>
        <w:bidi w:val="0"/>
        <w:adjustRightInd w:val="0"/>
        <w:snapToGrid w:val="0"/>
        <w:spacing w:before="78" w:line="222" w:lineRule="auto"/>
        <w:ind w:left="556"/>
        <w:textAlignment w:val="baseline"/>
        <w:outlineLvl w:val="2"/>
        <w:rPr>
          <w:rFonts w:hint="eastAsia" w:ascii="宋体" w:hAnsi="宋体" w:eastAsia="宋体" w:cs="宋体"/>
          <w:color w:val="auto"/>
          <w:sz w:val="24"/>
          <w:szCs w:val="24"/>
          <w:highlight w:val="none"/>
        </w:rPr>
      </w:pPr>
      <w:bookmarkStart w:id="208" w:name="_Toc9200"/>
      <w:bookmarkStart w:id="209" w:name="_Toc31813"/>
      <w:r>
        <w:rPr>
          <w:rFonts w:hint="eastAsia" w:ascii="宋体" w:hAnsi="宋体" w:eastAsia="宋体" w:cs="宋体"/>
          <w:b/>
          <w:bCs/>
          <w:color w:val="auto"/>
          <w:spacing w:val="-8"/>
          <w:sz w:val="24"/>
          <w:szCs w:val="24"/>
          <w:highlight w:val="none"/>
        </w:rPr>
        <w:t>3</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8"/>
          <w:sz w:val="24"/>
          <w:szCs w:val="24"/>
          <w:highlight w:val="none"/>
        </w:rPr>
        <w:t>．备查要求</w:t>
      </w:r>
      <w:bookmarkEnd w:id="208"/>
      <w:bookmarkEnd w:id="209"/>
    </w:p>
    <w:p w14:paraId="54FC245A">
      <w:pPr>
        <w:keepNext w:val="0"/>
        <w:keepLines w:val="0"/>
        <w:pageBreakBefore w:val="0"/>
        <w:widowControl w:val="0"/>
        <w:kinsoku w:val="0"/>
        <w:wordWrap/>
        <w:overflowPunct/>
        <w:topLinePunct w:val="0"/>
        <w:autoSpaceDE w:val="0"/>
        <w:autoSpaceDN w:val="0"/>
        <w:bidi w:val="0"/>
        <w:adjustRightInd w:val="0"/>
        <w:snapToGrid w:val="0"/>
        <w:spacing w:before="155" w:line="324" w:lineRule="auto"/>
        <w:ind w:right="81" w:firstLine="561"/>
        <w:jc w:val="both"/>
        <w:textAlignment w:val="baseline"/>
        <w:rPr>
          <w:rFonts w:hint="eastAsia"/>
          <w:color w:val="auto"/>
          <w:highlight w:val="none"/>
        </w:rPr>
        <w:sectPr>
          <w:footerReference r:id="rId11"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r>
        <w:rPr>
          <w:rFonts w:hint="eastAsia" w:ascii="宋体" w:hAnsi="宋体" w:eastAsia="宋体" w:cs="宋体"/>
          <w:color w:val="auto"/>
          <w:spacing w:val="3"/>
          <w:sz w:val="24"/>
          <w:szCs w:val="24"/>
          <w:highlight w:val="none"/>
        </w:rPr>
        <w:t>承包人必须在施工现场准备至少一套上述规范，发包人和监理单位可</w:t>
      </w:r>
      <w:r>
        <w:rPr>
          <w:rFonts w:hint="eastAsia" w:ascii="宋体" w:hAnsi="宋体" w:eastAsia="宋体" w:cs="宋体"/>
          <w:color w:val="auto"/>
          <w:spacing w:val="2"/>
          <w:sz w:val="24"/>
          <w:szCs w:val="24"/>
          <w:highlight w:val="none"/>
        </w:rPr>
        <w:t>随时检查承</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包人的上述规范，并监督承包人按规范要求执行。</w:t>
      </w:r>
    </w:p>
    <w:p w14:paraId="41B0234B">
      <w:pPr>
        <w:spacing w:before="78" w:line="219" w:lineRule="auto"/>
        <w:jc w:val="center"/>
        <w:outlineLvl w:val="0"/>
        <w:rPr>
          <w:rFonts w:hint="eastAsia" w:ascii="宋体" w:hAnsi="宋体" w:eastAsia="宋体" w:cs="宋体"/>
          <w:color w:val="auto"/>
          <w:sz w:val="24"/>
          <w:szCs w:val="24"/>
          <w:highlight w:val="none"/>
        </w:rPr>
      </w:pPr>
      <w:bookmarkStart w:id="210" w:name="bookmark146"/>
      <w:bookmarkEnd w:id="210"/>
      <w:bookmarkStart w:id="211" w:name="bookmark100"/>
      <w:bookmarkEnd w:id="211"/>
      <w:bookmarkStart w:id="212" w:name="_Toc21699"/>
      <w:r>
        <w:rPr>
          <w:rFonts w:hint="eastAsia" w:ascii="宋体" w:hAnsi="宋体" w:eastAsia="宋体" w:cs="宋体"/>
          <w:b/>
          <w:bCs/>
          <w:color w:val="auto"/>
          <w:spacing w:val="-5"/>
          <w:sz w:val="24"/>
          <w:szCs w:val="24"/>
          <w:highlight w:val="none"/>
        </w:rPr>
        <w:t>第五章</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5"/>
          <w:sz w:val="24"/>
          <w:szCs w:val="24"/>
          <w:highlight w:val="none"/>
        </w:rPr>
        <w:t>图纸和招标工程量清单</w:t>
      </w:r>
      <w:bookmarkEnd w:id="212"/>
    </w:p>
    <w:p w14:paraId="7C6C80E2">
      <w:pPr>
        <w:pStyle w:val="5"/>
        <w:spacing w:line="283" w:lineRule="auto"/>
        <w:rPr>
          <w:rFonts w:hint="eastAsia" w:ascii="宋体" w:hAnsi="宋体" w:eastAsia="宋体" w:cs="宋体"/>
          <w:color w:val="auto"/>
          <w:highlight w:val="none"/>
        </w:rPr>
      </w:pPr>
    </w:p>
    <w:p w14:paraId="58148A80">
      <w:pPr>
        <w:pStyle w:val="5"/>
        <w:spacing w:line="284" w:lineRule="auto"/>
        <w:rPr>
          <w:rFonts w:hint="eastAsia" w:ascii="宋体" w:hAnsi="宋体" w:eastAsia="宋体" w:cs="宋体"/>
          <w:color w:val="auto"/>
          <w:highlight w:val="none"/>
        </w:rPr>
      </w:pPr>
    </w:p>
    <w:p w14:paraId="116B6A3B">
      <w:pPr>
        <w:spacing w:before="78" w:line="219" w:lineRule="auto"/>
        <w:ind w:left="106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 xml:space="preserve">□有，另附复印件         </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6"/>
          <w:sz w:val="24"/>
          <w:szCs w:val="24"/>
          <w:highlight w:val="none"/>
        </w:rPr>
        <w:t>有，自行网上下载(浏览)           □无</w:t>
      </w:r>
    </w:p>
    <w:p w14:paraId="48F75832">
      <w:pPr>
        <w:pStyle w:val="5"/>
        <w:spacing w:line="265" w:lineRule="auto"/>
        <w:rPr>
          <w:rFonts w:hint="eastAsia" w:ascii="宋体" w:hAnsi="宋体" w:eastAsia="宋体" w:cs="宋体"/>
          <w:color w:val="auto"/>
          <w:highlight w:val="none"/>
        </w:rPr>
      </w:pPr>
    </w:p>
    <w:p w14:paraId="45CC48D5">
      <w:pPr>
        <w:spacing w:before="151" w:line="222" w:lineRule="auto"/>
        <w:ind w:left="715"/>
        <w:outlineLvl w:val="2"/>
        <w:rPr>
          <w:rFonts w:hint="eastAsia" w:ascii="宋体" w:hAnsi="宋体" w:eastAsia="宋体" w:cs="宋体"/>
          <w:color w:val="auto"/>
          <w:sz w:val="24"/>
          <w:szCs w:val="24"/>
          <w:highlight w:val="none"/>
        </w:rPr>
      </w:pPr>
      <w:bookmarkStart w:id="213" w:name="_Toc21706"/>
      <w:bookmarkStart w:id="214" w:name="_Toc24446"/>
      <w:r>
        <w:rPr>
          <w:rFonts w:hint="eastAsia" w:ascii="宋体" w:hAnsi="宋体" w:eastAsia="宋体" w:cs="宋体"/>
          <w:b/>
          <w:bCs/>
          <w:color w:val="auto"/>
          <w:spacing w:val="-14"/>
          <w:sz w:val="24"/>
          <w:szCs w:val="24"/>
          <w:highlight w:val="none"/>
        </w:rPr>
        <w:t>1</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b/>
          <w:bCs/>
          <w:color w:val="auto"/>
          <w:spacing w:val="-14"/>
          <w:sz w:val="24"/>
          <w:szCs w:val="24"/>
          <w:highlight w:val="none"/>
        </w:rPr>
        <w:t>．图纸</w:t>
      </w:r>
      <w:bookmarkEnd w:id="213"/>
      <w:bookmarkEnd w:id="214"/>
    </w:p>
    <w:p w14:paraId="022ED3AB">
      <w:pPr>
        <w:spacing w:before="150" w:line="330" w:lineRule="auto"/>
        <w:ind w:left="230" w:firstLine="480"/>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本招标文件随文另附施工图（电子文件）一套。</w:t>
      </w:r>
    </w:p>
    <w:p w14:paraId="19E440D0">
      <w:pPr>
        <w:pStyle w:val="5"/>
        <w:spacing w:line="253" w:lineRule="auto"/>
        <w:rPr>
          <w:rFonts w:hint="eastAsia" w:ascii="宋体" w:hAnsi="宋体" w:eastAsia="宋体" w:cs="宋体"/>
          <w:color w:val="auto"/>
          <w:highlight w:val="none"/>
        </w:rPr>
      </w:pPr>
    </w:p>
    <w:p w14:paraId="05E465DE">
      <w:pPr>
        <w:spacing w:before="79" w:line="221" w:lineRule="auto"/>
        <w:ind w:left="705"/>
        <w:outlineLvl w:val="2"/>
        <w:rPr>
          <w:rFonts w:hint="eastAsia" w:ascii="宋体" w:hAnsi="宋体" w:eastAsia="宋体" w:cs="宋体"/>
          <w:color w:val="auto"/>
          <w:sz w:val="24"/>
          <w:szCs w:val="24"/>
          <w:highlight w:val="none"/>
        </w:rPr>
      </w:pPr>
      <w:bookmarkStart w:id="215" w:name="_Toc24419"/>
      <w:bookmarkStart w:id="216" w:name="_Toc9064"/>
      <w:r>
        <w:rPr>
          <w:rFonts w:hint="eastAsia" w:ascii="宋体" w:hAnsi="宋体" w:eastAsia="宋体" w:cs="宋体"/>
          <w:b/>
          <w:bCs/>
          <w:color w:val="auto"/>
          <w:spacing w:val="-6"/>
          <w:sz w:val="24"/>
          <w:szCs w:val="24"/>
          <w:highlight w:val="none"/>
        </w:rPr>
        <w:t>2</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6"/>
          <w:sz w:val="24"/>
          <w:szCs w:val="24"/>
          <w:highlight w:val="none"/>
        </w:rPr>
        <w:t>．招标工程量清单</w:t>
      </w:r>
      <w:bookmarkEnd w:id="215"/>
      <w:bookmarkEnd w:id="216"/>
    </w:p>
    <w:p w14:paraId="3D4BF4B7">
      <w:pPr>
        <w:spacing w:before="117" w:line="312" w:lineRule="auto"/>
        <w:ind w:left="23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2.1  </w:t>
      </w:r>
      <w:r>
        <w:rPr>
          <w:rFonts w:hint="eastAsia" w:ascii="宋体" w:hAnsi="宋体" w:eastAsia="宋体" w:cs="宋体"/>
          <w:color w:val="auto"/>
          <w:spacing w:val="-3"/>
          <w:sz w:val="24"/>
          <w:szCs w:val="24"/>
          <w:highlight w:val="none"/>
        </w:rPr>
        <w:t>本招标文件随文另附</w:t>
      </w:r>
      <w:bookmarkStart w:id="217" w:name="OLE_LINK33"/>
      <w:r>
        <w:rPr>
          <w:rFonts w:hint="eastAsia" w:ascii="宋体" w:hAnsi="宋体" w:eastAsia="宋体" w:cs="宋体"/>
          <w:color w:val="auto"/>
          <w:spacing w:val="-3"/>
          <w:sz w:val="24"/>
          <w:szCs w:val="24"/>
          <w:highlight w:val="none"/>
          <w:u w:val="single"/>
        </w:rPr>
        <w:t>招标工程量清单EXCEL版</w:t>
      </w:r>
      <w:r>
        <w:rPr>
          <w:rFonts w:hint="eastAsia" w:ascii="宋体" w:hAnsi="宋体" w:eastAsia="宋体" w:cs="宋体"/>
          <w:color w:val="auto"/>
          <w:spacing w:val="-3"/>
          <w:sz w:val="24"/>
          <w:szCs w:val="24"/>
          <w:highlight w:val="none"/>
          <w:u w:val="single"/>
          <w:lang w:val="en-US" w:eastAsia="zh-CN"/>
        </w:rPr>
        <w:t>和</w:t>
      </w:r>
      <w:bookmarkEnd w:id="217"/>
      <w:r>
        <w:rPr>
          <w:rFonts w:hint="eastAsia" w:ascii="宋体" w:hAnsi="宋体" w:eastAsia="宋体" w:cs="宋体"/>
          <w:color w:val="auto"/>
          <w:spacing w:val="-3"/>
          <w:sz w:val="24"/>
          <w:szCs w:val="24"/>
          <w:highlight w:val="none"/>
          <w:u w:val="single"/>
          <w:lang w:val="en-US" w:eastAsia="zh-CN"/>
        </w:rPr>
        <w:t>最高投标限价PDF</w:t>
      </w:r>
      <w:r>
        <w:rPr>
          <w:rFonts w:hint="eastAsia" w:ascii="宋体" w:hAnsi="宋体" w:eastAsia="宋体" w:cs="宋体"/>
          <w:color w:val="auto"/>
          <w:spacing w:val="37"/>
          <w:sz w:val="24"/>
          <w:szCs w:val="24"/>
          <w:highlight w:val="none"/>
          <w:u w:val="single"/>
        </w:rPr>
        <w:t xml:space="preserve"> </w:t>
      </w:r>
      <w:r>
        <w:rPr>
          <w:rFonts w:hint="eastAsia" w:ascii="宋体" w:hAnsi="宋体" w:eastAsia="宋体" w:cs="宋体"/>
          <w:color w:val="auto"/>
          <w:spacing w:val="-3"/>
          <w:sz w:val="24"/>
          <w:szCs w:val="24"/>
          <w:highlight w:val="none"/>
        </w:rPr>
        <w:t>电子文件一套。</w:t>
      </w:r>
    </w:p>
    <w:p w14:paraId="7B802B52">
      <w:pPr>
        <w:spacing w:before="78" w:line="219" w:lineRule="auto"/>
        <w:ind w:left="478" w:firstLine="239" w:firstLineChars="100"/>
        <w:rPr>
          <w:rFonts w:hint="eastAsia" w:ascii="宋体" w:hAnsi="宋体" w:eastAsia="宋体" w:cs="宋体"/>
          <w:color w:val="auto"/>
          <w:sz w:val="24"/>
          <w:szCs w:val="24"/>
          <w:highlight w:val="none"/>
        </w:rPr>
      </w:pPr>
      <w:bookmarkStart w:id="218" w:name="bookmark147"/>
      <w:bookmarkEnd w:id="218"/>
      <w:r>
        <w:rPr>
          <w:rFonts w:hint="eastAsia" w:ascii="宋体" w:hAnsi="宋体" w:eastAsia="宋体" w:cs="宋体"/>
          <w:b/>
          <w:bCs/>
          <w:color w:val="auto"/>
          <w:spacing w:val="-1"/>
          <w:sz w:val="24"/>
          <w:szCs w:val="24"/>
          <w:highlight w:val="none"/>
        </w:rPr>
        <w:t xml:space="preserve">2.2  </w:t>
      </w:r>
      <w:r>
        <w:rPr>
          <w:rFonts w:hint="eastAsia" w:ascii="宋体" w:hAnsi="宋体" w:eastAsia="宋体" w:cs="宋体"/>
          <w:color w:val="auto"/>
          <w:spacing w:val="-1"/>
          <w:sz w:val="24"/>
          <w:szCs w:val="24"/>
          <w:highlight w:val="none"/>
        </w:rPr>
        <w:t>本工程按照以下依据编制</w:t>
      </w:r>
      <w:r>
        <w:rPr>
          <w:rFonts w:hint="eastAsia" w:ascii="宋体" w:hAnsi="宋体" w:eastAsia="宋体" w:cs="宋体"/>
          <w:color w:val="auto"/>
          <w:spacing w:val="-1"/>
          <w:sz w:val="24"/>
          <w:szCs w:val="24"/>
          <w:highlight w:val="none"/>
          <w:u w:val="single"/>
        </w:rPr>
        <w:t>招标工程量清单</w:t>
      </w:r>
      <w:r>
        <w:rPr>
          <w:rFonts w:hint="eastAsia" w:ascii="宋体" w:hAnsi="宋体" w:eastAsia="宋体" w:cs="宋体"/>
          <w:color w:val="auto"/>
          <w:spacing w:val="-1"/>
          <w:sz w:val="24"/>
          <w:szCs w:val="24"/>
          <w:highlight w:val="none"/>
        </w:rPr>
        <w:t>：</w:t>
      </w:r>
    </w:p>
    <w:p w14:paraId="02362135">
      <w:pPr>
        <w:spacing w:before="123"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》（GB50500—20</w:t>
      </w:r>
      <w:r>
        <w:rPr>
          <w:rFonts w:hint="eastAsia" w:ascii="宋体" w:hAnsi="宋体" w:eastAsia="宋体" w:cs="宋体"/>
          <w:color w:val="auto"/>
          <w:spacing w:val="-1"/>
          <w:sz w:val="24"/>
          <w:szCs w:val="24"/>
          <w:highlight w:val="none"/>
          <w:lang w:val="en-US" w:eastAsia="zh-CN"/>
        </w:rPr>
        <w:t>24</w:t>
      </w:r>
      <w:r>
        <w:rPr>
          <w:rFonts w:hint="eastAsia" w:ascii="宋体" w:hAnsi="宋体" w:eastAsia="宋体" w:cs="宋体"/>
          <w:color w:val="auto"/>
          <w:spacing w:val="4"/>
          <w:sz w:val="24"/>
          <w:szCs w:val="24"/>
          <w:highlight w:val="none"/>
        </w:rPr>
        <w:t>）；</w:t>
      </w:r>
    </w:p>
    <w:p w14:paraId="61B98E77">
      <w:pPr>
        <w:spacing w:before="115" w:line="299" w:lineRule="auto"/>
        <w:ind w:firstLine="493"/>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（2）投标人应对招标人提供的工程量清单进行认真细致的复核。这种复核包括对</w:t>
      </w:r>
      <w:r>
        <w:rPr>
          <w:rFonts w:hint="eastAsia" w:ascii="宋体" w:hAnsi="宋体" w:eastAsia="宋体" w:cs="宋体"/>
          <w:color w:val="auto"/>
          <w:spacing w:val="-1"/>
          <w:sz w:val="24"/>
          <w:szCs w:val="24"/>
          <w:highlight w:val="none"/>
        </w:rPr>
        <w:t>招标人提供的工程量清单中的子目编码、子目名称、子</w:t>
      </w:r>
      <w:r>
        <w:rPr>
          <w:rFonts w:hint="eastAsia" w:ascii="宋体" w:hAnsi="宋体" w:eastAsia="宋体" w:cs="宋体"/>
          <w:color w:val="auto"/>
          <w:spacing w:val="-2"/>
          <w:sz w:val="24"/>
          <w:szCs w:val="24"/>
          <w:highlight w:val="none"/>
        </w:rPr>
        <w:t>目特征描述、计量单位、工程量</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的准确性以及可能存在的任何书写、打印错误进行检查</w:t>
      </w:r>
      <w:r>
        <w:rPr>
          <w:rFonts w:hint="eastAsia" w:ascii="宋体" w:hAnsi="宋体" w:eastAsia="宋体" w:cs="宋体"/>
          <w:color w:val="auto"/>
          <w:spacing w:val="-2"/>
          <w:sz w:val="24"/>
          <w:szCs w:val="24"/>
          <w:highlight w:val="none"/>
        </w:rPr>
        <w:t>和复核，特别是对“分部分项工</w:t>
      </w:r>
      <w:r>
        <w:rPr>
          <w:rFonts w:hint="eastAsia" w:ascii="宋体" w:hAnsi="宋体" w:eastAsia="宋体" w:cs="宋体"/>
          <w:color w:val="auto"/>
          <w:spacing w:val="-1"/>
          <w:sz w:val="24"/>
          <w:szCs w:val="24"/>
          <w:highlight w:val="none"/>
        </w:rPr>
        <w:t>程量清单与计价表”中每个工作子目的工程量进</w:t>
      </w:r>
      <w:r>
        <w:rPr>
          <w:rFonts w:hint="eastAsia" w:ascii="宋体" w:hAnsi="宋体" w:eastAsia="宋体" w:cs="宋体"/>
          <w:color w:val="auto"/>
          <w:spacing w:val="-2"/>
          <w:sz w:val="24"/>
          <w:szCs w:val="24"/>
          <w:highlight w:val="none"/>
        </w:rPr>
        <w:t>行重新计算和校核。如果投标人经过检</w:t>
      </w:r>
      <w:r>
        <w:rPr>
          <w:rFonts w:hint="eastAsia" w:ascii="宋体" w:hAnsi="宋体" w:eastAsia="宋体" w:cs="宋体"/>
          <w:color w:val="auto"/>
          <w:spacing w:val="-1"/>
          <w:sz w:val="24"/>
          <w:szCs w:val="24"/>
          <w:highlight w:val="none"/>
        </w:rPr>
        <w:t>查和复核以后认为招标人提供的工程量清单存在</w:t>
      </w:r>
      <w:r>
        <w:rPr>
          <w:rFonts w:hint="eastAsia" w:ascii="宋体" w:hAnsi="宋体" w:eastAsia="宋体" w:cs="宋体"/>
          <w:color w:val="auto"/>
          <w:spacing w:val="-2"/>
          <w:sz w:val="24"/>
          <w:szCs w:val="24"/>
          <w:highlight w:val="none"/>
        </w:rPr>
        <w:t>差异，则投标人应将此类差异的详细情</w:t>
      </w:r>
      <w:r>
        <w:rPr>
          <w:rFonts w:hint="eastAsia" w:ascii="宋体" w:hAnsi="宋体" w:eastAsia="宋体" w:cs="宋体"/>
          <w:color w:val="auto"/>
          <w:spacing w:val="-8"/>
          <w:sz w:val="24"/>
          <w:szCs w:val="24"/>
          <w:highlight w:val="none"/>
        </w:rPr>
        <w:t>况连同按“投标须知</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8"/>
          <w:sz w:val="24"/>
          <w:szCs w:val="24"/>
          <w:highlight w:val="none"/>
        </w:rPr>
        <w:t>”规定提交的要求招标人澄清的其他</w:t>
      </w:r>
      <w:r>
        <w:rPr>
          <w:rFonts w:hint="eastAsia" w:ascii="宋体" w:hAnsi="宋体" w:eastAsia="宋体" w:cs="宋体"/>
          <w:color w:val="auto"/>
          <w:spacing w:val="-9"/>
          <w:sz w:val="24"/>
          <w:szCs w:val="24"/>
          <w:highlight w:val="none"/>
        </w:rPr>
        <w:t>问题一起提交给招标人，招标人</w:t>
      </w:r>
      <w:r>
        <w:rPr>
          <w:rFonts w:hint="eastAsia" w:ascii="宋体" w:hAnsi="宋体" w:eastAsia="宋体" w:cs="宋体"/>
          <w:color w:val="auto"/>
          <w:spacing w:val="-2"/>
          <w:sz w:val="24"/>
          <w:szCs w:val="24"/>
          <w:highlight w:val="none"/>
        </w:rPr>
        <w:t>将根据实际情况决定是否颁发</w:t>
      </w:r>
      <w:r>
        <w:rPr>
          <w:rFonts w:hint="eastAsia" w:ascii="宋体" w:hAnsi="宋体" w:eastAsia="宋体" w:cs="宋体"/>
          <w:color w:val="auto"/>
          <w:spacing w:val="-2"/>
          <w:sz w:val="24"/>
          <w:szCs w:val="24"/>
          <w:highlight w:val="none"/>
          <w:u w:val="single"/>
        </w:rPr>
        <w:t>工程量清单</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8"/>
          <w:sz w:val="24"/>
          <w:szCs w:val="24"/>
          <w:highlight w:val="none"/>
          <w:lang w:eastAsia="zh-CN"/>
        </w:rPr>
        <w:t>最高投标限价</w:t>
      </w:r>
      <w:r>
        <w:rPr>
          <w:rFonts w:hint="eastAsia" w:ascii="宋体" w:hAnsi="宋体" w:eastAsia="宋体" w:cs="宋体"/>
          <w:color w:val="auto"/>
          <w:spacing w:val="-8"/>
          <w:sz w:val="24"/>
          <w:szCs w:val="24"/>
          <w:highlight w:val="none"/>
        </w:rPr>
        <w:t>的</w:t>
      </w:r>
      <w:r>
        <w:rPr>
          <w:rFonts w:hint="eastAsia" w:ascii="宋体" w:hAnsi="宋体" w:eastAsia="宋体" w:cs="宋体"/>
          <w:color w:val="auto"/>
          <w:spacing w:val="-2"/>
          <w:sz w:val="24"/>
          <w:szCs w:val="24"/>
          <w:highlight w:val="none"/>
        </w:rPr>
        <w:t>补充和(或)修改文件。</w:t>
      </w:r>
    </w:p>
    <w:p w14:paraId="3FCA4C7D">
      <w:pPr>
        <w:spacing w:before="79" w:line="263" w:lineRule="auto"/>
        <w:ind w:left="2" w:right="2" w:firstLine="48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（3）本招标工程量清单措施项目中的</w:t>
      </w:r>
      <w:r>
        <w:rPr>
          <w:rFonts w:hint="eastAsia" w:ascii="宋体" w:hAnsi="宋体" w:eastAsia="宋体" w:cs="宋体"/>
          <w:b/>
          <w:bCs/>
          <w:color w:val="auto"/>
          <w:spacing w:val="-6"/>
          <w:sz w:val="24"/>
          <w:szCs w:val="24"/>
          <w:highlight w:val="none"/>
          <w:u w:val="single"/>
        </w:rPr>
        <w:t>暂列金额、暂估价</w:t>
      </w:r>
      <w:r>
        <w:rPr>
          <w:rFonts w:hint="eastAsia" w:ascii="宋体" w:hAnsi="宋体" w:eastAsia="宋体" w:cs="宋体"/>
          <w:color w:val="auto"/>
          <w:spacing w:val="-2"/>
          <w:sz w:val="24"/>
          <w:szCs w:val="24"/>
          <w:highlight w:val="none"/>
        </w:rPr>
        <w:t>不得作为竞争性费用，投标报价必须按本招标工程量清</w:t>
      </w:r>
      <w:r>
        <w:rPr>
          <w:rFonts w:hint="eastAsia" w:ascii="宋体" w:hAnsi="宋体" w:eastAsia="宋体" w:cs="宋体"/>
          <w:color w:val="auto"/>
          <w:spacing w:val="-3"/>
          <w:sz w:val="24"/>
          <w:szCs w:val="24"/>
          <w:highlight w:val="none"/>
        </w:rPr>
        <w:t>单规定</w:t>
      </w:r>
      <w:r>
        <w:rPr>
          <w:rFonts w:hint="eastAsia" w:ascii="宋体" w:hAnsi="宋体" w:eastAsia="宋体" w:cs="宋体"/>
          <w:color w:val="auto"/>
          <w:spacing w:val="-2"/>
          <w:sz w:val="24"/>
          <w:szCs w:val="24"/>
          <w:highlight w:val="none"/>
        </w:rPr>
        <w:t>的金额填</w:t>
      </w:r>
      <w:r>
        <w:rPr>
          <w:rFonts w:hint="eastAsia" w:ascii="宋体" w:hAnsi="宋体" w:eastAsia="宋体" w:cs="宋体"/>
          <w:color w:val="auto"/>
          <w:spacing w:val="-3"/>
          <w:sz w:val="24"/>
          <w:szCs w:val="24"/>
          <w:highlight w:val="none"/>
        </w:rPr>
        <w:t>报。</w:t>
      </w:r>
    </w:p>
    <w:p w14:paraId="771762E6">
      <w:pPr>
        <w:spacing w:before="118" w:line="265" w:lineRule="auto"/>
        <w:ind w:left="7" w:right="4" w:firstLine="48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（4）投标报价使用的表格格式须按照 GB50500-20</w:t>
      </w:r>
      <w:r>
        <w:rPr>
          <w:rFonts w:hint="eastAsia" w:ascii="宋体" w:hAnsi="宋体" w:eastAsia="宋体" w:cs="宋体"/>
          <w:color w:val="auto"/>
          <w:spacing w:val="-2"/>
          <w:sz w:val="24"/>
          <w:szCs w:val="24"/>
          <w:highlight w:val="none"/>
          <w:lang w:val="en-US" w:eastAsia="zh-CN"/>
        </w:rPr>
        <w:t>24</w:t>
      </w:r>
      <w:r>
        <w:rPr>
          <w:rFonts w:hint="eastAsia" w:ascii="宋体" w:hAnsi="宋体" w:eastAsia="宋体" w:cs="宋体"/>
          <w:color w:val="auto"/>
          <w:spacing w:val="-2"/>
          <w:sz w:val="24"/>
          <w:szCs w:val="24"/>
          <w:highlight w:val="none"/>
        </w:rPr>
        <w:t>《建设工程工程量清单计价</w:t>
      </w:r>
      <w:r>
        <w:rPr>
          <w:rFonts w:hint="eastAsia" w:ascii="宋体" w:hAnsi="宋体" w:eastAsia="宋体" w:cs="宋体"/>
          <w:color w:val="auto"/>
          <w:spacing w:val="-2"/>
          <w:sz w:val="24"/>
          <w:szCs w:val="24"/>
          <w:highlight w:val="none"/>
          <w:lang w:val="en-US" w:eastAsia="zh-CN"/>
        </w:rPr>
        <w:t>标准</w:t>
      </w:r>
      <w:r>
        <w:rPr>
          <w:rFonts w:hint="eastAsia" w:ascii="宋体" w:hAnsi="宋体" w:eastAsia="宋体" w:cs="宋体"/>
          <w:color w:val="auto"/>
          <w:spacing w:val="-6"/>
          <w:sz w:val="24"/>
          <w:szCs w:val="24"/>
          <w:highlight w:val="none"/>
        </w:rPr>
        <w:t>》。</w:t>
      </w:r>
    </w:p>
    <w:p w14:paraId="12F193A0">
      <w:pPr>
        <w:spacing w:before="107" w:line="286" w:lineRule="auto"/>
        <w:ind w:right="4" w:firstLine="492"/>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5）《市政工程工程量计算标准》(GB/T50857-2024）、《园林绿化工程工程量计算标准》(GB/T50858-2024）、2018年《广东省市政工程综合定额》、2018年《广东省园林绿化工程综合定额》及现行的建筑施工规范和省市有关文件、规定为编制依据进行编制；</w:t>
      </w:r>
    </w:p>
    <w:p w14:paraId="18E085EB">
      <w:pPr>
        <w:spacing w:before="146" w:line="221"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（6）施工图及相关资料；</w:t>
      </w:r>
    </w:p>
    <w:p w14:paraId="75A26699">
      <w:pPr>
        <w:spacing w:before="153" w:line="220"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（7）招标文件；</w:t>
      </w:r>
    </w:p>
    <w:p w14:paraId="37B4AFD5">
      <w:pPr>
        <w:spacing w:before="155" w:line="220"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（8）施工现场情况、地勘水文资料、工程特点及常规施工方案；</w:t>
      </w:r>
    </w:p>
    <w:p w14:paraId="106392C6">
      <w:pPr>
        <w:spacing w:before="153"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（9）与建设工程有关的标准、规范、技术资料、材料设备信息价或市场价格等</w:t>
      </w:r>
      <w:r>
        <w:rPr>
          <w:rFonts w:hint="eastAsia" w:ascii="宋体" w:hAnsi="宋体" w:eastAsia="宋体" w:cs="宋体"/>
          <w:color w:val="auto"/>
          <w:spacing w:val="-2"/>
          <w:sz w:val="24"/>
          <w:szCs w:val="24"/>
          <w:highlight w:val="none"/>
        </w:rPr>
        <w:t>。</w:t>
      </w:r>
    </w:p>
    <w:p w14:paraId="429B0728">
      <w:pPr>
        <w:spacing w:line="219" w:lineRule="auto"/>
        <w:rPr>
          <w:rFonts w:hint="eastAsia" w:ascii="宋体" w:hAnsi="宋体" w:eastAsia="宋体" w:cs="宋体"/>
          <w:color w:val="auto"/>
          <w:sz w:val="24"/>
          <w:szCs w:val="24"/>
          <w:highlight w:val="none"/>
        </w:rPr>
        <w:sectPr>
          <w:footerReference r:id="rId12"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0104BD93">
      <w:pPr>
        <w:pStyle w:val="5"/>
        <w:spacing w:line="304" w:lineRule="auto"/>
        <w:rPr>
          <w:rFonts w:hint="eastAsia" w:ascii="宋体" w:hAnsi="宋体" w:eastAsia="宋体" w:cs="宋体"/>
          <w:color w:val="auto"/>
          <w:highlight w:val="none"/>
        </w:rPr>
      </w:pPr>
    </w:p>
    <w:p w14:paraId="36743CF6">
      <w:pPr>
        <w:spacing w:before="78" w:line="219" w:lineRule="auto"/>
        <w:ind w:left="3357"/>
        <w:outlineLvl w:val="0"/>
        <w:rPr>
          <w:rFonts w:hint="eastAsia" w:ascii="宋体" w:hAnsi="宋体" w:eastAsia="宋体" w:cs="宋体"/>
          <w:color w:val="auto"/>
          <w:sz w:val="24"/>
          <w:szCs w:val="24"/>
          <w:highlight w:val="none"/>
        </w:rPr>
      </w:pPr>
      <w:bookmarkStart w:id="219" w:name="_Toc27130"/>
      <w:r>
        <w:rPr>
          <w:rFonts w:hint="eastAsia" w:ascii="宋体" w:hAnsi="宋体" w:eastAsia="宋体" w:cs="宋体"/>
          <w:b/>
          <w:bCs/>
          <w:color w:val="auto"/>
          <w:spacing w:val="-3"/>
          <w:sz w:val="24"/>
          <w:szCs w:val="24"/>
          <w:highlight w:val="none"/>
        </w:rPr>
        <w:t>第六章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投标文件格式</w:t>
      </w:r>
      <w:bookmarkEnd w:id="219"/>
    </w:p>
    <w:p w14:paraId="0D0857B6">
      <w:pPr>
        <w:pStyle w:val="5"/>
        <w:spacing w:line="302" w:lineRule="auto"/>
        <w:jc w:val="right"/>
        <w:rPr>
          <w:rFonts w:hint="eastAsia" w:ascii="宋体" w:hAnsi="宋体" w:eastAsia="宋体" w:cs="宋体"/>
          <w:color w:val="auto"/>
          <w:highlight w:val="none"/>
        </w:rPr>
      </w:pPr>
    </w:p>
    <w:p w14:paraId="401E31D5">
      <w:pPr>
        <w:spacing w:before="78" w:line="220" w:lineRule="auto"/>
        <w:outlineLvl w:val="2"/>
        <w:rPr>
          <w:rFonts w:hint="eastAsia" w:ascii="宋体" w:hAnsi="宋体" w:eastAsia="宋体" w:cs="宋体"/>
          <w:color w:val="auto"/>
          <w:sz w:val="24"/>
          <w:szCs w:val="24"/>
          <w:highlight w:val="none"/>
        </w:rPr>
      </w:pPr>
      <w:bookmarkStart w:id="220" w:name="_Toc11203"/>
      <w:r>
        <w:rPr>
          <w:rFonts w:hint="eastAsia" w:ascii="宋体" w:hAnsi="宋体" w:eastAsia="宋体" w:cs="宋体"/>
          <w:b/>
          <w:bCs/>
          <w:color w:val="auto"/>
          <w:spacing w:val="-4"/>
          <w:sz w:val="24"/>
          <w:szCs w:val="24"/>
          <w:highlight w:val="none"/>
        </w:rPr>
        <w:t>格式一</w:t>
      </w:r>
      <w:r>
        <w:rPr>
          <w:rFonts w:hint="eastAsia" w:ascii="宋体" w:hAnsi="宋体" w:eastAsia="宋体" w:cs="宋体"/>
          <w:color w:val="auto"/>
          <w:spacing w:val="-4"/>
          <w:sz w:val="24"/>
          <w:szCs w:val="24"/>
          <w:highlight w:val="none"/>
        </w:rPr>
        <w:t xml:space="preserve"> </w:t>
      </w:r>
      <w:r>
        <w:rPr>
          <w:rFonts w:hint="eastAsia" w:ascii="宋体" w:hAnsi="宋体" w:eastAsia="宋体" w:cs="宋体"/>
          <w:b/>
          <w:bCs/>
          <w:color w:val="auto"/>
          <w:spacing w:val="-4"/>
          <w:sz w:val="24"/>
          <w:szCs w:val="24"/>
          <w:highlight w:val="none"/>
        </w:rPr>
        <w:t>封面</w:t>
      </w:r>
      <w:bookmarkEnd w:id="220"/>
    </w:p>
    <w:p w14:paraId="7F1D5484">
      <w:pPr>
        <w:pStyle w:val="5"/>
        <w:spacing w:line="258" w:lineRule="auto"/>
        <w:rPr>
          <w:rFonts w:hint="eastAsia" w:ascii="宋体" w:hAnsi="宋体" w:eastAsia="宋体" w:cs="宋体"/>
          <w:color w:val="auto"/>
          <w:highlight w:val="none"/>
        </w:rPr>
      </w:pPr>
    </w:p>
    <w:p w14:paraId="2CD8482C">
      <w:pPr>
        <w:pStyle w:val="5"/>
        <w:spacing w:line="259" w:lineRule="auto"/>
        <w:rPr>
          <w:rFonts w:hint="eastAsia" w:ascii="宋体" w:hAnsi="宋体" w:eastAsia="宋体" w:cs="宋体"/>
          <w:color w:val="auto"/>
          <w:highlight w:val="none"/>
        </w:rPr>
      </w:pPr>
    </w:p>
    <w:p w14:paraId="102EDF3E">
      <w:pPr>
        <w:pStyle w:val="5"/>
        <w:spacing w:line="259" w:lineRule="auto"/>
        <w:rPr>
          <w:rFonts w:hint="eastAsia" w:ascii="宋体" w:hAnsi="宋体" w:eastAsia="宋体" w:cs="宋体"/>
          <w:color w:val="auto"/>
          <w:highlight w:val="none"/>
        </w:rPr>
      </w:pPr>
    </w:p>
    <w:p w14:paraId="2A72B20C">
      <w:pPr>
        <w:spacing w:before="153" w:line="225" w:lineRule="auto"/>
        <w:ind w:left="-1" w:leftChars="0" w:firstLine="0" w:firstLineChars="0"/>
        <w:jc w:val="center"/>
        <w:rPr>
          <w:rFonts w:hint="eastAsia" w:ascii="宋体" w:hAnsi="宋体" w:eastAsia="宋体" w:cs="宋体"/>
          <w:color w:val="auto"/>
          <w:sz w:val="47"/>
          <w:szCs w:val="47"/>
          <w:highlight w:val="none"/>
        </w:rPr>
      </w:pPr>
      <w:r>
        <w:rPr>
          <w:rFonts w:hint="eastAsia" w:ascii="宋体" w:hAnsi="宋体" w:eastAsia="宋体" w:cs="宋体"/>
          <w:b/>
          <w:bCs/>
          <w:color w:val="auto"/>
          <w:spacing w:val="8"/>
          <w:sz w:val="47"/>
          <w:szCs w:val="47"/>
          <w:highlight w:val="none"/>
          <w:u w:val="single"/>
          <w:lang w:val="en-US" w:eastAsia="zh-CN"/>
        </w:rPr>
        <w:t xml:space="preserve">       </w:t>
      </w:r>
      <w:r>
        <w:rPr>
          <w:rFonts w:hint="eastAsia" w:ascii="宋体" w:hAnsi="宋体" w:eastAsia="宋体" w:cs="宋体"/>
          <w:b/>
          <w:bCs/>
          <w:color w:val="auto"/>
          <w:spacing w:val="8"/>
          <w:sz w:val="47"/>
          <w:szCs w:val="47"/>
          <w:highlight w:val="none"/>
          <w:u w:val="single"/>
        </w:rPr>
        <w:t>（项目名称</w:t>
      </w:r>
      <w:r>
        <w:rPr>
          <w:rFonts w:hint="eastAsia" w:ascii="宋体" w:hAnsi="宋体" w:eastAsia="宋体" w:cs="宋体"/>
          <w:b/>
          <w:bCs/>
          <w:color w:val="auto"/>
          <w:spacing w:val="-32"/>
          <w:sz w:val="47"/>
          <w:szCs w:val="47"/>
          <w:highlight w:val="none"/>
          <w:u w:val="single"/>
        </w:rPr>
        <w:t>）</w:t>
      </w:r>
      <w:r>
        <w:rPr>
          <w:rFonts w:hint="eastAsia" w:ascii="宋体" w:hAnsi="宋体" w:eastAsia="宋体" w:cs="宋体"/>
          <w:b/>
          <w:bCs/>
          <w:color w:val="auto"/>
          <w:spacing w:val="8"/>
          <w:sz w:val="47"/>
          <w:szCs w:val="47"/>
          <w:highlight w:val="none"/>
        </w:rPr>
        <w:t>招标</w:t>
      </w:r>
    </w:p>
    <w:p w14:paraId="5ECD6A12">
      <w:pPr>
        <w:pStyle w:val="5"/>
        <w:spacing w:line="247" w:lineRule="auto"/>
        <w:rPr>
          <w:rFonts w:hint="eastAsia" w:ascii="宋体" w:hAnsi="宋体" w:eastAsia="宋体" w:cs="宋体"/>
          <w:color w:val="auto"/>
          <w:highlight w:val="none"/>
        </w:rPr>
      </w:pPr>
    </w:p>
    <w:p w14:paraId="54606FEC">
      <w:pPr>
        <w:pStyle w:val="5"/>
        <w:spacing w:line="247" w:lineRule="auto"/>
        <w:rPr>
          <w:rFonts w:hint="eastAsia" w:ascii="宋体" w:hAnsi="宋体" w:eastAsia="宋体" w:cs="宋体"/>
          <w:color w:val="auto"/>
          <w:highlight w:val="none"/>
        </w:rPr>
      </w:pPr>
    </w:p>
    <w:p w14:paraId="5399F95B">
      <w:pPr>
        <w:pStyle w:val="5"/>
        <w:spacing w:line="247" w:lineRule="auto"/>
        <w:rPr>
          <w:rFonts w:hint="eastAsia" w:ascii="宋体" w:hAnsi="宋体" w:eastAsia="宋体" w:cs="宋体"/>
          <w:color w:val="auto"/>
          <w:highlight w:val="none"/>
        </w:rPr>
      </w:pPr>
    </w:p>
    <w:p w14:paraId="290C2C2C">
      <w:pPr>
        <w:pStyle w:val="5"/>
        <w:spacing w:line="247" w:lineRule="auto"/>
        <w:rPr>
          <w:rFonts w:hint="eastAsia" w:ascii="宋体" w:hAnsi="宋体" w:eastAsia="宋体" w:cs="宋体"/>
          <w:color w:val="auto"/>
          <w:highlight w:val="none"/>
        </w:rPr>
      </w:pPr>
    </w:p>
    <w:p w14:paraId="59ACBFD9">
      <w:pPr>
        <w:pStyle w:val="5"/>
        <w:spacing w:line="248" w:lineRule="auto"/>
        <w:rPr>
          <w:rFonts w:hint="eastAsia" w:ascii="宋体" w:hAnsi="宋体" w:eastAsia="宋体" w:cs="宋体"/>
          <w:color w:val="auto"/>
          <w:highlight w:val="none"/>
        </w:rPr>
      </w:pPr>
    </w:p>
    <w:p w14:paraId="659F2C43">
      <w:pPr>
        <w:spacing w:before="231" w:line="223" w:lineRule="auto"/>
        <w:jc w:val="center"/>
        <w:rPr>
          <w:rFonts w:hint="eastAsia" w:ascii="宋体" w:hAnsi="宋体" w:eastAsia="宋体" w:cs="宋体"/>
          <w:color w:val="auto"/>
          <w:sz w:val="71"/>
          <w:szCs w:val="71"/>
          <w:highlight w:val="none"/>
        </w:rPr>
      </w:pPr>
      <w:r>
        <w:rPr>
          <w:rFonts w:hint="eastAsia" w:ascii="宋体" w:hAnsi="宋体" w:eastAsia="宋体" w:cs="宋体"/>
          <w:b/>
          <w:bCs/>
          <w:color w:val="auto"/>
          <w:spacing w:val="-26"/>
          <w:sz w:val="71"/>
          <w:szCs w:val="71"/>
          <w:highlight w:val="none"/>
        </w:rPr>
        <w:t>投</w:t>
      </w:r>
      <w:r>
        <w:rPr>
          <w:rFonts w:hint="eastAsia" w:ascii="宋体" w:hAnsi="宋体" w:eastAsia="宋体" w:cs="宋体"/>
          <w:color w:val="auto"/>
          <w:spacing w:val="22"/>
          <w:sz w:val="71"/>
          <w:szCs w:val="71"/>
          <w:highlight w:val="none"/>
        </w:rPr>
        <w:t xml:space="preserve">  </w:t>
      </w:r>
      <w:r>
        <w:rPr>
          <w:rFonts w:hint="eastAsia" w:ascii="宋体" w:hAnsi="宋体" w:eastAsia="宋体" w:cs="宋体"/>
          <w:b/>
          <w:bCs/>
          <w:color w:val="auto"/>
          <w:spacing w:val="-26"/>
          <w:sz w:val="71"/>
          <w:szCs w:val="71"/>
          <w:highlight w:val="none"/>
        </w:rPr>
        <w:t>标</w:t>
      </w:r>
      <w:r>
        <w:rPr>
          <w:rFonts w:hint="eastAsia" w:ascii="宋体" w:hAnsi="宋体" w:eastAsia="宋体" w:cs="宋体"/>
          <w:color w:val="auto"/>
          <w:spacing w:val="23"/>
          <w:sz w:val="71"/>
          <w:szCs w:val="71"/>
          <w:highlight w:val="none"/>
        </w:rPr>
        <w:t xml:space="preserve">  </w:t>
      </w:r>
      <w:r>
        <w:rPr>
          <w:rFonts w:hint="eastAsia" w:ascii="宋体" w:hAnsi="宋体" w:eastAsia="宋体" w:cs="宋体"/>
          <w:b/>
          <w:bCs/>
          <w:color w:val="auto"/>
          <w:spacing w:val="-26"/>
          <w:sz w:val="71"/>
          <w:szCs w:val="71"/>
          <w:highlight w:val="none"/>
        </w:rPr>
        <w:t>文</w:t>
      </w:r>
      <w:r>
        <w:rPr>
          <w:rFonts w:hint="eastAsia" w:ascii="宋体" w:hAnsi="宋体" w:eastAsia="宋体" w:cs="宋体"/>
          <w:color w:val="auto"/>
          <w:spacing w:val="19"/>
          <w:sz w:val="71"/>
          <w:szCs w:val="71"/>
          <w:highlight w:val="none"/>
        </w:rPr>
        <w:t xml:space="preserve">  </w:t>
      </w:r>
      <w:r>
        <w:rPr>
          <w:rFonts w:hint="eastAsia" w:ascii="宋体" w:hAnsi="宋体" w:eastAsia="宋体" w:cs="宋体"/>
          <w:b/>
          <w:bCs/>
          <w:color w:val="auto"/>
          <w:spacing w:val="-26"/>
          <w:sz w:val="71"/>
          <w:szCs w:val="71"/>
          <w:highlight w:val="none"/>
        </w:rPr>
        <w:t>件</w:t>
      </w:r>
    </w:p>
    <w:p w14:paraId="0B131F8C">
      <w:pPr>
        <w:pStyle w:val="5"/>
        <w:spacing w:line="293" w:lineRule="auto"/>
        <w:rPr>
          <w:rFonts w:hint="eastAsia" w:ascii="宋体" w:hAnsi="宋体" w:eastAsia="宋体" w:cs="宋体"/>
          <w:color w:val="auto"/>
          <w:highlight w:val="none"/>
        </w:rPr>
      </w:pPr>
    </w:p>
    <w:p w14:paraId="324C9182">
      <w:pPr>
        <w:pStyle w:val="5"/>
        <w:spacing w:line="293" w:lineRule="auto"/>
        <w:rPr>
          <w:rFonts w:hint="eastAsia" w:ascii="宋体" w:hAnsi="宋体" w:eastAsia="宋体" w:cs="宋体"/>
          <w:color w:val="auto"/>
          <w:highlight w:val="none"/>
        </w:rPr>
      </w:pPr>
    </w:p>
    <w:p w14:paraId="7C0F118B">
      <w:pPr>
        <w:spacing w:before="152" w:line="223" w:lineRule="auto"/>
        <w:jc w:val="center"/>
        <w:rPr>
          <w:rFonts w:hint="eastAsia" w:ascii="宋体" w:hAnsi="宋体" w:eastAsia="宋体" w:cs="宋体"/>
          <w:b/>
          <w:bCs/>
          <w:color w:val="auto"/>
          <w:spacing w:val="2"/>
          <w:sz w:val="40"/>
          <w:szCs w:val="40"/>
          <w:highlight w:val="none"/>
        </w:rPr>
      </w:pPr>
      <w:bookmarkStart w:id="221" w:name="bookmark105"/>
      <w:bookmarkEnd w:id="221"/>
      <w:r>
        <w:rPr>
          <w:rFonts w:hint="eastAsia" w:ascii="宋体" w:hAnsi="宋体" w:eastAsia="宋体" w:cs="宋体"/>
          <w:b/>
          <w:bCs/>
          <w:color w:val="auto"/>
          <w:spacing w:val="2"/>
          <w:sz w:val="40"/>
          <w:szCs w:val="40"/>
          <w:highlight w:val="none"/>
        </w:rPr>
        <w:t>（商务标书／经济标书／施工组织设计</w:t>
      </w:r>
      <w:r>
        <w:rPr>
          <w:rFonts w:hint="eastAsia" w:ascii="宋体" w:hAnsi="宋体" w:eastAsia="宋体" w:cs="宋体"/>
          <w:b/>
          <w:bCs/>
          <w:color w:val="auto"/>
          <w:spacing w:val="2"/>
          <w:sz w:val="40"/>
          <w:szCs w:val="40"/>
          <w:highlight w:val="none"/>
          <w:lang w:val="en-US" w:eastAsia="zh-CN"/>
        </w:rPr>
        <w:t>/定标文件</w:t>
      </w:r>
      <w:r>
        <w:rPr>
          <w:rFonts w:hint="eastAsia" w:ascii="宋体" w:hAnsi="宋体" w:eastAsia="宋体" w:cs="宋体"/>
          <w:b/>
          <w:bCs/>
          <w:color w:val="auto"/>
          <w:spacing w:val="2"/>
          <w:sz w:val="40"/>
          <w:szCs w:val="40"/>
          <w:highlight w:val="none"/>
        </w:rPr>
        <w:t>）</w:t>
      </w:r>
    </w:p>
    <w:p w14:paraId="507FE0F9">
      <w:pPr>
        <w:bidi w:val="0"/>
        <w:rPr>
          <w:rFonts w:hint="eastAsia"/>
          <w:color w:val="auto"/>
          <w:highlight w:val="none"/>
        </w:rPr>
      </w:pPr>
    </w:p>
    <w:p w14:paraId="1258CA34">
      <w:pPr>
        <w:bidi w:val="0"/>
        <w:rPr>
          <w:rFonts w:hint="eastAsia"/>
          <w:color w:val="auto"/>
          <w:highlight w:val="none"/>
        </w:rPr>
      </w:pPr>
    </w:p>
    <w:p w14:paraId="6011C3D8">
      <w:pPr>
        <w:bidi w:val="0"/>
        <w:rPr>
          <w:rFonts w:hint="eastAsia"/>
          <w:color w:val="auto"/>
          <w:highlight w:val="none"/>
        </w:rPr>
      </w:pPr>
    </w:p>
    <w:p w14:paraId="37F301A3">
      <w:pPr>
        <w:bidi w:val="0"/>
        <w:rPr>
          <w:rFonts w:hint="eastAsia"/>
          <w:color w:val="auto"/>
          <w:highlight w:val="none"/>
        </w:rPr>
      </w:pPr>
    </w:p>
    <w:p w14:paraId="176B82A5">
      <w:pPr>
        <w:bidi w:val="0"/>
        <w:rPr>
          <w:rFonts w:hint="eastAsia"/>
          <w:color w:val="auto"/>
          <w:highlight w:val="none"/>
        </w:rPr>
      </w:pPr>
    </w:p>
    <w:p w14:paraId="082387D7">
      <w:pPr>
        <w:bidi w:val="0"/>
        <w:rPr>
          <w:rFonts w:hint="eastAsia"/>
          <w:color w:val="auto"/>
          <w:highlight w:val="none"/>
        </w:rPr>
      </w:pPr>
    </w:p>
    <w:p w14:paraId="4555BC89">
      <w:pPr>
        <w:bidi w:val="0"/>
        <w:rPr>
          <w:rFonts w:hint="eastAsia"/>
          <w:color w:val="auto"/>
          <w:highlight w:val="none"/>
        </w:rPr>
      </w:pPr>
    </w:p>
    <w:p w14:paraId="5C158398">
      <w:pPr>
        <w:bidi w:val="0"/>
        <w:rPr>
          <w:rFonts w:hint="eastAsia"/>
          <w:color w:val="auto"/>
          <w:highlight w:val="none"/>
        </w:rPr>
      </w:pPr>
    </w:p>
    <w:p w14:paraId="7B5A9BA0">
      <w:pPr>
        <w:pStyle w:val="39"/>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投标人：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（盖单位章）</w:t>
      </w:r>
    </w:p>
    <w:p w14:paraId="215929E0">
      <w:pPr>
        <w:pStyle w:val="39"/>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233B75EF">
      <w:pPr>
        <w:pStyle w:val="39"/>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33AB8C63">
      <w:pPr>
        <w:pStyle w:val="39"/>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法定代表人或其委托代理人：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（签字或盖章）</w:t>
      </w:r>
    </w:p>
    <w:p w14:paraId="0E4534D8">
      <w:pPr>
        <w:pStyle w:val="39"/>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37293E27">
      <w:pPr>
        <w:pStyle w:val="39"/>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u w:val="single"/>
        </w:rPr>
      </w:pPr>
    </w:p>
    <w:p w14:paraId="2496E2BB">
      <w:pPr>
        <w:pStyle w:val="39"/>
        <w:widowControl w:val="0"/>
        <w:wordWrap w:val="0"/>
        <w:adjustRightInd w:val="0"/>
        <w:snapToGrid w:val="0"/>
        <w:spacing w:line="360" w:lineRule="auto"/>
        <w:ind w:firstLine="0"/>
        <w:jc w:val="center"/>
        <w:rPr>
          <w:rFonts w:hint="eastAsia" w:ascii="宋体" w:hAnsi="宋体" w:eastAsia="宋体" w:cs="宋体"/>
          <w:b/>
          <w:snapToGrid w:val="0"/>
          <w:color w:val="auto"/>
          <w:highlight w:val="none"/>
        </w:rPr>
      </w:pP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年</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月</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日</w:t>
      </w:r>
    </w:p>
    <w:p w14:paraId="5A1606D9">
      <w:pPr>
        <w:bidi w:val="0"/>
        <w:rPr>
          <w:rFonts w:hint="eastAsia"/>
          <w:color w:val="auto"/>
          <w:highlight w:val="none"/>
        </w:rPr>
      </w:pPr>
    </w:p>
    <w:p w14:paraId="23E6A84C">
      <w:pPr>
        <w:outlineLvl w:val="9"/>
        <w:rPr>
          <w:rFonts w:hint="eastAsia"/>
          <w:color w:val="auto"/>
          <w:highlight w:val="none"/>
        </w:rPr>
      </w:pPr>
    </w:p>
    <w:p w14:paraId="5B28AB72">
      <w:pPr>
        <w:spacing w:line="223" w:lineRule="auto"/>
        <w:rPr>
          <w:rFonts w:hint="eastAsia" w:ascii="宋体" w:hAnsi="宋体" w:eastAsia="宋体" w:cs="宋体"/>
          <w:color w:val="auto"/>
          <w:sz w:val="47"/>
          <w:szCs w:val="47"/>
          <w:highlight w:val="none"/>
        </w:rPr>
        <w:sectPr>
          <w:footerReference r:id="rId13"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74A3B6A7">
      <w:pPr>
        <w:spacing w:before="78" w:line="220" w:lineRule="auto"/>
        <w:outlineLvl w:val="2"/>
        <w:rPr>
          <w:rFonts w:hint="eastAsia" w:ascii="宋体" w:hAnsi="宋体" w:eastAsia="宋体" w:cs="宋体"/>
          <w:b/>
          <w:bCs/>
          <w:color w:val="auto"/>
          <w:spacing w:val="-4"/>
          <w:sz w:val="24"/>
          <w:szCs w:val="24"/>
          <w:highlight w:val="none"/>
        </w:rPr>
      </w:pPr>
      <w:bookmarkStart w:id="222" w:name="_Toc24492"/>
      <w:r>
        <w:rPr>
          <w:rFonts w:hint="eastAsia" w:ascii="宋体" w:hAnsi="宋体" w:eastAsia="宋体" w:cs="宋体"/>
          <w:b/>
          <w:bCs/>
          <w:color w:val="auto"/>
          <w:spacing w:val="-4"/>
          <w:sz w:val="24"/>
          <w:szCs w:val="24"/>
          <w:highlight w:val="none"/>
        </w:rPr>
        <w:t>格式二 投标函</w:t>
      </w:r>
      <w:bookmarkEnd w:id="222"/>
    </w:p>
    <w:p w14:paraId="3A37F6C7">
      <w:pPr>
        <w:pStyle w:val="5"/>
        <w:spacing w:line="261" w:lineRule="auto"/>
        <w:rPr>
          <w:rFonts w:hint="eastAsia" w:ascii="宋体" w:hAnsi="宋体" w:eastAsia="宋体" w:cs="宋体"/>
          <w:color w:val="auto"/>
          <w:highlight w:val="none"/>
        </w:rPr>
      </w:pPr>
    </w:p>
    <w:p w14:paraId="45A81B1F">
      <w:pPr>
        <w:spacing w:before="97" w:line="221" w:lineRule="auto"/>
        <w:ind w:left="3799"/>
        <w:outlineLvl w:val="9"/>
        <w:rPr>
          <w:rFonts w:hint="eastAsia" w:ascii="宋体" w:hAnsi="宋体" w:eastAsia="宋体" w:cs="宋体"/>
          <w:color w:val="auto"/>
          <w:sz w:val="30"/>
          <w:szCs w:val="30"/>
          <w:highlight w:val="none"/>
        </w:rPr>
      </w:pPr>
      <w:bookmarkStart w:id="223" w:name="bookmark148"/>
      <w:bookmarkEnd w:id="223"/>
      <w:bookmarkStart w:id="224" w:name="_Toc297"/>
      <w:bookmarkStart w:id="225" w:name="_Toc317"/>
      <w:bookmarkStart w:id="226" w:name="_Toc27397"/>
      <w:r>
        <w:rPr>
          <w:rFonts w:hint="eastAsia" w:ascii="宋体" w:hAnsi="宋体" w:eastAsia="宋体" w:cs="宋体"/>
          <w:b/>
          <w:bCs/>
          <w:color w:val="auto"/>
          <w:spacing w:val="-13"/>
          <w:sz w:val="30"/>
          <w:szCs w:val="30"/>
          <w:highlight w:val="none"/>
        </w:rPr>
        <w:t>投</w:t>
      </w:r>
      <w:r>
        <w:rPr>
          <w:rFonts w:hint="eastAsia" w:ascii="宋体" w:hAnsi="宋体" w:eastAsia="宋体" w:cs="宋体"/>
          <w:color w:val="auto"/>
          <w:spacing w:val="6"/>
          <w:sz w:val="30"/>
          <w:szCs w:val="30"/>
          <w:highlight w:val="none"/>
        </w:rPr>
        <w:t xml:space="preserve">  </w:t>
      </w:r>
      <w:r>
        <w:rPr>
          <w:rFonts w:hint="eastAsia" w:ascii="宋体" w:hAnsi="宋体" w:eastAsia="宋体" w:cs="宋体"/>
          <w:b/>
          <w:bCs/>
          <w:color w:val="auto"/>
          <w:spacing w:val="-13"/>
          <w:sz w:val="30"/>
          <w:szCs w:val="30"/>
          <w:highlight w:val="none"/>
        </w:rPr>
        <w:t>标</w:t>
      </w:r>
      <w:r>
        <w:rPr>
          <w:rFonts w:hint="eastAsia" w:ascii="宋体" w:hAnsi="宋体" w:eastAsia="宋体" w:cs="宋体"/>
          <w:color w:val="auto"/>
          <w:spacing w:val="17"/>
          <w:sz w:val="30"/>
          <w:szCs w:val="30"/>
          <w:highlight w:val="none"/>
        </w:rPr>
        <w:t xml:space="preserve">  </w:t>
      </w:r>
      <w:r>
        <w:rPr>
          <w:rFonts w:hint="eastAsia" w:ascii="宋体" w:hAnsi="宋体" w:eastAsia="宋体" w:cs="宋体"/>
          <w:b/>
          <w:bCs/>
          <w:color w:val="auto"/>
          <w:spacing w:val="-13"/>
          <w:sz w:val="30"/>
          <w:szCs w:val="30"/>
          <w:highlight w:val="none"/>
        </w:rPr>
        <w:t>函</w:t>
      </w:r>
      <w:bookmarkEnd w:id="224"/>
      <w:bookmarkEnd w:id="225"/>
      <w:bookmarkEnd w:id="226"/>
    </w:p>
    <w:p w14:paraId="7874E16E">
      <w:pPr>
        <w:pStyle w:val="5"/>
        <w:spacing w:line="249" w:lineRule="auto"/>
        <w:rPr>
          <w:rFonts w:hint="eastAsia" w:ascii="宋体" w:hAnsi="宋体" w:eastAsia="宋体" w:cs="宋体"/>
          <w:color w:val="auto"/>
          <w:highlight w:val="none"/>
        </w:rPr>
      </w:pPr>
    </w:p>
    <w:p w14:paraId="75D83E64">
      <w:pPr>
        <w:pStyle w:val="5"/>
        <w:spacing w:line="250" w:lineRule="auto"/>
        <w:rPr>
          <w:rFonts w:hint="eastAsia" w:ascii="宋体" w:hAnsi="宋体" w:eastAsia="宋体" w:cs="宋体"/>
          <w:color w:val="auto"/>
          <w:highlight w:val="none"/>
        </w:rPr>
      </w:pPr>
    </w:p>
    <w:p w14:paraId="5FC5B2DC">
      <w:pPr>
        <w:pStyle w:val="5"/>
        <w:spacing w:line="250" w:lineRule="auto"/>
        <w:rPr>
          <w:rFonts w:hint="eastAsia" w:ascii="宋体" w:hAnsi="宋体" w:eastAsia="宋体" w:cs="宋体"/>
          <w:color w:val="auto"/>
          <w:highlight w:val="none"/>
        </w:rPr>
      </w:pPr>
    </w:p>
    <w:p w14:paraId="64EA3138">
      <w:pPr>
        <w:spacing w:before="78" w:line="221" w:lineRule="auto"/>
        <w:ind w:left="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致</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30"/>
          <w:sz w:val="24"/>
          <w:szCs w:val="24"/>
          <w:highlight w:val="none"/>
          <w:u w:val="single"/>
          <w:lang w:val="en-US" w:eastAsia="zh-CN"/>
        </w:rPr>
        <w:t xml:space="preserve">                    </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7"/>
          <w:sz w:val="24"/>
          <w:szCs w:val="24"/>
          <w:highlight w:val="none"/>
        </w:rPr>
        <w:t>招标人名称）</w:t>
      </w:r>
    </w:p>
    <w:p w14:paraId="0506ED9A">
      <w:pPr>
        <w:pStyle w:val="5"/>
        <w:spacing w:before="156" w:line="328" w:lineRule="auto"/>
        <w:ind w:left="9" w:right="142" w:firstLine="589"/>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我方考察现场并充分研究</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（项目名称</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以下简称“本项目</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z w:val="24"/>
          <w:szCs w:val="24"/>
          <w:highlight w:val="none"/>
        </w:rPr>
        <w:t>”）招标文件</w:t>
      </w:r>
      <w:r>
        <w:rPr>
          <w:rFonts w:hint="eastAsia" w:ascii="宋体" w:hAnsi="宋体" w:eastAsia="宋体" w:cs="宋体"/>
          <w:color w:val="auto"/>
          <w:spacing w:val="-2"/>
          <w:sz w:val="24"/>
          <w:szCs w:val="24"/>
          <w:highlight w:val="none"/>
        </w:rPr>
        <w:t>所有内容后，结合自身资质、能力和特点，愿意接受招标文件的全部内容和条件，兹以</w:t>
      </w:r>
      <w:r>
        <w:rPr>
          <w:rFonts w:hint="eastAsia" w:ascii="宋体" w:hAnsi="宋体" w:eastAsia="宋体" w:cs="宋体"/>
          <w:color w:val="auto"/>
          <w:spacing w:val="-5"/>
          <w:sz w:val="24"/>
          <w:szCs w:val="24"/>
          <w:highlight w:val="none"/>
        </w:rPr>
        <w:t>人民币（大写</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66"/>
          <w:sz w:val="24"/>
          <w:szCs w:val="24"/>
          <w:highlight w:val="none"/>
        </w:rPr>
        <w:t xml:space="preserve"> </w:t>
      </w:r>
      <w:r>
        <w:rPr>
          <w:rFonts w:hint="eastAsia" w:ascii="宋体" w:hAnsi="宋体" w:eastAsia="宋体" w:cs="宋体"/>
          <w:color w:val="auto"/>
          <w:spacing w:val="2"/>
          <w:sz w:val="24"/>
          <w:szCs w:val="24"/>
          <w:highlight w:val="none"/>
          <w:u w:val="single"/>
        </w:rPr>
        <w:t xml:space="preserve">       </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的投标总价竞投本项目施工。</w:t>
      </w:r>
    </w:p>
    <w:p w14:paraId="42232FD7">
      <w:pPr>
        <w:spacing w:before="39" w:line="323" w:lineRule="auto"/>
        <w:ind w:right="142" w:firstLine="57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在我方的上述投标总价中，包括：</w:t>
      </w:r>
      <w:r>
        <w:rPr>
          <w:rFonts w:hint="eastAsia" w:ascii="宋体" w:hAnsi="宋体" w:eastAsia="宋体" w:cs="宋体"/>
          <w:color w:val="auto"/>
          <w:spacing w:val="-2"/>
          <w:sz w:val="24"/>
          <w:szCs w:val="24"/>
          <w:highlight w:val="none"/>
          <w:lang w:val="en-US" w:eastAsia="zh-CN"/>
        </w:rPr>
        <w:t>安全生产措施费</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u w:val="none"/>
          <w:lang w:eastAsia="zh-CN"/>
        </w:rPr>
        <w:t>；暂列金额</w:t>
      </w:r>
      <w:r>
        <w:rPr>
          <w:rFonts w:hint="eastAsia" w:ascii="宋体" w:hAnsi="宋体" w:eastAsia="宋体" w:cs="宋体"/>
          <w:color w:val="auto"/>
          <w:spacing w:val="-2"/>
          <w:sz w:val="24"/>
          <w:szCs w:val="24"/>
          <w:highlight w:val="none"/>
          <w:u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u w:val="none"/>
          <w:lang w:eastAsia="zh-CN"/>
        </w:rPr>
        <w:t>；暂估价</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8"/>
          <w:sz w:val="24"/>
          <w:szCs w:val="24"/>
          <w:highlight w:val="none"/>
        </w:rPr>
        <w:t>。</w:t>
      </w:r>
    </w:p>
    <w:p w14:paraId="50640A5A">
      <w:pPr>
        <w:spacing w:before="38" w:line="280" w:lineRule="auto"/>
        <w:ind w:left="13" w:right="142" w:firstLine="56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  如果我方中标，我方保证按照合同约定的开工日期开始本项目的施工</w:t>
      </w:r>
      <w:r>
        <w:rPr>
          <w:rFonts w:hint="eastAsia" w:ascii="宋体" w:hAnsi="宋体" w:eastAsia="宋体" w:cs="宋体"/>
          <w:color w:val="auto"/>
          <w:sz w:val="24"/>
          <w:szCs w:val="24"/>
          <w:highlight w:val="none"/>
        </w:rPr>
        <w:t>，</w:t>
      </w:r>
      <w:bookmarkStart w:id="227" w:name="OLE_LINK34"/>
      <w:r>
        <w:rPr>
          <w:rFonts w:hint="eastAsia" w:ascii="宋体" w:hAnsi="宋体" w:eastAsia="宋体" w:cs="宋体"/>
          <w:color w:val="auto"/>
          <w:sz w:val="24"/>
          <w:szCs w:val="24"/>
          <w:highlight w:val="none"/>
          <w:u w:val="single"/>
          <w:lang w:val="en-US" w:eastAsia="zh-CN"/>
        </w:rPr>
        <w:t xml:space="preserve">     </w:t>
      </w:r>
      <w:bookmarkEnd w:id="227"/>
      <w:r>
        <w:rPr>
          <w:rFonts w:hint="eastAsia" w:ascii="宋体" w:hAnsi="宋体" w:eastAsia="宋体" w:cs="宋体"/>
          <w:color w:val="auto"/>
          <w:sz w:val="24"/>
          <w:szCs w:val="24"/>
          <w:highlight w:val="none"/>
        </w:rPr>
        <w:t>个日历</w:t>
      </w:r>
      <w:r>
        <w:rPr>
          <w:rFonts w:hint="eastAsia" w:ascii="宋体" w:hAnsi="宋体" w:eastAsia="宋体" w:cs="宋体"/>
          <w:color w:val="auto"/>
          <w:spacing w:val="-1"/>
          <w:sz w:val="24"/>
          <w:szCs w:val="24"/>
          <w:highlight w:val="none"/>
        </w:rPr>
        <w:t>天内竣工，并确保工程质量达到</w:t>
      </w:r>
      <w:r>
        <w:rPr>
          <w:rFonts w:hint="eastAsia" w:ascii="宋体" w:hAnsi="宋体" w:eastAsia="宋体" w:cs="宋体"/>
          <w:color w:val="auto"/>
          <w:spacing w:val="-1"/>
          <w:sz w:val="24"/>
          <w:szCs w:val="24"/>
          <w:highlight w:val="none"/>
          <w:u w:val="single"/>
          <w:lang w:val="en-US" w:eastAsia="zh-CN"/>
        </w:rPr>
        <w:t xml:space="preserve">     </w:t>
      </w:r>
      <w:r>
        <w:rPr>
          <w:rFonts w:hint="eastAsia" w:ascii="宋体" w:hAnsi="宋体" w:eastAsia="宋体" w:cs="宋体"/>
          <w:color w:val="auto"/>
          <w:spacing w:val="-1"/>
          <w:sz w:val="24"/>
          <w:szCs w:val="24"/>
          <w:highlight w:val="none"/>
        </w:rPr>
        <w:t>标准和维修其中的任何缺陷。</w:t>
      </w:r>
    </w:p>
    <w:p w14:paraId="63DC731F">
      <w:pPr>
        <w:spacing w:before="152" w:line="279" w:lineRule="auto"/>
        <w:ind w:left="11" w:right="142" w:firstLine="56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  本投标函在你方接收我方递交的投标文件之日起、到招标</w:t>
      </w:r>
      <w:r>
        <w:rPr>
          <w:rFonts w:hint="eastAsia" w:ascii="宋体" w:hAnsi="宋体" w:eastAsia="宋体" w:cs="宋体"/>
          <w:color w:val="auto"/>
          <w:sz w:val="24"/>
          <w:szCs w:val="24"/>
          <w:highlight w:val="none"/>
        </w:rPr>
        <w:t>文件规定的投标有效</w:t>
      </w:r>
      <w:r>
        <w:rPr>
          <w:rFonts w:hint="eastAsia" w:ascii="宋体" w:hAnsi="宋体" w:eastAsia="宋体" w:cs="宋体"/>
          <w:color w:val="auto"/>
          <w:spacing w:val="-1"/>
          <w:sz w:val="24"/>
          <w:szCs w:val="24"/>
          <w:highlight w:val="none"/>
        </w:rPr>
        <w:t>期期满前对我方具有约束力。我方随时准备接受你方发出的中标通知书。</w:t>
      </w:r>
    </w:p>
    <w:p w14:paraId="12CDD9D6">
      <w:pPr>
        <w:spacing w:before="156" w:line="279" w:lineRule="auto"/>
        <w:ind w:left="11" w:right="61" w:firstLine="5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z w:val="24"/>
          <w:szCs w:val="24"/>
          <w:highlight w:val="none"/>
        </w:rPr>
        <w:t>．我方在此声明，我方不存在本项目招标</w:t>
      </w:r>
      <w:r>
        <w:rPr>
          <w:rFonts w:hint="eastAsia" w:ascii="宋体" w:hAnsi="宋体" w:eastAsia="宋体" w:cs="宋体"/>
          <w:color w:val="auto"/>
          <w:spacing w:val="-1"/>
          <w:sz w:val="24"/>
          <w:szCs w:val="24"/>
          <w:highlight w:val="none"/>
        </w:rPr>
        <w:t>文件第一章第三节第</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1"/>
          <w:sz w:val="24"/>
          <w:szCs w:val="24"/>
          <w:highlight w:val="none"/>
        </w:rPr>
        <w:t>2.4</w:t>
      </w:r>
      <w:r>
        <w:rPr>
          <w:rFonts w:hint="eastAsia" w:ascii="宋体" w:hAnsi="宋体" w:eastAsia="宋体" w:cs="宋体"/>
          <w:b/>
          <w:bCs/>
          <w:color w:val="auto"/>
          <w:spacing w:val="16"/>
          <w:w w:val="101"/>
          <w:sz w:val="24"/>
          <w:szCs w:val="24"/>
          <w:highlight w:val="none"/>
        </w:rPr>
        <w:t xml:space="preserve"> </w:t>
      </w:r>
      <w:r>
        <w:rPr>
          <w:rFonts w:hint="eastAsia" w:ascii="宋体" w:hAnsi="宋体" w:eastAsia="宋体" w:cs="宋体"/>
          <w:color w:val="auto"/>
          <w:spacing w:val="-1"/>
          <w:sz w:val="24"/>
          <w:szCs w:val="24"/>
          <w:highlight w:val="none"/>
        </w:rPr>
        <w:t>条“禁止投标</w:t>
      </w:r>
      <w:r>
        <w:rPr>
          <w:rFonts w:hint="eastAsia" w:ascii="宋体" w:hAnsi="宋体" w:eastAsia="宋体" w:cs="宋体"/>
          <w:color w:val="auto"/>
          <w:spacing w:val="-6"/>
          <w:sz w:val="24"/>
          <w:szCs w:val="24"/>
          <w:highlight w:val="none"/>
        </w:rPr>
        <w:t>条款</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6"/>
          <w:sz w:val="24"/>
          <w:szCs w:val="24"/>
          <w:highlight w:val="none"/>
        </w:rPr>
        <w:t>”所列出的任何一种情形，并愿意承担因我</w:t>
      </w:r>
      <w:r>
        <w:rPr>
          <w:rFonts w:hint="eastAsia" w:ascii="宋体" w:hAnsi="宋体" w:eastAsia="宋体" w:cs="宋体"/>
          <w:color w:val="auto"/>
          <w:spacing w:val="-7"/>
          <w:sz w:val="24"/>
          <w:szCs w:val="24"/>
          <w:highlight w:val="none"/>
        </w:rPr>
        <w:t>方就此弄虚作假所引起的一切法律后果。</w:t>
      </w:r>
    </w:p>
    <w:p w14:paraId="69028085">
      <w:pPr>
        <w:spacing w:before="153" w:line="280" w:lineRule="auto"/>
        <w:ind w:left="9" w:right="142" w:firstLine="57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2"/>
          <w:sz w:val="24"/>
          <w:szCs w:val="24"/>
          <w:highlight w:val="none"/>
        </w:rPr>
        <w:t>．我方在此承诺，所递交投标文件的全部内容均为真实、有效、准确的，并愿意承担因我方就此弄虚作假所引起的一切法律后果，同时理解和同意有可能被要求提供更</w:t>
      </w:r>
    </w:p>
    <w:p w14:paraId="4D86EAF2">
      <w:pPr>
        <w:spacing w:before="153" w:line="221"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多的资料。</w:t>
      </w:r>
    </w:p>
    <w:p w14:paraId="47668C44">
      <w:pPr>
        <w:spacing w:before="153" w:line="326" w:lineRule="auto"/>
        <w:ind w:left="13" w:firstLine="56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  我方理解你方不一定要接纳收到的最低投标总价或任何投标总价的投标人中标，</w:t>
      </w:r>
      <w:r>
        <w:rPr>
          <w:rFonts w:hint="eastAsia" w:ascii="宋体" w:hAnsi="宋体" w:eastAsia="宋体" w:cs="宋体"/>
          <w:color w:val="auto"/>
          <w:spacing w:val="-1"/>
          <w:sz w:val="24"/>
          <w:szCs w:val="24"/>
          <w:highlight w:val="none"/>
        </w:rPr>
        <w:t>也不要求你方解释我方是否中标的原因。</w:t>
      </w:r>
    </w:p>
    <w:p w14:paraId="13B4F1F2">
      <w:pPr>
        <w:pStyle w:val="5"/>
        <w:spacing w:line="276" w:lineRule="auto"/>
        <w:rPr>
          <w:rFonts w:hint="eastAsia" w:ascii="宋体" w:hAnsi="宋体" w:eastAsia="宋体" w:cs="宋体"/>
          <w:color w:val="auto"/>
          <w:highlight w:val="none"/>
        </w:rPr>
      </w:pPr>
    </w:p>
    <w:p w14:paraId="1831F436">
      <w:pPr>
        <w:pStyle w:val="5"/>
        <w:spacing w:line="277" w:lineRule="auto"/>
        <w:rPr>
          <w:rFonts w:hint="eastAsia" w:ascii="宋体" w:hAnsi="宋体" w:eastAsia="宋体" w:cs="宋体"/>
          <w:color w:val="auto"/>
          <w:highlight w:val="none"/>
        </w:rPr>
      </w:pPr>
    </w:p>
    <w:p w14:paraId="3AC7C5A8">
      <w:pPr>
        <w:pStyle w:val="5"/>
        <w:spacing w:line="277" w:lineRule="auto"/>
        <w:rPr>
          <w:rFonts w:hint="eastAsia" w:ascii="宋体" w:hAnsi="宋体" w:eastAsia="宋体" w:cs="宋体"/>
          <w:color w:val="auto"/>
          <w:highlight w:val="none"/>
        </w:rPr>
      </w:pPr>
    </w:p>
    <w:p w14:paraId="21D36DDF">
      <w:pPr>
        <w:spacing w:before="79" w:line="219" w:lineRule="auto"/>
        <w:ind w:firstLine="5856" w:firstLineChars="240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78B3688F">
      <w:pPr>
        <w:pStyle w:val="5"/>
        <w:spacing w:line="256" w:lineRule="auto"/>
        <w:jc w:val="right"/>
        <w:rPr>
          <w:rFonts w:hint="eastAsia" w:ascii="宋体" w:hAnsi="宋体" w:eastAsia="宋体" w:cs="宋体"/>
          <w:color w:val="auto"/>
          <w:highlight w:val="none"/>
        </w:rPr>
      </w:pPr>
    </w:p>
    <w:p w14:paraId="357977FD">
      <w:pPr>
        <w:pStyle w:val="5"/>
        <w:spacing w:line="256" w:lineRule="auto"/>
        <w:jc w:val="right"/>
        <w:rPr>
          <w:rFonts w:hint="eastAsia" w:ascii="宋体" w:hAnsi="宋体" w:eastAsia="宋体" w:cs="宋体"/>
          <w:color w:val="auto"/>
          <w:highlight w:val="none"/>
        </w:rPr>
      </w:pPr>
    </w:p>
    <w:p w14:paraId="053292DD">
      <w:pPr>
        <w:spacing w:before="78" w:line="219" w:lineRule="auto"/>
        <w:ind w:left="3922"/>
        <w:jc w:val="righ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6662D32F">
      <w:pPr>
        <w:pStyle w:val="5"/>
        <w:spacing w:line="257" w:lineRule="auto"/>
        <w:rPr>
          <w:rFonts w:hint="eastAsia" w:ascii="宋体" w:hAnsi="宋体" w:eastAsia="宋体" w:cs="宋体"/>
          <w:color w:val="auto"/>
          <w:highlight w:val="none"/>
        </w:rPr>
      </w:pPr>
    </w:p>
    <w:p w14:paraId="070C60B1">
      <w:pPr>
        <w:pStyle w:val="5"/>
        <w:spacing w:line="257" w:lineRule="auto"/>
        <w:rPr>
          <w:rFonts w:hint="eastAsia" w:ascii="宋体" w:hAnsi="宋体" w:eastAsia="宋体" w:cs="宋体"/>
          <w:color w:val="auto"/>
          <w:highlight w:val="none"/>
        </w:rPr>
      </w:pPr>
    </w:p>
    <w:p w14:paraId="34941473">
      <w:pPr>
        <w:spacing w:before="79" w:line="220" w:lineRule="auto"/>
        <w:ind w:left="697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日</w:t>
      </w:r>
    </w:p>
    <w:p w14:paraId="533951B9">
      <w:pPr>
        <w:spacing w:line="220" w:lineRule="auto"/>
        <w:rPr>
          <w:rFonts w:hint="eastAsia" w:ascii="宋体" w:hAnsi="宋体" w:eastAsia="宋体" w:cs="宋体"/>
          <w:color w:val="auto"/>
          <w:sz w:val="24"/>
          <w:szCs w:val="24"/>
          <w:highlight w:val="none"/>
        </w:rPr>
        <w:sectPr>
          <w:footerReference r:id="rId14"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445A9343">
      <w:pPr>
        <w:spacing w:before="78" w:line="220" w:lineRule="auto"/>
        <w:outlineLvl w:val="2"/>
        <w:rPr>
          <w:rFonts w:hint="eastAsia" w:ascii="宋体" w:hAnsi="宋体" w:eastAsia="宋体" w:cs="宋体"/>
          <w:b/>
          <w:bCs/>
          <w:color w:val="auto"/>
          <w:spacing w:val="-4"/>
          <w:sz w:val="24"/>
          <w:szCs w:val="24"/>
          <w:highlight w:val="none"/>
        </w:rPr>
      </w:pPr>
      <w:bookmarkStart w:id="228" w:name="_Toc15958"/>
      <w:r>
        <w:rPr>
          <w:rFonts w:hint="eastAsia" w:ascii="宋体" w:hAnsi="宋体" w:eastAsia="宋体" w:cs="宋体"/>
          <w:b/>
          <w:bCs/>
          <w:color w:val="auto"/>
          <w:spacing w:val="-4"/>
          <w:sz w:val="24"/>
          <w:szCs w:val="24"/>
          <w:highlight w:val="none"/>
        </w:rPr>
        <w:t>格式三 各项承诺一览表</w:t>
      </w:r>
      <w:bookmarkEnd w:id="228"/>
    </w:p>
    <w:p w14:paraId="0D7CCACD">
      <w:pPr>
        <w:pStyle w:val="5"/>
        <w:spacing w:line="254" w:lineRule="auto"/>
        <w:rPr>
          <w:rFonts w:hint="eastAsia" w:ascii="宋体" w:hAnsi="宋体" w:eastAsia="宋体" w:cs="宋体"/>
          <w:color w:val="auto"/>
          <w:highlight w:val="none"/>
        </w:rPr>
      </w:pPr>
    </w:p>
    <w:p w14:paraId="4A57AF5C">
      <w:pPr>
        <w:spacing w:before="98" w:line="220" w:lineRule="auto"/>
        <w:ind w:left="3581"/>
        <w:outlineLvl w:val="9"/>
        <w:rPr>
          <w:rFonts w:hint="eastAsia" w:ascii="宋体" w:hAnsi="宋体" w:eastAsia="宋体" w:cs="宋体"/>
          <w:color w:val="auto"/>
          <w:sz w:val="30"/>
          <w:szCs w:val="30"/>
          <w:highlight w:val="none"/>
        </w:rPr>
      </w:pPr>
      <w:bookmarkStart w:id="229" w:name="bookmark149"/>
      <w:bookmarkEnd w:id="229"/>
      <w:bookmarkStart w:id="230" w:name="_Toc2936"/>
      <w:bookmarkStart w:id="231" w:name="_Toc4767"/>
      <w:bookmarkStart w:id="232" w:name="_Toc10326"/>
      <w:r>
        <w:rPr>
          <w:rFonts w:hint="eastAsia" w:ascii="宋体" w:hAnsi="宋体" w:eastAsia="宋体" w:cs="宋体"/>
          <w:b/>
          <w:bCs/>
          <w:color w:val="auto"/>
          <w:spacing w:val="-5"/>
          <w:sz w:val="30"/>
          <w:szCs w:val="30"/>
          <w:highlight w:val="none"/>
        </w:rPr>
        <w:t>各项承诺一览表</w:t>
      </w:r>
      <w:bookmarkEnd w:id="230"/>
      <w:bookmarkEnd w:id="231"/>
      <w:bookmarkEnd w:id="232"/>
    </w:p>
    <w:p w14:paraId="1040ACDB">
      <w:pPr>
        <w:spacing w:before="6"/>
        <w:rPr>
          <w:rFonts w:hint="eastAsia" w:ascii="宋体" w:hAnsi="宋体" w:eastAsia="宋体" w:cs="宋体"/>
          <w:color w:val="auto"/>
          <w:highlight w:val="none"/>
        </w:rPr>
      </w:pPr>
    </w:p>
    <w:tbl>
      <w:tblPr>
        <w:tblStyle w:val="14"/>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4"/>
        <w:gridCol w:w="1675"/>
        <w:gridCol w:w="3107"/>
        <w:gridCol w:w="4272"/>
      </w:tblGrid>
      <w:tr w14:paraId="284FBB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43AFBAA6">
            <w:pPr>
              <w:keepNext w:val="0"/>
              <w:keepLines w:val="0"/>
              <w:pageBreakBefore w:val="0"/>
              <w:widowControl/>
              <w:kinsoku w:val="0"/>
              <w:wordWrap/>
              <w:overflowPunct/>
              <w:topLinePunct w:val="0"/>
              <w:autoSpaceDE w:val="0"/>
              <w:autoSpaceDN w:val="0"/>
              <w:bidi w:val="0"/>
              <w:adjustRightInd w:val="0"/>
              <w:snapToGrid w:val="0"/>
              <w:spacing w:before="209" w:line="288" w:lineRule="auto"/>
              <w:ind w:left="12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75" w:type="dxa"/>
            <w:vAlign w:val="top"/>
          </w:tcPr>
          <w:p w14:paraId="3932ED98">
            <w:pPr>
              <w:keepNext w:val="0"/>
              <w:keepLines w:val="0"/>
              <w:pageBreakBefore w:val="0"/>
              <w:widowControl/>
              <w:kinsoku w:val="0"/>
              <w:wordWrap/>
              <w:overflowPunct/>
              <w:topLinePunct w:val="0"/>
              <w:autoSpaceDE w:val="0"/>
              <w:autoSpaceDN w:val="0"/>
              <w:bidi w:val="0"/>
              <w:adjustRightInd w:val="0"/>
              <w:snapToGrid w:val="0"/>
              <w:spacing w:before="208" w:line="288" w:lineRule="auto"/>
              <w:ind w:left="31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承诺事项</w:t>
            </w:r>
          </w:p>
        </w:tc>
        <w:tc>
          <w:tcPr>
            <w:tcW w:w="3107" w:type="dxa"/>
            <w:vAlign w:val="top"/>
          </w:tcPr>
          <w:p w14:paraId="6926247B">
            <w:pPr>
              <w:keepNext w:val="0"/>
              <w:keepLines w:val="0"/>
              <w:pageBreakBefore w:val="0"/>
              <w:widowControl/>
              <w:kinsoku w:val="0"/>
              <w:wordWrap/>
              <w:overflowPunct/>
              <w:topLinePunct w:val="0"/>
              <w:autoSpaceDE w:val="0"/>
              <w:autoSpaceDN w:val="0"/>
              <w:bidi w:val="0"/>
              <w:adjustRightInd w:val="0"/>
              <w:snapToGrid w:val="0"/>
              <w:spacing w:before="209" w:line="288" w:lineRule="auto"/>
              <w:ind w:left="98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承诺内容</w:t>
            </w:r>
          </w:p>
        </w:tc>
        <w:tc>
          <w:tcPr>
            <w:tcW w:w="4272" w:type="dxa"/>
            <w:vAlign w:val="top"/>
          </w:tcPr>
          <w:p w14:paraId="19484B26">
            <w:pPr>
              <w:keepNext w:val="0"/>
              <w:keepLines w:val="0"/>
              <w:pageBreakBefore w:val="0"/>
              <w:widowControl/>
              <w:kinsoku w:val="0"/>
              <w:wordWrap/>
              <w:overflowPunct/>
              <w:topLinePunct w:val="0"/>
              <w:autoSpaceDE w:val="0"/>
              <w:autoSpaceDN w:val="0"/>
              <w:bidi w:val="0"/>
              <w:adjustRightInd w:val="0"/>
              <w:snapToGrid w:val="0"/>
              <w:spacing w:before="209" w:line="288" w:lineRule="auto"/>
              <w:ind w:left="153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违约承诺</w:t>
            </w:r>
          </w:p>
        </w:tc>
      </w:tr>
      <w:tr w14:paraId="56FAD1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0E6E63E4">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968E03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F6DB51F">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0368CE1">
            <w:pPr>
              <w:keepNext w:val="0"/>
              <w:keepLines w:val="0"/>
              <w:pageBreakBefore w:val="0"/>
              <w:widowControl/>
              <w:kinsoku w:val="0"/>
              <w:wordWrap/>
              <w:overflowPunct/>
              <w:topLinePunct w:val="0"/>
              <w:autoSpaceDE w:val="0"/>
              <w:autoSpaceDN w:val="0"/>
              <w:bidi w:val="0"/>
              <w:adjustRightInd w:val="0"/>
              <w:snapToGrid w:val="0"/>
              <w:spacing w:before="58" w:line="288" w:lineRule="auto"/>
              <w:ind w:left="32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75" w:type="dxa"/>
            <w:vAlign w:val="top"/>
          </w:tcPr>
          <w:p w14:paraId="1A6424C5">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9254A2E">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93C2F8C">
            <w:pPr>
              <w:keepNext w:val="0"/>
              <w:keepLines w:val="0"/>
              <w:pageBreakBefore w:val="0"/>
              <w:widowControl/>
              <w:kinsoku w:val="0"/>
              <w:wordWrap/>
              <w:overflowPunct/>
              <w:topLinePunct w:val="0"/>
              <w:autoSpaceDE w:val="0"/>
              <w:autoSpaceDN w:val="0"/>
              <w:bidi w:val="0"/>
              <w:adjustRightInd w:val="0"/>
              <w:snapToGrid w:val="0"/>
              <w:spacing w:before="65" w:line="288" w:lineRule="auto"/>
              <w:ind w:left="57" w:right="50" w:firstLine="13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自愿接受招标</w:t>
            </w:r>
            <w:r>
              <w:rPr>
                <w:rFonts w:hint="eastAsia" w:ascii="宋体" w:hAnsi="宋体" w:eastAsia="宋体" w:cs="宋体"/>
                <w:color w:val="auto"/>
                <w:spacing w:val="8"/>
                <w:sz w:val="24"/>
                <w:szCs w:val="24"/>
                <w:highlight w:val="none"/>
              </w:rPr>
              <w:t>文件条款的承诺</w:t>
            </w:r>
          </w:p>
        </w:tc>
        <w:tc>
          <w:tcPr>
            <w:tcW w:w="3107" w:type="dxa"/>
            <w:vAlign w:val="top"/>
          </w:tcPr>
          <w:p w14:paraId="17F8556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08CCBC6">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5"/>
                <w:sz w:val="24"/>
                <w:szCs w:val="24"/>
                <w:highlight w:val="none"/>
              </w:rPr>
              <w:t>我方自愿接受招标文件的</w:t>
            </w:r>
            <w:r>
              <w:rPr>
                <w:rFonts w:hint="eastAsia" w:ascii="宋体" w:hAnsi="宋体" w:eastAsia="宋体" w:cs="宋体"/>
                <w:color w:val="auto"/>
                <w:spacing w:val="7"/>
                <w:sz w:val="24"/>
                <w:szCs w:val="24"/>
                <w:highlight w:val="none"/>
              </w:rPr>
              <w:t>所有条款，所递交的投标文件已</w:t>
            </w: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spacing w:val="23"/>
                <w:sz w:val="24"/>
                <w:szCs w:val="24"/>
                <w:highlight w:val="none"/>
              </w:rPr>
              <w:t>经充分响应招标文件的实质性</w:t>
            </w:r>
            <w:r>
              <w:rPr>
                <w:rFonts w:hint="eastAsia" w:ascii="宋体" w:hAnsi="宋体" w:eastAsia="宋体" w:cs="宋体"/>
                <w:color w:val="auto"/>
                <w:spacing w:val="3"/>
                <w:sz w:val="24"/>
                <w:szCs w:val="24"/>
                <w:highlight w:val="none"/>
              </w:rPr>
              <w:t>要求。</w:t>
            </w:r>
          </w:p>
        </w:tc>
        <w:tc>
          <w:tcPr>
            <w:tcW w:w="4272" w:type="dxa"/>
            <w:vAlign w:val="top"/>
          </w:tcPr>
          <w:p w14:paraId="3F01A048">
            <w:pPr>
              <w:keepNext w:val="0"/>
              <w:keepLines w:val="0"/>
              <w:pageBreakBefore w:val="0"/>
              <w:widowControl/>
              <w:kinsoku w:val="0"/>
              <w:wordWrap/>
              <w:overflowPunct/>
              <w:topLinePunct w:val="0"/>
              <w:autoSpaceDE w:val="0"/>
              <w:autoSpaceDN w:val="0"/>
              <w:bidi w:val="0"/>
              <w:adjustRightInd w:val="0"/>
              <w:snapToGrid w:val="0"/>
              <w:spacing w:before="122" w:line="288" w:lineRule="auto"/>
              <w:ind w:left="14" w:right="4"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如果我方的投标文件未响应、违反、偏</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0"/>
                <w:sz w:val="24"/>
                <w:szCs w:val="24"/>
                <w:highlight w:val="none"/>
              </w:rPr>
              <w:t>离招标文件的实质性要求，我方接受招标人或其授权的招标代理机构或其组建的评标委员会依据招标文件作出的相应处理，包括否</w:t>
            </w:r>
            <w:r>
              <w:rPr>
                <w:rFonts w:hint="eastAsia" w:ascii="宋体" w:hAnsi="宋体" w:eastAsia="宋体" w:cs="宋体"/>
                <w:color w:val="auto"/>
                <w:spacing w:val="4"/>
                <w:sz w:val="24"/>
                <w:szCs w:val="24"/>
                <w:highlight w:val="none"/>
              </w:rPr>
              <w:t>决投标。</w:t>
            </w:r>
          </w:p>
        </w:tc>
      </w:tr>
      <w:tr w14:paraId="5B2BBB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59167F8E">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B11ADA9">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46CB1A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D78AF5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05C670F">
            <w:pPr>
              <w:keepNext w:val="0"/>
              <w:keepLines w:val="0"/>
              <w:pageBreakBefore w:val="0"/>
              <w:widowControl/>
              <w:kinsoku w:val="0"/>
              <w:wordWrap/>
              <w:overflowPunct/>
              <w:topLinePunct w:val="0"/>
              <w:autoSpaceDE w:val="0"/>
              <w:autoSpaceDN w:val="0"/>
              <w:bidi w:val="0"/>
              <w:adjustRightInd w:val="0"/>
              <w:snapToGrid w:val="0"/>
              <w:spacing w:before="58" w:line="288" w:lineRule="auto"/>
              <w:ind w:left="30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75" w:type="dxa"/>
            <w:vAlign w:val="top"/>
          </w:tcPr>
          <w:p w14:paraId="05B3009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BE0188E">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65F625A">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DAEEEEA">
            <w:pPr>
              <w:keepNext w:val="0"/>
              <w:keepLines w:val="0"/>
              <w:pageBreakBefore w:val="0"/>
              <w:widowControl/>
              <w:kinsoku w:val="0"/>
              <w:wordWrap/>
              <w:overflowPunct/>
              <w:topLinePunct w:val="0"/>
              <w:autoSpaceDE w:val="0"/>
              <w:autoSpaceDN w:val="0"/>
              <w:bidi w:val="0"/>
              <w:adjustRightInd w:val="0"/>
              <w:snapToGrid w:val="0"/>
              <w:spacing w:before="65" w:line="288" w:lineRule="auto"/>
              <w:ind w:left="262" w:right="261" w:firstLine="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无禁止投标</w:t>
            </w:r>
            <w:r>
              <w:rPr>
                <w:rFonts w:hint="eastAsia" w:ascii="宋体" w:hAnsi="宋体" w:eastAsia="宋体" w:cs="宋体"/>
                <w:color w:val="auto"/>
                <w:spacing w:val="8"/>
                <w:sz w:val="24"/>
                <w:szCs w:val="24"/>
                <w:highlight w:val="none"/>
              </w:rPr>
              <w:t>情形的承诺</w:t>
            </w:r>
          </w:p>
        </w:tc>
        <w:tc>
          <w:tcPr>
            <w:tcW w:w="3107" w:type="dxa"/>
            <w:vAlign w:val="top"/>
          </w:tcPr>
          <w:p w14:paraId="43B9FDA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1E22312">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368A58B">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5"/>
                <w:sz w:val="24"/>
                <w:szCs w:val="24"/>
                <w:highlight w:val="none"/>
              </w:rPr>
              <w:t>我方不存在招标文件第一</w:t>
            </w:r>
            <w:r>
              <w:rPr>
                <w:rFonts w:hint="eastAsia" w:ascii="宋体" w:hAnsi="宋体" w:eastAsia="宋体" w:cs="宋体"/>
                <w:color w:val="auto"/>
                <w:spacing w:val="8"/>
                <w:sz w:val="24"/>
                <w:szCs w:val="24"/>
                <w:highlight w:val="none"/>
              </w:rPr>
              <w:t>章第三节第</w:t>
            </w:r>
            <w:r>
              <w:rPr>
                <w:rFonts w:hint="eastAsia" w:ascii="宋体" w:hAnsi="宋体" w:eastAsia="宋体" w:cs="宋体"/>
                <w:color w:val="auto"/>
                <w:spacing w:val="-35"/>
                <w:sz w:val="24"/>
                <w:szCs w:val="24"/>
                <w:highlight w:val="none"/>
              </w:rPr>
              <w:t xml:space="preserve"> </w:t>
            </w:r>
            <w:r>
              <w:rPr>
                <w:rFonts w:hint="eastAsia" w:ascii="宋体" w:hAnsi="宋体" w:eastAsia="宋体" w:cs="宋体"/>
                <w:b/>
                <w:bCs/>
                <w:color w:val="auto"/>
                <w:spacing w:val="8"/>
                <w:sz w:val="24"/>
                <w:szCs w:val="24"/>
                <w:highlight w:val="none"/>
              </w:rPr>
              <w:t>2.4</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8"/>
                <w:sz w:val="24"/>
                <w:szCs w:val="24"/>
                <w:highlight w:val="none"/>
              </w:rPr>
              <w:t>条“禁止投标条</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6"/>
                <w:sz w:val="24"/>
                <w:szCs w:val="24"/>
                <w:highlight w:val="none"/>
              </w:rPr>
              <w:t>款</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6"/>
                <w:sz w:val="24"/>
                <w:szCs w:val="24"/>
                <w:highlight w:val="none"/>
              </w:rPr>
              <w:t>”规定的任何一种情形。</w:t>
            </w:r>
          </w:p>
        </w:tc>
        <w:tc>
          <w:tcPr>
            <w:tcW w:w="4272" w:type="dxa"/>
            <w:vAlign w:val="top"/>
          </w:tcPr>
          <w:p w14:paraId="367FAD05">
            <w:pPr>
              <w:keepNext w:val="0"/>
              <w:keepLines w:val="0"/>
              <w:pageBreakBefore w:val="0"/>
              <w:widowControl/>
              <w:kinsoku w:val="0"/>
              <w:wordWrap/>
              <w:overflowPunct/>
              <w:topLinePunct w:val="0"/>
              <w:autoSpaceDE w:val="0"/>
              <w:autoSpaceDN w:val="0"/>
              <w:bidi w:val="0"/>
              <w:adjustRightInd w:val="0"/>
              <w:snapToGrid w:val="0"/>
              <w:spacing w:before="122" w:line="288" w:lineRule="auto"/>
              <w:ind w:left="9" w:firstLine="4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如果我方有招标文件第一章第三节第</w:t>
            </w:r>
            <w:r>
              <w:rPr>
                <w:rFonts w:hint="eastAsia" w:ascii="宋体" w:hAnsi="宋体" w:eastAsia="宋体" w:cs="宋体"/>
                <w:color w:val="auto"/>
                <w:spacing w:val="-27"/>
                <w:sz w:val="24"/>
                <w:szCs w:val="24"/>
                <w:highlight w:val="none"/>
              </w:rPr>
              <w:t xml:space="preserve"> </w:t>
            </w:r>
            <w:r>
              <w:rPr>
                <w:rFonts w:hint="eastAsia" w:ascii="宋体" w:hAnsi="宋体" w:eastAsia="宋体" w:cs="宋体"/>
                <w:b/>
                <w:bCs/>
                <w:color w:val="auto"/>
                <w:spacing w:val="6"/>
                <w:sz w:val="24"/>
                <w:szCs w:val="24"/>
                <w:highlight w:val="none"/>
              </w:rPr>
              <w:t>2.</w:t>
            </w:r>
            <w:r>
              <w:rPr>
                <w:rFonts w:hint="eastAsia" w:ascii="宋体" w:hAnsi="宋体" w:eastAsia="宋体" w:cs="宋体"/>
                <w:b/>
                <w:bCs/>
                <w:color w:val="auto"/>
                <w:spacing w:val="1"/>
                <w:sz w:val="24"/>
                <w:szCs w:val="24"/>
                <w:highlight w:val="none"/>
              </w:rPr>
              <w:t xml:space="preserve">4 </w:t>
            </w:r>
            <w:r>
              <w:rPr>
                <w:rFonts w:hint="eastAsia" w:ascii="宋体" w:hAnsi="宋体" w:eastAsia="宋体" w:cs="宋体"/>
                <w:color w:val="auto"/>
                <w:spacing w:val="1"/>
                <w:sz w:val="24"/>
                <w:szCs w:val="24"/>
                <w:highlight w:val="none"/>
              </w:rPr>
              <w:t>条“禁止投标条款</w:t>
            </w:r>
            <w:r>
              <w:rPr>
                <w:rFonts w:hint="eastAsia" w:ascii="宋体" w:hAnsi="宋体" w:eastAsia="宋体" w:cs="宋体"/>
                <w:color w:val="auto"/>
                <w:spacing w:val="-65"/>
                <w:sz w:val="24"/>
                <w:szCs w:val="24"/>
                <w:highlight w:val="none"/>
              </w:rPr>
              <w:t xml:space="preserve"> </w:t>
            </w:r>
            <w:r>
              <w:rPr>
                <w:rFonts w:hint="eastAsia" w:ascii="宋体" w:hAnsi="宋体" w:eastAsia="宋体" w:cs="宋体"/>
                <w:color w:val="auto"/>
                <w:spacing w:val="1"/>
                <w:sz w:val="24"/>
                <w:szCs w:val="24"/>
                <w:highlight w:val="none"/>
              </w:rPr>
              <w:t>”规定的任何一种情形，</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我方接受招标人或其授权的招标代理机构或</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8"/>
                <w:sz w:val="24"/>
                <w:szCs w:val="24"/>
                <w:highlight w:val="none"/>
              </w:rPr>
              <w:t>其组建的评标委员会依据招标文件作出的相</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8"/>
                <w:sz w:val="24"/>
                <w:szCs w:val="24"/>
                <w:highlight w:val="none"/>
              </w:rPr>
              <w:t>应处理以及有关监督部门作出的行政处罚，</w:t>
            </w:r>
            <w:r>
              <w:rPr>
                <w:rFonts w:hint="eastAsia" w:ascii="宋体" w:hAnsi="宋体" w:eastAsia="宋体" w:cs="宋体"/>
                <w:color w:val="auto"/>
                <w:spacing w:val="6"/>
                <w:sz w:val="24"/>
                <w:szCs w:val="24"/>
                <w:highlight w:val="none"/>
              </w:rPr>
              <w:t>并承担由此引起的一切法律后果。</w:t>
            </w:r>
          </w:p>
        </w:tc>
      </w:tr>
      <w:tr w14:paraId="18C1C7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7AAD0204">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BFA5DE0">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60ED34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EF741A1">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9E73C69">
            <w:pPr>
              <w:keepNext w:val="0"/>
              <w:keepLines w:val="0"/>
              <w:pageBreakBefore w:val="0"/>
              <w:widowControl/>
              <w:kinsoku w:val="0"/>
              <w:wordWrap/>
              <w:overflowPunct/>
              <w:topLinePunct w:val="0"/>
              <w:autoSpaceDE w:val="0"/>
              <w:autoSpaceDN w:val="0"/>
              <w:bidi w:val="0"/>
              <w:adjustRightInd w:val="0"/>
              <w:snapToGrid w:val="0"/>
              <w:spacing w:before="57"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675" w:type="dxa"/>
            <w:vAlign w:val="top"/>
          </w:tcPr>
          <w:p w14:paraId="438AD487">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92BBB59">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2454EE3">
            <w:pPr>
              <w:keepNext w:val="0"/>
              <w:keepLines w:val="0"/>
              <w:pageBreakBefore w:val="0"/>
              <w:widowControl/>
              <w:kinsoku w:val="0"/>
              <w:wordWrap/>
              <w:overflowPunct/>
              <w:topLinePunct w:val="0"/>
              <w:autoSpaceDE w:val="0"/>
              <w:autoSpaceDN w:val="0"/>
              <w:bidi w:val="0"/>
              <w:adjustRightInd w:val="0"/>
              <w:snapToGrid w:val="0"/>
              <w:spacing w:before="65" w:line="288" w:lineRule="auto"/>
              <w:ind w:left="1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自觉抵制围标</w:t>
            </w:r>
          </w:p>
          <w:p w14:paraId="07205FD8">
            <w:pPr>
              <w:keepNext w:val="0"/>
              <w:keepLines w:val="0"/>
              <w:pageBreakBefore w:val="0"/>
              <w:widowControl/>
              <w:kinsoku w:val="0"/>
              <w:wordWrap/>
              <w:overflowPunct/>
              <w:topLinePunct w:val="0"/>
              <w:autoSpaceDE w:val="0"/>
              <w:autoSpaceDN w:val="0"/>
              <w:bidi w:val="0"/>
              <w:adjustRightInd w:val="0"/>
              <w:snapToGrid w:val="0"/>
              <w:spacing w:before="131" w:line="288" w:lineRule="auto"/>
              <w:ind w:left="28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串标和弄虚</w:t>
            </w:r>
          </w:p>
          <w:p w14:paraId="7DFCC592">
            <w:pPr>
              <w:keepNext w:val="0"/>
              <w:keepLines w:val="0"/>
              <w:pageBreakBefore w:val="0"/>
              <w:widowControl/>
              <w:kinsoku w:val="0"/>
              <w:wordWrap/>
              <w:overflowPunct/>
              <w:topLinePunct w:val="0"/>
              <w:autoSpaceDE w:val="0"/>
              <w:autoSpaceDN w:val="0"/>
              <w:bidi w:val="0"/>
              <w:adjustRightInd w:val="0"/>
              <w:snapToGrid w:val="0"/>
              <w:spacing w:before="133" w:line="288" w:lineRule="auto"/>
              <w:ind w:left="5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作假行为的承诺</w:t>
            </w:r>
          </w:p>
        </w:tc>
        <w:tc>
          <w:tcPr>
            <w:tcW w:w="3107" w:type="dxa"/>
            <w:vAlign w:val="top"/>
          </w:tcPr>
          <w:p w14:paraId="0DE69FD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D8D72D4">
            <w:pPr>
              <w:keepNext w:val="0"/>
              <w:keepLines w:val="0"/>
              <w:pageBreakBefore w:val="0"/>
              <w:widowControl/>
              <w:kinsoku w:val="0"/>
              <w:wordWrap/>
              <w:overflowPunct/>
              <w:topLinePunct w:val="0"/>
              <w:autoSpaceDE w:val="0"/>
              <w:autoSpaceDN w:val="0"/>
              <w:bidi w:val="0"/>
              <w:adjustRightInd w:val="0"/>
              <w:snapToGrid w:val="0"/>
              <w:spacing w:before="65" w:line="288" w:lineRule="auto"/>
              <w:ind w:left="11" w:right="2"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我方合法正当、诚实守信地</w:t>
            </w:r>
            <w:r>
              <w:rPr>
                <w:rFonts w:hint="eastAsia" w:ascii="宋体" w:hAnsi="宋体" w:eastAsia="宋体" w:cs="宋体"/>
                <w:color w:val="auto"/>
                <w:spacing w:val="7"/>
                <w:sz w:val="24"/>
                <w:szCs w:val="24"/>
                <w:highlight w:val="none"/>
              </w:rPr>
              <w:t>参与投标，不组织、不参加围标串标违法行为，不通过弄虚作假</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6"/>
                <w:sz w:val="24"/>
                <w:szCs w:val="24"/>
                <w:highlight w:val="none"/>
              </w:rPr>
              <w:t>行为骗取中标。</w:t>
            </w:r>
          </w:p>
        </w:tc>
        <w:tc>
          <w:tcPr>
            <w:tcW w:w="4272" w:type="dxa"/>
            <w:vAlign w:val="top"/>
          </w:tcPr>
          <w:p w14:paraId="4589066B">
            <w:pPr>
              <w:keepNext w:val="0"/>
              <w:keepLines w:val="0"/>
              <w:pageBreakBefore w:val="0"/>
              <w:widowControl/>
              <w:kinsoku w:val="0"/>
              <w:wordWrap/>
              <w:overflowPunct/>
              <w:topLinePunct w:val="0"/>
              <w:autoSpaceDE w:val="0"/>
              <w:autoSpaceDN w:val="0"/>
              <w:bidi w:val="0"/>
              <w:adjustRightInd w:val="0"/>
              <w:snapToGrid w:val="0"/>
              <w:spacing w:before="129" w:line="288" w:lineRule="auto"/>
              <w:ind w:left="13" w:right="4"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w:t>
            </w:r>
            <w:r>
              <w:rPr>
                <w:rFonts w:hint="eastAsia" w:ascii="宋体" w:hAnsi="宋体" w:eastAsia="宋体" w:cs="宋体"/>
                <w:color w:val="auto"/>
                <w:spacing w:val="7"/>
                <w:sz w:val="24"/>
                <w:szCs w:val="24"/>
                <w:highlight w:val="none"/>
              </w:rPr>
              <w:t>引起的一切法律后果。</w:t>
            </w:r>
          </w:p>
        </w:tc>
      </w:tr>
      <w:tr w14:paraId="312D6B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38715187">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7D55ACF">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6165398">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F45AC13">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089FA48">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C43D837">
            <w:pPr>
              <w:keepNext w:val="0"/>
              <w:keepLines w:val="0"/>
              <w:pageBreakBefore w:val="0"/>
              <w:widowControl/>
              <w:kinsoku w:val="0"/>
              <w:wordWrap/>
              <w:overflowPunct/>
              <w:topLinePunct w:val="0"/>
              <w:autoSpaceDE w:val="0"/>
              <w:autoSpaceDN w:val="0"/>
              <w:bidi w:val="0"/>
              <w:adjustRightInd w:val="0"/>
              <w:snapToGrid w:val="0"/>
              <w:spacing w:before="58" w:line="288" w:lineRule="auto"/>
              <w:ind w:left="30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w:t>
            </w:r>
          </w:p>
        </w:tc>
        <w:tc>
          <w:tcPr>
            <w:tcW w:w="1675" w:type="dxa"/>
            <w:vAlign w:val="top"/>
          </w:tcPr>
          <w:p w14:paraId="6278EE0E">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6255881">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9D7BD82">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1D658B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C7A4BF8">
            <w:pPr>
              <w:keepNext w:val="0"/>
              <w:keepLines w:val="0"/>
              <w:pageBreakBefore w:val="0"/>
              <w:widowControl/>
              <w:kinsoku w:val="0"/>
              <w:wordWrap/>
              <w:overflowPunct/>
              <w:topLinePunct w:val="0"/>
              <w:autoSpaceDE w:val="0"/>
              <w:autoSpaceDN w:val="0"/>
              <w:bidi w:val="0"/>
              <w:adjustRightInd w:val="0"/>
              <w:snapToGrid w:val="0"/>
              <w:spacing w:before="65" w:line="288" w:lineRule="auto"/>
              <w:ind w:left="369" w:right="367" w:firstLine="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r>
              <w:rPr>
                <w:rFonts w:hint="eastAsia" w:ascii="宋体" w:hAnsi="宋体" w:eastAsia="宋体" w:cs="宋体"/>
                <w:color w:val="auto"/>
                <w:spacing w:val="7"/>
                <w:sz w:val="24"/>
                <w:szCs w:val="24"/>
                <w:highlight w:val="none"/>
              </w:rPr>
              <w:t>任职承诺</w:t>
            </w:r>
          </w:p>
        </w:tc>
        <w:tc>
          <w:tcPr>
            <w:tcW w:w="3107" w:type="dxa"/>
            <w:vAlign w:val="top"/>
          </w:tcPr>
          <w:p w14:paraId="012273A7">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0115F3C">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5A6B417">
            <w:pPr>
              <w:keepNext w:val="0"/>
              <w:keepLines w:val="0"/>
              <w:pageBreakBefore w:val="0"/>
              <w:widowControl/>
              <w:kinsoku w:val="0"/>
              <w:wordWrap/>
              <w:overflowPunct/>
              <w:topLinePunct w:val="0"/>
              <w:autoSpaceDE w:val="0"/>
              <w:autoSpaceDN w:val="0"/>
              <w:bidi w:val="0"/>
              <w:adjustRightInd w:val="0"/>
              <w:snapToGrid w:val="0"/>
              <w:spacing w:before="65" w:line="288" w:lineRule="auto"/>
              <w:ind w:left="9" w:right="2"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sz w:val="24"/>
                <w:szCs w:val="24"/>
                <w:highlight w:val="none"/>
              </w:rPr>
              <w:t>我方拟派项目经理现阶段</w:t>
            </w:r>
            <w:r>
              <w:rPr>
                <w:rFonts w:hint="eastAsia" w:ascii="宋体" w:hAnsi="宋体" w:eastAsia="宋体" w:cs="宋体"/>
                <w:color w:val="auto"/>
                <w:spacing w:val="7"/>
                <w:sz w:val="24"/>
                <w:szCs w:val="24"/>
                <w:highlight w:val="none"/>
              </w:rPr>
              <w:t>没有担任任何在施（包括已中标</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7"/>
                <w:sz w:val="24"/>
                <w:szCs w:val="24"/>
                <w:highlight w:val="none"/>
              </w:rPr>
              <w:t>未开工、已开工未竣工）建设工</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7"/>
                <w:sz w:val="24"/>
                <w:szCs w:val="24"/>
                <w:highlight w:val="none"/>
              </w:rPr>
              <w:t>程项目的项目经理。</w:t>
            </w:r>
          </w:p>
        </w:tc>
        <w:tc>
          <w:tcPr>
            <w:tcW w:w="4272" w:type="dxa"/>
            <w:vAlign w:val="top"/>
          </w:tcPr>
          <w:p w14:paraId="39F4F1E7">
            <w:pPr>
              <w:keepNext w:val="0"/>
              <w:keepLines w:val="0"/>
              <w:pageBreakBefore w:val="0"/>
              <w:widowControl/>
              <w:kinsoku w:val="0"/>
              <w:wordWrap/>
              <w:overflowPunct/>
              <w:topLinePunct w:val="0"/>
              <w:autoSpaceDE w:val="0"/>
              <w:autoSpaceDN w:val="0"/>
              <w:bidi w:val="0"/>
              <w:adjustRightInd w:val="0"/>
              <w:snapToGrid w:val="0"/>
              <w:spacing w:before="128" w:line="288" w:lineRule="auto"/>
              <w:ind w:left="11" w:firstLine="41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如果我方拟派项目经理在本项目招标投</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标活动期间有担任其他任何在施（包括已中标未开工、已开工未竣工）建设工程项目的</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7"/>
                <w:sz w:val="24"/>
                <w:szCs w:val="24"/>
                <w:highlight w:val="none"/>
              </w:rPr>
              <w:t>项目经理，我方接受招标人或其授权的招标</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7"/>
                <w:sz w:val="24"/>
                <w:szCs w:val="24"/>
                <w:highlight w:val="none"/>
              </w:rPr>
              <w:t>代理机构或其组建的评标委员会依据招标文件作出的相应处理以及有关监督部门作出的</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z w:val="24"/>
                <w:szCs w:val="24"/>
                <w:highlight w:val="none"/>
              </w:rPr>
              <w:t>行政处罚，并承担由此引起的一切法律后果。</w:t>
            </w:r>
          </w:p>
        </w:tc>
      </w:tr>
      <w:tr w14:paraId="6CEEE5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7A0D4B7A">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C74BAB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2E61580">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4"/>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675" w:type="dxa"/>
            <w:vAlign w:val="top"/>
          </w:tcPr>
          <w:p w14:paraId="349DADD9">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0BB8079">
            <w:pPr>
              <w:keepNext w:val="0"/>
              <w:keepLines w:val="0"/>
              <w:pageBreakBefore w:val="0"/>
              <w:widowControl/>
              <w:kinsoku w:val="0"/>
              <w:wordWrap/>
              <w:overflowPunct/>
              <w:topLinePunct w:val="0"/>
              <w:autoSpaceDE w:val="0"/>
              <w:autoSpaceDN w:val="0"/>
              <w:bidi w:val="0"/>
              <w:adjustRightInd w:val="0"/>
              <w:snapToGrid w:val="0"/>
              <w:spacing w:before="65" w:line="288" w:lineRule="auto"/>
              <w:ind w:left="267" w:right="261" w:firstLine="10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投标文件</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7"/>
                <w:sz w:val="24"/>
                <w:szCs w:val="24"/>
                <w:highlight w:val="none"/>
              </w:rPr>
              <w:t>真实性承诺</w:t>
            </w:r>
          </w:p>
        </w:tc>
        <w:tc>
          <w:tcPr>
            <w:tcW w:w="3107" w:type="dxa"/>
            <w:vAlign w:val="top"/>
          </w:tcPr>
          <w:p w14:paraId="48826E6A">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0163C62">
            <w:pPr>
              <w:keepNext w:val="0"/>
              <w:keepLines w:val="0"/>
              <w:pageBreakBefore w:val="0"/>
              <w:widowControl/>
              <w:kinsoku w:val="0"/>
              <w:wordWrap/>
              <w:overflowPunct/>
              <w:topLinePunct w:val="0"/>
              <w:autoSpaceDE w:val="0"/>
              <w:autoSpaceDN w:val="0"/>
              <w:bidi w:val="0"/>
              <w:adjustRightInd w:val="0"/>
              <w:snapToGrid w:val="0"/>
              <w:spacing w:before="65" w:line="288" w:lineRule="auto"/>
              <w:ind w:left="12" w:firstLine="40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0"/>
                <w:sz w:val="24"/>
                <w:szCs w:val="24"/>
                <w:highlight w:val="none"/>
              </w:rPr>
              <w:t>我方所递交投标文件的全</w:t>
            </w:r>
            <w:r>
              <w:rPr>
                <w:rFonts w:hint="eastAsia" w:ascii="宋体" w:hAnsi="宋体" w:eastAsia="宋体" w:cs="宋体"/>
                <w:color w:val="auto"/>
                <w:spacing w:val="-7"/>
                <w:sz w:val="24"/>
                <w:szCs w:val="24"/>
                <w:highlight w:val="none"/>
              </w:rPr>
              <w:t>部内容均为真实、有效、准确的。</w:t>
            </w:r>
          </w:p>
        </w:tc>
        <w:tc>
          <w:tcPr>
            <w:tcW w:w="4272" w:type="dxa"/>
            <w:vAlign w:val="top"/>
          </w:tcPr>
          <w:p w14:paraId="1583D5E0">
            <w:pPr>
              <w:keepNext w:val="0"/>
              <w:keepLines w:val="0"/>
              <w:pageBreakBefore w:val="0"/>
              <w:widowControl/>
              <w:kinsoku w:val="0"/>
              <w:wordWrap/>
              <w:overflowPunct/>
              <w:topLinePunct w:val="0"/>
              <w:autoSpaceDE w:val="0"/>
              <w:autoSpaceDN w:val="0"/>
              <w:bidi w:val="0"/>
              <w:adjustRightInd w:val="0"/>
              <w:snapToGrid w:val="0"/>
              <w:spacing w:before="127" w:line="288" w:lineRule="auto"/>
              <w:ind w:left="11" w:firstLine="41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如果我方递交的投标文件任何内容不真实或无效或不准确，我方接受招标人或其授权的招标代理机构或其组建的评标委员会依</w:t>
            </w:r>
            <w:r>
              <w:rPr>
                <w:rFonts w:hint="eastAsia" w:ascii="宋体" w:hAnsi="宋体" w:eastAsia="宋体" w:cs="宋体"/>
                <w:color w:val="auto"/>
                <w:sz w:val="24"/>
                <w:szCs w:val="24"/>
                <w:highlight w:val="none"/>
              </w:rPr>
              <w:t>据招标文件作出的相应处理，包括否决投标。</w:t>
            </w:r>
          </w:p>
        </w:tc>
      </w:tr>
      <w:tr w14:paraId="5859D4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4" w:hRule="atLeast"/>
        </w:trPr>
        <w:tc>
          <w:tcPr>
            <w:tcW w:w="764" w:type="dxa"/>
            <w:vAlign w:val="top"/>
          </w:tcPr>
          <w:p w14:paraId="2E9A7FD4">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19FAAF4">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E319FF4">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3"/>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p w14:paraId="6D236227">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drawing>
                <wp:anchor distT="0" distB="0" distL="114300" distR="114300" simplePos="0" relativeHeight="251662336" behindDoc="1" locked="0" layoutInCell="0" allowOverlap="1">
                  <wp:simplePos x="0" y="0"/>
                  <wp:positionH relativeFrom="page">
                    <wp:posOffset>3902075</wp:posOffset>
                  </wp:positionH>
                  <wp:positionV relativeFrom="page">
                    <wp:posOffset>2252345</wp:posOffset>
                  </wp:positionV>
                  <wp:extent cx="6350" cy="241300"/>
                  <wp:effectExtent l="0" t="0" r="0" b="0"/>
                  <wp:wrapNone/>
                  <wp:docPr id="16" name="IM 120"/>
                  <wp:cNvGraphicFramePr/>
                  <a:graphic xmlns:a="http://schemas.openxmlformats.org/drawingml/2006/main">
                    <a:graphicData uri="http://schemas.openxmlformats.org/drawingml/2006/picture">
                      <pic:pic xmlns:pic="http://schemas.openxmlformats.org/drawingml/2006/picture">
                        <pic:nvPicPr>
                          <pic:cNvPr id="16" name="IM 120"/>
                          <pic:cNvPicPr/>
                        </pic:nvPicPr>
                        <pic:blipFill>
                          <a:blip r:embed="rId53"/>
                          <a:stretch>
                            <a:fillRect/>
                          </a:stretch>
                        </pic:blipFill>
                        <pic:spPr>
                          <a:xfrm>
                            <a:off x="0" y="0"/>
                            <a:ext cx="6350" cy="241300"/>
                          </a:xfrm>
                          <a:prstGeom prst="rect">
                            <a:avLst/>
                          </a:prstGeom>
                          <a:noFill/>
                          <a:ln>
                            <a:noFill/>
                          </a:ln>
                        </pic:spPr>
                      </pic:pic>
                    </a:graphicData>
                  </a:graphic>
                </wp:anchor>
              </w:drawing>
            </w:r>
          </w:p>
        </w:tc>
        <w:tc>
          <w:tcPr>
            <w:tcW w:w="1675" w:type="dxa"/>
            <w:vAlign w:val="top"/>
          </w:tcPr>
          <w:p w14:paraId="29EF0155">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7937757">
            <w:pPr>
              <w:keepNext w:val="0"/>
              <w:keepLines w:val="0"/>
              <w:pageBreakBefore w:val="0"/>
              <w:widowControl/>
              <w:kinsoku w:val="0"/>
              <w:wordWrap/>
              <w:overflowPunct/>
              <w:topLinePunct w:val="0"/>
              <w:autoSpaceDE w:val="0"/>
              <w:autoSpaceDN w:val="0"/>
              <w:bidi w:val="0"/>
              <w:adjustRightInd w:val="0"/>
              <w:snapToGrid w:val="0"/>
              <w:spacing w:line="288" w:lineRule="auto"/>
              <w:ind w:left="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投标文件</w:t>
            </w:r>
          </w:p>
          <w:p w14:paraId="20B01D17">
            <w:pPr>
              <w:keepNext w:val="0"/>
              <w:keepLines w:val="0"/>
              <w:pageBreakBefore w:val="0"/>
              <w:widowControl/>
              <w:kinsoku w:val="0"/>
              <w:wordWrap/>
              <w:overflowPunct/>
              <w:topLinePunct w:val="0"/>
              <w:autoSpaceDE w:val="0"/>
              <w:autoSpaceDN w:val="0"/>
              <w:bidi w:val="0"/>
              <w:adjustRightInd w:val="0"/>
              <w:snapToGrid w:val="0"/>
              <w:spacing w:line="288" w:lineRule="auto"/>
              <w:ind w:left="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信息公开承诺</w:t>
            </w:r>
          </w:p>
        </w:tc>
        <w:tc>
          <w:tcPr>
            <w:tcW w:w="3107" w:type="dxa"/>
            <w:vAlign w:val="top"/>
          </w:tcPr>
          <w:p w14:paraId="6794C05C">
            <w:pPr>
              <w:keepNext w:val="0"/>
              <w:keepLines w:val="0"/>
              <w:pageBreakBefore w:val="0"/>
              <w:widowControl/>
              <w:kinsoku w:val="0"/>
              <w:wordWrap/>
              <w:overflowPunct/>
              <w:topLinePunct w:val="0"/>
              <w:autoSpaceDE w:val="0"/>
              <w:autoSpaceDN w:val="0"/>
              <w:bidi w:val="0"/>
              <w:adjustRightInd w:val="0"/>
              <w:snapToGrid w:val="0"/>
              <w:spacing w:before="130" w:line="288" w:lineRule="auto"/>
              <w:ind w:left="10" w:right="2"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我方提供完整的文件。如果</w:t>
            </w:r>
            <w:r>
              <w:rPr>
                <w:rFonts w:hint="eastAsia" w:ascii="宋体" w:hAnsi="宋体" w:eastAsia="宋体" w:cs="宋体"/>
                <w:color w:val="auto"/>
                <w:spacing w:val="7"/>
                <w:sz w:val="24"/>
                <w:szCs w:val="24"/>
                <w:highlight w:val="none"/>
              </w:rPr>
              <w:t>我方成为本项目中标候选人，我</w:t>
            </w:r>
            <w:r>
              <w:rPr>
                <w:rFonts w:hint="eastAsia" w:ascii="宋体" w:hAnsi="宋体" w:eastAsia="宋体" w:cs="宋体"/>
                <w:color w:val="auto"/>
                <w:spacing w:val="23"/>
                <w:sz w:val="24"/>
                <w:szCs w:val="24"/>
                <w:highlight w:val="none"/>
              </w:rPr>
              <w:t>方同意并授权招标人在评标结果公示期内公开我方商务标书</w:t>
            </w:r>
            <w:r>
              <w:rPr>
                <w:rFonts w:hint="eastAsia" w:ascii="宋体" w:hAnsi="宋体" w:eastAsia="宋体" w:cs="宋体"/>
                <w:color w:val="auto"/>
                <w:spacing w:val="3"/>
                <w:sz w:val="24"/>
                <w:szCs w:val="24"/>
                <w:highlight w:val="none"/>
              </w:rPr>
              <w:t>的全部内容。</w:t>
            </w:r>
          </w:p>
        </w:tc>
        <w:tc>
          <w:tcPr>
            <w:tcW w:w="4272" w:type="dxa"/>
            <w:vAlign w:val="top"/>
          </w:tcPr>
          <w:p w14:paraId="2FBE142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color w:val="auto"/>
                <w:sz w:val="24"/>
                <w:highlight w:val="none"/>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19050</wp:posOffset>
                      </wp:positionV>
                      <wp:extent cx="2698750" cy="1539875"/>
                      <wp:effectExtent l="3175" t="5715" r="3175" b="16510"/>
                      <wp:wrapNone/>
                      <wp:docPr id="23" name="直接连接符 23"/>
                      <wp:cNvGraphicFramePr/>
                      <a:graphic xmlns:a="http://schemas.openxmlformats.org/drawingml/2006/main">
                        <a:graphicData uri="http://schemas.microsoft.com/office/word/2010/wordprocessingShape">
                          <wps:wsp>
                            <wps:cNvCnPr/>
                            <wps:spPr>
                              <a:xfrm flipV="1">
                                <a:off x="4209415" y="1651000"/>
                                <a:ext cx="2698750" cy="1539875"/>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05pt;margin-top:1.5pt;height:121.25pt;width:212.5pt;z-index:251660288;mso-width-relative:page;mso-height-relative:page;" filled="f" stroked="t" coordsize="21600,21600" o:gfxdata="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lqIdPdQAAAAHAQAADwAAAAAAAAABACAAAAAiAAAAZHJzL2Rvd25y&#10;ZXYueG1sUEsBAhQAFAAAAAgAh07iQNS38qICAgAA0AMAAA4AAAAAAAAAAQAgAAAAIwEAAGRycy9l&#10;Mm9Eb2MueG1sUEsFBgAAAAAGAAYAWQEAAJcFAAAAAA==&#10;">
                      <v:fill on="f" focussize="0,0"/>
                      <v:stroke weight="1pt" color="#4874CB [3204]" miterlimit="8" joinstyle="miter"/>
                      <v:imagedata o:title=""/>
                      <o:lock v:ext="edit" aspectratio="f"/>
                    </v:line>
                  </w:pict>
                </mc:Fallback>
              </mc:AlternateContent>
            </w:r>
          </w:p>
          <w:p w14:paraId="73473CF0">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2D77463">
            <w:pPr>
              <w:keepNext w:val="0"/>
              <w:keepLines w:val="0"/>
              <w:pageBreakBefore w:val="0"/>
              <w:widowControl/>
              <w:kinsoku w:val="0"/>
              <w:wordWrap/>
              <w:overflowPunct/>
              <w:topLinePunct w:val="0"/>
              <w:autoSpaceDE w:val="0"/>
              <w:autoSpaceDN w:val="0"/>
              <w:bidi w:val="0"/>
              <w:adjustRightInd w:val="0"/>
              <w:snapToGrid w:val="0"/>
              <w:spacing w:before="58" w:line="288" w:lineRule="auto"/>
              <w:ind w:left="1979"/>
              <w:textAlignment w:val="baseline"/>
              <w:rPr>
                <w:rFonts w:hint="eastAsia" w:ascii="宋体" w:hAnsi="宋体" w:eastAsia="宋体" w:cs="宋体"/>
                <w:color w:val="auto"/>
                <w:sz w:val="24"/>
                <w:szCs w:val="24"/>
                <w:highlight w:val="none"/>
              </w:rPr>
            </w:pPr>
          </w:p>
        </w:tc>
      </w:tr>
      <w:tr w14:paraId="7EA8D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6" w:hRule="atLeast"/>
        </w:trPr>
        <w:tc>
          <w:tcPr>
            <w:tcW w:w="764" w:type="dxa"/>
            <w:vAlign w:val="top"/>
          </w:tcPr>
          <w:p w14:paraId="443BB7FA">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F58368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890160C">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EC89A79">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F010AA9">
            <w:pPr>
              <w:keepNext w:val="0"/>
              <w:keepLines w:val="0"/>
              <w:pageBreakBefore w:val="0"/>
              <w:widowControl/>
              <w:kinsoku w:val="0"/>
              <w:wordWrap/>
              <w:overflowPunct/>
              <w:topLinePunct w:val="0"/>
              <w:autoSpaceDE w:val="0"/>
              <w:autoSpaceDN w:val="0"/>
              <w:bidi w:val="0"/>
              <w:adjustRightInd w:val="0"/>
              <w:snapToGrid w:val="0"/>
              <w:spacing w:before="57"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675" w:type="dxa"/>
            <w:vAlign w:val="top"/>
          </w:tcPr>
          <w:p w14:paraId="10987C8F">
            <w:pPr>
              <w:pStyle w:val="21"/>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49332366">
            <w:pPr>
              <w:pStyle w:val="21"/>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32B67BD4">
            <w:pPr>
              <w:pStyle w:val="21"/>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06743F6A">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对不正常报价</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4"/>
                <w:sz w:val="24"/>
                <w:szCs w:val="24"/>
                <w:highlight w:val="none"/>
              </w:rPr>
              <w:t>的确认承诺</w:t>
            </w:r>
          </w:p>
        </w:tc>
        <w:tc>
          <w:tcPr>
            <w:tcW w:w="3107" w:type="dxa"/>
            <w:vAlign w:val="top"/>
          </w:tcPr>
          <w:p w14:paraId="6339079D">
            <w:pPr>
              <w:keepNext w:val="0"/>
              <w:keepLines w:val="0"/>
              <w:pageBreakBefore w:val="0"/>
              <w:widowControl/>
              <w:kinsoku w:val="0"/>
              <w:wordWrap/>
              <w:overflowPunct/>
              <w:topLinePunct w:val="0"/>
              <w:autoSpaceDE w:val="0"/>
              <w:autoSpaceDN w:val="0"/>
              <w:bidi w:val="0"/>
              <w:adjustRightInd w:val="0"/>
              <w:snapToGrid w:val="0"/>
              <w:spacing w:before="121" w:line="288" w:lineRule="auto"/>
              <w:ind w:left="10" w:right="2" w:firstLine="42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如果我方中标，我方接受招</w:t>
            </w:r>
            <w:r>
              <w:rPr>
                <w:rFonts w:hint="eastAsia" w:ascii="宋体" w:hAnsi="宋体" w:eastAsia="宋体" w:cs="宋体"/>
                <w:color w:val="auto"/>
                <w:spacing w:val="23"/>
                <w:sz w:val="24"/>
                <w:szCs w:val="24"/>
                <w:highlight w:val="none"/>
              </w:rPr>
              <w:t>标人在合同订立期间依据招标文件有关条款约定对我方已标价工程量清单中不正常报价的</w:t>
            </w:r>
            <w:r>
              <w:rPr>
                <w:rFonts w:hint="eastAsia" w:ascii="宋体" w:hAnsi="宋体" w:eastAsia="宋体" w:cs="宋体"/>
                <w:color w:val="auto"/>
                <w:spacing w:val="7"/>
                <w:sz w:val="24"/>
                <w:szCs w:val="24"/>
                <w:highlight w:val="none"/>
              </w:rPr>
              <w:t>修正或认定，并按要求签署《不</w:t>
            </w:r>
            <w:r>
              <w:rPr>
                <w:rFonts w:hint="eastAsia" w:ascii="宋体" w:hAnsi="宋体" w:eastAsia="宋体" w:cs="宋体"/>
                <w:color w:val="auto"/>
                <w:spacing w:val="8"/>
                <w:sz w:val="24"/>
                <w:szCs w:val="24"/>
                <w:highlight w:val="none"/>
              </w:rPr>
              <w:t>正常报价清单》加以确认。</w:t>
            </w:r>
          </w:p>
        </w:tc>
        <w:tc>
          <w:tcPr>
            <w:tcW w:w="4272" w:type="dxa"/>
            <w:vAlign w:val="top"/>
          </w:tcPr>
          <w:p w14:paraId="2AC2D7A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color w:val="auto"/>
                <w:sz w:val="24"/>
                <w:highlight w:val="none"/>
              </w:rPr>
              <mc:AlternateContent>
                <mc:Choice Requires="wps">
                  <w:drawing>
                    <wp:anchor distT="0" distB="0" distL="114300" distR="114300" simplePos="0" relativeHeight="251661312" behindDoc="0" locked="0" layoutInCell="1" allowOverlap="1">
                      <wp:simplePos x="0" y="0"/>
                      <wp:positionH relativeFrom="column">
                        <wp:posOffset>7620</wp:posOffset>
                      </wp:positionH>
                      <wp:positionV relativeFrom="paragraph">
                        <wp:posOffset>26035</wp:posOffset>
                      </wp:positionV>
                      <wp:extent cx="2706370" cy="1920875"/>
                      <wp:effectExtent l="3810" t="5080" r="13970" b="17145"/>
                      <wp:wrapNone/>
                      <wp:docPr id="24" name="直接连接符 24"/>
                      <wp:cNvGraphicFramePr/>
                      <a:graphic xmlns:a="http://schemas.openxmlformats.org/drawingml/2006/main">
                        <a:graphicData uri="http://schemas.microsoft.com/office/word/2010/wordprocessingShape">
                          <wps:wsp>
                            <wps:cNvCnPr/>
                            <wps:spPr>
                              <a:xfrm flipV="1">
                                <a:off x="4217670" y="3238500"/>
                                <a:ext cx="2706370" cy="1920875"/>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6pt;margin-top:2.05pt;height:151.25pt;width:213.1pt;z-index:251661312;mso-width-relative:page;mso-height-relative:page;" filled="f" stroked="t" coordsize="21600,21600" o:gfxdata="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7HjHtdIAAAAHAQAADwAAAAAAAAABACAAAAAiAAAAZHJzL2Rvd25y&#10;ZXYueG1sUEsBAhQAFAAAAAgAh07iQBDx3nQEAgAA0AMAAA4AAAAAAAAAAQAgAAAAIQEAAGRycy9l&#10;Mm9Eb2MueG1sUEsFBgAAAAAGAAYAWQEAAJcFAAAAAA==&#10;">
                      <v:fill on="f" focussize="0,0"/>
                      <v:stroke weight="1pt" color="#4874CB [3204]" miterlimit="8" joinstyle="miter"/>
                      <v:imagedata o:title=""/>
                      <o:lock v:ext="edit" aspectratio="f"/>
                    </v:line>
                  </w:pict>
                </mc:Fallback>
              </mc:AlternateContent>
            </w:r>
          </w:p>
          <w:p w14:paraId="7C9BB7EC">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1A5536F">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E45103F">
            <w:pPr>
              <w:keepNext w:val="0"/>
              <w:keepLines w:val="0"/>
              <w:pageBreakBefore w:val="0"/>
              <w:widowControl/>
              <w:kinsoku w:val="0"/>
              <w:wordWrap/>
              <w:overflowPunct/>
              <w:topLinePunct w:val="0"/>
              <w:autoSpaceDE w:val="0"/>
              <w:autoSpaceDN w:val="0"/>
              <w:bidi w:val="0"/>
              <w:adjustRightInd w:val="0"/>
              <w:snapToGrid w:val="0"/>
              <w:spacing w:before="57" w:line="288" w:lineRule="auto"/>
              <w:ind w:left="1979"/>
              <w:textAlignment w:val="baseline"/>
              <w:rPr>
                <w:rFonts w:hint="eastAsia" w:ascii="宋体" w:hAnsi="宋体" w:eastAsia="宋体" w:cs="宋体"/>
                <w:color w:val="auto"/>
                <w:sz w:val="24"/>
                <w:szCs w:val="24"/>
                <w:highlight w:val="none"/>
              </w:rPr>
            </w:pPr>
          </w:p>
        </w:tc>
      </w:tr>
      <w:tr w14:paraId="181CB0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2565A70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474C16A">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705BF3F">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D5C170A">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7"/>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675" w:type="dxa"/>
            <w:vAlign w:val="top"/>
          </w:tcPr>
          <w:p w14:paraId="4EE17AC8">
            <w:pPr>
              <w:pStyle w:val="21"/>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3BB363F9">
            <w:pPr>
              <w:pStyle w:val="21"/>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4D741FFC">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按时提交履约</w:t>
            </w: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spacing w:val="7"/>
                <w:sz w:val="24"/>
                <w:szCs w:val="24"/>
                <w:highlight w:val="none"/>
              </w:rPr>
              <w:t>保证的承诺</w:t>
            </w:r>
          </w:p>
        </w:tc>
        <w:tc>
          <w:tcPr>
            <w:tcW w:w="3107" w:type="dxa"/>
            <w:vAlign w:val="top"/>
          </w:tcPr>
          <w:p w14:paraId="2F2EF5F6">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DF103BD">
            <w:pPr>
              <w:keepNext w:val="0"/>
              <w:keepLines w:val="0"/>
              <w:pageBreakBefore w:val="0"/>
              <w:widowControl/>
              <w:kinsoku w:val="0"/>
              <w:wordWrap/>
              <w:overflowPunct/>
              <w:topLinePunct w:val="0"/>
              <w:autoSpaceDE w:val="0"/>
              <w:autoSpaceDN w:val="0"/>
              <w:bidi w:val="0"/>
              <w:adjustRightInd w:val="0"/>
              <w:snapToGrid w:val="0"/>
              <w:spacing w:line="288" w:lineRule="auto"/>
              <w:ind w:left="11" w:right="0" w:firstLine="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如果我方中标，我方保证在</w:t>
            </w:r>
            <w:r>
              <w:rPr>
                <w:rFonts w:hint="eastAsia" w:ascii="宋体" w:hAnsi="宋体" w:eastAsia="宋体" w:cs="宋体"/>
                <w:color w:val="auto"/>
                <w:spacing w:val="23"/>
                <w:sz w:val="24"/>
                <w:szCs w:val="24"/>
                <w:highlight w:val="none"/>
              </w:rPr>
              <w:t>招标文件规定的时限内全额提</w:t>
            </w:r>
            <w:r>
              <w:rPr>
                <w:rFonts w:hint="eastAsia" w:ascii="宋体" w:hAnsi="宋体" w:eastAsia="宋体" w:cs="宋体"/>
                <w:color w:val="auto"/>
                <w:spacing w:val="6"/>
                <w:sz w:val="24"/>
                <w:szCs w:val="24"/>
                <w:highlight w:val="none"/>
              </w:rPr>
              <w:t>交履约保证。</w:t>
            </w:r>
          </w:p>
        </w:tc>
        <w:tc>
          <w:tcPr>
            <w:tcW w:w="4272" w:type="dxa"/>
            <w:vAlign w:val="top"/>
          </w:tcPr>
          <w:p w14:paraId="20F3BAEB">
            <w:pPr>
              <w:keepNext w:val="0"/>
              <w:keepLines w:val="0"/>
              <w:pageBreakBefore w:val="0"/>
              <w:widowControl/>
              <w:kinsoku w:val="0"/>
              <w:wordWrap/>
              <w:overflowPunct/>
              <w:topLinePunct w:val="0"/>
              <w:autoSpaceDE w:val="0"/>
              <w:autoSpaceDN w:val="0"/>
              <w:bidi w:val="0"/>
              <w:adjustRightInd w:val="0"/>
              <w:snapToGrid w:val="0"/>
              <w:spacing w:before="128" w:line="288" w:lineRule="auto"/>
              <w:ind w:left="12" w:right="23" w:firstLine="42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如果我方未在招标文件规定的时限内全</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9"/>
                <w:sz w:val="24"/>
                <w:szCs w:val="24"/>
                <w:highlight w:val="none"/>
              </w:rPr>
              <w:t>额提交履约保证，我方接受招标人依据招标文件作出的相应处理以及有关监督部门作出的行政处罚，并承担由此引起的一切法律后</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果。</w:t>
            </w:r>
          </w:p>
        </w:tc>
      </w:tr>
      <w:tr w14:paraId="6E5D5A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104B7305">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C02A7C0">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B620D0E">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4F4C3A4">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E8D2FFB">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675" w:type="dxa"/>
            <w:vAlign w:val="top"/>
          </w:tcPr>
          <w:p w14:paraId="3984E433">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D7846E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00D32F0">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9127F03">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按时签订合同</w:t>
            </w:r>
            <w:r>
              <w:rPr>
                <w:rFonts w:hint="eastAsia" w:ascii="宋体" w:hAnsi="宋体" w:eastAsia="宋体" w:cs="宋体"/>
                <w:color w:val="auto"/>
                <w:spacing w:val="1"/>
                <w:sz w:val="24"/>
                <w:szCs w:val="24"/>
                <w:highlight w:val="none"/>
              </w:rPr>
              <w:t>的承诺</w:t>
            </w:r>
          </w:p>
        </w:tc>
        <w:tc>
          <w:tcPr>
            <w:tcW w:w="3107" w:type="dxa"/>
            <w:vAlign w:val="top"/>
          </w:tcPr>
          <w:p w14:paraId="45DF0271">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0E5BA5A">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如果我方中标，我方保证在</w:t>
            </w:r>
            <w:r>
              <w:rPr>
                <w:rFonts w:hint="eastAsia" w:ascii="宋体" w:hAnsi="宋体" w:eastAsia="宋体" w:cs="宋体"/>
                <w:color w:val="auto"/>
                <w:spacing w:val="23"/>
                <w:sz w:val="24"/>
                <w:szCs w:val="24"/>
                <w:highlight w:val="none"/>
              </w:rPr>
              <w:t>招标文件规定的时限内与招标</w:t>
            </w:r>
            <w:r>
              <w:rPr>
                <w:rFonts w:hint="eastAsia" w:ascii="宋体" w:hAnsi="宋体" w:eastAsia="宋体" w:cs="宋体"/>
                <w:color w:val="auto"/>
                <w:spacing w:val="7"/>
                <w:sz w:val="24"/>
                <w:szCs w:val="24"/>
                <w:highlight w:val="none"/>
              </w:rPr>
              <w:t>人签订合同，不提出违背或超出</w:t>
            </w:r>
            <w:r>
              <w:rPr>
                <w:rFonts w:hint="eastAsia" w:ascii="宋体" w:hAnsi="宋体" w:eastAsia="宋体" w:cs="宋体"/>
                <w:color w:val="auto"/>
                <w:spacing w:val="8"/>
                <w:sz w:val="24"/>
                <w:szCs w:val="24"/>
                <w:highlight w:val="none"/>
              </w:rPr>
              <w:t>招标文件、中标文件的要求。</w:t>
            </w:r>
          </w:p>
        </w:tc>
        <w:tc>
          <w:tcPr>
            <w:tcW w:w="4272" w:type="dxa"/>
            <w:vAlign w:val="top"/>
          </w:tcPr>
          <w:p w14:paraId="193F81D5">
            <w:pPr>
              <w:keepNext w:val="0"/>
              <w:keepLines w:val="0"/>
              <w:pageBreakBefore w:val="0"/>
              <w:widowControl/>
              <w:kinsoku w:val="0"/>
              <w:wordWrap/>
              <w:overflowPunct/>
              <w:topLinePunct w:val="0"/>
              <w:autoSpaceDE w:val="0"/>
              <w:autoSpaceDN w:val="0"/>
              <w:bidi w:val="0"/>
              <w:adjustRightInd w:val="0"/>
              <w:snapToGrid w:val="0"/>
              <w:spacing w:before="126" w:line="288" w:lineRule="auto"/>
              <w:ind w:left="13" w:firstLine="415"/>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如果我方未在招标文件规定的时限内与招标人签订合同，或我方在签订合同过程中</w:t>
            </w:r>
            <w:r>
              <w:rPr>
                <w:rFonts w:hint="eastAsia" w:ascii="宋体" w:hAnsi="宋体" w:eastAsia="宋体" w:cs="宋体"/>
                <w:color w:val="auto"/>
                <w:sz w:val="24"/>
                <w:szCs w:val="24"/>
                <w:highlight w:val="none"/>
              </w:rPr>
              <w:t>提出违背或超出招标文件、中标文件的要求。</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7"/>
                <w:sz w:val="24"/>
                <w:szCs w:val="24"/>
                <w:highlight w:val="none"/>
              </w:rPr>
              <w:t>我方接受招标人依据招标文件作出的相应处</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7"/>
                <w:sz w:val="24"/>
                <w:szCs w:val="24"/>
                <w:highlight w:val="none"/>
              </w:rPr>
              <w:t>理以及有关监督部门作出的行政处罚，并承</w:t>
            </w:r>
            <w:r>
              <w:rPr>
                <w:rFonts w:hint="eastAsia" w:ascii="宋体" w:hAnsi="宋体" w:eastAsia="宋体" w:cs="宋体"/>
                <w:color w:val="auto"/>
                <w:spacing w:val="5"/>
                <w:sz w:val="24"/>
                <w:szCs w:val="24"/>
                <w:highlight w:val="none"/>
              </w:rPr>
              <w:t>担由此引起的一切法律后果。</w:t>
            </w:r>
          </w:p>
        </w:tc>
      </w:tr>
    </w:tbl>
    <w:p w14:paraId="74877834">
      <w:pPr>
        <w:spacing w:before="78" w:line="219" w:lineRule="auto"/>
        <w:ind w:firstLine="6832" w:firstLineChars="2800"/>
        <w:jc w:val="both"/>
        <w:rPr>
          <w:rFonts w:hint="eastAsia" w:ascii="宋体" w:hAnsi="宋体" w:eastAsia="宋体" w:cs="宋体"/>
          <w:color w:val="auto"/>
          <w:spacing w:val="2"/>
          <w:sz w:val="24"/>
          <w:szCs w:val="24"/>
          <w:highlight w:val="none"/>
        </w:rPr>
      </w:pPr>
    </w:p>
    <w:p w14:paraId="749799CD">
      <w:pPr>
        <w:spacing w:before="78" w:line="219" w:lineRule="auto"/>
        <w:ind w:firstLine="6832" w:firstLineChars="2800"/>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689D990C">
      <w:pPr>
        <w:pStyle w:val="5"/>
        <w:spacing w:line="297" w:lineRule="auto"/>
        <w:jc w:val="right"/>
        <w:rPr>
          <w:rFonts w:hint="eastAsia" w:ascii="宋体" w:hAnsi="宋体" w:eastAsia="宋体" w:cs="宋体"/>
          <w:color w:val="auto"/>
          <w:highlight w:val="none"/>
        </w:rPr>
      </w:pPr>
    </w:p>
    <w:p w14:paraId="17340BD8">
      <w:pPr>
        <w:spacing w:before="78" w:line="219" w:lineRule="auto"/>
        <w:ind w:left="4366"/>
        <w:jc w:val="right"/>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59B90550">
      <w:pPr>
        <w:outlineLvl w:val="9"/>
        <w:rPr>
          <w:rFonts w:hint="eastAsia"/>
          <w:color w:val="auto"/>
          <w:highlight w:val="none"/>
        </w:rPr>
      </w:pPr>
    </w:p>
    <w:p w14:paraId="07DB3461">
      <w:pPr>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1A1F64DF">
      <w:pPr>
        <w:spacing w:line="220" w:lineRule="auto"/>
        <w:jc w:val="right"/>
        <w:rPr>
          <w:rFonts w:hint="eastAsia" w:ascii="宋体" w:hAnsi="宋体" w:eastAsia="宋体" w:cs="宋体"/>
          <w:color w:val="auto"/>
          <w:sz w:val="24"/>
          <w:szCs w:val="24"/>
          <w:highlight w:val="none"/>
        </w:rPr>
        <w:sectPr>
          <w:footerReference r:id="rId15"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4BDCB018">
      <w:pPr>
        <w:spacing w:before="78" w:line="220" w:lineRule="auto"/>
        <w:outlineLvl w:val="2"/>
        <w:rPr>
          <w:rFonts w:hint="eastAsia" w:ascii="宋体" w:hAnsi="宋体" w:eastAsia="宋体" w:cs="宋体"/>
          <w:b/>
          <w:bCs/>
          <w:color w:val="auto"/>
          <w:spacing w:val="-4"/>
          <w:sz w:val="24"/>
          <w:szCs w:val="24"/>
          <w:highlight w:val="none"/>
        </w:rPr>
      </w:pPr>
      <w:bookmarkStart w:id="233" w:name="_Toc16537"/>
      <w:r>
        <w:rPr>
          <w:rFonts w:hint="eastAsia" w:ascii="宋体" w:hAnsi="宋体" w:eastAsia="宋体" w:cs="宋体"/>
          <w:b/>
          <w:bCs/>
          <w:color w:val="auto"/>
          <w:spacing w:val="-4"/>
          <w:sz w:val="24"/>
          <w:szCs w:val="24"/>
          <w:highlight w:val="none"/>
        </w:rPr>
        <w:t>格式四 授权委托书</w:t>
      </w:r>
      <w:bookmarkEnd w:id="233"/>
    </w:p>
    <w:p w14:paraId="6CD0F9BB">
      <w:pPr>
        <w:pStyle w:val="5"/>
        <w:spacing w:line="351" w:lineRule="auto"/>
        <w:rPr>
          <w:rFonts w:hint="eastAsia" w:ascii="宋体" w:hAnsi="宋体" w:eastAsia="宋体" w:cs="宋体"/>
          <w:color w:val="auto"/>
          <w:highlight w:val="none"/>
        </w:rPr>
      </w:pPr>
    </w:p>
    <w:p w14:paraId="18A875F0">
      <w:pPr>
        <w:pStyle w:val="5"/>
        <w:spacing w:line="351" w:lineRule="auto"/>
        <w:rPr>
          <w:rFonts w:hint="eastAsia" w:ascii="宋体" w:hAnsi="宋体" w:eastAsia="宋体" w:cs="宋体"/>
          <w:color w:val="auto"/>
          <w:highlight w:val="none"/>
        </w:rPr>
      </w:pPr>
    </w:p>
    <w:p w14:paraId="7EF079A3">
      <w:pPr>
        <w:spacing w:before="97" w:line="219" w:lineRule="auto"/>
        <w:ind w:left="3786"/>
        <w:rPr>
          <w:rFonts w:hint="eastAsia" w:ascii="宋体" w:hAnsi="宋体" w:eastAsia="宋体" w:cs="宋体"/>
          <w:color w:val="auto"/>
          <w:sz w:val="30"/>
          <w:szCs w:val="30"/>
          <w:highlight w:val="none"/>
        </w:rPr>
      </w:pPr>
      <w:bookmarkStart w:id="234" w:name="bookmark151"/>
      <w:bookmarkEnd w:id="234"/>
      <w:r>
        <w:rPr>
          <w:rFonts w:hint="eastAsia" w:ascii="宋体" w:hAnsi="宋体" w:eastAsia="宋体" w:cs="宋体"/>
          <w:b/>
          <w:bCs/>
          <w:color w:val="auto"/>
          <w:spacing w:val="-5"/>
          <w:sz w:val="30"/>
          <w:szCs w:val="30"/>
          <w:highlight w:val="none"/>
        </w:rPr>
        <w:t>授权委托书</w:t>
      </w:r>
    </w:p>
    <w:p w14:paraId="473B7E5C">
      <w:pPr>
        <w:pStyle w:val="5"/>
        <w:spacing w:line="250" w:lineRule="auto"/>
        <w:rPr>
          <w:rFonts w:hint="eastAsia" w:ascii="宋体" w:hAnsi="宋体" w:eastAsia="宋体" w:cs="宋体"/>
          <w:color w:val="auto"/>
          <w:highlight w:val="none"/>
        </w:rPr>
      </w:pPr>
    </w:p>
    <w:p w14:paraId="72DA4D73">
      <w:pPr>
        <w:pStyle w:val="5"/>
        <w:spacing w:line="250" w:lineRule="auto"/>
        <w:rPr>
          <w:rFonts w:hint="eastAsia" w:ascii="宋体" w:hAnsi="宋体" w:eastAsia="宋体" w:cs="宋体"/>
          <w:color w:val="auto"/>
          <w:highlight w:val="none"/>
        </w:rPr>
      </w:pPr>
    </w:p>
    <w:p w14:paraId="18BC7C34">
      <w:pPr>
        <w:pStyle w:val="5"/>
        <w:spacing w:line="251" w:lineRule="auto"/>
        <w:rPr>
          <w:rFonts w:hint="eastAsia" w:ascii="宋体" w:hAnsi="宋体" w:eastAsia="宋体" w:cs="宋体"/>
          <w:color w:val="auto"/>
          <w:highlight w:val="none"/>
        </w:rPr>
      </w:pPr>
    </w:p>
    <w:p w14:paraId="09C2E563">
      <w:pPr>
        <w:spacing w:before="78" w:line="330" w:lineRule="auto"/>
        <w:ind w:firstLine="481"/>
        <w:jc w:val="both"/>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8"/>
          <w:highlight w:val="none"/>
          <w:lang w:eastAsia="zh-CN"/>
        </w:rPr>
        <w:t>本人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（姓名）系</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（投标人名称）的法定代表人，现委托</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（姓名）为我方代理人。代理人根据授权，以我方名义签署、澄清、说明、补正、递交、撤回、修改</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snapToGrid w:val="0"/>
          <w:color w:val="auto"/>
          <w:kern w:val="0"/>
          <w:sz w:val="24"/>
          <w:szCs w:val="28"/>
          <w:highlight w:val="none"/>
          <w:u w:val="single"/>
          <w:lang w:eastAsia="zh-CN"/>
        </w:rPr>
        <w:t>（项目名称）</w:t>
      </w:r>
      <w:r>
        <w:rPr>
          <w:rFonts w:hint="eastAsia" w:ascii="宋体" w:hAnsi="宋体" w:eastAsia="宋体" w:cs="宋体"/>
          <w:snapToGrid w:val="0"/>
          <w:color w:val="auto"/>
          <w:kern w:val="0"/>
          <w:sz w:val="24"/>
          <w:szCs w:val="28"/>
          <w:highlight w:val="none"/>
          <w:lang w:eastAsia="zh-CN"/>
        </w:rPr>
        <w:t xml:space="preserve"> 投标文件、签订合同和处理有关事宜，其法律后果由我方承担。</w:t>
      </w:r>
    </w:p>
    <w:p w14:paraId="2CE40362">
      <w:pPr>
        <w:spacing w:before="32" w:line="320" w:lineRule="auto"/>
        <w:ind w:left="480" w:right="497"/>
        <w:rPr>
          <w:rFonts w:hint="eastAsia" w:ascii="宋体" w:hAnsi="宋体" w:eastAsia="宋体" w:cs="宋体"/>
          <w:color w:val="auto"/>
          <w:spacing w:val="15"/>
          <w:sz w:val="24"/>
          <w:szCs w:val="24"/>
          <w:highlight w:val="none"/>
        </w:rPr>
      </w:pPr>
      <w:r>
        <w:rPr>
          <w:rFonts w:hint="eastAsia" w:ascii="宋体" w:hAnsi="宋体" w:eastAsia="宋体" w:cs="宋体"/>
          <w:color w:val="auto"/>
          <w:spacing w:val="-9"/>
          <w:sz w:val="24"/>
          <w:szCs w:val="24"/>
          <w:highlight w:val="none"/>
        </w:rPr>
        <w:t>委托期限：至</w:t>
      </w:r>
      <w:r>
        <w:rPr>
          <w:rFonts w:hint="eastAsia" w:ascii="宋体" w:hAnsi="宋体" w:eastAsia="宋体" w:cs="宋体"/>
          <w:color w:val="auto"/>
          <w:spacing w:val="-9"/>
          <w:sz w:val="24"/>
          <w:szCs w:val="24"/>
          <w:highlight w:val="none"/>
          <w:u w:val="single"/>
        </w:rPr>
        <w:t xml:space="preserve">     年   月    日</w:t>
      </w:r>
      <w:r>
        <w:rPr>
          <w:rFonts w:hint="eastAsia" w:ascii="宋体" w:hAnsi="宋体" w:eastAsia="宋体" w:cs="宋体"/>
          <w:i/>
          <w:iCs/>
          <w:color w:val="auto"/>
          <w:spacing w:val="-9"/>
          <w:sz w:val="25"/>
          <w:szCs w:val="25"/>
          <w:highlight w:val="none"/>
          <w:u w:val="single"/>
        </w:rPr>
        <w:t>（不得短于招标文件规定的投标有效期）</w:t>
      </w:r>
      <w:r>
        <w:rPr>
          <w:rFonts w:hint="eastAsia" w:ascii="宋体" w:hAnsi="宋体" w:eastAsia="宋体" w:cs="宋体"/>
          <w:color w:val="auto"/>
          <w:spacing w:val="-9"/>
          <w:sz w:val="25"/>
          <w:szCs w:val="25"/>
          <w:highlight w:val="none"/>
        </w:rPr>
        <w:t xml:space="preserve"> </w:t>
      </w:r>
      <w:r>
        <w:rPr>
          <w:rFonts w:hint="eastAsia" w:ascii="宋体" w:hAnsi="宋体" w:eastAsia="宋体" w:cs="宋体"/>
          <w:color w:val="auto"/>
          <w:spacing w:val="-9"/>
          <w:sz w:val="24"/>
          <w:szCs w:val="24"/>
          <w:highlight w:val="none"/>
        </w:rPr>
        <w:t>。</w:t>
      </w:r>
      <w:r>
        <w:rPr>
          <w:rFonts w:hint="eastAsia" w:ascii="宋体" w:hAnsi="宋体" w:eastAsia="宋体" w:cs="宋体"/>
          <w:color w:val="auto"/>
          <w:spacing w:val="15"/>
          <w:sz w:val="24"/>
          <w:szCs w:val="24"/>
          <w:highlight w:val="none"/>
        </w:rPr>
        <w:t xml:space="preserve"> </w:t>
      </w:r>
    </w:p>
    <w:p w14:paraId="2D61A797">
      <w:pPr>
        <w:spacing w:before="32" w:line="320" w:lineRule="auto"/>
        <w:ind w:left="480" w:right="497"/>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代理人无转委托权。</w:t>
      </w:r>
    </w:p>
    <w:p w14:paraId="1E74F1A2">
      <w:pPr>
        <w:pStyle w:val="5"/>
        <w:spacing w:line="276" w:lineRule="auto"/>
        <w:rPr>
          <w:rFonts w:hint="eastAsia" w:ascii="宋体" w:hAnsi="宋体" w:eastAsia="宋体" w:cs="宋体"/>
          <w:color w:val="auto"/>
          <w:highlight w:val="none"/>
        </w:rPr>
      </w:pPr>
    </w:p>
    <w:p w14:paraId="2A536516">
      <w:pPr>
        <w:pStyle w:val="5"/>
        <w:spacing w:line="277" w:lineRule="auto"/>
        <w:rPr>
          <w:rFonts w:hint="eastAsia" w:ascii="宋体" w:hAnsi="宋体" w:eastAsia="宋体" w:cs="宋体"/>
          <w:color w:val="auto"/>
          <w:highlight w:val="none"/>
        </w:rPr>
      </w:pPr>
    </w:p>
    <w:p w14:paraId="1CDFB82E">
      <w:pPr>
        <w:pStyle w:val="5"/>
        <w:spacing w:line="277" w:lineRule="auto"/>
        <w:rPr>
          <w:rFonts w:hint="eastAsia" w:ascii="宋体" w:hAnsi="宋体" w:eastAsia="宋体" w:cs="宋体"/>
          <w:color w:val="auto"/>
          <w:highlight w:val="none"/>
        </w:rPr>
      </w:pPr>
    </w:p>
    <w:p w14:paraId="6D45D633">
      <w:pPr>
        <w:spacing w:before="78" w:line="219" w:lineRule="auto"/>
        <w:ind w:left="3123"/>
        <w:jc w:val="righ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投  标  人</w:t>
      </w:r>
      <w:r>
        <w:rPr>
          <w:rFonts w:hint="eastAsia" w:ascii="宋体" w:hAnsi="宋体" w:eastAsia="宋体" w:cs="宋体"/>
          <w:color w:val="auto"/>
          <w:spacing w:val="-31"/>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31"/>
          <w:sz w:val="24"/>
          <w:szCs w:val="24"/>
          <w:highlight w:val="none"/>
        </w:rPr>
        <w:t>（</w:t>
      </w:r>
      <w:r>
        <w:rPr>
          <w:rFonts w:hint="eastAsia" w:ascii="宋体" w:hAnsi="宋体" w:eastAsia="宋体" w:cs="宋体"/>
          <w:color w:val="auto"/>
          <w:spacing w:val="4"/>
          <w:sz w:val="24"/>
          <w:szCs w:val="24"/>
          <w:highlight w:val="none"/>
        </w:rPr>
        <w:t>盖单位章）</w:t>
      </w:r>
    </w:p>
    <w:p w14:paraId="63BD962A">
      <w:pPr>
        <w:pStyle w:val="5"/>
        <w:spacing w:line="317" w:lineRule="auto"/>
        <w:jc w:val="right"/>
        <w:rPr>
          <w:rFonts w:hint="eastAsia" w:ascii="宋体" w:hAnsi="宋体" w:eastAsia="宋体" w:cs="宋体"/>
          <w:color w:val="auto"/>
          <w:highlight w:val="none"/>
        </w:rPr>
      </w:pPr>
    </w:p>
    <w:p w14:paraId="57132AE9">
      <w:pPr>
        <w:pStyle w:val="5"/>
        <w:spacing w:line="317" w:lineRule="auto"/>
        <w:jc w:val="right"/>
        <w:rPr>
          <w:rFonts w:hint="eastAsia" w:ascii="宋体" w:hAnsi="宋体" w:eastAsia="宋体" w:cs="宋体"/>
          <w:color w:val="auto"/>
          <w:highlight w:val="none"/>
        </w:rPr>
      </w:pPr>
    </w:p>
    <w:p w14:paraId="32FCF699">
      <w:pPr>
        <w:pStyle w:val="5"/>
        <w:spacing w:line="317" w:lineRule="auto"/>
        <w:jc w:val="right"/>
        <w:rPr>
          <w:rFonts w:hint="eastAsia" w:ascii="宋体" w:hAnsi="宋体" w:eastAsia="宋体" w:cs="宋体"/>
          <w:color w:val="auto"/>
          <w:highlight w:val="none"/>
        </w:rPr>
      </w:pPr>
    </w:p>
    <w:p w14:paraId="0C20E36F">
      <w:pPr>
        <w:spacing w:before="79" w:line="219" w:lineRule="auto"/>
        <w:ind w:left="3121"/>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法定代表人</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2"/>
          <w:sz w:val="24"/>
          <w:szCs w:val="24"/>
          <w:highlight w:val="none"/>
        </w:rPr>
        <w:t>签字或盖章）</w:t>
      </w:r>
    </w:p>
    <w:p w14:paraId="2807F6C8">
      <w:pPr>
        <w:pStyle w:val="5"/>
        <w:spacing w:line="317" w:lineRule="auto"/>
        <w:jc w:val="right"/>
        <w:rPr>
          <w:rFonts w:hint="eastAsia" w:ascii="宋体" w:hAnsi="宋体" w:eastAsia="宋体" w:cs="宋体"/>
          <w:color w:val="auto"/>
          <w:highlight w:val="none"/>
        </w:rPr>
      </w:pPr>
    </w:p>
    <w:p w14:paraId="6B89A96E">
      <w:pPr>
        <w:pStyle w:val="5"/>
        <w:spacing w:line="317" w:lineRule="auto"/>
        <w:jc w:val="right"/>
        <w:rPr>
          <w:rFonts w:hint="eastAsia" w:ascii="宋体" w:hAnsi="宋体" w:eastAsia="宋体" w:cs="宋体"/>
          <w:color w:val="auto"/>
          <w:highlight w:val="none"/>
        </w:rPr>
      </w:pPr>
    </w:p>
    <w:p w14:paraId="52524FDC">
      <w:pPr>
        <w:pStyle w:val="5"/>
        <w:spacing w:line="317" w:lineRule="auto"/>
        <w:jc w:val="right"/>
        <w:rPr>
          <w:rFonts w:hint="eastAsia" w:ascii="宋体" w:hAnsi="宋体" w:eastAsia="宋体" w:cs="宋体"/>
          <w:color w:val="auto"/>
          <w:highlight w:val="none"/>
        </w:rPr>
      </w:pPr>
    </w:p>
    <w:p w14:paraId="414B89CB">
      <w:pPr>
        <w:spacing w:before="78" w:line="219" w:lineRule="auto"/>
        <w:ind w:left="2880"/>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委托代理人</w:t>
      </w:r>
      <w:r>
        <w:rPr>
          <w:rFonts w:hint="eastAsia" w:ascii="宋体" w:hAnsi="宋体" w:eastAsia="宋体" w:cs="宋体"/>
          <w:color w:val="auto"/>
          <w:spacing w:val="-16"/>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6"/>
          <w:sz w:val="24"/>
          <w:szCs w:val="24"/>
          <w:highlight w:val="none"/>
        </w:rPr>
        <w:t>（</w:t>
      </w:r>
      <w:r>
        <w:rPr>
          <w:rFonts w:hint="eastAsia" w:ascii="宋体" w:hAnsi="宋体" w:eastAsia="宋体" w:cs="宋体"/>
          <w:color w:val="auto"/>
          <w:spacing w:val="2"/>
          <w:sz w:val="24"/>
          <w:szCs w:val="24"/>
          <w:highlight w:val="none"/>
        </w:rPr>
        <w:t>签字或盖章）</w:t>
      </w:r>
    </w:p>
    <w:p w14:paraId="085218DE">
      <w:pPr>
        <w:pStyle w:val="5"/>
        <w:spacing w:line="256" w:lineRule="auto"/>
        <w:jc w:val="right"/>
        <w:rPr>
          <w:rFonts w:hint="eastAsia" w:ascii="宋体" w:hAnsi="宋体" w:eastAsia="宋体" w:cs="宋体"/>
          <w:color w:val="auto"/>
          <w:highlight w:val="none"/>
        </w:rPr>
      </w:pPr>
    </w:p>
    <w:p w14:paraId="635562C0">
      <w:pPr>
        <w:pStyle w:val="5"/>
        <w:spacing w:line="256" w:lineRule="auto"/>
        <w:jc w:val="right"/>
        <w:rPr>
          <w:rFonts w:hint="eastAsia" w:ascii="宋体" w:hAnsi="宋体" w:eastAsia="宋体" w:cs="宋体"/>
          <w:color w:val="auto"/>
          <w:highlight w:val="none"/>
        </w:rPr>
      </w:pPr>
    </w:p>
    <w:p w14:paraId="27218817">
      <w:pPr>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1F294533">
      <w:pPr>
        <w:spacing w:before="78" w:line="220" w:lineRule="auto"/>
        <w:ind w:left="4201"/>
        <w:jc w:val="right"/>
        <w:rPr>
          <w:rFonts w:hint="eastAsia" w:ascii="宋体" w:hAnsi="宋体" w:eastAsia="宋体" w:cs="宋体"/>
          <w:color w:val="auto"/>
          <w:sz w:val="24"/>
          <w:szCs w:val="24"/>
          <w:highlight w:val="none"/>
        </w:rPr>
      </w:pPr>
    </w:p>
    <w:p w14:paraId="3A4AD89C">
      <w:pPr>
        <w:spacing w:before="69"/>
        <w:rPr>
          <w:rFonts w:hint="eastAsia" w:ascii="宋体" w:hAnsi="宋体" w:eastAsia="宋体" w:cs="宋体"/>
          <w:color w:val="auto"/>
          <w:highlight w:val="none"/>
        </w:rPr>
      </w:pPr>
    </w:p>
    <w:p w14:paraId="363508E1">
      <w:pPr>
        <w:spacing w:before="69"/>
        <w:rPr>
          <w:rFonts w:hint="eastAsia" w:ascii="宋体" w:hAnsi="宋体" w:eastAsia="宋体" w:cs="宋体"/>
          <w:color w:val="auto"/>
          <w:highlight w:val="none"/>
        </w:rPr>
      </w:pPr>
    </w:p>
    <w:tbl>
      <w:tblPr>
        <w:tblStyle w:val="14"/>
        <w:tblW w:w="5600" w:type="dxa"/>
        <w:tblInd w:w="230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5600"/>
      </w:tblGrid>
      <w:tr w14:paraId="727B0D3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570" w:hRule="atLeast"/>
        </w:trPr>
        <w:tc>
          <w:tcPr>
            <w:tcW w:w="5600" w:type="dxa"/>
            <w:vAlign w:val="top"/>
          </w:tcPr>
          <w:p w14:paraId="49F11E44">
            <w:pPr>
              <w:pStyle w:val="21"/>
              <w:spacing w:line="245" w:lineRule="auto"/>
              <w:rPr>
                <w:rFonts w:hint="eastAsia" w:ascii="宋体" w:hAnsi="宋体" w:eastAsia="宋体" w:cs="宋体"/>
                <w:color w:val="auto"/>
                <w:highlight w:val="none"/>
              </w:rPr>
            </w:pPr>
          </w:p>
          <w:p w14:paraId="3EAC8CC5">
            <w:pPr>
              <w:pStyle w:val="21"/>
              <w:spacing w:line="245" w:lineRule="auto"/>
              <w:rPr>
                <w:rFonts w:hint="eastAsia" w:ascii="宋体" w:hAnsi="宋体" w:eastAsia="宋体" w:cs="宋体"/>
                <w:color w:val="auto"/>
                <w:highlight w:val="none"/>
              </w:rPr>
            </w:pPr>
          </w:p>
          <w:p w14:paraId="19684FD2">
            <w:pPr>
              <w:pStyle w:val="21"/>
              <w:spacing w:line="245" w:lineRule="auto"/>
              <w:rPr>
                <w:rFonts w:hint="eastAsia" w:ascii="宋体" w:hAnsi="宋体" w:eastAsia="宋体" w:cs="宋体"/>
                <w:color w:val="auto"/>
                <w:highlight w:val="none"/>
              </w:rPr>
            </w:pPr>
          </w:p>
          <w:p w14:paraId="7DA52306">
            <w:pPr>
              <w:pStyle w:val="21"/>
              <w:spacing w:line="245" w:lineRule="auto"/>
              <w:rPr>
                <w:rFonts w:hint="eastAsia" w:ascii="宋体" w:hAnsi="宋体" w:eastAsia="宋体" w:cs="宋体"/>
                <w:color w:val="auto"/>
                <w:highlight w:val="none"/>
              </w:rPr>
            </w:pPr>
          </w:p>
          <w:p w14:paraId="2B4D522A">
            <w:pPr>
              <w:pStyle w:val="21"/>
              <w:spacing w:line="245" w:lineRule="auto"/>
              <w:rPr>
                <w:rFonts w:hint="eastAsia" w:ascii="宋体" w:hAnsi="宋体" w:eastAsia="宋体" w:cs="宋体"/>
                <w:color w:val="auto"/>
                <w:highlight w:val="none"/>
              </w:rPr>
            </w:pPr>
          </w:p>
          <w:p w14:paraId="6375CF52">
            <w:pPr>
              <w:pStyle w:val="21"/>
              <w:spacing w:line="245" w:lineRule="auto"/>
              <w:rPr>
                <w:rFonts w:hint="eastAsia" w:ascii="宋体" w:hAnsi="宋体" w:eastAsia="宋体" w:cs="宋体"/>
                <w:color w:val="auto"/>
                <w:highlight w:val="none"/>
              </w:rPr>
            </w:pPr>
          </w:p>
          <w:p w14:paraId="761F0736">
            <w:pPr>
              <w:pStyle w:val="21"/>
              <w:spacing w:line="246" w:lineRule="auto"/>
              <w:rPr>
                <w:rFonts w:hint="eastAsia" w:ascii="宋体" w:hAnsi="宋体" w:eastAsia="宋体" w:cs="宋体"/>
                <w:color w:val="auto"/>
                <w:highlight w:val="none"/>
              </w:rPr>
            </w:pPr>
          </w:p>
          <w:p w14:paraId="14498540">
            <w:pPr>
              <w:spacing w:before="78" w:line="220" w:lineRule="auto"/>
              <w:ind w:left="71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委托代理人身份证</w:t>
            </w:r>
            <w:r>
              <w:rPr>
                <w:rFonts w:hint="eastAsia" w:ascii="宋体" w:hAnsi="宋体" w:eastAsia="宋体" w:cs="宋体"/>
                <w:color w:val="auto"/>
                <w:spacing w:val="-1"/>
                <w:sz w:val="24"/>
                <w:szCs w:val="24"/>
                <w:highlight w:val="none"/>
                <w:lang w:val="en-US" w:eastAsia="zh-CN"/>
              </w:rPr>
              <w:t>彩色扫描件</w:t>
            </w:r>
            <w:r>
              <w:rPr>
                <w:rFonts w:hint="eastAsia" w:ascii="宋体" w:hAnsi="宋体" w:eastAsia="宋体" w:cs="宋体"/>
                <w:color w:val="auto"/>
                <w:spacing w:val="-1"/>
                <w:sz w:val="24"/>
                <w:szCs w:val="24"/>
                <w:highlight w:val="none"/>
              </w:rPr>
              <w:t>正、反面</w:t>
            </w:r>
          </w:p>
        </w:tc>
      </w:tr>
    </w:tbl>
    <w:p w14:paraId="382D26B2">
      <w:pPr>
        <w:pStyle w:val="5"/>
        <w:rPr>
          <w:rFonts w:hint="eastAsia" w:ascii="宋体" w:hAnsi="宋体" w:eastAsia="宋体" w:cs="宋体"/>
          <w:color w:val="auto"/>
          <w:highlight w:val="none"/>
        </w:rPr>
      </w:pPr>
    </w:p>
    <w:p w14:paraId="2F0066E9">
      <w:pPr>
        <w:rPr>
          <w:rFonts w:hint="eastAsia" w:ascii="宋体" w:hAnsi="宋体" w:eastAsia="宋体" w:cs="宋体"/>
          <w:color w:val="auto"/>
          <w:highlight w:val="none"/>
        </w:rPr>
        <w:sectPr>
          <w:footerReference r:id="rId16"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DAC3638">
      <w:pPr>
        <w:spacing w:before="78" w:line="220" w:lineRule="auto"/>
        <w:outlineLvl w:val="2"/>
        <w:rPr>
          <w:rFonts w:hint="eastAsia" w:ascii="宋体" w:hAnsi="宋体" w:eastAsia="宋体" w:cs="宋体"/>
          <w:b/>
          <w:bCs/>
          <w:color w:val="auto"/>
          <w:spacing w:val="-4"/>
          <w:sz w:val="24"/>
          <w:szCs w:val="24"/>
          <w:highlight w:val="none"/>
        </w:rPr>
      </w:pPr>
      <w:bookmarkStart w:id="235" w:name="_Toc30394"/>
      <w:r>
        <w:rPr>
          <w:rFonts w:hint="eastAsia" w:ascii="宋体" w:hAnsi="宋体" w:eastAsia="宋体" w:cs="宋体"/>
          <w:b/>
          <w:bCs/>
          <w:color w:val="auto"/>
          <w:spacing w:val="-4"/>
          <w:sz w:val="24"/>
          <w:szCs w:val="24"/>
          <w:highlight w:val="none"/>
        </w:rPr>
        <w:t>格式五 法定代表人身份证明</w:t>
      </w:r>
      <w:bookmarkEnd w:id="235"/>
    </w:p>
    <w:p w14:paraId="2DA7024D">
      <w:pPr>
        <w:pStyle w:val="5"/>
        <w:spacing w:line="350" w:lineRule="auto"/>
        <w:rPr>
          <w:rFonts w:hint="eastAsia" w:ascii="宋体" w:hAnsi="宋体" w:eastAsia="宋体" w:cs="宋体"/>
          <w:color w:val="auto"/>
          <w:highlight w:val="none"/>
        </w:rPr>
      </w:pPr>
    </w:p>
    <w:p w14:paraId="0868334D">
      <w:pPr>
        <w:pStyle w:val="5"/>
        <w:spacing w:line="350" w:lineRule="auto"/>
        <w:rPr>
          <w:rFonts w:hint="eastAsia" w:ascii="宋体" w:hAnsi="宋体" w:eastAsia="宋体" w:cs="宋体"/>
          <w:color w:val="auto"/>
          <w:highlight w:val="none"/>
        </w:rPr>
      </w:pPr>
    </w:p>
    <w:p w14:paraId="5209C7D3">
      <w:pPr>
        <w:spacing w:before="98" w:line="220" w:lineRule="auto"/>
        <w:ind w:left="3183"/>
        <w:rPr>
          <w:rFonts w:hint="eastAsia" w:ascii="宋体" w:hAnsi="宋体" w:eastAsia="宋体" w:cs="宋体"/>
          <w:color w:val="auto"/>
          <w:sz w:val="30"/>
          <w:szCs w:val="30"/>
          <w:highlight w:val="none"/>
        </w:rPr>
      </w:pPr>
      <w:bookmarkStart w:id="236" w:name="bookmark152"/>
      <w:bookmarkEnd w:id="236"/>
      <w:r>
        <w:rPr>
          <w:rFonts w:hint="eastAsia" w:ascii="宋体" w:hAnsi="宋体" w:eastAsia="宋体" w:cs="宋体"/>
          <w:b/>
          <w:bCs/>
          <w:color w:val="auto"/>
          <w:spacing w:val="-4"/>
          <w:sz w:val="30"/>
          <w:szCs w:val="30"/>
          <w:highlight w:val="none"/>
        </w:rPr>
        <w:t>法定代表人身份证明</w:t>
      </w:r>
    </w:p>
    <w:p w14:paraId="136F935F">
      <w:pPr>
        <w:pStyle w:val="5"/>
        <w:spacing w:line="250" w:lineRule="auto"/>
        <w:rPr>
          <w:rFonts w:hint="eastAsia" w:ascii="宋体" w:hAnsi="宋体" w:eastAsia="宋体" w:cs="宋体"/>
          <w:color w:val="auto"/>
          <w:highlight w:val="none"/>
        </w:rPr>
      </w:pPr>
    </w:p>
    <w:p w14:paraId="2E1E9E2A">
      <w:pPr>
        <w:pStyle w:val="5"/>
        <w:spacing w:line="250" w:lineRule="auto"/>
        <w:rPr>
          <w:rFonts w:hint="eastAsia" w:ascii="宋体" w:hAnsi="宋体" w:eastAsia="宋体" w:cs="宋体"/>
          <w:color w:val="auto"/>
          <w:highlight w:val="none"/>
        </w:rPr>
      </w:pPr>
    </w:p>
    <w:p w14:paraId="6ABEAEB7">
      <w:pPr>
        <w:pStyle w:val="5"/>
        <w:spacing w:line="251" w:lineRule="auto"/>
        <w:rPr>
          <w:rFonts w:hint="eastAsia" w:ascii="宋体" w:hAnsi="宋体" w:eastAsia="宋体" w:cs="宋体"/>
          <w:color w:val="auto"/>
          <w:highlight w:val="none"/>
        </w:rPr>
      </w:pPr>
    </w:p>
    <w:p w14:paraId="766EA4CD">
      <w:pPr>
        <w:wordWrap w:val="0"/>
        <w:adjustRightInd w:val="0"/>
        <w:snapToGrid w:val="0"/>
        <w:spacing w:line="440" w:lineRule="exact"/>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投标人名称：</w:t>
      </w:r>
      <w:r>
        <w:rPr>
          <w:rFonts w:hint="eastAsia" w:ascii="宋体" w:hAnsi="宋体" w:eastAsia="宋体" w:cs="宋体"/>
          <w:snapToGrid w:val="0"/>
          <w:color w:val="auto"/>
          <w:kern w:val="0"/>
          <w:sz w:val="24"/>
          <w:szCs w:val="24"/>
          <w:highlight w:val="none"/>
          <w:u w:val="single"/>
        </w:rPr>
        <w:t xml:space="preserve">                  </w:t>
      </w:r>
    </w:p>
    <w:p w14:paraId="2A539E30">
      <w:pPr>
        <w:wordWrap w:val="0"/>
        <w:adjustRightInd w:val="0"/>
        <w:snapToGrid w:val="0"/>
        <w:spacing w:line="440" w:lineRule="exact"/>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姓名：</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性别：</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年龄：</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职务：</w:t>
      </w:r>
      <w:r>
        <w:rPr>
          <w:rFonts w:hint="eastAsia" w:ascii="宋体" w:hAnsi="宋体" w:eastAsia="宋体" w:cs="宋体"/>
          <w:snapToGrid w:val="0"/>
          <w:color w:val="auto"/>
          <w:kern w:val="0"/>
          <w:sz w:val="24"/>
          <w:szCs w:val="24"/>
          <w:highlight w:val="none"/>
          <w:u w:val="single"/>
        </w:rPr>
        <w:t xml:space="preserve">           </w:t>
      </w:r>
    </w:p>
    <w:p w14:paraId="431001FF">
      <w:pPr>
        <w:wordWrap w:val="0"/>
        <w:adjustRightInd w:val="0"/>
        <w:snapToGrid w:val="0"/>
        <w:spacing w:line="44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系</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（投标人名称）的法定代表人。</w:t>
      </w:r>
    </w:p>
    <w:p w14:paraId="3FB51469">
      <w:pPr>
        <w:wordWrap w:val="0"/>
        <w:adjustRightInd w:val="0"/>
        <w:snapToGrid w:val="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 w:val="24"/>
          <w:szCs w:val="24"/>
          <w:highlight w:val="none"/>
        </w:rPr>
        <w:t xml:space="preserve">    特此证明。</w:t>
      </w:r>
    </w:p>
    <w:p w14:paraId="3B4AAF0B">
      <w:pPr>
        <w:pStyle w:val="5"/>
        <w:spacing w:line="277" w:lineRule="auto"/>
        <w:rPr>
          <w:rFonts w:hint="eastAsia" w:ascii="宋体" w:hAnsi="宋体" w:eastAsia="宋体" w:cs="宋体"/>
          <w:color w:val="auto"/>
          <w:highlight w:val="none"/>
        </w:rPr>
      </w:pPr>
    </w:p>
    <w:p w14:paraId="6D7B4DE3">
      <w:pPr>
        <w:pStyle w:val="5"/>
        <w:spacing w:line="277" w:lineRule="auto"/>
        <w:rPr>
          <w:rFonts w:hint="eastAsia" w:ascii="宋体" w:hAnsi="宋体" w:eastAsia="宋体" w:cs="宋体"/>
          <w:color w:val="auto"/>
          <w:highlight w:val="none"/>
        </w:rPr>
      </w:pPr>
    </w:p>
    <w:p w14:paraId="2D9D6E99">
      <w:pPr>
        <w:pStyle w:val="5"/>
        <w:spacing w:line="278" w:lineRule="auto"/>
        <w:rPr>
          <w:rFonts w:hint="eastAsia" w:ascii="宋体" w:hAnsi="宋体" w:eastAsia="宋体" w:cs="宋体"/>
          <w:color w:val="auto"/>
          <w:highlight w:val="none"/>
        </w:rPr>
      </w:pPr>
    </w:p>
    <w:p w14:paraId="125D92B0">
      <w:pPr>
        <w:spacing w:before="78"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rPr>
        <w:t>盖单位章）</w:t>
      </w:r>
    </w:p>
    <w:p w14:paraId="027B6A92">
      <w:pPr>
        <w:pStyle w:val="5"/>
        <w:spacing w:line="317" w:lineRule="auto"/>
        <w:jc w:val="right"/>
        <w:rPr>
          <w:rFonts w:hint="eastAsia" w:ascii="宋体" w:hAnsi="宋体" w:eastAsia="宋体" w:cs="宋体"/>
          <w:color w:val="auto"/>
          <w:highlight w:val="none"/>
        </w:rPr>
      </w:pPr>
    </w:p>
    <w:p w14:paraId="6F4B4B3A">
      <w:pPr>
        <w:pStyle w:val="5"/>
        <w:spacing w:line="317" w:lineRule="auto"/>
        <w:jc w:val="right"/>
        <w:rPr>
          <w:rFonts w:hint="eastAsia" w:ascii="宋体" w:hAnsi="宋体" w:eastAsia="宋体" w:cs="宋体"/>
          <w:color w:val="auto"/>
          <w:highlight w:val="none"/>
        </w:rPr>
      </w:pPr>
    </w:p>
    <w:p w14:paraId="1110A429">
      <w:pPr>
        <w:pStyle w:val="5"/>
        <w:spacing w:line="317" w:lineRule="auto"/>
        <w:jc w:val="right"/>
        <w:rPr>
          <w:rFonts w:hint="eastAsia" w:ascii="宋体" w:hAnsi="宋体" w:eastAsia="宋体" w:cs="宋体"/>
          <w:color w:val="auto"/>
          <w:highlight w:val="none"/>
        </w:rPr>
      </w:pPr>
    </w:p>
    <w:p w14:paraId="0997B4DF">
      <w:pPr>
        <w:spacing w:before="79"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72F193EB">
      <w:pPr>
        <w:pStyle w:val="5"/>
        <w:spacing w:line="257" w:lineRule="auto"/>
        <w:jc w:val="right"/>
        <w:rPr>
          <w:rFonts w:hint="eastAsia" w:ascii="宋体" w:hAnsi="宋体" w:eastAsia="宋体" w:cs="宋体"/>
          <w:color w:val="auto"/>
          <w:highlight w:val="none"/>
        </w:rPr>
      </w:pPr>
    </w:p>
    <w:p w14:paraId="407142E8">
      <w:pPr>
        <w:pStyle w:val="5"/>
        <w:spacing w:line="257" w:lineRule="auto"/>
        <w:jc w:val="right"/>
        <w:rPr>
          <w:rFonts w:hint="eastAsia" w:ascii="宋体" w:hAnsi="宋体" w:eastAsia="宋体" w:cs="宋体"/>
          <w:color w:val="auto"/>
          <w:highlight w:val="none"/>
        </w:rPr>
      </w:pPr>
    </w:p>
    <w:p w14:paraId="0A27F30D">
      <w:pPr>
        <w:pStyle w:val="5"/>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BF375B2">
      <w:pPr>
        <w:pStyle w:val="5"/>
        <w:spacing w:line="254" w:lineRule="auto"/>
        <w:rPr>
          <w:rFonts w:hint="eastAsia" w:ascii="宋体" w:hAnsi="宋体" w:eastAsia="宋体" w:cs="宋体"/>
          <w:color w:val="auto"/>
          <w:highlight w:val="none"/>
        </w:rPr>
      </w:pPr>
    </w:p>
    <w:p w14:paraId="03AC5067">
      <w:pPr>
        <w:pStyle w:val="5"/>
        <w:spacing w:line="254" w:lineRule="auto"/>
        <w:rPr>
          <w:rFonts w:hint="eastAsia" w:ascii="宋体" w:hAnsi="宋体" w:eastAsia="宋体" w:cs="宋体"/>
          <w:color w:val="auto"/>
          <w:highlight w:val="none"/>
        </w:rPr>
      </w:pPr>
    </w:p>
    <w:p w14:paraId="36A90F84">
      <w:pPr>
        <w:pStyle w:val="5"/>
        <w:spacing w:line="254" w:lineRule="auto"/>
        <w:rPr>
          <w:rFonts w:hint="eastAsia" w:ascii="宋体" w:hAnsi="宋体" w:eastAsia="宋体" w:cs="宋体"/>
          <w:color w:val="auto"/>
          <w:highlight w:val="none"/>
        </w:rPr>
      </w:pPr>
    </w:p>
    <w:p w14:paraId="259164D9">
      <w:pPr>
        <w:pStyle w:val="5"/>
        <w:spacing w:line="254" w:lineRule="auto"/>
        <w:rPr>
          <w:rFonts w:hint="eastAsia" w:ascii="宋体" w:hAnsi="宋体" w:eastAsia="宋体" w:cs="宋体"/>
          <w:color w:val="auto"/>
          <w:highlight w:val="none"/>
        </w:rPr>
      </w:pPr>
    </w:p>
    <w:p w14:paraId="0C625CC7">
      <w:pPr>
        <w:pStyle w:val="5"/>
        <w:spacing w:line="255" w:lineRule="auto"/>
        <w:rPr>
          <w:rFonts w:hint="eastAsia" w:ascii="宋体" w:hAnsi="宋体" w:eastAsia="宋体" w:cs="宋体"/>
          <w:color w:val="auto"/>
          <w:highlight w:val="none"/>
        </w:rPr>
      </w:pPr>
    </w:p>
    <w:p w14:paraId="1979E48F">
      <w:pPr>
        <w:pStyle w:val="5"/>
        <w:spacing w:line="255" w:lineRule="auto"/>
        <w:rPr>
          <w:rFonts w:hint="eastAsia" w:ascii="宋体" w:hAnsi="宋体" w:eastAsia="宋体" w:cs="宋体"/>
          <w:color w:val="auto"/>
          <w:highlight w:val="none"/>
        </w:rPr>
      </w:pPr>
    </w:p>
    <w:p w14:paraId="6E23282B">
      <w:pPr>
        <w:pStyle w:val="5"/>
        <w:spacing w:before="1" w:line="2510" w:lineRule="exact"/>
        <w:ind w:firstLine="2534"/>
        <w:rPr>
          <w:rFonts w:hint="eastAsia" w:ascii="宋体" w:hAnsi="宋体" w:eastAsia="宋体" w:cs="宋体"/>
          <w:color w:val="auto"/>
          <w:highlight w:val="none"/>
        </w:rPr>
      </w:pPr>
      <w:r>
        <w:rPr>
          <w:rFonts w:hint="eastAsia" w:ascii="宋体" w:hAnsi="宋体" w:eastAsia="宋体" w:cs="宋体"/>
          <w:color w:val="auto"/>
          <w:position w:val="-50"/>
          <w:highlight w:val="none"/>
        </w:rPr>
        <mc:AlternateContent>
          <mc:Choice Requires="wpg">
            <w:drawing>
              <wp:inline distT="0" distB="0" distL="114300" distR="114300">
                <wp:extent cx="2835275" cy="1593850"/>
                <wp:effectExtent l="12700" t="0" r="28575" b="12700"/>
                <wp:docPr id="13" name="组合 13"/>
                <wp:cNvGraphicFramePr/>
                <a:graphic xmlns:a="http://schemas.openxmlformats.org/drawingml/2006/main">
                  <a:graphicData uri="http://schemas.microsoft.com/office/word/2010/wordprocessingGroup">
                    <wpg:wgp>
                      <wpg:cNvGrpSpPr>
                        <a:grpSpLocks noRot="1"/>
                      </wpg:cNvGrpSpPr>
                      <wpg:grpSpPr>
                        <a:xfrm>
                          <a:off x="0" y="0"/>
                          <a:ext cx="2835275" cy="1593850"/>
                          <a:chOff x="0" y="0"/>
                          <a:chExt cx="4465" cy="2510"/>
                        </a:xfrm>
                      </wpg:grpSpPr>
                      <pic:pic xmlns:pic="http://schemas.openxmlformats.org/drawingml/2006/picture">
                        <pic:nvPicPr>
                          <pic:cNvPr id="11" name="图片 5"/>
                          <pic:cNvPicPr>
                            <a:picLocks noChangeAspect="1"/>
                          </pic:cNvPicPr>
                        </pic:nvPicPr>
                        <pic:blipFill>
                          <a:blip r:embed="rId54"/>
                          <a:stretch>
                            <a:fillRect/>
                          </a:stretch>
                        </pic:blipFill>
                        <pic:spPr>
                          <a:xfrm>
                            <a:off x="0" y="0"/>
                            <a:ext cx="4465" cy="2510"/>
                          </a:xfrm>
                          <a:prstGeom prst="rect">
                            <a:avLst/>
                          </a:prstGeom>
                          <a:noFill/>
                          <a:ln>
                            <a:noFill/>
                          </a:ln>
                        </pic:spPr>
                      </pic:pic>
                      <wps:wsp>
                        <wps:cNvPr id="12" name="文本框 12"/>
                        <wps:cNvSpPr txBox="1"/>
                        <wps:spPr>
                          <a:xfrm>
                            <a:off x="-20" y="-20"/>
                            <a:ext cx="4505" cy="2550"/>
                          </a:xfrm>
                          <a:prstGeom prst="rect">
                            <a:avLst/>
                          </a:prstGeom>
                          <a:noFill/>
                          <a:ln>
                            <a:noFill/>
                          </a:ln>
                        </wps:spPr>
                        <wps:txbx>
                          <w:txbxContent>
                            <w:p w14:paraId="59307053">
                              <w:pPr>
                                <w:spacing w:line="249" w:lineRule="auto"/>
                              </w:pPr>
                            </w:p>
                            <w:p w14:paraId="33DBE834">
                              <w:pPr>
                                <w:spacing w:line="249" w:lineRule="auto"/>
                              </w:pPr>
                            </w:p>
                            <w:p w14:paraId="5772CF5B">
                              <w:pPr>
                                <w:spacing w:line="249" w:lineRule="auto"/>
                              </w:pPr>
                            </w:p>
                            <w:p w14:paraId="5E8A9750">
                              <w:pPr>
                                <w:spacing w:line="249" w:lineRule="auto"/>
                              </w:pPr>
                            </w:p>
                            <w:p w14:paraId="029B95F9">
                              <w:pPr>
                                <w:spacing w:before="78" w:line="220" w:lineRule="auto"/>
                                <w:jc w:val="center"/>
                                <w:rPr>
                                  <w:rFonts w:ascii="宋体" w:hAnsi="宋体" w:eastAsia="宋体" w:cs="宋体"/>
                                  <w:sz w:val="24"/>
                                  <w:szCs w:val="24"/>
                                </w:rPr>
                              </w:pPr>
                              <w:r>
                                <w:rPr>
                                  <w:rFonts w:ascii="宋体" w:hAnsi="宋体" w:eastAsia="宋体" w:cs="宋体"/>
                                  <w:spacing w:val="-1"/>
                                  <w:sz w:val="24"/>
                                  <w:szCs w:val="24"/>
                                </w:rPr>
                                <w:t>法定代表人身</w:t>
                              </w:r>
                              <w:r>
                                <w:rPr>
                                  <w:rFonts w:ascii="宋体" w:hAnsi="宋体" w:eastAsia="宋体" w:cs="宋体"/>
                                  <w:spacing w:val="-1"/>
                                  <w:sz w:val="24"/>
                                  <w:szCs w:val="24"/>
                                  <w:highlight w:val="none"/>
                                </w:rPr>
                                <w:t>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w:t>
                              </w:r>
                              <w:r>
                                <w:rPr>
                                  <w:rFonts w:ascii="宋体" w:hAnsi="宋体" w:eastAsia="宋体" w:cs="宋体"/>
                                  <w:spacing w:val="-1"/>
                                  <w:sz w:val="24"/>
                                  <w:szCs w:val="24"/>
                                </w:rPr>
                                <w:t>、反面</w:t>
                              </w:r>
                            </w:p>
                          </w:txbxContent>
                        </wps:txbx>
                        <wps:bodyPr lIns="0" tIns="0" rIns="0" bIns="0" upright="1"/>
                      </wps:wsp>
                    </wpg:wgp>
                  </a:graphicData>
                </a:graphic>
              </wp:inline>
            </w:drawing>
          </mc:Choice>
          <mc:Fallback>
            <w:pict>
              <v:group id="_x0000_s1026" o:spid="_x0000_s1026" o:spt="203" style="height:125.5pt;width:223.25pt;" coordsize="4465,2510" o:gfxdata="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">
                <o:lock v:ext="edit" rotation="t" aspectratio="f"/>
                <v:shape id="图片 5" o:spid="_x0000_s1026" o:spt="75" type="#_x0000_t75" style="position:absolute;left:0;top:0;height:2510;width:4465;" filled="f" o:preferrelative="t" stroked="f" coordsize="21600,21600" o:gfxdata="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kRLC28AAAA&#10;2wAAAA8AAAAAAAAAAQAgAAAAIgAAAGRycy9kb3ducmV2LnhtbFBLAQIUABQAAAAIAIdO4kAzLwWe&#10;OwAAADkAAAAQAAAAAAAAAAEAIAAAAAsBAABkcnMvc2hhcGV4bWwueG1sUEsFBgAAAAAGAAYAWwEA&#10;ALUDAAAAAA==&#10;">
                  <v:fill on="f" focussize="0,0"/>
                  <v:stroke on="f"/>
                  <v:imagedata r:id="rId54" o:title=""/>
                  <o:lock v:ext="edit" aspectratio="t"/>
                </v:shape>
                <v:shape id="_x0000_s1026" o:spid="_x0000_s1026" o:spt="202" type="#_x0000_t202" style="position:absolute;left:-20;top:-20;height:2550;width:4505;"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59307053">
                        <w:pPr>
                          <w:spacing w:line="249" w:lineRule="auto"/>
                        </w:pPr>
                      </w:p>
                      <w:p w14:paraId="33DBE834">
                        <w:pPr>
                          <w:spacing w:line="249" w:lineRule="auto"/>
                        </w:pPr>
                      </w:p>
                      <w:p w14:paraId="5772CF5B">
                        <w:pPr>
                          <w:spacing w:line="249" w:lineRule="auto"/>
                        </w:pPr>
                      </w:p>
                      <w:p w14:paraId="5E8A9750">
                        <w:pPr>
                          <w:spacing w:line="249" w:lineRule="auto"/>
                        </w:pPr>
                      </w:p>
                      <w:p w14:paraId="029B95F9">
                        <w:pPr>
                          <w:spacing w:before="78" w:line="220" w:lineRule="auto"/>
                          <w:jc w:val="center"/>
                          <w:rPr>
                            <w:rFonts w:ascii="宋体" w:hAnsi="宋体" w:eastAsia="宋体" w:cs="宋体"/>
                            <w:sz w:val="24"/>
                            <w:szCs w:val="24"/>
                          </w:rPr>
                        </w:pPr>
                        <w:r>
                          <w:rPr>
                            <w:rFonts w:ascii="宋体" w:hAnsi="宋体" w:eastAsia="宋体" w:cs="宋体"/>
                            <w:spacing w:val="-1"/>
                            <w:sz w:val="24"/>
                            <w:szCs w:val="24"/>
                          </w:rPr>
                          <w:t>法定代表人身</w:t>
                        </w:r>
                        <w:r>
                          <w:rPr>
                            <w:rFonts w:ascii="宋体" w:hAnsi="宋体" w:eastAsia="宋体" w:cs="宋体"/>
                            <w:spacing w:val="-1"/>
                            <w:sz w:val="24"/>
                            <w:szCs w:val="24"/>
                            <w:highlight w:val="none"/>
                          </w:rPr>
                          <w:t>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w:t>
                        </w:r>
                        <w:r>
                          <w:rPr>
                            <w:rFonts w:ascii="宋体" w:hAnsi="宋体" w:eastAsia="宋体" w:cs="宋体"/>
                            <w:spacing w:val="-1"/>
                            <w:sz w:val="24"/>
                            <w:szCs w:val="24"/>
                          </w:rPr>
                          <w:t>、反面</w:t>
                        </w:r>
                      </w:p>
                    </w:txbxContent>
                  </v:textbox>
                </v:shape>
                <w10:wrap type="none"/>
                <w10:anchorlock/>
              </v:group>
            </w:pict>
          </mc:Fallback>
        </mc:AlternateContent>
      </w:r>
    </w:p>
    <w:p w14:paraId="31936323">
      <w:pPr>
        <w:spacing w:line="2510" w:lineRule="exact"/>
        <w:rPr>
          <w:rFonts w:hint="eastAsia" w:ascii="宋体" w:hAnsi="宋体" w:eastAsia="宋体" w:cs="宋体"/>
          <w:color w:val="auto"/>
          <w:highlight w:val="none"/>
        </w:rPr>
        <w:sectPr>
          <w:footerReference r:id="rId17"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72FF65F">
      <w:pPr>
        <w:spacing w:before="78" w:line="220" w:lineRule="auto"/>
        <w:outlineLvl w:val="2"/>
        <w:rPr>
          <w:rFonts w:hint="eastAsia" w:ascii="宋体" w:hAnsi="宋体" w:eastAsia="宋体" w:cs="宋体"/>
          <w:b/>
          <w:bCs/>
          <w:color w:val="auto"/>
          <w:spacing w:val="-4"/>
          <w:sz w:val="24"/>
          <w:szCs w:val="24"/>
          <w:highlight w:val="none"/>
        </w:rPr>
      </w:pPr>
      <w:bookmarkStart w:id="237" w:name="_Toc5771"/>
      <w:r>
        <w:rPr>
          <w:rFonts w:hint="eastAsia" w:ascii="宋体" w:hAnsi="宋体" w:eastAsia="宋体" w:cs="宋体"/>
          <w:b/>
          <w:bCs/>
          <w:color w:val="auto"/>
          <w:spacing w:val="-4"/>
          <w:sz w:val="24"/>
          <w:szCs w:val="24"/>
          <w:highlight w:val="none"/>
        </w:rPr>
        <w:t>格式六 联合体协议书</w:t>
      </w:r>
      <w:bookmarkEnd w:id="237"/>
    </w:p>
    <w:p w14:paraId="48BC7635">
      <w:pPr>
        <w:spacing w:before="98" w:line="219" w:lineRule="auto"/>
        <w:ind w:left="3638"/>
        <w:rPr>
          <w:rFonts w:hint="eastAsia" w:ascii="宋体" w:hAnsi="宋体" w:eastAsia="宋体" w:cs="宋体"/>
          <w:color w:val="auto"/>
          <w:sz w:val="30"/>
          <w:szCs w:val="30"/>
          <w:highlight w:val="none"/>
        </w:rPr>
      </w:pPr>
      <w:bookmarkStart w:id="238" w:name="bookmark153"/>
      <w:bookmarkEnd w:id="238"/>
      <w:r>
        <w:rPr>
          <w:rFonts w:hint="eastAsia" w:ascii="宋体" w:hAnsi="宋体" w:eastAsia="宋体" w:cs="宋体"/>
          <w:b/>
          <w:bCs/>
          <w:color w:val="auto"/>
          <w:spacing w:val="-5"/>
          <w:sz w:val="30"/>
          <w:szCs w:val="30"/>
          <w:highlight w:val="none"/>
        </w:rPr>
        <w:t>联合体协议书</w:t>
      </w:r>
    </w:p>
    <w:p w14:paraId="2AC3F97F">
      <w:pPr>
        <w:pStyle w:val="5"/>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0C796E14">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4"/>
          <w:sz w:val="24"/>
          <w:szCs w:val="24"/>
          <w:highlight w:val="none"/>
        </w:rPr>
      </w:pPr>
      <w:r>
        <w:rPr>
          <w:rFonts w:hint="eastAsia" w:ascii="宋体" w:hAnsi="宋体" w:eastAsia="宋体" w:cs="宋体"/>
          <w:color w:val="auto"/>
          <w:spacing w:val="-12"/>
          <w:sz w:val="24"/>
          <w:szCs w:val="24"/>
          <w:highlight w:val="none"/>
        </w:rPr>
        <w:t>牵头人名称：</w:t>
      </w:r>
      <w:r>
        <w:rPr>
          <w:rFonts w:hint="eastAsia" w:ascii="宋体" w:hAnsi="宋体" w:eastAsia="宋体" w:cs="宋体"/>
          <w:color w:val="auto"/>
          <w:spacing w:val="4"/>
          <w:sz w:val="24"/>
          <w:szCs w:val="24"/>
          <w:highlight w:val="none"/>
        </w:rPr>
        <w:t xml:space="preserve"> </w:t>
      </w:r>
    </w:p>
    <w:p w14:paraId="78BE601B">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法定代表人：</w:t>
      </w:r>
      <w:r>
        <w:rPr>
          <w:rFonts w:hint="eastAsia" w:ascii="宋体" w:hAnsi="宋体" w:eastAsia="宋体" w:cs="宋体"/>
          <w:color w:val="auto"/>
          <w:sz w:val="24"/>
          <w:szCs w:val="24"/>
          <w:highlight w:val="none"/>
        </w:rPr>
        <w:t xml:space="preserve"> </w:t>
      </w:r>
    </w:p>
    <w:p w14:paraId="04808BC7">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法定住所：</w:t>
      </w:r>
    </w:p>
    <w:p w14:paraId="2D6BB855">
      <w:pPr>
        <w:outlineLvl w:val="9"/>
        <w:rPr>
          <w:rFonts w:hint="eastAsia"/>
          <w:color w:val="auto"/>
          <w:highlight w:val="none"/>
        </w:rPr>
      </w:pPr>
    </w:p>
    <w:p w14:paraId="1E8287CD">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成员二名称：</w:t>
      </w:r>
      <w:r>
        <w:rPr>
          <w:rFonts w:hint="eastAsia" w:ascii="宋体" w:hAnsi="宋体" w:eastAsia="宋体" w:cs="宋体"/>
          <w:color w:val="auto"/>
          <w:sz w:val="24"/>
          <w:szCs w:val="24"/>
          <w:highlight w:val="none"/>
        </w:rPr>
        <w:t xml:space="preserve"> </w:t>
      </w:r>
    </w:p>
    <w:p w14:paraId="7C1025DC">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法定代表人：</w:t>
      </w:r>
      <w:r>
        <w:rPr>
          <w:rFonts w:hint="eastAsia" w:ascii="宋体" w:hAnsi="宋体" w:eastAsia="宋体" w:cs="宋体"/>
          <w:color w:val="auto"/>
          <w:sz w:val="24"/>
          <w:szCs w:val="24"/>
          <w:highlight w:val="none"/>
        </w:rPr>
        <w:t xml:space="preserve"> </w:t>
      </w:r>
    </w:p>
    <w:p w14:paraId="391F3F76">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法定住所：</w:t>
      </w:r>
    </w:p>
    <w:p w14:paraId="1A5AB485">
      <w:pPr>
        <w:keepNext w:val="0"/>
        <w:keepLines w:val="0"/>
        <w:pageBreakBefore w:val="0"/>
        <w:widowControl/>
        <w:kinsoku w:val="0"/>
        <w:wordWrap/>
        <w:overflowPunct/>
        <w:topLinePunct w:val="0"/>
        <w:autoSpaceDE w:val="0"/>
        <w:autoSpaceDN w:val="0"/>
        <w:bidi w:val="0"/>
        <w:adjustRightInd w:val="0"/>
        <w:snapToGrid w:val="0"/>
        <w:spacing w:before="32" w:line="264" w:lineRule="auto"/>
        <w:ind w:left="43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3"/>
          <w:position w:val="3"/>
          <w:sz w:val="24"/>
          <w:szCs w:val="24"/>
          <w:highlight w:val="none"/>
        </w:rPr>
        <w:t>……</w:t>
      </w:r>
    </w:p>
    <w:p w14:paraId="6DDA5343">
      <w:pPr>
        <w:keepNext w:val="0"/>
        <w:keepLines w:val="0"/>
        <w:pageBreakBefore w:val="0"/>
        <w:widowControl/>
        <w:kinsoku w:val="0"/>
        <w:wordWrap/>
        <w:overflowPunct/>
        <w:topLinePunct w:val="0"/>
        <w:autoSpaceDE w:val="0"/>
        <w:autoSpaceDN w:val="0"/>
        <w:bidi w:val="0"/>
        <w:adjustRightInd w:val="0"/>
        <w:snapToGrid w:val="0"/>
        <w:spacing w:before="61" w:line="264" w:lineRule="auto"/>
        <w:ind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上述各成员单位经过友好协商，自愿组成联合体，</w:t>
      </w:r>
      <w:r>
        <w:rPr>
          <w:rFonts w:hint="eastAsia" w:ascii="宋体" w:hAnsi="宋体" w:eastAsia="宋体" w:cs="宋体"/>
          <w:color w:val="auto"/>
          <w:sz w:val="24"/>
          <w:szCs w:val="24"/>
          <w:highlight w:val="none"/>
        </w:rPr>
        <w:t>共同参加（项目名称</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rPr>
        <w:t>以下简</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2"/>
          <w:sz w:val="24"/>
          <w:szCs w:val="24"/>
          <w:highlight w:val="none"/>
        </w:rPr>
        <w:t>称“本项目</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”）的施工投标并争取赢得本项目施工承包</w:t>
      </w:r>
      <w:r>
        <w:rPr>
          <w:rFonts w:hint="eastAsia" w:ascii="宋体" w:hAnsi="宋体" w:eastAsia="宋体" w:cs="宋体"/>
          <w:color w:val="auto"/>
          <w:spacing w:val="-3"/>
          <w:sz w:val="24"/>
          <w:szCs w:val="24"/>
          <w:highlight w:val="none"/>
        </w:rPr>
        <w:t>合同（以下简称合同）。现就联</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合体投标事宜订立如下协议：</w:t>
      </w:r>
    </w:p>
    <w:p w14:paraId="35E1AD38">
      <w:pPr>
        <w:keepNext w:val="0"/>
        <w:keepLines w:val="0"/>
        <w:pageBreakBefore w:val="0"/>
        <w:widowControl/>
        <w:kinsoku w:val="0"/>
        <w:wordWrap/>
        <w:overflowPunct/>
        <w:topLinePunct w:val="0"/>
        <w:autoSpaceDE w:val="0"/>
        <w:autoSpaceDN w:val="0"/>
        <w:bidi w:val="0"/>
        <w:adjustRightInd w:val="0"/>
        <w:snapToGrid w:val="0"/>
        <w:spacing w:before="33" w:line="264"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1"/>
          <w:sz w:val="24"/>
          <w:szCs w:val="24"/>
          <w:highlight w:val="none"/>
        </w:rPr>
        <w:t>．（</w:t>
      </w:r>
      <w:r>
        <w:rPr>
          <w:rFonts w:hint="eastAsia" w:ascii="宋体" w:hAnsi="宋体" w:eastAsia="宋体" w:cs="宋体"/>
          <w:color w:val="auto"/>
          <w:sz w:val="24"/>
          <w:szCs w:val="24"/>
          <w:highlight w:val="none"/>
        </w:rPr>
        <w:t>某成员单位名称）为联合体牵头人。</w:t>
      </w:r>
    </w:p>
    <w:p w14:paraId="06B53A35">
      <w:pPr>
        <w:keepNext w:val="0"/>
        <w:keepLines w:val="0"/>
        <w:pageBreakBefore w:val="0"/>
        <w:widowControl/>
        <w:kinsoku w:val="0"/>
        <w:wordWrap/>
        <w:overflowPunct/>
        <w:topLinePunct w:val="0"/>
        <w:autoSpaceDE w:val="0"/>
        <w:autoSpaceDN w:val="0"/>
        <w:bidi w:val="0"/>
        <w:adjustRightInd w:val="0"/>
        <w:snapToGrid w:val="0"/>
        <w:spacing w:before="156" w:line="264" w:lineRule="auto"/>
        <w:ind w:left="1" w:firstLine="47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1"/>
          <w:sz w:val="24"/>
          <w:szCs w:val="24"/>
          <w:highlight w:val="none"/>
        </w:rPr>
        <w:t>．在本项目投标阶段，联合体牵头人合法代表联合体各成员负责本项目投标</w:t>
      </w:r>
      <w:r>
        <w:rPr>
          <w:rFonts w:hint="eastAsia" w:ascii="宋体" w:hAnsi="宋体" w:eastAsia="宋体" w:cs="宋体"/>
          <w:color w:val="auto"/>
          <w:spacing w:val="-2"/>
          <w:sz w:val="24"/>
          <w:szCs w:val="24"/>
          <w:highlight w:val="none"/>
        </w:rPr>
        <w:t>文件编制活动，代表联合体提交和接收相关的资料、信息及指示，并处理与投标和中标有关</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2"/>
          <w:sz w:val="24"/>
          <w:szCs w:val="24"/>
          <w:highlight w:val="none"/>
        </w:rPr>
        <w:t>的一切事务；联合体中标后，联合体牵头人负责合同订立和合同实施阶段的主办、组织</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2"/>
          <w:sz w:val="24"/>
          <w:szCs w:val="24"/>
          <w:highlight w:val="none"/>
        </w:rPr>
        <w:t>和协调工作。</w:t>
      </w:r>
    </w:p>
    <w:p w14:paraId="4950AC5C">
      <w:pPr>
        <w:keepNext w:val="0"/>
        <w:keepLines w:val="0"/>
        <w:pageBreakBefore w:val="0"/>
        <w:widowControl/>
        <w:kinsoku w:val="0"/>
        <w:wordWrap/>
        <w:overflowPunct/>
        <w:topLinePunct w:val="0"/>
        <w:autoSpaceDE w:val="0"/>
        <w:autoSpaceDN w:val="0"/>
        <w:bidi w:val="0"/>
        <w:adjustRightInd w:val="0"/>
        <w:snapToGrid w:val="0"/>
        <w:spacing w:before="153" w:line="264" w:lineRule="auto"/>
        <w:ind w:left="2" w:firstLine="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．联合体将严格按照招标文件的各项要求，递交投标文件，履行</w:t>
      </w:r>
      <w:r>
        <w:rPr>
          <w:rFonts w:hint="eastAsia" w:ascii="宋体" w:hAnsi="宋体" w:eastAsia="宋体" w:cs="宋体"/>
          <w:color w:val="auto"/>
          <w:spacing w:val="-2"/>
          <w:sz w:val="24"/>
          <w:szCs w:val="24"/>
          <w:highlight w:val="none"/>
        </w:rPr>
        <w:t>投标义务和中标后的合同，共同承担合同规定的一切义务和责任，联合体各成员单位按照内部职责的部</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1"/>
          <w:sz w:val="24"/>
          <w:szCs w:val="24"/>
          <w:highlight w:val="none"/>
        </w:rPr>
        <w:t>分，承担各自所负的责任和风险，并向招标人承担连带责任。</w:t>
      </w:r>
    </w:p>
    <w:p w14:paraId="64C4A26A">
      <w:pPr>
        <w:keepNext w:val="0"/>
        <w:keepLines w:val="0"/>
        <w:pageBreakBefore w:val="0"/>
        <w:widowControl/>
        <w:kinsoku w:val="0"/>
        <w:wordWrap/>
        <w:overflowPunct/>
        <w:topLinePunct w:val="0"/>
        <w:autoSpaceDE w:val="0"/>
        <w:autoSpaceDN w:val="0"/>
        <w:bidi w:val="0"/>
        <w:adjustRightInd w:val="0"/>
        <w:snapToGrid w:val="0"/>
        <w:spacing w:before="154" w:line="264" w:lineRule="auto"/>
        <w:ind w:left="475"/>
        <w:textAlignment w:val="baseline"/>
        <w:outlineLvl w:val="9"/>
        <w:rPr>
          <w:rFonts w:hint="eastAsia" w:ascii="宋体" w:hAnsi="宋体" w:eastAsia="宋体" w:cs="宋体"/>
          <w:color w:val="auto"/>
          <w:sz w:val="24"/>
          <w:szCs w:val="24"/>
          <w:highlight w:val="none"/>
        </w:rPr>
      </w:pPr>
      <w:bookmarkStart w:id="239" w:name="_Toc32149"/>
      <w:bookmarkStart w:id="240" w:name="_Toc5365"/>
      <w:r>
        <w:rPr>
          <w:rFonts w:hint="eastAsia" w:ascii="宋体" w:hAnsi="宋体" w:eastAsia="宋体" w:cs="宋体"/>
          <w:color w:val="auto"/>
          <w:spacing w:val="-2"/>
          <w:sz w:val="24"/>
          <w:szCs w:val="24"/>
          <w:highlight w:val="none"/>
        </w:rPr>
        <w:t>4</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2"/>
          <w:sz w:val="24"/>
          <w:szCs w:val="24"/>
          <w:highlight w:val="none"/>
        </w:rPr>
        <w:t>．联合体各成员单位内部的职责分工如下：。</w:t>
      </w:r>
      <w:bookmarkEnd w:id="239"/>
      <w:bookmarkEnd w:id="240"/>
    </w:p>
    <w:p w14:paraId="1D71CD83">
      <w:pPr>
        <w:keepNext w:val="0"/>
        <w:keepLines w:val="0"/>
        <w:pageBreakBefore w:val="0"/>
        <w:widowControl/>
        <w:kinsoku w:val="0"/>
        <w:wordWrap/>
        <w:overflowPunct/>
        <w:topLinePunct w:val="0"/>
        <w:autoSpaceDE w:val="0"/>
        <w:autoSpaceDN w:val="0"/>
        <w:bidi w:val="0"/>
        <w:adjustRightInd w:val="0"/>
        <w:snapToGrid w:val="0"/>
        <w:spacing w:before="152" w:line="264" w:lineRule="auto"/>
        <w:ind w:right="71" w:firstLine="48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．投标工作和联合体在中标后工程实施过程中的有关费用按</w:t>
      </w:r>
      <w:r>
        <w:rPr>
          <w:rFonts w:hint="eastAsia" w:ascii="宋体" w:hAnsi="宋体" w:eastAsia="宋体" w:cs="宋体"/>
          <w:color w:val="auto"/>
          <w:spacing w:val="-2"/>
          <w:sz w:val="24"/>
          <w:szCs w:val="24"/>
          <w:highlight w:val="none"/>
        </w:rPr>
        <w:t>各自承担的工作量分</w:t>
      </w:r>
      <w:r>
        <w:rPr>
          <w:rFonts w:hint="eastAsia" w:ascii="宋体" w:hAnsi="宋体" w:eastAsia="宋体" w:cs="宋体"/>
          <w:color w:val="auto"/>
          <w:spacing w:val="-5"/>
          <w:sz w:val="24"/>
          <w:szCs w:val="24"/>
          <w:highlight w:val="none"/>
        </w:rPr>
        <w:t>摊。</w:t>
      </w:r>
    </w:p>
    <w:p w14:paraId="03389633">
      <w:pPr>
        <w:keepNext w:val="0"/>
        <w:keepLines w:val="0"/>
        <w:pageBreakBefore w:val="0"/>
        <w:widowControl/>
        <w:kinsoku w:val="0"/>
        <w:wordWrap/>
        <w:overflowPunct/>
        <w:topLinePunct w:val="0"/>
        <w:autoSpaceDE w:val="0"/>
        <w:autoSpaceDN w:val="0"/>
        <w:bidi w:val="0"/>
        <w:adjustRightInd w:val="0"/>
        <w:snapToGrid w:val="0"/>
        <w:spacing w:before="153" w:line="264" w:lineRule="auto"/>
        <w:ind w:left="4" w:right="71" w:firstLine="47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．联合体中标后，本联合体协议是合同的附件，对联合体各成</w:t>
      </w:r>
      <w:r>
        <w:rPr>
          <w:rFonts w:hint="eastAsia" w:ascii="宋体" w:hAnsi="宋体" w:eastAsia="宋体" w:cs="宋体"/>
          <w:color w:val="auto"/>
          <w:spacing w:val="-2"/>
          <w:sz w:val="24"/>
          <w:szCs w:val="24"/>
          <w:highlight w:val="none"/>
        </w:rPr>
        <w:t>员单位有合同约束</w:t>
      </w:r>
      <w:r>
        <w:rPr>
          <w:rFonts w:hint="eastAsia" w:ascii="宋体" w:hAnsi="宋体" w:eastAsia="宋体" w:cs="宋体"/>
          <w:color w:val="auto"/>
          <w:spacing w:val="-7"/>
          <w:sz w:val="24"/>
          <w:szCs w:val="24"/>
          <w:highlight w:val="none"/>
        </w:rPr>
        <w:t>力。</w:t>
      </w:r>
    </w:p>
    <w:p w14:paraId="3D9DFEE6">
      <w:pPr>
        <w:keepNext w:val="0"/>
        <w:keepLines w:val="0"/>
        <w:pageBreakBefore w:val="0"/>
        <w:widowControl/>
        <w:kinsoku w:val="0"/>
        <w:wordWrap/>
        <w:overflowPunct/>
        <w:topLinePunct w:val="0"/>
        <w:autoSpaceDE w:val="0"/>
        <w:autoSpaceDN w:val="0"/>
        <w:bidi w:val="0"/>
        <w:adjustRightInd w:val="0"/>
        <w:snapToGrid w:val="0"/>
        <w:spacing w:before="157" w:line="264" w:lineRule="auto"/>
        <w:ind w:left="6" w:right="71" w:firstLine="47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．本协议书自签署之日起生效，联合体未中标或者中标时合同履行</w:t>
      </w:r>
      <w:r>
        <w:rPr>
          <w:rFonts w:hint="eastAsia" w:ascii="宋体" w:hAnsi="宋体" w:eastAsia="宋体" w:cs="宋体"/>
          <w:color w:val="auto"/>
          <w:spacing w:val="-2"/>
          <w:sz w:val="24"/>
          <w:szCs w:val="24"/>
          <w:highlight w:val="none"/>
        </w:rPr>
        <w:t>完毕后自动失</w:t>
      </w:r>
      <w:r>
        <w:rPr>
          <w:rFonts w:hint="eastAsia" w:ascii="宋体" w:hAnsi="宋体" w:eastAsia="宋体" w:cs="宋体"/>
          <w:color w:val="auto"/>
          <w:spacing w:val="-8"/>
          <w:sz w:val="24"/>
          <w:szCs w:val="24"/>
          <w:highlight w:val="none"/>
        </w:rPr>
        <w:t>效。</w:t>
      </w:r>
    </w:p>
    <w:p w14:paraId="1DB0ADDC">
      <w:pPr>
        <w:keepNext w:val="0"/>
        <w:keepLines w:val="0"/>
        <w:pageBreakBefore w:val="0"/>
        <w:widowControl/>
        <w:kinsoku w:val="0"/>
        <w:wordWrap/>
        <w:overflowPunct/>
        <w:topLinePunct w:val="0"/>
        <w:autoSpaceDE w:val="0"/>
        <w:autoSpaceDN w:val="0"/>
        <w:bidi w:val="0"/>
        <w:adjustRightInd w:val="0"/>
        <w:snapToGrid w:val="0"/>
        <w:spacing w:before="152" w:line="264" w:lineRule="auto"/>
        <w:ind w:left="486"/>
        <w:textAlignment w:val="baseline"/>
        <w:outlineLvl w:val="9"/>
        <w:rPr>
          <w:rFonts w:hint="eastAsia" w:ascii="宋体" w:hAnsi="宋体" w:eastAsia="宋体" w:cs="宋体"/>
          <w:color w:val="auto"/>
          <w:sz w:val="24"/>
          <w:szCs w:val="24"/>
          <w:highlight w:val="none"/>
        </w:rPr>
      </w:pPr>
      <w:bookmarkStart w:id="241" w:name="_Toc26708"/>
      <w:bookmarkStart w:id="242" w:name="_Toc22612"/>
      <w:r>
        <w:rPr>
          <w:rFonts w:hint="eastAsia" w:ascii="宋体" w:hAnsi="宋体" w:eastAsia="宋体" w:cs="宋体"/>
          <w:color w:val="auto"/>
          <w:spacing w:val="-2"/>
          <w:sz w:val="24"/>
          <w:szCs w:val="24"/>
          <w:highlight w:val="none"/>
        </w:rPr>
        <w:t>8</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．本协议书一式份，联合体成员和招标人各执一份。</w:t>
      </w:r>
      <w:bookmarkEnd w:id="241"/>
      <w:bookmarkEnd w:id="242"/>
    </w:p>
    <w:p w14:paraId="599B051B">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bookmarkStart w:id="243" w:name="bookmark154"/>
      <w:bookmarkEnd w:id="243"/>
      <w:r>
        <w:rPr>
          <w:rFonts w:hint="eastAsia" w:ascii="宋体" w:hAnsi="宋体" w:eastAsia="宋体" w:cs="宋体"/>
          <w:color w:val="auto"/>
          <w:sz w:val="24"/>
          <w:szCs w:val="24"/>
          <w:highlight w:val="none"/>
        </w:rPr>
        <w:t>牵头人名称</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rPr>
        <w:t>盖单位章）</w:t>
      </w:r>
    </w:p>
    <w:p w14:paraId="109CFDDE">
      <w:pPr>
        <w:pStyle w:val="5"/>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03AF1506">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1F0DAD02">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成员二名称</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盖单位章）</w:t>
      </w:r>
    </w:p>
    <w:p w14:paraId="05AA9D56">
      <w:pPr>
        <w:pStyle w:val="5"/>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28E891F2">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6B70E035">
      <w:pPr>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601F5F4F">
      <w:pPr>
        <w:pStyle w:val="5"/>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1EC8E023">
      <w:pPr>
        <w:keepNext w:val="0"/>
        <w:keepLines w:val="0"/>
        <w:pageBreakBefore w:val="0"/>
        <w:widowControl/>
        <w:kinsoku w:val="0"/>
        <w:wordWrap/>
        <w:overflowPunct/>
        <w:topLinePunct w:val="0"/>
        <w:autoSpaceDE w:val="0"/>
        <w:autoSpaceDN w:val="0"/>
        <w:bidi w:val="0"/>
        <w:adjustRightInd w:val="0"/>
        <w:snapToGrid w:val="0"/>
        <w:spacing w:before="65" w:line="264" w:lineRule="auto"/>
        <w:ind w:right="22"/>
        <w:jc w:val="both"/>
        <w:textAlignment w:val="baseline"/>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说明：《联合体协议书》</w:t>
      </w:r>
      <w:r>
        <w:rPr>
          <w:rFonts w:hint="eastAsia" w:ascii="宋体" w:hAnsi="宋体" w:eastAsia="宋体" w:cs="宋体"/>
          <w:color w:val="auto"/>
          <w:spacing w:val="-55"/>
          <w:sz w:val="20"/>
          <w:szCs w:val="20"/>
          <w:highlight w:val="none"/>
        </w:rPr>
        <w:t xml:space="preserve"> </w:t>
      </w:r>
      <w:r>
        <w:rPr>
          <w:rFonts w:hint="eastAsia" w:ascii="宋体" w:hAnsi="宋体" w:eastAsia="宋体" w:cs="宋体"/>
          <w:color w:val="auto"/>
          <w:spacing w:val="9"/>
          <w:sz w:val="20"/>
          <w:szCs w:val="20"/>
          <w:highlight w:val="none"/>
        </w:rPr>
        <w:t>由委托代理人签字或盖章的，</w:t>
      </w:r>
      <w:r>
        <w:rPr>
          <w:rFonts w:hint="eastAsia" w:ascii="宋体" w:hAnsi="宋体" w:eastAsia="宋体" w:cs="宋体"/>
          <w:color w:val="auto"/>
          <w:spacing w:val="8"/>
          <w:sz w:val="20"/>
          <w:szCs w:val="20"/>
          <w:highlight w:val="none"/>
        </w:rPr>
        <w:t>应附法定代表人签字或盖章的授权委托</w:t>
      </w:r>
      <w:r>
        <w:rPr>
          <w:rFonts w:hint="eastAsia" w:ascii="宋体" w:hAnsi="宋体" w:eastAsia="宋体" w:cs="宋体"/>
          <w:color w:val="auto"/>
          <w:spacing w:val="-2"/>
          <w:sz w:val="20"/>
          <w:szCs w:val="20"/>
          <w:highlight w:val="none"/>
        </w:rPr>
        <w:t>书。</w:t>
      </w:r>
    </w:p>
    <w:p w14:paraId="14CA2F70">
      <w:pPr>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z w:val="20"/>
          <w:szCs w:val="20"/>
          <w:highlight w:val="none"/>
        </w:rPr>
        <w:sectPr>
          <w:footerReference r:id="rId18"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5F3704FE">
      <w:pPr>
        <w:spacing w:before="78" w:line="220" w:lineRule="auto"/>
        <w:outlineLvl w:val="2"/>
        <w:rPr>
          <w:rFonts w:hint="eastAsia" w:ascii="宋体" w:hAnsi="宋体" w:eastAsia="宋体" w:cs="宋体"/>
          <w:b/>
          <w:bCs/>
          <w:color w:val="auto"/>
          <w:spacing w:val="-4"/>
          <w:sz w:val="24"/>
          <w:szCs w:val="24"/>
          <w:highlight w:val="none"/>
        </w:rPr>
      </w:pPr>
      <w:bookmarkStart w:id="244" w:name="_Toc17838"/>
      <w:r>
        <w:rPr>
          <w:rFonts w:hint="eastAsia" w:ascii="宋体" w:hAnsi="宋体" w:eastAsia="宋体" w:cs="宋体"/>
          <w:b/>
          <w:bCs/>
          <w:color w:val="auto"/>
          <w:spacing w:val="-4"/>
          <w:sz w:val="24"/>
          <w:szCs w:val="24"/>
          <w:highlight w:val="none"/>
        </w:rPr>
        <w:t>格式七 投标人基本情况表</w:t>
      </w:r>
      <w:bookmarkEnd w:id="244"/>
    </w:p>
    <w:p w14:paraId="365D949B">
      <w:pPr>
        <w:spacing w:before="333" w:line="219" w:lineRule="auto"/>
        <w:ind w:left="3350"/>
        <w:rPr>
          <w:rFonts w:hint="eastAsia" w:ascii="宋体" w:hAnsi="宋体" w:eastAsia="宋体" w:cs="宋体"/>
          <w:color w:val="auto"/>
          <w:sz w:val="30"/>
          <w:szCs w:val="30"/>
          <w:highlight w:val="none"/>
        </w:rPr>
      </w:pPr>
      <w:r>
        <w:rPr>
          <w:rFonts w:hint="eastAsia" w:ascii="宋体" w:hAnsi="宋体" w:eastAsia="宋体" w:cs="宋体"/>
          <w:b/>
          <w:bCs/>
          <w:color w:val="auto"/>
          <w:spacing w:val="-5"/>
          <w:sz w:val="30"/>
          <w:szCs w:val="30"/>
          <w:highlight w:val="none"/>
        </w:rPr>
        <w:t>投标人基本情况表</w:t>
      </w:r>
    </w:p>
    <w:p w14:paraId="2CD970DC">
      <w:pPr>
        <w:spacing w:line="239" w:lineRule="exact"/>
        <w:rPr>
          <w:rFonts w:hint="eastAsia" w:ascii="宋体" w:hAnsi="宋体" w:eastAsia="宋体" w:cs="宋体"/>
          <w:color w:val="auto"/>
          <w:highlight w:val="none"/>
        </w:rPr>
      </w:pPr>
    </w:p>
    <w:tbl>
      <w:tblPr>
        <w:tblStyle w:val="14"/>
        <w:tblW w:w="9259" w:type="dxa"/>
        <w:tblInd w:w="28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0"/>
        <w:gridCol w:w="975"/>
        <w:gridCol w:w="1837"/>
        <w:gridCol w:w="872"/>
        <w:gridCol w:w="311"/>
        <w:gridCol w:w="1043"/>
        <w:gridCol w:w="283"/>
        <w:gridCol w:w="770"/>
        <w:gridCol w:w="1548"/>
      </w:tblGrid>
      <w:tr w14:paraId="44A25A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620" w:type="dxa"/>
            <w:vAlign w:val="center"/>
          </w:tcPr>
          <w:p w14:paraId="07127D66">
            <w:pPr>
              <w:spacing w:before="149" w:line="229" w:lineRule="auto"/>
              <w:ind w:left="228"/>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投标人名称</w:t>
            </w:r>
          </w:p>
        </w:tc>
        <w:tc>
          <w:tcPr>
            <w:tcW w:w="7639" w:type="dxa"/>
            <w:gridSpan w:val="8"/>
            <w:vAlign w:val="top"/>
          </w:tcPr>
          <w:p w14:paraId="686AB840">
            <w:pPr>
              <w:pStyle w:val="21"/>
              <w:rPr>
                <w:rFonts w:hint="eastAsia" w:ascii="宋体" w:hAnsi="宋体" w:eastAsia="宋体" w:cs="宋体"/>
                <w:color w:val="auto"/>
                <w:sz w:val="24"/>
                <w:szCs w:val="24"/>
                <w:highlight w:val="none"/>
              </w:rPr>
            </w:pPr>
          </w:p>
        </w:tc>
      </w:tr>
      <w:tr w14:paraId="4CC1D3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1620" w:type="dxa"/>
            <w:vAlign w:val="top"/>
          </w:tcPr>
          <w:p w14:paraId="19EABCF3">
            <w:pPr>
              <w:spacing w:before="144" w:line="230" w:lineRule="auto"/>
              <w:ind w:left="32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注册地址</w:t>
            </w:r>
          </w:p>
        </w:tc>
        <w:tc>
          <w:tcPr>
            <w:tcW w:w="3684" w:type="dxa"/>
            <w:gridSpan w:val="3"/>
            <w:vAlign w:val="top"/>
          </w:tcPr>
          <w:p w14:paraId="0AC65D35">
            <w:pPr>
              <w:pStyle w:val="21"/>
              <w:rPr>
                <w:rFonts w:hint="eastAsia" w:ascii="宋体" w:hAnsi="宋体" w:eastAsia="宋体" w:cs="宋体"/>
                <w:color w:val="auto"/>
                <w:sz w:val="24"/>
                <w:szCs w:val="24"/>
                <w:highlight w:val="none"/>
              </w:rPr>
            </w:pPr>
          </w:p>
        </w:tc>
        <w:tc>
          <w:tcPr>
            <w:tcW w:w="1354" w:type="dxa"/>
            <w:gridSpan w:val="2"/>
            <w:vAlign w:val="top"/>
          </w:tcPr>
          <w:p w14:paraId="031EC2C9">
            <w:pPr>
              <w:spacing w:before="144" w:line="228" w:lineRule="auto"/>
              <w:ind w:left="226"/>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邮政编码</w:t>
            </w:r>
          </w:p>
        </w:tc>
        <w:tc>
          <w:tcPr>
            <w:tcW w:w="2601" w:type="dxa"/>
            <w:gridSpan w:val="3"/>
            <w:vAlign w:val="top"/>
          </w:tcPr>
          <w:p w14:paraId="7AD354B7">
            <w:pPr>
              <w:pStyle w:val="21"/>
              <w:rPr>
                <w:rFonts w:hint="eastAsia" w:ascii="宋体" w:hAnsi="宋体" w:eastAsia="宋体" w:cs="宋体"/>
                <w:color w:val="auto"/>
                <w:sz w:val="24"/>
                <w:szCs w:val="24"/>
                <w:highlight w:val="none"/>
              </w:rPr>
            </w:pPr>
          </w:p>
        </w:tc>
      </w:tr>
      <w:tr w14:paraId="2574F8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1620" w:type="dxa"/>
            <w:vMerge w:val="restart"/>
            <w:tcBorders>
              <w:bottom w:val="nil"/>
            </w:tcBorders>
            <w:vAlign w:val="top"/>
          </w:tcPr>
          <w:p w14:paraId="15650E43">
            <w:pPr>
              <w:pStyle w:val="21"/>
              <w:spacing w:line="332" w:lineRule="auto"/>
              <w:rPr>
                <w:rFonts w:hint="eastAsia" w:ascii="宋体" w:hAnsi="宋体" w:eastAsia="宋体" w:cs="宋体"/>
                <w:color w:val="auto"/>
                <w:sz w:val="24"/>
                <w:szCs w:val="24"/>
                <w:highlight w:val="none"/>
              </w:rPr>
            </w:pPr>
          </w:p>
          <w:p w14:paraId="3917AF4F">
            <w:pPr>
              <w:spacing w:before="65" w:line="230" w:lineRule="auto"/>
              <w:ind w:left="32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联系方式</w:t>
            </w:r>
          </w:p>
        </w:tc>
        <w:tc>
          <w:tcPr>
            <w:tcW w:w="975" w:type="dxa"/>
            <w:vAlign w:val="top"/>
          </w:tcPr>
          <w:p w14:paraId="3D7FC625">
            <w:pPr>
              <w:spacing w:before="145" w:line="231" w:lineRule="auto"/>
              <w:ind w:left="136"/>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联系人</w:t>
            </w:r>
          </w:p>
        </w:tc>
        <w:tc>
          <w:tcPr>
            <w:tcW w:w="2709" w:type="dxa"/>
            <w:gridSpan w:val="2"/>
            <w:vAlign w:val="top"/>
          </w:tcPr>
          <w:p w14:paraId="74C76AE1">
            <w:pPr>
              <w:pStyle w:val="21"/>
              <w:rPr>
                <w:rFonts w:hint="eastAsia" w:ascii="宋体" w:hAnsi="宋体" w:eastAsia="宋体" w:cs="宋体"/>
                <w:color w:val="auto"/>
                <w:sz w:val="24"/>
                <w:szCs w:val="24"/>
                <w:highlight w:val="none"/>
              </w:rPr>
            </w:pPr>
          </w:p>
        </w:tc>
        <w:tc>
          <w:tcPr>
            <w:tcW w:w="1354" w:type="dxa"/>
            <w:gridSpan w:val="2"/>
            <w:vAlign w:val="top"/>
          </w:tcPr>
          <w:p w14:paraId="65D93497">
            <w:pPr>
              <w:spacing w:before="145" w:line="231" w:lineRule="auto"/>
              <w:ind w:left="338"/>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电</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12"/>
                <w:sz w:val="24"/>
                <w:szCs w:val="24"/>
                <w:highlight w:val="none"/>
              </w:rPr>
              <w:t>话</w:t>
            </w:r>
          </w:p>
        </w:tc>
        <w:tc>
          <w:tcPr>
            <w:tcW w:w="2601" w:type="dxa"/>
            <w:gridSpan w:val="3"/>
            <w:vAlign w:val="top"/>
          </w:tcPr>
          <w:p w14:paraId="275175F8">
            <w:pPr>
              <w:pStyle w:val="21"/>
              <w:rPr>
                <w:rFonts w:hint="eastAsia" w:ascii="宋体" w:hAnsi="宋体" w:eastAsia="宋体" w:cs="宋体"/>
                <w:color w:val="auto"/>
                <w:sz w:val="24"/>
                <w:szCs w:val="24"/>
                <w:highlight w:val="none"/>
              </w:rPr>
            </w:pPr>
          </w:p>
        </w:tc>
      </w:tr>
      <w:tr w14:paraId="320F60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620" w:type="dxa"/>
            <w:vMerge w:val="continue"/>
            <w:tcBorders>
              <w:top w:val="nil"/>
            </w:tcBorders>
            <w:vAlign w:val="top"/>
          </w:tcPr>
          <w:p w14:paraId="173CE181">
            <w:pPr>
              <w:pStyle w:val="21"/>
              <w:rPr>
                <w:rFonts w:hint="eastAsia" w:ascii="宋体" w:hAnsi="宋体" w:eastAsia="宋体" w:cs="宋体"/>
                <w:color w:val="auto"/>
                <w:sz w:val="24"/>
                <w:szCs w:val="24"/>
                <w:highlight w:val="none"/>
              </w:rPr>
            </w:pPr>
          </w:p>
        </w:tc>
        <w:tc>
          <w:tcPr>
            <w:tcW w:w="975" w:type="dxa"/>
            <w:vAlign w:val="top"/>
          </w:tcPr>
          <w:p w14:paraId="42FC9B75">
            <w:pPr>
              <w:spacing w:before="143" w:line="228" w:lineRule="auto"/>
              <w:ind w:left="13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传</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真</w:t>
            </w:r>
          </w:p>
        </w:tc>
        <w:tc>
          <w:tcPr>
            <w:tcW w:w="2709" w:type="dxa"/>
            <w:gridSpan w:val="2"/>
            <w:vAlign w:val="top"/>
          </w:tcPr>
          <w:p w14:paraId="7E63A544">
            <w:pPr>
              <w:pStyle w:val="21"/>
              <w:rPr>
                <w:rFonts w:hint="eastAsia" w:ascii="宋体" w:hAnsi="宋体" w:eastAsia="宋体" w:cs="宋体"/>
                <w:color w:val="auto"/>
                <w:sz w:val="24"/>
                <w:szCs w:val="24"/>
                <w:highlight w:val="none"/>
              </w:rPr>
            </w:pPr>
          </w:p>
        </w:tc>
        <w:tc>
          <w:tcPr>
            <w:tcW w:w="1354" w:type="dxa"/>
            <w:gridSpan w:val="2"/>
            <w:vAlign w:val="top"/>
          </w:tcPr>
          <w:p w14:paraId="6612B606">
            <w:pPr>
              <w:spacing w:before="144" w:line="229" w:lineRule="auto"/>
              <w:ind w:left="23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电子邮箱</w:t>
            </w:r>
          </w:p>
        </w:tc>
        <w:tc>
          <w:tcPr>
            <w:tcW w:w="2601" w:type="dxa"/>
            <w:gridSpan w:val="3"/>
            <w:vAlign w:val="top"/>
          </w:tcPr>
          <w:p w14:paraId="5F4345F5">
            <w:pPr>
              <w:pStyle w:val="21"/>
              <w:rPr>
                <w:rFonts w:hint="eastAsia" w:ascii="宋体" w:hAnsi="宋体" w:eastAsia="宋体" w:cs="宋体"/>
                <w:color w:val="auto"/>
                <w:sz w:val="24"/>
                <w:szCs w:val="24"/>
                <w:highlight w:val="none"/>
              </w:rPr>
            </w:pPr>
          </w:p>
        </w:tc>
      </w:tr>
      <w:tr w14:paraId="17C69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620" w:type="dxa"/>
            <w:vAlign w:val="top"/>
          </w:tcPr>
          <w:p w14:paraId="45F28E6B">
            <w:pPr>
              <w:spacing w:before="145" w:line="229" w:lineRule="auto"/>
              <w:ind w:left="3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单位性质</w:t>
            </w:r>
          </w:p>
        </w:tc>
        <w:tc>
          <w:tcPr>
            <w:tcW w:w="7639" w:type="dxa"/>
            <w:gridSpan w:val="8"/>
            <w:vAlign w:val="top"/>
          </w:tcPr>
          <w:p w14:paraId="1E0E32B6">
            <w:pPr>
              <w:pStyle w:val="21"/>
              <w:rPr>
                <w:rFonts w:hint="eastAsia" w:ascii="宋体" w:hAnsi="宋体" w:eastAsia="宋体" w:cs="宋体"/>
                <w:color w:val="auto"/>
                <w:sz w:val="24"/>
                <w:szCs w:val="24"/>
                <w:highlight w:val="none"/>
              </w:rPr>
            </w:pPr>
          </w:p>
        </w:tc>
      </w:tr>
      <w:tr w14:paraId="7ACAFA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vAlign w:val="top"/>
          </w:tcPr>
          <w:p w14:paraId="183ED7E1">
            <w:pPr>
              <w:spacing w:before="144" w:line="228" w:lineRule="auto"/>
              <w:ind w:left="22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法定代表人</w:t>
            </w:r>
          </w:p>
        </w:tc>
        <w:tc>
          <w:tcPr>
            <w:tcW w:w="975" w:type="dxa"/>
            <w:vAlign w:val="top"/>
          </w:tcPr>
          <w:p w14:paraId="07222CE7">
            <w:pPr>
              <w:spacing w:before="144" w:line="228" w:lineRule="auto"/>
              <w:ind w:left="24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姓名</w:t>
            </w:r>
          </w:p>
        </w:tc>
        <w:tc>
          <w:tcPr>
            <w:tcW w:w="1837" w:type="dxa"/>
            <w:vAlign w:val="top"/>
          </w:tcPr>
          <w:p w14:paraId="091073F5">
            <w:pPr>
              <w:pStyle w:val="21"/>
              <w:rPr>
                <w:rFonts w:hint="eastAsia" w:ascii="宋体" w:hAnsi="宋体" w:eastAsia="宋体" w:cs="宋体"/>
                <w:color w:val="auto"/>
                <w:sz w:val="24"/>
                <w:szCs w:val="24"/>
                <w:highlight w:val="none"/>
              </w:rPr>
            </w:pPr>
          </w:p>
        </w:tc>
        <w:tc>
          <w:tcPr>
            <w:tcW w:w="1183" w:type="dxa"/>
            <w:gridSpan w:val="2"/>
            <w:vAlign w:val="top"/>
          </w:tcPr>
          <w:p w14:paraId="4A11ACAE">
            <w:pPr>
              <w:spacing w:before="144" w:line="228"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技术职称</w:t>
            </w:r>
          </w:p>
        </w:tc>
        <w:tc>
          <w:tcPr>
            <w:tcW w:w="1326" w:type="dxa"/>
            <w:gridSpan w:val="2"/>
            <w:vAlign w:val="top"/>
          </w:tcPr>
          <w:p w14:paraId="6ADE5618">
            <w:pPr>
              <w:pStyle w:val="21"/>
              <w:rPr>
                <w:rFonts w:hint="eastAsia" w:ascii="宋体" w:hAnsi="宋体" w:eastAsia="宋体" w:cs="宋体"/>
                <w:color w:val="auto"/>
                <w:sz w:val="24"/>
                <w:szCs w:val="24"/>
                <w:highlight w:val="none"/>
              </w:rPr>
            </w:pPr>
          </w:p>
        </w:tc>
        <w:tc>
          <w:tcPr>
            <w:tcW w:w="770" w:type="dxa"/>
            <w:vAlign w:val="top"/>
          </w:tcPr>
          <w:p w14:paraId="5C8E96FC">
            <w:pPr>
              <w:spacing w:before="143" w:line="231" w:lineRule="auto"/>
              <w:ind w:left="17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电话</w:t>
            </w:r>
          </w:p>
        </w:tc>
        <w:tc>
          <w:tcPr>
            <w:tcW w:w="1548" w:type="dxa"/>
            <w:vAlign w:val="top"/>
          </w:tcPr>
          <w:p w14:paraId="6AD0C2BC">
            <w:pPr>
              <w:pStyle w:val="21"/>
              <w:rPr>
                <w:rFonts w:hint="eastAsia" w:ascii="宋体" w:hAnsi="宋体" w:eastAsia="宋体" w:cs="宋体"/>
                <w:color w:val="auto"/>
                <w:sz w:val="24"/>
                <w:szCs w:val="24"/>
                <w:highlight w:val="none"/>
              </w:rPr>
            </w:pPr>
          </w:p>
        </w:tc>
      </w:tr>
      <w:tr w14:paraId="191733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vAlign w:val="top"/>
          </w:tcPr>
          <w:p w14:paraId="5ADD1B28">
            <w:pPr>
              <w:spacing w:before="145" w:line="230" w:lineRule="auto"/>
              <w:ind w:left="3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成立时间</w:t>
            </w:r>
          </w:p>
        </w:tc>
        <w:tc>
          <w:tcPr>
            <w:tcW w:w="2812" w:type="dxa"/>
            <w:gridSpan w:val="2"/>
            <w:vAlign w:val="top"/>
          </w:tcPr>
          <w:p w14:paraId="4BAD1642">
            <w:pPr>
              <w:pStyle w:val="21"/>
              <w:rPr>
                <w:rFonts w:hint="eastAsia" w:ascii="宋体" w:hAnsi="宋体" w:eastAsia="宋体" w:cs="宋体"/>
                <w:color w:val="auto"/>
                <w:sz w:val="24"/>
                <w:szCs w:val="24"/>
                <w:highlight w:val="none"/>
              </w:rPr>
            </w:pPr>
          </w:p>
        </w:tc>
        <w:tc>
          <w:tcPr>
            <w:tcW w:w="4827" w:type="dxa"/>
            <w:gridSpan w:val="6"/>
            <w:vAlign w:val="top"/>
          </w:tcPr>
          <w:p w14:paraId="30D24B75">
            <w:pPr>
              <w:spacing w:before="145" w:line="228" w:lineRule="auto"/>
              <w:ind w:left="1287"/>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员工总人数（个</w:t>
            </w:r>
            <w:r>
              <w:rPr>
                <w:rFonts w:hint="eastAsia" w:ascii="宋体" w:hAnsi="宋体" w:eastAsia="宋体" w:cs="宋体"/>
                <w:color w:val="auto"/>
                <w:sz w:val="24"/>
                <w:szCs w:val="24"/>
                <w:highlight w:val="none"/>
              </w:rPr>
              <w:t>）：</w:t>
            </w:r>
          </w:p>
        </w:tc>
      </w:tr>
      <w:tr w14:paraId="1229E7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620" w:type="dxa"/>
            <w:vAlign w:val="top"/>
          </w:tcPr>
          <w:p w14:paraId="754966A2">
            <w:pPr>
              <w:spacing w:before="61" w:line="262" w:lineRule="auto"/>
              <w:ind w:right="220"/>
              <w:jc w:val="center"/>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企业资质</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类型和等级</w:t>
            </w:r>
          </w:p>
        </w:tc>
        <w:tc>
          <w:tcPr>
            <w:tcW w:w="2812" w:type="dxa"/>
            <w:gridSpan w:val="2"/>
            <w:vAlign w:val="top"/>
          </w:tcPr>
          <w:p w14:paraId="782B0B60">
            <w:pPr>
              <w:pStyle w:val="21"/>
              <w:rPr>
                <w:rFonts w:hint="eastAsia" w:ascii="宋体" w:hAnsi="宋体" w:eastAsia="宋体" w:cs="宋体"/>
                <w:color w:val="auto"/>
                <w:sz w:val="24"/>
                <w:szCs w:val="24"/>
                <w:highlight w:val="none"/>
              </w:rPr>
            </w:pPr>
          </w:p>
        </w:tc>
        <w:tc>
          <w:tcPr>
            <w:tcW w:w="1183" w:type="dxa"/>
            <w:gridSpan w:val="2"/>
            <w:vMerge w:val="restart"/>
            <w:tcBorders>
              <w:bottom w:val="nil"/>
            </w:tcBorders>
            <w:vAlign w:val="top"/>
          </w:tcPr>
          <w:p w14:paraId="7A69FEFC">
            <w:pPr>
              <w:pStyle w:val="21"/>
              <w:spacing w:line="254" w:lineRule="auto"/>
              <w:rPr>
                <w:rFonts w:hint="eastAsia" w:ascii="宋体" w:hAnsi="宋体" w:eastAsia="宋体" w:cs="宋体"/>
                <w:color w:val="auto"/>
                <w:sz w:val="24"/>
                <w:szCs w:val="24"/>
                <w:highlight w:val="none"/>
              </w:rPr>
            </w:pPr>
          </w:p>
          <w:p w14:paraId="02C0E7FA">
            <w:pPr>
              <w:pStyle w:val="21"/>
              <w:spacing w:line="254" w:lineRule="auto"/>
              <w:rPr>
                <w:rFonts w:hint="eastAsia" w:ascii="宋体" w:hAnsi="宋体" w:eastAsia="宋体" w:cs="宋体"/>
                <w:color w:val="auto"/>
                <w:sz w:val="24"/>
                <w:szCs w:val="24"/>
                <w:highlight w:val="none"/>
              </w:rPr>
            </w:pPr>
          </w:p>
          <w:p w14:paraId="1FBAEACC">
            <w:pPr>
              <w:pStyle w:val="21"/>
              <w:spacing w:line="254" w:lineRule="auto"/>
              <w:rPr>
                <w:rFonts w:hint="eastAsia" w:ascii="宋体" w:hAnsi="宋体" w:eastAsia="宋体" w:cs="宋体"/>
                <w:color w:val="auto"/>
                <w:sz w:val="24"/>
                <w:szCs w:val="24"/>
                <w:highlight w:val="none"/>
              </w:rPr>
            </w:pPr>
          </w:p>
          <w:p w14:paraId="64C94A08">
            <w:pPr>
              <w:pStyle w:val="21"/>
              <w:spacing w:line="254" w:lineRule="auto"/>
              <w:rPr>
                <w:rFonts w:hint="eastAsia" w:ascii="宋体" w:hAnsi="宋体" w:eastAsia="宋体" w:cs="宋体"/>
                <w:color w:val="auto"/>
                <w:sz w:val="24"/>
                <w:szCs w:val="24"/>
                <w:highlight w:val="none"/>
              </w:rPr>
            </w:pPr>
          </w:p>
          <w:p w14:paraId="69BBE9A7">
            <w:pPr>
              <w:pStyle w:val="21"/>
              <w:spacing w:line="255" w:lineRule="auto"/>
              <w:rPr>
                <w:rFonts w:hint="eastAsia" w:ascii="宋体" w:hAnsi="宋体" w:eastAsia="宋体" w:cs="宋体"/>
                <w:color w:val="auto"/>
                <w:sz w:val="24"/>
                <w:szCs w:val="24"/>
                <w:highlight w:val="none"/>
              </w:rPr>
            </w:pPr>
          </w:p>
          <w:p w14:paraId="7C094C19">
            <w:pPr>
              <w:spacing w:before="65" w:line="229" w:lineRule="auto"/>
              <w:ind w:left="34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其中</w:t>
            </w:r>
          </w:p>
        </w:tc>
        <w:tc>
          <w:tcPr>
            <w:tcW w:w="2096" w:type="dxa"/>
            <w:gridSpan w:val="3"/>
            <w:vAlign w:val="top"/>
          </w:tcPr>
          <w:p w14:paraId="010F104F">
            <w:pPr>
              <w:spacing w:before="214" w:line="229" w:lineRule="auto"/>
              <w:ind w:left="55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p>
        </w:tc>
        <w:tc>
          <w:tcPr>
            <w:tcW w:w="1548" w:type="dxa"/>
            <w:vAlign w:val="top"/>
          </w:tcPr>
          <w:p w14:paraId="67C64A1C">
            <w:pPr>
              <w:pStyle w:val="21"/>
              <w:rPr>
                <w:rFonts w:hint="eastAsia" w:ascii="宋体" w:hAnsi="宋体" w:eastAsia="宋体" w:cs="宋体"/>
                <w:color w:val="auto"/>
                <w:sz w:val="24"/>
                <w:szCs w:val="24"/>
                <w:highlight w:val="none"/>
              </w:rPr>
            </w:pPr>
          </w:p>
        </w:tc>
      </w:tr>
      <w:tr w14:paraId="4B8001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620" w:type="dxa"/>
            <w:vAlign w:val="top"/>
          </w:tcPr>
          <w:p w14:paraId="6F14B77C">
            <w:pPr>
              <w:spacing w:before="146" w:line="228" w:lineRule="auto"/>
              <w:ind w:left="232"/>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营业执照号</w:t>
            </w:r>
          </w:p>
        </w:tc>
        <w:tc>
          <w:tcPr>
            <w:tcW w:w="2812" w:type="dxa"/>
            <w:gridSpan w:val="2"/>
            <w:vAlign w:val="top"/>
          </w:tcPr>
          <w:p w14:paraId="4431F67B">
            <w:pPr>
              <w:pStyle w:val="21"/>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425F8241">
            <w:pPr>
              <w:pStyle w:val="21"/>
              <w:rPr>
                <w:rFonts w:hint="eastAsia" w:ascii="宋体" w:hAnsi="宋体" w:eastAsia="宋体" w:cs="宋体"/>
                <w:color w:val="auto"/>
                <w:sz w:val="24"/>
                <w:szCs w:val="24"/>
                <w:highlight w:val="none"/>
              </w:rPr>
            </w:pPr>
          </w:p>
        </w:tc>
        <w:tc>
          <w:tcPr>
            <w:tcW w:w="2096" w:type="dxa"/>
            <w:gridSpan w:val="3"/>
            <w:vAlign w:val="top"/>
          </w:tcPr>
          <w:p w14:paraId="52E9EE82">
            <w:pPr>
              <w:spacing w:before="146" w:line="228" w:lineRule="auto"/>
              <w:ind w:left="345"/>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高级职称人员</w:t>
            </w:r>
          </w:p>
        </w:tc>
        <w:tc>
          <w:tcPr>
            <w:tcW w:w="1548" w:type="dxa"/>
            <w:vAlign w:val="top"/>
          </w:tcPr>
          <w:p w14:paraId="5AB52FD6">
            <w:pPr>
              <w:pStyle w:val="21"/>
              <w:rPr>
                <w:rFonts w:hint="eastAsia" w:ascii="宋体" w:hAnsi="宋体" w:eastAsia="宋体" w:cs="宋体"/>
                <w:color w:val="auto"/>
                <w:sz w:val="24"/>
                <w:szCs w:val="24"/>
                <w:highlight w:val="none"/>
              </w:rPr>
            </w:pPr>
          </w:p>
        </w:tc>
      </w:tr>
      <w:tr w14:paraId="0C7896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620" w:type="dxa"/>
            <w:vAlign w:val="top"/>
          </w:tcPr>
          <w:p w14:paraId="2B0CF379">
            <w:pPr>
              <w:spacing w:before="146" w:line="230" w:lineRule="auto"/>
              <w:ind w:left="32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注册资金</w:t>
            </w:r>
          </w:p>
        </w:tc>
        <w:tc>
          <w:tcPr>
            <w:tcW w:w="2812" w:type="dxa"/>
            <w:gridSpan w:val="2"/>
            <w:vAlign w:val="top"/>
          </w:tcPr>
          <w:p w14:paraId="55DE9293">
            <w:pPr>
              <w:pStyle w:val="21"/>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0C4A9705">
            <w:pPr>
              <w:pStyle w:val="21"/>
              <w:rPr>
                <w:rFonts w:hint="eastAsia" w:ascii="宋体" w:hAnsi="宋体" w:eastAsia="宋体" w:cs="宋体"/>
                <w:color w:val="auto"/>
                <w:sz w:val="24"/>
                <w:szCs w:val="24"/>
                <w:highlight w:val="none"/>
              </w:rPr>
            </w:pPr>
          </w:p>
        </w:tc>
        <w:tc>
          <w:tcPr>
            <w:tcW w:w="2096" w:type="dxa"/>
            <w:gridSpan w:val="3"/>
            <w:vAlign w:val="top"/>
          </w:tcPr>
          <w:p w14:paraId="4B26D2D4">
            <w:pPr>
              <w:spacing w:before="147"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中级职称人员</w:t>
            </w:r>
          </w:p>
        </w:tc>
        <w:tc>
          <w:tcPr>
            <w:tcW w:w="1548" w:type="dxa"/>
            <w:vAlign w:val="top"/>
          </w:tcPr>
          <w:p w14:paraId="262A2EE0">
            <w:pPr>
              <w:pStyle w:val="21"/>
              <w:rPr>
                <w:rFonts w:hint="eastAsia" w:ascii="宋体" w:hAnsi="宋体" w:eastAsia="宋体" w:cs="宋体"/>
                <w:color w:val="auto"/>
                <w:sz w:val="24"/>
                <w:szCs w:val="24"/>
                <w:highlight w:val="none"/>
              </w:rPr>
            </w:pPr>
          </w:p>
        </w:tc>
      </w:tr>
      <w:tr w14:paraId="47316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620" w:type="dxa"/>
            <w:vAlign w:val="top"/>
          </w:tcPr>
          <w:p w14:paraId="2688AE8B">
            <w:pPr>
              <w:spacing w:before="62" w:line="241" w:lineRule="auto"/>
              <w:ind w:right="325"/>
              <w:jc w:val="center"/>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基本账户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开户银行</w:t>
            </w:r>
          </w:p>
        </w:tc>
        <w:tc>
          <w:tcPr>
            <w:tcW w:w="2812" w:type="dxa"/>
            <w:gridSpan w:val="2"/>
            <w:vAlign w:val="top"/>
          </w:tcPr>
          <w:p w14:paraId="45553C43">
            <w:pPr>
              <w:pStyle w:val="21"/>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56532354">
            <w:pPr>
              <w:pStyle w:val="21"/>
              <w:rPr>
                <w:rFonts w:hint="eastAsia" w:ascii="宋体" w:hAnsi="宋体" w:eastAsia="宋体" w:cs="宋体"/>
                <w:color w:val="auto"/>
                <w:sz w:val="24"/>
                <w:szCs w:val="24"/>
                <w:highlight w:val="none"/>
              </w:rPr>
            </w:pPr>
          </w:p>
        </w:tc>
        <w:tc>
          <w:tcPr>
            <w:tcW w:w="2096" w:type="dxa"/>
            <w:gridSpan w:val="3"/>
            <w:vAlign w:val="top"/>
          </w:tcPr>
          <w:p w14:paraId="5A3DA22F">
            <w:pPr>
              <w:spacing w:before="191" w:line="230" w:lineRule="auto"/>
              <w:ind w:left="33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初级职称人员</w:t>
            </w:r>
          </w:p>
        </w:tc>
        <w:tc>
          <w:tcPr>
            <w:tcW w:w="1548" w:type="dxa"/>
            <w:vAlign w:val="top"/>
          </w:tcPr>
          <w:p w14:paraId="184D3D43">
            <w:pPr>
              <w:pStyle w:val="21"/>
              <w:rPr>
                <w:rFonts w:hint="eastAsia" w:ascii="宋体" w:hAnsi="宋体" w:eastAsia="宋体" w:cs="宋体"/>
                <w:color w:val="auto"/>
                <w:sz w:val="24"/>
                <w:szCs w:val="24"/>
                <w:highlight w:val="none"/>
              </w:rPr>
            </w:pPr>
          </w:p>
        </w:tc>
      </w:tr>
      <w:tr w14:paraId="5D53F3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1620" w:type="dxa"/>
            <w:vAlign w:val="top"/>
          </w:tcPr>
          <w:p w14:paraId="301FBDE6">
            <w:pPr>
              <w:spacing w:before="62" w:line="259" w:lineRule="auto"/>
              <w:ind w:right="325"/>
              <w:jc w:val="center"/>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基本账户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银行账号</w:t>
            </w:r>
          </w:p>
        </w:tc>
        <w:tc>
          <w:tcPr>
            <w:tcW w:w="2812" w:type="dxa"/>
            <w:gridSpan w:val="2"/>
            <w:vAlign w:val="top"/>
          </w:tcPr>
          <w:p w14:paraId="5B1DD5F7">
            <w:pPr>
              <w:pStyle w:val="21"/>
              <w:rPr>
                <w:rFonts w:hint="eastAsia" w:ascii="宋体" w:hAnsi="宋体" w:eastAsia="宋体" w:cs="宋体"/>
                <w:color w:val="auto"/>
                <w:sz w:val="24"/>
                <w:szCs w:val="24"/>
                <w:highlight w:val="none"/>
              </w:rPr>
            </w:pPr>
          </w:p>
        </w:tc>
        <w:tc>
          <w:tcPr>
            <w:tcW w:w="1183" w:type="dxa"/>
            <w:gridSpan w:val="2"/>
            <w:vMerge w:val="continue"/>
            <w:tcBorders>
              <w:top w:val="nil"/>
            </w:tcBorders>
            <w:vAlign w:val="top"/>
          </w:tcPr>
          <w:p w14:paraId="03520BE5">
            <w:pPr>
              <w:pStyle w:val="21"/>
              <w:rPr>
                <w:rFonts w:hint="eastAsia" w:ascii="宋体" w:hAnsi="宋体" w:eastAsia="宋体" w:cs="宋体"/>
                <w:color w:val="auto"/>
                <w:sz w:val="24"/>
                <w:szCs w:val="24"/>
                <w:highlight w:val="none"/>
              </w:rPr>
            </w:pPr>
          </w:p>
        </w:tc>
        <w:tc>
          <w:tcPr>
            <w:tcW w:w="2096" w:type="dxa"/>
            <w:gridSpan w:val="3"/>
            <w:vAlign w:val="top"/>
          </w:tcPr>
          <w:p w14:paraId="5C48DB8B">
            <w:pPr>
              <w:spacing w:before="211" w:line="228" w:lineRule="auto"/>
              <w:ind w:left="6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技术员</w:t>
            </w:r>
          </w:p>
        </w:tc>
        <w:tc>
          <w:tcPr>
            <w:tcW w:w="1548" w:type="dxa"/>
            <w:vAlign w:val="top"/>
          </w:tcPr>
          <w:p w14:paraId="773ECE69">
            <w:pPr>
              <w:pStyle w:val="21"/>
              <w:rPr>
                <w:rFonts w:hint="eastAsia" w:ascii="宋体" w:hAnsi="宋体" w:eastAsia="宋体" w:cs="宋体"/>
                <w:color w:val="auto"/>
                <w:sz w:val="24"/>
                <w:szCs w:val="24"/>
                <w:highlight w:val="none"/>
              </w:rPr>
            </w:pPr>
          </w:p>
        </w:tc>
      </w:tr>
      <w:tr w14:paraId="1B267B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620" w:type="dxa"/>
            <w:vAlign w:val="top"/>
          </w:tcPr>
          <w:p w14:paraId="1C145867">
            <w:pPr>
              <w:spacing w:before="65" w:line="229" w:lineRule="auto"/>
              <w:ind w:left="3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经营范围</w:t>
            </w:r>
          </w:p>
        </w:tc>
        <w:tc>
          <w:tcPr>
            <w:tcW w:w="7639" w:type="dxa"/>
            <w:gridSpan w:val="8"/>
            <w:vAlign w:val="top"/>
          </w:tcPr>
          <w:p w14:paraId="78175160">
            <w:pPr>
              <w:pStyle w:val="21"/>
              <w:rPr>
                <w:rFonts w:hint="eastAsia" w:ascii="宋体" w:hAnsi="宋体" w:eastAsia="宋体" w:cs="宋体"/>
                <w:color w:val="auto"/>
                <w:sz w:val="24"/>
                <w:szCs w:val="24"/>
                <w:highlight w:val="none"/>
              </w:rPr>
            </w:pPr>
          </w:p>
        </w:tc>
      </w:tr>
      <w:tr w14:paraId="5CA65D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1" w:hRule="atLeast"/>
        </w:trPr>
        <w:tc>
          <w:tcPr>
            <w:tcW w:w="1620" w:type="dxa"/>
            <w:vAlign w:val="top"/>
          </w:tcPr>
          <w:p w14:paraId="3B43F663">
            <w:pPr>
              <w:pStyle w:val="21"/>
              <w:spacing w:line="295" w:lineRule="auto"/>
              <w:rPr>
                <w:rFonts w:hint="eastAsia" w:ascii="宋体" w:hAnsi="宋体" w:eastAsia="宋体" w:cs="宋体"/>
                <w:color w:val="auto"/>
                <w:sz w:val="24"/>
                <w:szCs w:val="24"/>
                <w:highlight w:val="none"/>
              </w:rPr>
            </w:pPr>
          </w:p>
          <w:p w14:paraId="598814F5">
            <w:pPr>
              <w:pStyle w:val="21"/>
              <w:spacing w:line="296" w:lineRule="auto"/>
              <w:rPr>
                <w:rFonts w:hint="eastAsia" w:ascii="宋体" w:hAnsi="宋体" w:eastAsia="宋体" w:cs="宋体"/>
                <w:color w:val="auto"/>
                <w:sz w:val="24"/>
                <w:szCs w:val="24"/>
                <w:highlight w:val="none"/>
              </w:rPr>
            </w:pPr>
          </w:p>
          <w:p w14:paraId="52A98BFF">
            <w:pPr>
              <w:spacing w:before="65" w:line="229"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关联企业情况</w:t>
            </w:r>
          </w:p>
        </w:tc>
        <w:tc>
          <w:tcPr>
            <w:tcW w:w="7639" w:type="dxa"/>
            <w:gridSpan w:val="8"/>
            <w:vAlign w:val="top"/>
          </w:tcPr>
          <w:p w14:paraId="5EFCA351">
            <w:pPr>
              <w:spacing w:before="168" w:line="228" w:lineRule="auto"/>
              <w:ind w:left="111"/>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包括但不限于与投标人存在以下关系的不同单位：</w:t>
            </w:r>
          </w:p>
          <w:p w14:paraId="4A7FA872">
            <w:pPr>
              <w:spacing w:before="81" w:line="228" w:lineRule="auto"/>
              <w:ind w:left="128"/>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4"/>
                <w:sz w:val="24"/>
                <w:szCs w:val="24"/>
                <w:highlight w:val="none"/>
              </w:rPr>
              <w:t>．法定代表人为同一人的。</w:t>
            </w:r>
          </w:p>
          <w:p w14:paraId="416ED6EF">
            <w:pPr>
              <w:spacing w:before="81" w:line="228" w:lineRule="auto"/>
              <w:ind w:left="10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6"/>
                <w:sz w:val="24"/>
                <w:szCs w:val="24"/>
                <w:highlight w:val="none"/>
              </w:rPr>
              <w:t>．存在控股、管理关系的。</w:t>
            </w:r>
          </w:p>
          <w:p w14:paraId="2E78667B">
            <w:pPr>
              <w:spacing w:before="81" w:line="228" w:lineRule="auto"/>
              <w:ind w:left="112"/>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3</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5"/>
                <w:sz w:val="24"/>
                <w:szCs w:val="24"/>
                <w:highlight w:val="none"/>
              </w:rPr>
              <w:t>．主要人员相互任职的。</w:t>
            </w:r>
          </w:p>
        </w:tc>
      </w:tr>
      <w:tr w14:paraId="245E42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1620" w:type="dxa"/>
            <w:vAlign w:val="top"/>
          </w:tcPr>
          <w:p w14:paraId="0B1A642B">
            <w:pPr>
              <w:spacing w:before="235" w:line="230" w:lineRule="auto"/>
              <w:ind w:left="54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备注</w:t>
            </w:r>
          </w:p>
        </w:tc>
        <w:tc>
          <w:tcPr>
            <w:tcW w:w="7639" w:type="dxa"/>
            <w:gridSpan w:val="8"/>
            <w:vAlign w:val="top"/>
          </w:tcPr>
          <w:p w14:paraId="63E087EA">
            <w:pPr>
              <w:pStyle w:val="21"/>
              <w:rPr>
                <w:rFonts w:hint="eastAsia" w:ascii="宋体" w:hAnsi="宋体" w:eastAsia="宋体" w:cs="宋体"/>
                <w:color w:val="auto"/>
                <w:sz w:val="24"/>
                <w:szCs w:val="24"/>
                <w:highlight w:val="none"/>
              </w:rPr>
            </w:pPr>
          </w:p>
        </w:tc>
      </w:tr>
    </w:tbl>
    <w:p w14:paraId="608E648E">
      <w:pPr>
        <w:spacing w:before="140" w:line="228" w:lineRule="auto"/>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说明：</w:t>
      </w:r>
    </w:p>
    <w:p w14:paraId="6972BAA3">
      <w:pPr>
        <w:keepNext w:val="0"/>
        <w:keepLines w:val="0"/>
        <w:pageBreakBefore w:val="0"/>
        <w:widowControl/>
        <w:kinsoku w:val="0"/>
        <w:wordWrap/>
        <w:overflowPunct/>
        <w:topLinePunct w:val="0"/>
        <w:autoSpaceDE w:val="0"/>
        <w:autoSpaceDN w:val="0"/>
        <w:bidi w:val="0"/>
        <w:adjustRightInd w:val="0"/>
        <w:snapToGrid w:val="0"/>
        <w:spacing w:before="81" w:line="288" w:lineRule="auto"/>
        <w:textAlignment w:val="baseline"/>
        <w:outlineLvl w:val="9"/>
        <w:rPr>
          <w:rFonts w:hint="eastAsia" w:ascii="宋体" w:hAnsi="宋体" w:eastAsia="宋体" w:cs="宋体"/>
          <w:color w:val="auto"/>
          <w:spacing w:val="4"/>
          <w:sz w:val="18"/>
          <w:szCs w:val="18"/>
          <w:highlight w:val="none"/>
        </w:rPr>
      </w:pPr>
      <w:bookmarkStart w:id="245" w:name="_Toc14048"/>
      <w:bookmarkStart w:id="246" w:name="_Toc5131"/>
      <w:r>
        <w:rPr>
          <w:rFonts w:hint="eastAsia" w:ascii="宋体" w:hAnsi="宋体" w:eastAsia="宋体" w:cs="宋体"/>
          <w:color w:val="auto"/>
          <w:spacing w:val="4"/>
          <w:sz w:val="18"/>
          <w:szCs w:val="18"/>
          <w:highlight w:val="none"/>
        </w:rPr>
        <w:t>1 ．《投标人基本情况表》后应附以下资料：</w:t>
      </w:r>
      <w:bookmarkEnd w:id="245"/>
      <w:bookmarkEnd w:id="246"/>
    </w:p>
    <w:p w14:paraId="56BD52AA">
      <w:pPr>
        <w:keepNext w:val="0"/>
        <w:keepLines w:val="0"/>
        <w:pageBreakBefore w:val="0"/>
        <w:widowControl/>
        <w:kinsoku w:val="0"/>
        <w:wordWrap/>
        <w:overflowPunct/>
        <w:topLinePunct w:val="0"/>
        <w:autoSpaceDE w:val="0"/>
        <w:autoSpaceDN w:val="0"/>
        <w:bidi w:val="0"/>
        <w:adjustRightInd w:val="0"/>
        <w:snapToGrid w:val="0"/>
        <w:spacing w:before="153" w:line="288" w:lineRule="auto"/>
        <w:textAlignment w:val="baseline"/>
        <w:rPr>
          <w:rFonts w:hint="eastAsia" w:ascii="宋体" w:hAnsi="宋体" w:eastAsia="宋体" w:cs="宋体"/>
          <w:color w:val="auto"/>
          <w:spacing w:val="6"/>
          <w:sz w:val="18"/>
          <w:szCs w:val="18"/>
          <w:highlight w:val="none"/>
        </w:rPr>
      </w:pPr>
      <w:r>
        <w:rPr>
          <w:rFonts w:hint="eastAsia" w:ascii="宋体" w:hAnsi="宋体" w:eastAsia="宋体" w:cs="宋体"/>
          <w:color w:val="auto"/>
          <w:spacing w:val="9"/>
          <w:sz w:val="18"/>
          <w:szCs w:val="18"/>
          <w:highlight w:val="none"/>
          <w:lang w:eastAsia="zh-CN"/>
        </w:rPr>
        <w:t>（1）企业营业执照、资质证书、安全生产许可证的（因推行电子证照，企业的营业执照、资质证书等可以提供电子证照。为实时掌握项目投标单位的是否具备企业安全生产条件，企业的安全生生许可证需提供企业实时网页查询页，实时查询页的打印时间应在项目招标公告发布之日起至开标前。企业的安全生产许可证实时网页查询路径：登录“ 中华人民共和国住房和城乡建设部 ”进入“全国工程质量安全监管信息平台公共服务门户 ”版块，具体网址为：https://zlaq.mohurd.gov.cn，进入后点击“安全生产许可证信息 ”，输入企业名称和统一社会信用代码即可查询。如中标后，投标单位安全生产许可证发生被暂扣情形，需双方另行协商）；</w:t>
      </w:r>
    </w:p>
    <w:p w14:paraId="5F1F8270">
      <w:pPr>
        <w:keepNext w:val="0"/>
        <w:keepLines w:val="0"/>
        <w:pageBreakBefore w:val="0"/>
        <w:widowControl/>
        <w:kinsoku w:val="0"/>
        <w:wordWrap/>
        <w:overflowPunct/>
        <w:topLinePunct w:val="0"/>
        <w:autoSpaceDE w:val="0"/>
        <w:autoSpaceDN w:val="0"/>
        <w:bidi w:val="0"/>
        <w:adjustRightInd w:val="0"/>
        <w:snapToGrid w:val="0"/>
        <w:spacing w:before="153" w:line="288" w:lineRule="auto"/>
        <w:textAlignment w:val="baseline"/>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lang w:eastAsia="zh-CN"/>
        </w:rPr>
        <w:t>（2）</w:t>
      </w:r>
      <w:r>
        <w:rPr>
          <w:rFonts w:hint="eastAsia" w:ascii="宋体" w:hAnsi="宋体" w:eastAsia="宋体" w:cs="宋体"/>
          <w:color w:val="auto"/>
          <w:spacing w:val="9"/>
          <w:sz w:val="18"/>
          <w:szCs w:val="18"/>
          <w:highlight w:val="none"/>
        </w:rPr>
        <w:t>“进粤企业和人员诚信信息登记平台</w:t>
      </w:r>
      <w:r>
        <w:rPr>
          <w:rFonts w:hint="eastAsia" w:ascii="宋体" w:hAnsi="宋体" w:eastAsia="宋体" w:cs="宋体"/>
          <w:color w:val="auto"/>
          <w:spacing w:val="-72"/>
          <w:sz w:val="18"/>
          <w:szCs w:val="18"/>
          <w:highlight w:val="none"/>
        </w:rPr>
        <w:t xml:space="preserve"> </w:t>
      </w:r>
      <w:r>
        <w:rPr>
          <w:rFonts w:hint="eastAsia" w:ascii="宋体" w:hAnsi="宋体" w:eastAsia="宋体" w:cs="宋体"/>
          <w:color w:val="auto"/>
          <w:spacing w:val="8"/>
          <w:sz w:val="18"/>
          <w:szCs w:val="18"/>
          <w:highlight w:val="none"/>
        </w:rPr>
        <w:t>”企业信息情况打印页。（适用于省外建筑企业）</w:t>
      </w:r>
    </w:p>
    <w:p w14:paraId="359CA035">
      <w:pPr>
        <w:keepNext w:val="0"/>
        <w:keepLines w:val="0"/>
        <w:pageBreakBefore w:val="0"/>
        <w:widowControl/>
        <w:kinsoku w:val="0"/>
        <w:wordWrap/>
        <w:overflowPunct/>
        <w:topLinePunct w:val="0"/>
        <w:autoSpaceDE w:val="0"/>
        <w:autoSpaceDN w:val="0"/>
        <w:bidi w:val="0"/>
        <w:adjustRightInd w:val="0"/>
        <w:snapToGrid w:val="0"/>
        <w:spacing w:before="153" w:line="288" w:lineRule="auto"/>
        <w:jc w:val="both"/>
        <w:textAlignment w:val="baseline"/>
        <w:rPr>
          <w:rFonts w:hint="eastAsia" w:ascii="宋体" w:hAnsi="宋体" w:eastAsia="宋体" w:cs="宋体"/>
          <w:color w:val="auto"/>
          <w:sz w:val="18"/>
          <w:szCs w:val="18"/>
          <w:highlight w:val="none"/>
        </w:rPr>
      </w:pPr>
      <w:r>
        <w:rPr>
          <w:rFonts w:hint="eastAsia" w:ascii="宋体" w:hAnsi="宋体" w:eastAsia="宋体" w:cs="宋体"/>
          <w:color w:val="auto"/>
          <w:spacing w:val="8"/>
          <w:sz w:val="18"/>
          <w:szCs w:val="18"/>
          <w:highlight w:val="none"/>
          <w:lang w:eastAsia="zh-CN"/>
        </w:rPr>
        <w:t>（3）</w:t>
      </w:r>
      <w:r>
        <w:rPr>
          <w:rFonts w:hint="eastAsia" w:ascii="宋体" w:hAnsi="宋体" w:eastAsia="宋体" w:cs="宋体"/>
          <w:color w:val="auto"/>
          <w:spacing w:val="8"/>
          <w:sz w:val="18"/>
          <w:szCs w:val="18"/>
          <w:highlight w:val="none"/>
        </w:rPr>
        <w:t>《法人和非法人组织公共信用信息报告》（在“信用中国</w:t>
      </w:r>
      <w:r>
        <w:rPr>
          <w:rFonts w:hint="eastAsia" w:ascii="宋体" w:hAnsi="宋体" w:eastAsia="宋体" w:cs="宋体"/>
          <w:color w:val="auto"/>
          <w:spacing w:val="-70"/>
          <w:sz w:val="18"/>
          <w:szCs w:val="18"/>
          <w:highlight w:val="none"/>
        </w:rPr>
        <w:t xml:space="preserve"> </w:t>
      </w:r>
      <w:r>
        <w:rPr>
          <w:rFonts w:hint="eastAsia" w:ascii="宋体" w:hAnsi="宋体" w:eastAsia="宋体" w:cs="宋体"/>
          <w:color w:val="auto"/>
          <w:spacing w:val="8"/>
          <w:sz w:val="18"/>
          <w:szCs w:val="18"/>
          <w:highlight w:val="none"/>
        </w:rPr>
        <w:t>”网站企业查询界面</w:t>
      </w:r>
      <w:r>
        <w:rPr>
          <w:rFonts w:hint="eastAsia" w:ascii="宋体" w:hAnsi="宋体" w:eastAsia="宋体" w:cs="宋体"/>
          <w:color w:val="auto"/>
          <w:spacing w:val="7"/>
          <w:sz w:val="18"/>
          <w:szCs w:val="18"/>
          <w:highlight w:val="none"/>
        </w:rPr>
        <w:t>中下载）。</w:t>
      </w:r>
    </w:p>
    <w:p w14:paraId="3AE0E693">
      <w:pPr>
        <w:keepNext w:val="0"/>
        <w:keepLines w:val="0"/>
        <w:pageBreakBefore w:val="0"/>
        <w:widowControl/>
        <w:kinsoku w:val="0"/>
        <w:wordWrap/>
        <w:overflowPunct/>
        <w:topLinePunct w:val="0"/>
        <w:autoSpaceDE w:val="0"/>
        <w:autoSpaceDN w:val="0"/>
        <w:bidi w:val="0"/>
        <w:adjustRightInd w:val="0"/>
        <w:snapToGrid w:val="0"/>
        <w:spacing w:before="81" w:line="288" w:lineRule="auto"/>
        <w:textAlignment w:val="baseline"/>
        <w:rPr>
          <w:rFonts w:hint="eastAsia" w:ascii="宋体" w:hAnsi="宋体" w:eastAsia="宋体" w:cs="宋体"/>
          <w:color w:val="auto"/>
          <w:spacing w:val="4"/>
          <w:sz w:val="20"/>
          <w:szCs w:val="20"/>
          <w:highlight w:val="none"/>
        </w:rPr>
      </w:pPr>
      <w:r>
        <w:rPr>
          <w:rFonts w:hint="eastAsia" w:ascii="宋体" w:hAnsi="宋体" w:eastAsia="宋体" w:cs="宋体"/>
          <w:color w:val="auto"/>
          <w:spacing w:val="9"/>
          <w:sz w:val="18"/>
          <w:szCs w:val="18"/>
          <w:highlight w:val="none"/>
        </w:rPr>
        <w:t>2</w:t>
      </w:r>
      <w:r>
        <w:rPr>
          <w:rFonts w:hint="eastAsia" w:ascii="宋体" w:hAnsi="宋体" w:eastAsia="宋体" w:cs="宋体"/>
          <w:color w:val="auto"/>
          <w:spacing w:val="-21"/>
          <w:sz w:val="18"/>
          <w:szCs w:val="18"/>
          <w:highlight w:val="none"/>
        </w:rPr>
        <w:t xml:space="preserve"> </w:t>
      </w:r>
      <w:r>
        <w:rPr>
          <w:rFonts w:hint="eastAsia" w:ascii="宋体" w:hAnsi="宋体" w:eastAsia="宋体" w:cs="宋体"/>
          <w:color w:val="auto"/>
          <w:spacing w:val="9"/>
          <w:sz w:val="18"/>
          <w:szCs w:val="18"/>
          <w:highlight w:val="none"/>
        </w:rPr>
        <w:t>．联合体投标的，联合体成员单位均应填写《投标人基本情况</w:t>
      </w:r>
      <w:r>
        <w:rPr>
          <w:rFonts w:hint="eastAsia" w:ascii="宋体" w:hAnsi="宋体" w:eastAsia="宋体" w:cs="宋体"/>
          <w:color w:val="auto"/>
          <w:spacing w:val="8"/>
          <w:sz w:val="18"/>
          <w:szCs w:val="18"/>
          <w:highlight w:val="none"/>
        </w:rPr>
        <w:t>表》并提供以上所需资料。</w:t>
      </w:r>
    </w:p>
    <w:p w14:paraId="4E6AB364">
      <w:pPr>
        <w:spacing w:before="78" w:line="220" w:lineRule="auto"/>
        <w:outlineLvl w:val="2"/>
        <w:rPr>
          <w:rFonts w:hint="eastAsia" w:ascii="宋体" w:hAnsi="宋体" w:eastAsia="宋体" w:cs="宋体"/>
          <w:b/>
          <w:bCs/>
          <w:color w:val="auto"/>
          <w:spacing w:val="-4"/>
          <w:sz w:val="24"/>
          <w:szCs w:val="24"/>
          <w:highlight w:val="none"/>
        </w:rPr>
      </w:pPr>
      <w:bookmarkStart w:id="247" w:name="_Toc19699"/>
      <w:r>
        <w:rPr>
          <w:rFonts w:hint="eastAsia" w:ascii="宋体" w:hAnsi="宋体" w:eastAsia="宋体" w:cs="宋体"/>
          <w:b/>
          <w:bCs/>
          <w:color w:val="auto"/>
          <w:spacing w:val="-4"/>
          <w:sz w:val="24"/>
          <w:szCs w:val="24"/>
          <w:highlight w:val="none"/>
        </w:rPr>
        <w:t>格式八 项目经理简历表</w:t>
      </w:r>
      <w:bookmarkEnd w:id="247"/>
    </w:p>
    <w:p w14:paraId="1DBA7B98">
      <w:pPr>
        <w:pStyle w:val="5"/>
        <w:spacing w:line="444" w:lineRule="auto"/>
        <w:rPr>
          <w:rFonts w:hint="eastAsia" w:ascii="宋体" w:hAnsi="宋体" w:eastAsia="宋体" w:cs="宋体"/>
          <w:color w:val="auto"/>
          <w:highlight w:val="none"/>
        </w:rPr>
      </w:pPr>
    </w:p>
    <w:p w14:paraId="0CAE90B5">
      <w:pPr>
        <w:spacing w:before="97" w:line="219" w:lineRule="auto"/>
        <w:ind w:left="3538"/>
        <w:outlineLvl w:val="9"/>
        <w:rPr>
          <w:rFonts w:hint="eastAsia" w:ascii="宋体" w:hAnsi="宋体" w:eastAsia="宋体" w:cs="宋体"/>
          <w:color w:val="auto"/>
          <w:sz w:val="30"/>
          <w:szCs w:val="30"/>
          <w:highlight w:val="none"/>
        </w:rPr>
      </w:pPr>
      <w:bookmarkStart w:id="248" w:name="bookmark89"/>
      <w:bookmarkEnd w:id="248"/>
      <w:bookmarkStart w:id="249" w:name="bookmark156"/>
      <w:bookmarkEnd w:id="249"/>
      <w:bookmarkStart w:id="250" w:name="_Toc24489"/>
      <w:bookmarkStart w:id="251" w:name="_Toc31533"/>
      <w:r>
        <w:rPr>
          <w:rFonts w:hint="eastAsia" w:ascii="宋体" w:hAnsi="宋体" w:eastAsia="宋体" w:cs="宋体"/>
          <w:b/>
          <w:bCs/>
          <w:color w:val="auto"/>
          <w:spacing w:val="-5"/>
          <w:sz w:val="30"/>
          <w:szCs w:val="30"/>
          <w:highlight w:val="none"/>
        </w:rPr>
        <w:t>项目经理简历表</w:t>
      </w:r>
      <w:bookmarkEnd w:id="250"/>
      <w:bookmarkEnd w:id="251"/>
    </w:p>
    <w:p w14:paraId="59593258">
      <w:pPr>
        <w:spacing w:line="240" w:lineRule="exact"/>
        <w:rPr>
          <w:rFonts w:hint="eastAsia" w:ascii="宋体" w:hAnsi="宋体" w:eastAsia="宋体" w:cs="宋体"/>
          <w:color w:val="auto"/>
          <w:highlight w:val="none"/>
        </w:rPr>
      </w:pPr>
    </w:p>
    <w:tbl>
      <w:tblPr>
        <w:tblStyle w:val="14"/>
        <w:tblW w:w="97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8"/>
        <w:gridCol w:w="1010"/>
        <w:gridCol w:w="614"/>
        <w:gridCol w:w="680"/>
        <w:gridCol w:w="1357"/>
        <w:gridCol w:w="2062"/>
        <w:gridCol w:w="1798"/>
        <w:gridCol w:w="1398"/>
      </w:tblGrid>
      <w:tr w14:paraId="4554F8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828" w:type="dxa"/>
            <w:gridSpan w:val="2"/>
            <w:vAlign w:val="top"/>
          </w:tcPr>
          <w:p w14:paraId="38F4F2C1">
            <w:pPr>
              <w:spacing w:before="177" w:line="228" w:lineRule="auto"/>
              <w:ind w:left="50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名</w:t>
            </w:r>
          </w:p>
        </w:tc>
        <w:tc>
          <w:tcPr>
            <w:tcW w:w="1294" w:type="dxa"/>
            <w:gridSpan w:val="2"/>
            <w:vAlign w:val="top"/>
          </w:tcPr>
          <w:p w14:paraId="0E27BBB7">
            <w:pPr>
              <w:pStyle w:val="21"/>
              <w:rPr>
                <w:rFonts w:hint="eastAsia" w:ascii="宋体" w:hAnsi="宋体" w:eastAsia="宋体" w:cs="宋体"/>
                <w:color w:val="auto"/>
                <w:sz w:val="24"/>
                <w:szCs w:val="24"/>
                <w:highlight w:val="none"/>
              </w:rPr>
            </w:pPr>
          </w:p>
        </w:tc>
        <w:tc>
          <w:tcPr>
            <w:tcW w:w="1357" w:type="dxa"/>
            <w:vAlign w:val="top"/>
          </w:tcPr>
          <w:p w14:paraId="5E64039D">
            <w:pPr>
              <w:spacing w:before="177" w:line="229" w:lineRule="auto"/>
              <w:ind w:left="3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z w:val="24"/>
                <w:szCs w:val="24"/>
                <w:highlight w:val="none"/>
              </w:rPr>
              <w:t>别</w:t>
            </w:r>
          </w:p>
        </w:tc>
        <w:tc>
          <w:tcPr>
            <w:tcW w:w="2062" w:type="dxa"/>
            <w:vAlign w:val="top"/>
          </w:tcPr>
          <w:p w14:paraId="68D9664A">
            <w:pPr>
              <w:pStyle w:val="21"/>
              <w:rPr>
                <w:rFonts w:hint="eastAsia" w:ascii="宋体" w:hAnsi="宋体" w:eastAsia="宋体" w:cs="宋体"/>
                <w:color w:val="auto"/>
                <w:sz w:val="24"/>
                <w:szCs w:val="24"/>
                <w:highlight w:val="none"/>
              </w:rPr>
            </w:pPr>
          </w:p>
        </w:tc>
        <w:tc>
          <w:tcPr>
            <w:tcW w:w="1798" w:type="dxa"/>
            <w:vAlign w:val="top"/>
          </w:tcPr>
          <w:p w14:paraId="3FC87041">
            <w:pPr>
              <w:spacing w:before="177" w:line="228" w:lineRule="auto"/>
              <w:ind w:left="48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龄</w:t>
            </w:r>
          </w:p>
        </w:tc>
        <w:tc>
          <w:tcPr>
            <w:tcW w:w="1398" w:type="dxa"/>
            <w:vAlign w:val="top"/>
          </w:tcPr>
          <w:p w14:paraId="02E0EF39">
            <w:pPr>
              <w:pStyle w:val="21"/>
              <w:rPr>
                <w:rFonts w:hint="eastAsia" w:ascii="宋体" w:hAnsi="宋体" w:eastAsia="宋体" w:cs="宋体"/>
                <w:color w:val="auto"/>
                <w:sz w:val="24"/>
                <w:szCs w:val="24"/>
                <w:highlight w:val="none"/>
              </w:rPr>
            </w:pPr>
          </w:p>
        </w:tc>
      </w:tr>
      <w:tr w14:paraId="59723D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1828" w:type="dxa"/>
            <w:gridSpan w:val="2"/>
            <w:vAlign w:val="top"/>
          </w:tcPr>
          <w:p w14:paraId="6E04C4D2">
            <w:pPr>
              <w:spacing w:before="175" w:line="228" w:lineRule="auto"/>
              <w:ind w:left="50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务</w:t>
            </w:r>
          </w:p>
        </w:tc>
        <w:tc>
          <w:tcPr>
            <w:tcW w:w="1294" w:type="dxa"/>
            <w:gridSpan w:val="2"/>
            <w:vAlign w:val="top"/>
          </w:tcPr>
          <w:p w14:paraId="59BA2A8F">
            <w:pPr>
              <w:pStyle w:val="21"/>
              <w:rPr>
                <w:rFonts w:hint="eastAsia" w:ascii="宋体" w:hAnsi="宋体" w:eastAsia="宋体" w:cs="宋体"/>
                <w:color w:val="auto"/>
                <w:sz w:val="24"/>
                <w:szCs w:val="24"/>
                <w:highlight w:val="none"/>
              </w:rPr>
            </w:pPr>
          </w:p>
        </w:tc>
        <w:tc>
          <w:tcPr>
            <w:tcW w:w="1357" w:type="dxa"/>
            <w:vAlign w:val="top"/>
          </w:tcPr>
          <w:p w14:paraId="5913F49D">
            <w:pPr>
              <w:spacing w:before="174" w:line="231" w:lineRule="auto"/>
              <w:ind w:left="33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称</w:t>
            </w:r>
          </w:p>
        </w:tc>
        <w:tc>
          <w:tcPr>
            <w:tcW w:w="2062" w:type="dxa"/>
            <w:vAlign w:val="top"/>
          </w:tcPr>
          <w:p w14:paraId="0D719B3D">
            <w:pPr>
              <w:pStyle w:val="21"/>
              <w:rPr>
                <w:rFonts w:hint="eastAsia" w:ascii="宋体" w:hAnsi="宋体" w:eastAsia="宋体" w:cs="宋体"/>
                <w:color w:val="auto"/>
                <w:sz w:val="24"/>
                <w:szCs w:val="24"/>
                <w:highlight w:val="none"/>
              </w:rPr>
            </w:pPr>
          </w:p>
        </w:tc>
        <w:tc>
          <w:tcPr>
            <w:tcW w:w="1798" w:type="dxa"/>
            <w:vAlign w:val="top"/>
          </w:tcPr>
          <w:p w14:paraId="3C4F5945">
            <w:pPr>
              <w:spacing w:before="175" w:line="230"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学</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2"/>
                <w:sz w:val="24"/>
                <w:szCs w:val="24"/>
                <w:highlight w:val="none"/>
              </w:rPr>
              <w:t>历</w:t>
            </w:r>
          </w:p>
        </w:tc>
        <w:tc>
          <w:tcPr>
            <w:tcW w:w="1398" w:type="dxa"/>
            <w:vAlign w:val="top"/>
          </w:tcPr>
          <w:p w14:paraId="772D8AB2">
            <w:pPr>
              <w:pStyle w:val="21"/>
              <w:rPr>
                <w:rFonts w:hint="eastAsia" w:ascii="宋体" w:hAnsi="宋体" w:eastAsia="宋体" w:cs="宋体"/>
                <w:color w:val="auto"/>
                <w:sz w:val="24"/>
                <w:szCs w:val="24"/>
                <w:highlight w:val="none"/>
              </w:rPr>
            </w:pPr>
          </w:p>
        </w:tc>
      </w:tr>
      <w:tr w14:paraId="41BAF8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1828" w:type="dxa"/>
            <w:gridSpan w:val="2"/>
            <w:vAlign w:val="top"/>
          </w:tcPr>
          <w:p w14:paraId="3D285945">
            <w:pPr>
              <w:spacing w:before="175" w:line="229" w:lineRule="auto"/>
              <w:ind w:left="24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参加工作时间</w:t>
            </w:r>
          </w:p>
        </w:tc>
        <w:tc>
          <w:tcPr>
            <w:tcW w:w="2651" w:type="dxa"/>
            <w:gridSpan w:val="3"/>
            <w:vAlign w:val="top"/>
          </w:tcPr>
          <w:p w14:paraId="4D8E12D6">
            <w:pPr>
              <w:pStyle w:val="21"/>
              <w:rPr>
                <w:rFonts w:hint="eastAsia" w:ascii="宋体" w:hAnsi="宋体" w:eastAsia="宋体" w:cs="宋体"/>
                <w:color w:val="auto"/>
                <w:sz w:val="24"/>
                <w:szCs w:val="24"/>
                <w:highlight w:val="none"/>
              </w:rPr>
            </w:pPr>
          </w:p>
        </w:tc>
        <w:tc>
          <w:tcPr>
            <w:tcW w:w="3860" w:type="dxa"/>
            <w:gridSpan w:val="2"/>
            <w:vAlign w:val="top"/>
          </w:tcPr>
          <w:p w14:paraId="3410F97D">
            <w:pPr>
              <w:spacing w:before="176" w:line="228"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从事工程建设项目管理工作年限</w:t>
            </w:r>
          </w:p>
        </w:tc>
        <w:tc>
          <w:tcPr>
            <w:tcW w:w="1398" w:type="dxa"/>
            <w:vAlign w:val="top"/>
          </w:tcPr>
          <w:p w14:paraId="5CA4498F">
            <w:pPr>
              <w:pStyle w:val="21"/>
              <w:rPr>
                <w:rFonts w:hint="eastAsia" w:ascii="宋体" w:hAnsi="宋体" w:eastAsia="宋体" w:cs="宋体"/>
                <w:color w:val="auto"/>
                <w:sz w:val="24"/>
                <w:szCs w:val="24"/>
                <w:highlight w:val="none"/>
              </w:rPr>
            </w:pPr>
          </w:p>
        </w:tc>
      </w:tr>
      <w:tr w14:paraId="0792C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9737" w:type="dxa"/>
            <w:gridSpan w:val="8"/>
            <w:vAlign w:val="top"/>
          </w:tcPr>
          <w:p w14:paraId="19780F0C">
            <w:pPr>
              <w:spacing w:before="176" w:line="228" w:lineRule="auto"/>
              <w:ind w:left="235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以项目经理身份参与过的主要业绩（已完工项目）</w:t>
            </w:r>
          </w:p>
        </w:tc>
      </w:tr>
      <w:tr w14:paraId="44C6D7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818" w:type="dxa"/>
            <w:vAlign w:val="top"/>
          </w:tcPr>
          <w:p w14:paraId="2CA330A6">
            <w:pPr>
              <w:spacing w:before="176" w:line="230" w:lineRule="auto"/>
              <w:ind w:left="18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24" w:type="dxa"/>
            <w:gridSpan w:val="2"/>
            <w:vAlign w:val="top"/>
          </w:tcPr>
          <w:p w14:paraId="387E6BB1">
            <w:pPr>
              <w:spacing w:before="176"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项目名称</w:t>
            </w:r>
          </w:p>
        </w:tc>
        <w:tc>
          <w:tcPr>
            <w:tcW w:w="2037" w:type="dxa"/>
            <w:gridSpan w:val="2"/>
            <w:vAlign w:val="top"/>
          </w:tcPr>
          <w:p w14:paraId="60841D39">
            <w:pPr>
              <w:spacing w:before="176" w:line="229" w:lineRule="auto"/>
              <w:ind w:left="5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建设单位</w:t>
            </w:r>
          </w:p>
        </w:tc>
        <w:tc>
          <w:tcPr>
            <w:tcW w:w="2062" w:type="dxa"/>
            <w:vAlign w:val="top"/>
          </w:tcPr>
          <w:p w14:paraId="0511F79F">
            <w:pPr>
              <w:spacing w:before="176" w:line="228" w:lineRule="auto"/>
              <w:ind w:left="26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建设内容和规模</w:t>
            </w:r>
          </w:p>
        </w:tc>
        <w:tc>
          <w:tcPr>
            <w:tcW w:w="1798" w:type="dxa"/>
            <w:vAlign w:val="top"/>
          </w:tcPr>
          <w:p w14:paraId="1FA090F6">
            <w:pPr>
              <w:spacing w:before="176" w:line="228" w:lineRule="auto"/>
              <w:ind w:left="23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开、竣工日期</w:t>
            </w:r>
          </w:p>
        </w:tc>
        <w:tc>
          <w:tcPr>
            <w:tcW w:w="1398" w:type="dxa"/>
            <w:vAlign w:val="top"/>
          </w:tcPr>
          <w:p w14:paraId="46379B80">
            <w:pPr>
              <w:spacing w:before="176" w:line="228" w:lineRule="auto"/>
              <w:ind w:left="251"/>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质量等级</w:t>
            </w:r>
          </w:p>
        </w:tc>
      </w:tr>
      <w:tr w14:paraId="6216D9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top"/>
          </w:tcPr>
          <w:p w14:paraId="4A3F448C">
            <w:pPr>
              <w:spacing w:before="214" w:line="195" w:lineRule="auto"/>
              <w:ind w:left="3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24" w:type="dxa"/>
            <w:gridSpan w:val="2"/>
            <w:vAlign w:val="top"/>
          </w:tcPr>
          <w:p w14:paraId="0F1E5CCA">
            <w:pPr>
              <w:pStyle w:val="21"/>
              <w:rPr>
                <w:rFonts w:hint="eastAsia" w:ascii="宋体" w:hAnsi="宋体" w:eastAsia="宋体" w:cs="宋体"/>
                <w:color w:val="auto"/>
                <w:sz w:val="24"/>
                <w:szCs w:val="24"/>
                <w:highlight w:val="none"/>
              </w:rPr>
            </w:pPr>
          </w:p>
        </w:tc>
        <w:tc>
          <w:tcPr>
            <w:tcW w:w="2037" w:type="dxa"/>
            <w:gridSpan w:val="2"/>
            <w:vAlign w:val="top"/>
          </w:tcPr>
          <w:p w14:paraId="78888A3B">
            <w:pPr>
              <w:pStyle w:val="21"/>
              <w:rPr>
                <w:rFonts w:hint="eastAsia" w:ascii="宋体" w:hAnsi="宋体" w:eastAsia="宋体" w:cs="宋体"/>
                <w:color w:val="auto"/>
                <w:sz w:val="24"/>
                <w:szCs w:val="24"/>
                <w:highlight w:val="none"/>
              </w:rPr>
            </w:pPr>
          </w:p>
        </w:tc>
        <w:tc>
          <w:tcPr>
            <w:tcW w:w="2062" w:type="dxa"/>
            <w:vAlign w:val="top"/>
          </w:tcPr>
          <w:p w14:paraId="74289F65">
            <w:pPr>
              <w:pStyle w:val="21"/>
              <w:rPr>
                <w:rFonts w:hint="eastAsia" w:ascii="宋体" w:hAnsi="宋体" w:eastAsia="宋体" w:cs="宋体"/>
                <w:color w:val="auto"/>
                <w:sz w:val="24"/>
                <w:szCs w:val="24"/>
                <w:highlight w:val="none"/>
              </w:rPr>
            </w:pPr>
          </w:p>
        </w:tc>
        <w:tc>
          <w:tcPr>
            <w:tcW w:w="1798" w:type="dxa"/>
            <w:vAlign w:val="top"/>
          </w:tcPr>
          <w:p w14:paraId="22429141">
            <w:pPr>
              <w:pStyle w:val="21"/>
              <w:rPr>
                <w:rFonts w:hint="eastAsia" w:ascii="宋体" w:hAnsi="宋体" w:eastAsia="宋体" w:cs="宋体"/>
                <w:color w:val="auto"/>
                <w:sz w:val="24"/>
                <w:szCs w:val="24"/>
                <w:highlight w:val="none"/>
              </w:rPr>
            </w:pPr>
          </w:p>
        </w:tc>
        <w:tc>
          <w:tcPr>
            <w:tcW w:w="1398" w:type="dxa"/>
            <w:vAlign w:val="top"/>
          </w:tcPr>
          <w:p w14:paraId="0CCA428D">
            <w:pPr>
              <w:pStyle w:val="21"/>
              <w:rPr>
                <w:rFonts w:hint="eastAsia" w:ascii="宋体" w:hAnsi="宋体" w:eastAsia="宋体" w:cs="宋体"/>
                <w:color w:val="auto"/>
                <w:sz w:val="24"/>
                <w:szCs w:val="24"/>
                <w:highlight w:val="none"/>
              </w:rPr>
            </w:pPr>
          </w:p>
        </w:tc>
      </w:tr>
      <w:tr w14:paraId="41D909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818" w:type="dxa"/>
            <w:vAlign w:val="top"/>
          </w:tcPr>
          <w:p w14:paraId="2AE59E84">
            <w:pPr>
              <w:spacing w:before="213" w:line="195" w:lineRule="auto"/>
              <w:ind w:left="33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24" w:type="dxa"/>
            <w:gridSpan w:val="2"/>
            <w:vAlign w:val="top"/>
          </w:tcPr>
          <w:p w14:paraId="64A79A29">
            <w:pPr>
              <w:pStyle w:val="21"/>
              <w:rPr>
                <w:rFonts w:hint="eastAsia" w:ascii="宋体" w:hAnsi="宋体" w:eastAsia="宋体" w:cs="宋体"/>
                <w:color w:val="auto"/>
                <w:sz w:val="24"/>
                <w:szCs w:val="24"/>
                <w:highlight w:val="none"/>
              </w:rPr>
            </w:pPr>
          </w:p>
        </w:tc>
        <w:tc>
          <w:tcPr>
            <w:tcW w:w="2037" w:type="dxa"/>
            <w:gridSpan w:val="2"/>
            <w:vAlign w:val="top"/>
          </w:tcPr>
          <w:p w14:paraId="6061C8EF">
            <w:pPr>
              <w:pStyle w:val="21"/>
              <w:rPr>
                <w:rFonts w:hint="eastAsia" w:ascii="宋体" w:hAnsi="宋体" w:eastAsia="宋体" w:cs="宋体"/>
                <w:color w:val="auto"/>
                <w:sz w:val="24"/>
                <w:szCs w:val="24"/>
                <w:highlight w:val="none"/>
              </w:rPr>
            </w:pPr>
          </w:p>
        </w:tc>
        <w:tc>
          <w:tcPr>
            <w:tcW w:w="2062" w:type="dxa"/>
            <w:vAlign w:val="top"/>
          </w:tcPr>
          <w:p w14:paraId="37C2C8FD">
            <w:pPr>
              <w:pStyle w:val="21"/>
              <w:rPr>
                <w:rFonts w:hint="eastAsia" w:ascii="宋体" w:hAnsi="宋体" w:eastAsia="宋体" w:cs="宋体"/>
                <w:color w:val="auto"/>
                <w:sz w:val="24"/>
                <w:szCs w:val="24"/>
                <w:highlight w:val="none"/>
              </w:rPr>
            </w:pPr>
          </w:p>
        </w:tc>
        <w:tc>
          <w:tcPr>
            <w:tcW w:w="1798" w:type="dxa"/>
            <w:vAlign w:val="top"/>
          </w:tcPr>
          <w:p w14:paraId="35838BEB">
            <w:pPr>
              <w:pStyle w:val="21"/>
              <w:rPr>
                <w:rFonts w:hint="eastAsia" w:ascii="宋体" w:hAnsi="宋体" w:eastAsia="宋体" w:cs="宋体"/>
                <w:color w:val="auto"/>
                <w:sz w:val="24"/>
                <w:szCs w:val="24"/>
                <w:highlight w:val="none"/>
              </w:rPr>
            </w:pPr>
          </w:p>
        </w:tc>
        <w:tc>
          <w:tcPr>
            <w:tcW w:w="1398" w:type="dxa"/>
            <w:vAlign w:val="top"/>
          </w:tcPr>
          <w:p w14:paraId="1A7FF52A">
            <w:pPr>
              <w:pStyle w:val="21"/>
              <w:rPr>
                <w:rFonts w:hint="eastAsia" w:ascii="宋体" w:hAnsi="宋体" w:eastAsia="宋体" w:cs="宋体"/>
                <w:color w:val="auto"/>
                <w:sz w:val="24"/>
                <w:szCs w:val="24"/>
                <w:highlight w:val="none"/>
              </w:rPr>
            </w:pPr>
          </w:p>
        </w:tc>
      </w:tr>
      <w:tr w14:paraId="748CF2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top"/>
          </w:tcPr>
          <w:p w14:paraId="49A8215C">
            <w:pPr>
              <w:spacing w:before="213" w:line="195" w:lineRule="auto"/>
              <w:ind w:left="3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624" w:type="dxa"/>
            <w:gridSpan w:val="2"/>
            <w:vAlign w:val="top"/>
          </w:tcPr>
          <w:p w14:paraId="6B3BD65C">
            <w:pPr>
              <w:pStyle w:val="21"/>
              <w:rPr>
                <w:rFonts w:hint="eastAsia" w:ascii="宋体" w:hAnsi="宋体" w:eastAsia="宋体" w:cs="宋体"/>
                <w:color w:val="auto"/>
                <w:sz w:val="24"/>
                <w:szCs w:val="24"/>
                <w:highlight w:val="none"/>
              </w:rPr>
            </w:pPr>
          </w:p>
        </w:tc>
        <w:tc>
          <w:tcPr>
            <w:tcW w:w="2037" w:type="dxa"/>
            <w:gridSpan w:val="2"/>
            <w:vAlign w:val="top"/>
          </w:tcPr>
          <w:p w14:paraId="49395E10">
            <w:pPr>
              <w:pStyle w:val="21"/>
              <w:rPr>
                <w:rFonts w:hint="eastAsia" w:ascii="宋体" w:hAnsi="宋体" w:eastAsia="宋体" w:cs="宋体"/>
                <w:color w:val="auto"/>
                <w:sz w:val="24"/>
                <w:szCs w:val="24"/>
                <w:highlight w:val="none"/>
              </w:rPr>
            </w:pPr>
          </w:p>
        </w:tc>
        <w:tc>
          <w:tcPr>
            <w:tcW w:w="2062" w:type="dxa"/>
            <w:vAlign w:val="top"/>
          </w:tcPr>
          <w:p w14:paraId="38C89432">
            <w:pPr>
              <w:pStyle w:val="21"/>
              <w:rPr>
                <w:rFonts w:hint="eastAsia" w:ascii="宋体" w:hAnsi="宋体" w:eastAsia="宋体" w:cs="宋体"/>
                <w:color w:val="auto"/>
                <w:sz w:val="24"/>
                <w:szCs w:val="24"/>
                <w:highlight w:val="none"/>
              </w:rPr>
            </w:pPr>
          </w:p>
        </w:tc>
        <w:tc>
          <w:tcPr>
            <w:tcW w:w="1798" w:type="dxa"/>
            <w:vAlign w:val="top"/>
          </w:tcPr>
          <w:p w14:paraId="5214B6C3">
            <w:pPr>
              <w:pStyle w:val="21"/>
              <w:rPr>
                <w:rFonts w:hint="eastAsia" w:ascii="宋体" w:hAnsi="宋体" w:eastAsia="宋体" w:cs="宋体"/>
                <w:color w:val="auto"/>
                <w:sz w:val="24"/>
                <w:szCs w:val="24"/>
                <w:highlight w:val="none"/>
              </w:rPr>
            </w:pPr>
          </w:p>
        </w:tc>
        <w:tc>
          <w:tcPr>
            <w:tcW w:w="1398" w:type="dxa"/>
            <w:vAlign w:val="top"/>
          </w:tcPr>
          <w:p w14:paraId="359AD966">
            <w:pPr>
              <w:pStyle w:val="21"/>
              <w:rPr>
                <w:rFonts w:hint="eastAsia" w:ascii="宋体" w:hAnsi="宋体" w:eastAsia="宋体" w:cs="宋体"/>
                <w:color w:val="auto"/>
                <w:sz w:val="24"/>
                <w:szCs w:val="24"/>
                <w:highlight w:val="none"/>
              </w:rPr>
            </w:pPr>
          </w:p>
        </w:tc>
      </w:tr>
      <w:tr w14:paraId="132C3F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818" w:type="dxa"/>
            <w:vAlign w:val="top"/>
          </w:tcPr>
          <w:p w14:paraId="203D061C">
            <w:pPr>
              <w:spacing w:before="177" w:line="325" w:lineRule="exact"/>
              <w:ind w:left="197"/>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624" w:type="dxa"/>
            <w:gridSpan w:val="2"/>
            <w:vAlign w:val="top"/>
          </w:tcPr>
          <w:p w14:paraId="3022258E">
            <w:pPr>
              <w:pStyle w:val="21"/>
              <w:rPr>
                <w:rFonts w:hint="eastAsia" w:ascii="宋体" w:hAnsi="宋体" w:eastAsia="宋体" w:cs="宋体"/>
                <w:color w:val="auto"/>
                <w:sz w:val="24"/>
                <w:szCs w:val="24"/>
                <w:highlight w:val="none"/>
              </w:rPr>
            </w:pPr>
          </w:p>
        </w:tc>
        <w:tc>
          <w:tcPr>
            <w:tcW w:w="2037" w:type="dxa"/>
            <w:gridSpan w:val="2"/>
            <w:vAlign w:val="top"/>
          </w:tcPr>
          <w:p w14:paraId="13591C1A">
            <w:pPr>
              <w:pStyle w:val="21"/>
              <w:rPr>
                <w:rFonts w:hint="eastAsia" w:ascii="宋体" w:hAnsi="宋体" w:eastAsia="宋体" w:cs="宋体"/>
                <w:color w:val="auto"/>
                <w:sz w:val="24"/>
                <w:szCs w:val="24"/>
                <w:highlight w:val="none"/>
              </w:rPr>
            </w:pPr>
          </w:p>
        </w:tc>
        <w:tc>
          <w:tcPr>
            <w:tcW w:w="2062" w:type="dxa"/>
            <w:vAlign w:val="top"/>
          </w:tcPr>
          <w:p w14:paraId="7E190888">
            <w:pPr>
              <w:pStyle w:val="21"/>
              <w:rPr>
                <w:rFonts w:hint="eastAsia" w:ascii="宋体" w:hAnsi="宋体" w:eastAsia="宋体" w:cs="宋体"/>
                <w:color w:val="auto"/>
                <w:sz w:val="24"/>
                <w:szCs w:val="24"/>
                <w:highlight w:val="none"/>
              </w:rPr>
            </w:pPr>
          </w:p>
        </w:tc>
        <w:tc>
          <w:tcPr>
            <w:tcW w:w="1798" w:type="dxa"/>
            <w:vAlign w:val="top"/>
          </w:tcPr>
          <w:p w14:paraId="465A33C8">
            <w:pPr>
              <w:pStyle w:val="21"/>
              <w:rPr>
                <w:rFonts w:hint="eastAsia" w:ascii="宋体" w:hAnsi="宋体" w:eastAsia="宋体" w:cs="宋体"/>
                <w:color w:val="auto"/>
                <w:sz w:val="24"/>
                <w:szCs w:val="24"/>
                <w:highlight w:val="none"/>
              </w:rPr>
            </w:pPr>
          </w:p>
        </w:tc>
        <w:tc>
          <w:tcPr>
            <w:tcW w:w="1398" w:type="dxa"/>
            <w:vAlign w:val="top"/>
          </w:tcPr>
          <w:p w14:paraId="3E8CFEF8">
            <w:pPr>
              <w:pStyle w:val="21"/>
              <w:rPr>
                <w:rFonts w:hint="eastAsia" w:ascii="宋体" w:hAnsi="宋体" w:eastAsia="宋体" w:cs="宋体"/>
                <w:color w:val="auto"/>
                <w:sz w:val="24"/>
                <w:szCs w:val="24"/>
                <w:highlight w:val="none"/>
              </w:rPr>
            </w:pPr>
          </w:p>
        </w:tc>
      </w:tr>
    </w:tbl>
    <w:p w14:paraId="31E2A55D">
      <w:pPr>
        <w:pStyle w:val="5"/>
        <w:spacing w:line="315" w:lineRule="auto"/>
        <w:rPr>
          <w:rFonts w:hint="eastAsia" w:ascii="宋体" w:hAnsi="宋体" w:eastAsia="宋体" w:cs="宋体"/>
          <w:color w:val="auto"/>
          <w:highlight w:val="none"/>
        </w:rPr>
      </w:pPr>
    </w:p>
    <w:p w14:paraId="4A488FFC">
      <w:pPr>
        <w:spacing w:before="78" w:line="220" w:lineRule="auto"/>
        <w:ind w:left="696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项目经理</w:t>
      </w:r>
      <w:r>
        <w:rPr>
          <w:rFonts w:hint="eastAsia" w:ascii="宋体" w:hAnsi="宋体" w:eastAsia="宋体" w:cs="宋体"/>
          <w:color w:val="auto"/>
          <w:spacing w:val="-18"/>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3"/>
          <w:sz w:val="24"/>
          <w:szCs w:val="24"/>
          <w:highlight w:val="none"/>
        </w:rPr>
        <w:t>签字）</w:t>
      </w:r>
    </w:p>
    <w:p w14:paraId="55084914">
      <w:pPr>
        <w:pStyle w:val="5"/>
        <w:spacing w:line="256" w:lineRule="auto"/>
        <w:rPr>
          <w:rFonts w:hint="eastAsia" w:ascii="宋体" w:hAnsi="宋体" w:eastAsia="宋体" w:cs="宋体"/>
          <w:color w:val="auto"/>
          <w:highlight w:val="none"/>
        </w:rPr>
      </w:pPr>
    </w:p>
    <w:p w14:paraId="04095A12">
      <w:pPr>
        <w:pStyle w:val="5"/>
        <w:spacing w:line="254" w:lineRule="auto"/>
        <w:jc w:val="right"/>
        <w:rPr>
          <w:rFonts w:hint="eastAsia" w:ascii="宋体" w:hAnsi="宋体" w:eastAsia="宋体" w:cs="宋体"/>
          <w:color w:val="auto"/>
          <w:highlight w:val="none"/>
        </w:rPr>
      </w:pPr>
      <w:r>
        <w:rPr>
          <w:rFonts w:hint="eastAsia" w:ascii="宋体" w:hAnsi="宋体" w:eastAsia="宋体" w:cs="宋体"/>
          <w:color w:val="auto"/>
          <w:spacing w:val="-4"/>
          <w:sz w:val="24"/>
          <w:szCs w:val="24"/>
          <w:highlight w:val="none"/>
          <w:lang w:val="en-US" w:eastAsia="zh-CN"/>
        </w:rPr>
        <w:t xml:space="preserve">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39040016">
      <w:pPr>
        <w:spacing w:before="78" w:line="220" w:lineRule="auto"/>
        <w:ind w:left="4226"/>
        <w:jc w:val="center"/>
        <w:rPr>
          <w:rFonts w:hint="eastAsia" w:ascii="宋体" w:hAnsi="宋体" w:eastAsia="宋体" w:cs="宋体"/>
          <w:color w:val="auto"/>
          <w:highlight w:val="none"/>
        </w:rPr>
      </w:pPr>
    </w:p>
    <w:p w14:paraId="09DFFC47">
      <w:pPr>
        <w:pStyle w:val="5"/>
        <w:spacing w:line="241" w:lineRule="auto"/>
        <w:rPr>
          <w:rFonts w:hint="eastAsia" w:ascii="宋体" w:hAnsi="宋体" w:eastAsia="宋体" w:cs="宋体"/>
          <w:color w:val="auto"/>
          <w:highlight w:val="none"/>
        </w:rPr>
      </w:pPr>
    </w:p>
    <w:p w14:paraId="19347D26">
      <w:pPr>
        <w:spacing w:before="65" w:line="228" w:lineRule="auto"/>
        <w:ind w:left="47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说明：《项目经理简历表》后应附拟派项目经理以下资料：</w:t>
      </w:r>
    </w:p>
    <w:p w14:paraId="5F52ECB2">
      <w:pPr>
        <w:spacing w:before="152" w:line="228" w:lineRule="auto"/>
        <w:ind w:left="484"/>
        <w:outlineLvl w:val="9"/>
        <w:rPr>
          <w:rFonts w:hint="eastAsia" w:ascii="宋体" w:hAnsi="宋体" w:eastAsia="宋体" w:cs="宋体"/>
          <w:color w:val="auto"/>
          <w:sz w:val="24"/>
          <w:szCs w:val="24"/>
          <w:highlight w:val="none"/>
        </w:rPr>
      </w:pPr>
      <w:bookmarkStart w:id="252" w:name="_Toc25271"/>
      <w:bookmarkStart w:id="253" w:name="_Toc1942"/>
      <w:r>
        <w:rPr>
          <w:rFonts w:hint="eastAsia" w:ascii="宋体" w:hAnsi="宋体" w:eastAsia="宋体" w:cs="宋体"/>
          <w:color w:val="auto"/>
          <w:spacing w:val="3"/>
          <w:sz w:val="24"/>
          <w:szCs w:val="24"/>
          <w:highlight w:val="none"/>
        </w:rPr>
        <w:t>1</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3"/>
          <w:sz w:val="24"/>
          <w:szCs w:val="24"/>
          <w:highlight w:val="none"/>
        </w:rPr>
        <w:t>．身份证彩色扫描件；</w:t>
      </w:r>
      <w:bookmarkEnd w:id="252"/>
      <w:bookmarkEnd w:id="253"/>
    </w:p>
    <w:p w14:paraId="4FCFE8D7">
      <w:pPr>
        <w:spacing w:before="153" w:line="228" w:lineRule="auto"/>
        <w:ind w:left="464"/>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8"/>
          <w:sz w:val="24"/>
          <w:szCs w:val="24"/>
          <w:highlight w:val="none"/>
        </w:rPr>
        <w:t>．建造师电子注册证书（在使用有效期内的有效电子证书）彩色扫描件；</w:t>
      </w:r>
    </w:p>
    <w:p w14:paraId="439F755F">
      <w:pPr>
        <w:spacing w:before="154" w:line="298" w:lineRule="auto"/>
        <w:ind w:left="50" w:right="167" w:firstLine="41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3．B 类安全生产考核合格证书彩色扫描件或广东省建筑施工企业管理人员安全生产考核系统考</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7"/>
          <w:sz w:val="24"/>
          <w:szCs w:val="24"/>
          <w:highlight w:val="none"/>
        </w:rPr>
        <w:t>核合格信息彩色扫描件；</w:t>
      </w:r>
    </w:p>
    <w:p w14:paraId="540AD7C6">
      <w:pPr>
        <w:spacing w:before="153" w:line="299" w:lineRule="auto"/>
        <w:ind w:left="49" w:right="167" w:firstLine="41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8"/>
          <w:sz w:val="24"/>
          <w:szCs w:val="24"/>
          <w:highlight w:val="none"/>
        </w:rPr>
        <w:t>．在本单位缴纳社保</w:t>
      </w:r>
      <w:r>
        <w:rPr>
          <w:rFonts w:hint="eastAsia" w:ascii="宋体" w:hAnsi="宋体" w:eastAsia="宋体" w:cs="宋体"/>
          <w:color w:val="auto"/>
          <w:sz w:val="24"/>
          <w:szCs w:val="24"/>
          <w:highlight w:val="none"/>
          <w:lang w:eastAsia="zh-CN"/>
        </w:rPr>
        <w:t>的证明（至少</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个月，其</w:t>
      </w:r>
      <w:bookmarkStart w:id="254" w:name="OLE_LINK38"/>
      <w:r>
        <w:rPr>
          <w:rFonts w:hint="eastAsia" w:ascii="宋体" w:hAnsi="宋体" w:eastAsia="宋体" w:cs="宋体"/>
          <w:color w:val="auto"/>
          <w:sz w:val="24"/>
          <w:szCs w:val="24"/>
          <w:highlight w:val="none"/>
          <w:lang w:eastAsia="zh-CN"/>
        </w:rPr>
        <w:t>中必须有20</w:t>
      </w:r>
      <w:r>
        <w:rPr>
          <w:rFonts w:hint="eastAsia" w:ascii="宋体" w:hAnsi="宋体" w:eastAsia="宋体" w:cs="宋体"/>
          <w:color w:val="auto"/>
          <w:sz w:val="24"/>
          <w:szCs w:val="24"/>
          <w:highlight w:val="none"/>
          <w:lang w:val="en-US" w:eastAsia="zh-CN"/>
        </w:rPr>
        <w:t>26</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月</w:t>
      </w:r>
      <w:bookmarkEnd w:id="254"/>
      <w:r>
        <w:rPr>
          <w:rFonts w:hint="eastAsia" w:ascii="宋体" w:hAnsi="宋体" w:eastAsia="宋体" w:cs="宋体"/>
          <w:color w:val="auto"/>
          <w:sz w:val="24"/>
          <w:szCs w:val="24"/>
          <w:highlight w:val="none"/>
          <w:lang w:eastAsia="zh-CN"/>
        </w:rPr>
        <w:t>）</w:t>
      </w:r>
      <w:r>
        <w:rPr>
          <w:rFonts w:hint="eastAsia" w:ascii="宋体" w:hAnsi="宋体" w:eastAsia="宋体" w:cs="宋体"/>
          <w:color w:val="auto"/>
          <w:spacing w:val="8"/>
          <w:sz w:val="24"/>
          <w:szCs w:val="24"/>
          <w:highlight w:val="none"/>
        </w:rPr>
        <w:t>彩色扫描件或打印件。拟</w:t>
      </w:r>
      <w:r>
        <w:rPr>
          <w:rFonts w:hint="eastAsia" w:ascii="宋体" w:hAnsi="宋体" w:eastAsia="宋体" w:cs="宋体"/>
          <w:color w:val="auto"/>
          <w:spacing w:val="9"/>
          <w:sz w:val="24"/>
          <w:szCs w:val="24"/>
          <w:highlight w:val="none"/>
        </w:rPr>
        <w:t>派项目经理为退休返聘人员无法提供社保证明的，提供退休证和劳动合同彩色扫描件。</w:t>
      </w:r>
    </w:p>
    <w:p w14:paraId="0D76B9F6">
      <w:pPr>
        <w:spacing w:before="150" w:line="300" w:lineRule="auto"/>
        <w:ind w:left="49" w:right="170" w:firstLine="42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5</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7"/>
          <w:sz w:val="24"/>
          <w:szCs w:val="24"/>
          <w:highlight w:val="none"/>
        </w:rPr>
        <w:t>．“进粤企业和人员诚信信息登记平台</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7"/>
          <w:sz w:val="24"/>
          <w:szCs w:val="24"/>
          <w:highlight w:val="none"/>
        </w:rPr>
        <w:t>”个人（项目经理等）信息</w:t>
      </w:r>
      <w:r>
        <w:rPr>
          <w:rFonts w:hint="eastAsia" w:ascii="宋体" w:hAnsi="宋体" w:eastAsia="宋体" w:cs="宋体"/>
          <w:color w:val="auto"/>
          <w:spacing w:val="6"/>
          <w:sz w:val="24"/>
          <w:szCs w:val="24"/>
          <w:highlight w:val="none"/>
        </w:rPr>
        <w:t>情况截图。（适用于省外建</w:t>
      </w:r>
      <w:r>
        <w:rPr>
          <w:rFonts w:hint="eastAsia" w:ascii="宋体" w:hAnsi="宋体" w:eastAsia="宋体" w:cs="宋体"/>
          <w:color w:val="auto"/>
          <w:spacing w:val="4"/>
          <w:sz w:val="24"/>
          <w:szCs w:val="24"/>
          <w:highlight w:val="none"/>
        </w:rPr>
        <w:t>筑企业）</w:t>
      </w:r>
    </w:p>
    <w:p w14:paraId="0073D580">
      <w:pPr>
        <w:spacing w:line="300" w:lineRule="auto"/>
        <w:rPr>
          <w:rFonts w:hint="eastAsia" w:ascii="宋体" w:hAnsi="宋体" w:eastAsia="宋体" w:cs="宋体"/>
          <w:color w:val="auto"/>
          <w:sz w:val="20"/>
          <w:szCs w:val="20"/>
          <w:highlight w:val="none"/>
        </w:rPr>
        <w:sectPr>
          <w:footerReference r:id="rId19"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3EA23D5">
      <w:pPr>
        <w:spacing w:before="78" w:line="220" w:lineRule="auto"/>
        <w:outlineLvl w:val="2"/>
        <w:rPr>
          <w:rFonts w:hint="eastAsia" w:ascii="宋体" w:hAnsi="宋体" w:eastAsia="宋体" w:cs="宋体"/>
          <w:b/>
          <w:bCs/>
          <w:color w:val="auto"/>
          <w:spacing w:val="-4"/>
          <w:sz w:val="24"/>
          <w:szCs w:val="24"/>
          <w:highlight w:val="none"/>
        </w:rPr>
      </w:pPr>
      <w:bookmarkStart w:id="255" w:name="_Toc30661"/>
      <w:r>
        <w:rPr>
          <w:rFonts w:hint="eastAsia" w:ascii="宋体" w:hAnsi="宋体" w:eastAsia="宋体" w:cs="宋体"/>
          <w:b/>
          <w:bCs/>
          <w:color w:val="auto"/>
          <w:spacing w:val="-4"/>
          <w:sz w:val="24"/>
          <w:szCs w:val="24"/>
          <w:highlight w:val="none"/>
        </w:rPr>
        <w:t>格式九 项目经理任职声明</w:t>
      </w:r>
      <w:bookmarkEnd w:id="255"/>
    </w:p>
    <w:p w14:paraId="612F2BD3">
      <w:pPr>
        <w:pStyle w:val="5"/>
        <w:spacing w:line="350" w:lineRule="auto"/>
        <w:rPr>
          <w:rFonts w:hint="eastAsia" w:ascii="宋体" w:hAnsi="宋体" w:eastAsia="宋体" w:cs="宋体"/>
          <w:color w:val="auto"/>
          <w:highlight w:val="none"/>
        </w:rPr>
      </w:pPr>
    </w:p>
    <w:p w14:paraId="64BA9CAE">
      <w:pPr>
        <w:pStyle w:val="5"/>
        <w:spacing w:line="350" w:lineRule="auto"/>
        <w:rPr>
          <w:rFonts w:hint="eastAsia" w:ascii="宋体" w:hAnsi="宋体" w:eastAsia="宋体" w:cs="宋体"/>
          <w:color w:val="auto"/>
          <w:highlight w:val="none"/>
        </w:rPr>
      </w:pPr>
    </w:p>
    <w:p w14:paraId="2CD81D3B">
      <w:pPr>
        <w:spacing w:before="98" w:line="220" w:lineRule="auto"/>
        <w:ind w:left="3338"/>
        <w:rPr>
          <w:rFonts w:hint="eastAsia" w:ascii="宋体" w:hAnsi="宋体" w:eastAsia="宋体" w:cs="宋体"/>
          <w:color w:val="auto"/>
          <w:sz w:val="30"/>
          <w:szCs w:val="30"/>
          <w:highlight w:val="none"/>
        </w:rPr>
      </w:pPr>
      <w:bookmarkStart w:id="256" w:name="bookmark157"/>
      <w:bookmarkEnd w:id="256"/>
      <w:r>
        <w:rPr>
          <w:rFonts w:hint="eastAsia" w:ascii="宋体" w:hAnsi="宋体" w:eastAsia="宋体" w:cs="宋体"/>
          <w:b/>
          <w:bCs/>
          <w:color w:val="auto"/>
          <w:spacing w:val="-5"/>
          <w:sz w:val="30"/>
          <w:szCs w:val="30"/>
          <w:highlight w:val="none"/>
        </w:rPr>
        <w:t>项目经理任职声明</w:t>
      </w:r>
    </w:p>
    <w:p w14:paraId="5E27ED4C">
      <w:pPr>
        <w:pStyle w:val="5"/>
        <w:spacing w:line="250" w:lineRule="auto"/>
        <w:rPr>
          <w:rFonts w:hint="eastAsia" w:ascii="宋体" w:hAnsi="宋体" w:eastAsia="宋体" w:cs="宋体"/>
          <w:color w:val="auto"/>
          <w:highlight w:val="none"/>
        </w:rPr>
      </w:pPr>
    </w:p>
    <w:p w14:paraId="2F282189">
      <w:pPr>
        <w:pStyle w:val="5"/>
        <w:spacing w:line="250" w:lineRule="auto"/>
        <w:rPr>
          <w:rFonts w:hint="eastAsia" w:ascii="宋体" w:hAnsi="宋体" w:eastAsia="宋体" w:cs="宋体"/>
          <w:color w:val="auto"/>
          <w:highlight w:val="none"/>
        </w:rPr>
      </w:pPr>
    </w:p>
    <w:p w14:paraId="5C8AA10A">
      <w:pPr>
        <w:pStyle w:val="5"/>
        <w:spacing w:line="251" w:lineRule="auto"/>
        <w:rPr>
          <w:rFonts w:hint="eastAsia" w:ascii="宋体" w:hAnsi="宋体" w:eastAsia="宋体" w:cs="宋体"/>
          <w:color w:val="auto"/>
          <w:highlight w:val="none"/>
        </w:rPr>
      </w:pPr>
    </w:p>
    <w:p w14:paraId="482F2F4D">
      <w:pPr>
        <w:spacing w:before="78" w:line="221"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致</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17"/>
          <w:sz w:val="24"/>
          <w:szCs w:val="24"/>
          <w:highlight w:val="none"/>
          <w:u w:val="single"/>
          <w:lang w:val="en-US" w:eastAsia="zh-CN"/>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9"/>
          <w:sz w:val="24"/>
          <w:szCs w:val="24"/>
          <w:highlight w:val="none"/>
        </w:rPr>
        <w:t>招标人名称</w:t>
      </w:r>
      <w:r>
        <w:rPr>
          <w:rFonts w:hint="eastAsia" w:ascii="宋体" w:hAnsi="宋体" w:eastAsia="宋体" w:cs="宋体"/>
          <w:color w:val="auto"/>
          <w:spacing w:val="-17"/>
          <w:sz w:val="24"/>
          <w:szCs w:val="24"/>
          <w:highlight w:val="none"/>
        </w:rPr>
        <w:t>）</w:t>
      </w:r>
    </w:p>
    <w:p w14:paraId="0904F3EC">
      <w:pPr>
        <w:spacing w:before="155" w:line="324"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我方在此声明，我方拟派往</w:t>
      </w:r>
      <w:r>
        <w:rPr>
          <w:rFonts w:hint="eastAsia" w:ascii="宋体" w:hAnsi="宋体" w:eastAsia="宋体" w:cs="宋体"/>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rPr>
        <w:t>（项目名称）的项目经理</w:t>
      </w:r>
      <w:r>
        <w:rPr>
          <w:rFonts w:hint="eastAsia" w:ascii="宋体" w:hAnsi="宋体" w:eastAsia="宋体" w:cs="宋体"/>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rPr>
        <w:t>（项目经理姓名）现阶段没有</w:t>
      </w:r>
      <w:r>
        <w:rPr>
          <w:rFonts w:hint="eastAsia" w:ascii="宋体" w:hAnsi="宋体" w:eastAsia="宋体" w:cs="宋体"/>
          <w:color w:val="auto"/>
          <w:sz w:val="24"/>
          <w:szCs w:val="24"/>
          <w:highlight w:val="none"/>
        </w:rPr>
        <w:t>担任任何在施（包括已中标未开工、已开工未竣工）</w:t>
      </w:r>
      <w:r>
        <w:rPr>
          <w:rFonts w:hint="eastAsia" w:ascii="宋体" w:hAnsi="宋体" w:eastAsia="宋体" w:cs="宋体"/>
          <w:color w:val="auto"/>
          <w:spacing w:val="-1"/>
          <w:sz w:val="24"/>
          <w:szCs w:val="24"/>
          <w:highlight w:val="none"/>
        </w:rPr>
        <w:t>建设工程项目的项目经理。</w:t>
      </w:r>
    </w:p>
    <w:p w14:paraId="640324F8">
      <w:pPr>
        <w:spacing w:before="35" w:line="326" w:lineRule="auto"/>
        <w:ind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我方保证上述信息的真实和准确，并愿意承担因我方就此弄虚作假所引起的一切法</w:t>
      </w:r>
      <w:r>
        <w:rPr>
          <w:rFonts w:hint="eastAsia" w:ascii="宋体" w:hAnsi="宋体" w:eastAsia="宋体" w:cs="宋体"/>
          <w:color w:val="auto"/>
          <w:spacing w:val="-3"/>
          <w:sz w:val="24"/>
          <w:szCs w:val="24"/>
          <w:highlight w:val="none"/>
        </w:rPr>
        <w:t>律后果。</w:t>
      </w:r>
    </w:p>
    <w:p w14:paraId="509BB5DB">
      <w:pPr>
        <w:pStyle w:val="5"/>
        <w:spacing w:line="391" w:lineRule="auto"/>
        <w:rPr>
          <w:rFonts w:hint="eastAsia" w:ascii="宋体" w:hAnsi="宋体" w:eastAsia="宋体" w:cs="宋体"/>
          <w:color w:val="auto"/>
          <w:highlight w:val="none"/>
        </w:rPr>
      </w:pPr>
    </w:p>
    <w:p w14:paraId="7EA0A4E9">
      <w:pPr>
        <w:spacing w:before="78" w:line="220" w:lineRule="auto"/>
        <w:ind w:left="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特此承诺</w:t>
      </w:r>
    </w:p>
    <w:p w14:paraId="47C7F522">
      <w:pPr>
        <w:pStyle w:val="5"/>
        <w:spacing w:line="316" w:lineRule="auto"/>
        <w:rPr>
          <w:rFonts w:hint="eastAsia" w:ascii="宋体" w:hAnsi="宋体" w:eastAsia="宋体" w:cs="宋体"/>
          <w:color w:val="auto"/>
          <w:highlight w:val="none"/>
        </w:rPr>
      </w:pPr>
    </w:p>
    <w:p w14:paraId="166EE9AC">
      <w:pPr>
        <w:pStyle w:val="5"/>
        <w:spacing w:line="317" w:lineRule="auto"/>
        <w:rPr>
          <w:rFonts w:hint="eastAsia" w:ascii="宋体" w:hAnsi="宋体" w:eastAsia="宋体" w:cs="宋体"/>
          <w:color w:val="auto"/>
          <w:highlight w:val="none"/>
        </w:rPr>
      </w:pPr>
    </w:p>
    <w:p w14:paraId="708846AD">
      <w:pPr>
        <w:pStyle w:val="5"/>
        <w:spacing w:line="317" w:lineRule="auto"/>
        <w:rPr>
          <w:rFonts w:hint="eastAsia" w:ascii="宋体" w:hAnsi="宋体" w:eastAsia="宋体" w:cs="宋体"/>
          <w:color w:val="auto"/>
          <w:highlight w:val="none"/>
        </w:rPr>
      </w:pPr>
    </w:p>
    <w:p w14:paraId="07D0B977">
      <w:pPr>
        <w:spacing w:before="79"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4F711471">
      <w:pPr>
        <w:pStyle w:val="5"/>
        <w:spacing w:line="317" w:lineRule="auto"/>
        <w:rPr>
          <w:rFonts w:hint="eastAsia" w:ascii="宋体" w:hAnsi="宋体" w:eastAsia="宋体" w:cs="宋体"/>
          <w:color w:val="auto"/>
          <w:highlight w:val="none"/>
        </w:rPr>
      </w:pPr>
    </w:p>
    <w:p w14:paraId="38491E5D">
      <w:pPr>
        <w:pStyle w:val="5"/>
        <w:spacing w:line="317" w:lineRule="auto"/>
        <w:rPr>
          <w:rFonts w:hint="eastAsia" w:ascii="宋体" w:hAnsi="宋体" w:eastAsia="宋体" w:cs="宋体"/>
          <w:color w:val="auto"/>
          <w:highlight w:val="none"/>
        </w:rPr>
      </w:pPr>
    </w:p>
    <w:p w14:paraId="2845CC21">
      <w:pPr>
        <w:pStyle w:val="5"/>
        <w:spacing w:line="317" w:lineRule="auto"/>
        <w:rPr>
          <w:rFonts w:hint="eastAsia" w:ascii="宋体" w:hAnsi="宋体" w:eastAsia="宋体" w:cs="宋体"/>
          <w:color w:val="auto"/>
          <w:highlight w:val="none"/>
        </w:rPr>
      </w:pPr>
    </w:p>
    <w:p w14:paraId="270F977A">
      <w:pPr>
        <w:spacing w:before="78"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4FF68B7A">
      <w:pPr>
        <w:pStyle w:val="5"/>
        <w:spacing w:line="257" w:lineRule="auto"/>
        <w:rPr>
          <w:rFonts w:hint="eastAsia" w:ascii="宋体" w:hAnsi="宋体" w:eastAsia="宋体" w:cs="宋体"/>
          <w:color w:val="auto"/>
          <w:highlight w:val="none"/>
        </w:rPr>
      </w:pPr>
    </w:p>
    <w:p w14:paraId="24BB67B8">
      <w:pPr>
        <w:pStyle w:val="5"/>
        <w:spacing w:line="257" w:lineRule="auto"/>
        <w:rPr>
          <w:rFonts w:hint="eastAsia" w:ascii="宋体" w:hAnsi="宋体" w:eastAsia="宋体" w:cs="宋体"/>
          <w:color w:val="auto"/>
          <w:highlight w:val="none"/>
        </w:rPr>
      </w:pPr>
    </w:p>
    <w:p w14:paraId="1DEB93F9">
      <w:pPr>
        <w:pStyle w:val="5"/>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9C55D77">
      <w:pPr>
        <w:spacing w:line="220" w:lineRule="auto"/>
        <w:rPr>
          <w:rFonts w:hint="eastAsia" w:ascii="宋体" w:hAnsi="宋体" w:eastAsia="宋体" w:cs="宋体"/>
          <w:color w:val="auto"/>
          <w:sz w:val="24"/>
          <w:szCs w:val="24"/>
          <w:highlight w:val="none"/>
        </w:rPr>
        <w:sectPr>
          <w:footerReference r:id="rId20"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C279ED4">
      <w:pPr>
        <w:spacing w:before="78" w:line="220" w:lineRule="auto"/>
        <w:outlineLvl w:val="2"/>
        <w:rPr>
          <w:rFonts w:hint="eastAsia" w:ascii="宋体" w:hAnsi="宋体" w:eastAsia="宋体" w:cs="宋体"/>
          <w:b/>
          <w:bCs/>
          <w:color w:val="auto"/>
          <w:spacing w:val="-4"/>
          <w:sz w:val="24"/>
          <w:szCs w:val="24"/>
          <w:highlight w:val="none"/>
        </w:rPr>
      </w:pPr>
      <w:bookmarkStart w:id="257" w:name="_Toc31071"/>
      <w:r>
        <w:rPr>
          <w:rFonts w:hint="eastAsia" w:ascii="宋体" w:hAnsi="宋体" w:eastAsia="宋体" w:cs="宋体"/>
          <w:b/>
          <w:bCs/>
          <w:color w:val="auto"/>
          <w:spacing w:val="-4"/>
          <w:sz w:val="24"/>
          <w:szCs w:val="24"/>
          <w:highlight w:val="none"/>
        </w:rPr>
        <w:t>格式十 项目技术负责人简历表</w:t>
      </w:r>
      <w:bookmarkEnd w:id="257"/>
    </w:p>
    <w:p w14:paraId="675D0539">
      <w:pPr>
        <w:pStyle w:val="5"/>
        <w:spacing w:line="444" w:lineRule="auto"/>
        <w:rPr>
          <w:rFonts w:hint="eastAsia" w:ascii="宋体" w:hAnsi="宋体" w:eastAsia="宋体" w:cs="宋体"/>
          <w:color w:val="auto"/>
          <w:highlight w:val="none"/>
        </w:rPr>
      </w:pPr>
    </w:p>
    <w:p w14:paraId="0EE5F1FB">
      <w:pPr>
        <w:spacing w:before="97" w:line="219" w:lineRule="auto"/>
        <w:ind w:left="3087"/>
        <w:outlineLvl w:val="9"/>
        <w:rPr>
          <w:rFonts w:hint="eastAsia" w:ascii="宋体" w:hAnsi="宋体" w:eastAsia="宋体" w:cs="宋体"/>
          <w:color w:val="auto"/>
          <w:sz w:val="30"/>
          <w:szCs w:val="30"/>
          <w:highlight w:val="none"/>
        </w:rPr>
      </w:pPr>
      <w:bookmarkStart w:id="258" w:name="_Toc1553"/>
      <w:bookmarkStart w:id="259" w:name="_Toc25712"/>
      <w:r>
        <w:rPr>
          <w:rFonts w:hint="eastAsia" w:ascii="宋体" w:hAnsi="宋体" w:eastAsia="宋体" w:cs="宋体"/>
          <w:b/>
          <w:bCs/>
          <w:color w:val="auto"/>
          <w:spacing w:val="-4"/>
          <w:sz w:val="30"/>
          <w:szCs w:val="30"/>
          <w:highlight w:val="none"/>
        </w:rPr>
        <w:t>项目技术负责人简历表</w:t>
      </w:r>
      <w:bookmarkEnd w:id="258"/>
      <w:bookmarkEnd w:id="259"/>
    </w:p>
    <w:p w14:paraId="0C4EC7B8">
      <w:pPr>
        <w:spacing w:line="240" w:lineRule="exact"/>
        <w:rPr>
          <w:rFonts w:hint="eastAsia" w:ascii="宋体" w:hAnsi="宋体" w:eastAsia="宋体" w:cs="宋体"/>
          <w:color w:val="auto"/>
          <w:highlight w:val="none"/>
        </w:rPr>
      </w:pPr>
    </w:p>
    <w:tbl>
      <w:tblPr>
        <w:tblStyle w:val="14"/>
        <w:tblW w:w="96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0"/>
        <w:gridCol w:w="1003"/>
        <w:gridCol w:w="607"/>
        <w:gridCol w:w="675"/>
        <w:gridCol w:w="1346"/>
        <w:gridCol w:w="2047"/>
        <w:gridCol w:w="1783"/>
        <w:gridCol w:w="1386"/>
      </w:tblGrid>
      <w:tr w14:paraId="54649E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jc w:val="center"/>
        </w:trPr>
        <w:tc>
          <w:tcPr>
            <w:tcW w:w="1813" w:type="dxa"/>
            <w:gridSpan w:val="2"/>
            <w:vAlign w:val="top"/>
          </w:tcPr>
          <w:p w14:paraId="07401C12">
            <w:pPr>
              <w:spacing w:before="177" w:line="228" w:lineRule="auto"/>
              <w:ind w:left="50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名</w:t>
            </w:r>
          </w:p>
        </w:tc>
        <w:tc>
          <w:tcPr>
            <w:tcW w:w="1282" w:type="dxa"/>
            <w:gridSpan w:val="2"/>
            <w:vAlign w:val="top"/>
          </w:tcPr>
          <w:p w14:paraId="1DDDCFB5">
            <w:pPr>
              <w:pStyle w:val="21"/>
              <w:rPr>
                <w:rFonts w:hint="eastAsia" w:ascii="宋体" w:hAnsi="宋体" w:eastAsia="宋体" w:cs="宋体"/>
                <w:color w:val="auto"/>
                <w:sz w:val="24"/>
                <w:szCs w:val="24"/>
                <w:highlight w:val="none"/>
              </w:rPr>
            </w:pPr>
          </w:p>
        </w:tc>
        <w:tc>
          <w:tcPr>
            <w:tcW w:w="1346" w:type="dxa"/>
            <w:vAlign w:val="top"/>
          </w:tcPr>
          <w:p w14:paraId="3A00E866">
            <w:pPr>
              <w:spacing w:before="177" w:line="229" w:lineRule="auto"/>
              <w:ind w:left="3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z w:val="24"/>
                <w:szCs w:val="24"/>
                <w:highlight w:val="none"/>
              </w:rPr>
              <w:t>别</w:t>
            </w:r>
          </w:p>
        </w:tc>
        <w:tc>
          <w:tcPr>
            <w:tcW w:w="2047" w:type="dxa"/>
            <w:vAlign w:val="top"/>
          </w:tcPr>
          <w:p w14:paraId="2C9F5B8C">
            <w:pPr>
              <w:pStyle w:val="21"/>
              <w:rPr>
                <w:rFonts w:hint="eastAsia" w:ascii="宋体" w:hAnsi="宋体" w:eastAsia="宋体" w:cs="宋体"/>
                <w:color w:val="auto"/>
                <w:sz w:val="24"/>
                <w:szCs w:val="24"/>
                <w:highlight w:val="none"/>
              </w:rPr>
            </w:pPr>
          </w:p>
        </w:tc>
        <w:tc>
          <w:tcPr>
            <w:tcW w:w="1783" w:type="dxa"/>
            <w:vAlign w:val="top"/>
          </w:tcPr>
          <w:p w14:paraId="7B35F84B">
            <w:pPr>
              <w:spacing w:before="177" w:line="228" w:lineRule="auto"/>
              <w:ind w:left="48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龄</w:t>
            </w:r>
          </w:p>
        </w:tc>
        <w:tc>
          <w:tcPr>
            <w:tcW w:w="1386" w:type="dxa"/>
            <w:vAlign w:val="top"/>
          </w:tcPr>
          <w:p w14:paraId="60520BF4">
            <w:pPr>
              <w:pStyle w:val="21"/>
              <w:rPr>
                <w:rFonts w:hint="eastAsia" w:ascii="宋体" w:hAnsi="宋体" w:eastAsia="宋体" w:cs="宋体"/>
                <w:color w:val="auto"/>
                <w:sz w:val="24"/>
                <w:szCs w:val="24"/>
                <w:highlight w:val="none"/>
              </w:rPr>
            </w:pPr>
          </w:p>
        </w:tc>
      </w:tr>
      <w:tr w14:paraId="0D966A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1813" w:type="dxa"/>
            <w:gridSpan w:val="2"/>
            <w:vAlign w:val="top"/>
          </w:tcPr>
          <w:p w14:paraId="1C3F8DB8">
            <w:pPr>
              <w:spacing w:before="175" w:line="228" w:lineRule="auto"/>
              <w:ind w:left="50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务</w:t>
            </w:r>
          </w:p>
        </w:tc>
        <w:tc>
          <w:tcPr>
            <w:tcW w:w="1282" w:type="dxa"/>
            <w:gridSpan w:val="2"/>
            <w:vAlign w:val="top"/>
          </w:tcPr>
          <w:p w14:paraId="19790CAF">
            <w:pPr>
              <w:pStyle w:val="21"/>
              <w:rPr>
                <w:rFonts w:hint="eastAsia" w:ascii="宋体" w:hAnsi="宋体" w:eastAsia="宋体" w:cs="宋体"/>
                <w:color w:val="auto"/>
                <w:sz w:val="24"/>
                <w:szCs w:val="24"/>
                <w:highlight w:val="none"/>
              </w:rPr>
            </w:pPr>
          </w:p>
        </w:tc>
        <w:tc>
          <w:tcPr>
            <w:tcW w:w="1346" w:type="dxa"/>
            <w:vAlign w:val="top"/>
          </w:tcPr>
          <w:p w14:paraId="1732E3C0">
            <w:pPr>
              <w:spacing w:before="174" w:line="231" w:lineRule="auto"/>
              <w:ind w:left="33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称</w:t>
            </w:r>
          </w:p>
        </w:tc>
        <w:tc>
          <w:tcPr>
            <w:tcW w:w="2047" w:type="dxa"/>
            <w:vAlign w:val="top"/>
          </w:tcPr>
          <w:p w14:paraId="481B37E4">
            <w:pPr>
              <w:pStyle w:val="21"/>
              <w:rPr>
                <w:rFonts w:hint="eastAsia" w:ascii="宋体" w:hAnsi="宋体" w:eastAsia="宋体" w:cs="宋体"/>
                <w:color w:val="auto"/>
                <w:sz w:val="24"/>
                <w:szCs w:val="24"/>
                <w:highlight w:val="none"/>
              </w:rPr>
            </w:pPr>
          </w:p>
        </w:tc>
        <w:tc>
          <w:tcPr>
            <w:tcW w:w="1783" w:type="dxa"/>
            <w:vAlign w:val="top"/>
          </w:tcPr>
          <w:p w14:paraId="56AB3CDE">
            <w:pPr>
              <w:spacing w:before="175" w:line="230" w:lineRule="auto"/>
              <w:ind w:left="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学</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2"/>
                <w:sz w:val="24"/>
                <w:szCs w:val="24"/>
                <w:highlight w:val="none"/>
              </w:rPr>
              <w:t>历</w:t>
            </w:r>
          </w:p>
        </w:tc>
        <w:tc>
          <w:tcPr>
            <w:tcW w:w="1386" w:type="dxa"/>
            <w:vAlign w:val="top"/>
          </w:tcPr>
          <w:p w14:paraId="5C9CA710">
            <w:pPr>
              <w:pStyle w:val="21"/>
              <w:rPr>
                <w:rFonts w:hint="eastAsia" w:ascii="宋体" w:hAnsi="宋体" w:eastAsia="宋体" w:cs="宋体"/>
                <w:color w:val="auto"/>
                <w:sz w:val="24"/>
                <w:szCs w:val="24"/>
                <w:highlight w:val="none"/>
              </w:rPr>
            </w:pPr>
          </w:p>
        </w:tc>
      </w:tr>
      <w:tr w14:paraId="06ECC0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1813" w:type="dxa"/>
            <w:gridSpan w:val="2"/>
            <w:vAlign w:val="top"/>
          </w:tcPr>
          <w:p w14:paraId="2C6D39E6">
            <w:pPr>
              <w:spacing w:before="175" w:line="229" w:lineRule="auto"/>
              <w:ind w:left="24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参加工作时间</w:t>
            </w:r>
          </w:p>
        </w:tc>
        <w:tc>
          <w:tcPr>
            <w:tcW w:w="2628" w:type="dxa"/>
            <w:gridSpan w:val="3"/>
            <w:vAlign w:val="top"/>
          </w:tcPr>
          <w:p w14:paraId="51D2A335">
            <w:pPr>
              <w:pStyle w:val="21"/>
              <w:rPr>
                <w:rFonts w:hint="eastAsia" w:ascii="宋体" w:hAnsi="宋体" w:eastAsia="宋体" w:cs="宋体"/>
                <w:color w:val="auto"/>
                <w:sz w:val="24"/>
                <w:szCs w:val="24"/>
                <w:highlight w:val="none"/>
              </w:rPr>
            </w:pPr>
          </w:p>
        </w:tc>
        <w:tc>
          <w:tcPr>
            <w:tcW w:w="3830" w:type="dxa"/>
            <w:gridSpan w:val="2"/>
            <w:vAlign w:val="top"/>
          </w:tcPr>
          <w:p w14:paraId="43C0FC45">
            <w:pPr>
              <w:spacing w:before="176" w:line="228"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从事工程建设项目管理工作年限</w:t>
            </w:r>
          </w:p>
        </w:tc>
        <w:tc>
          <w:tcPr>
            <w:tcW w:w="1386" w:type="dxa"/>
            <w:vAlign w:val="top"/>
          </w:tcPr>
          <w:p w14:paraId="75D20512">
            <w:pPr>
              <w:pStyle w:val="21"/>
              <w:rPr>
                <w:rFonts w:hint="eastAsia" w:ascii="宋体" w:hAnsi="宋体" w:eastAsia="宋体" w:cs="宋体"/>
                <w:color w:val="auto"/>
                <w:sz w:val="24"/>
                <w:szCs w:val="24"/>
                <w:highlight w:val="none"/>
              </w:rPr>
            </w:pPr>
          </w:p>
        </w:tc>
      </w:tr>
      <w:tr w14:paraId="40C133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9657" w:type="dxa"/>
            <w:gridSpan w:val="8"/>
            <w:vAlign w:val="top"/>
          </w:tcPr>
          <w:p w14:paraId="43E8CDA2">
            <w:pPr>
              <w:spacing w:before="176" w:line="228" w:lineRule="auto"/>
              <w:ind w:left="204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以项目技术负责人身份参与过的主要业绩（已完工项目）</w:t>
            </w:r>
          </w:p>
        </w:tc>
      </w:tr>
      <w:tr w14:paraId="705EE7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810" w:type="dxa"/>
            <w:vAlign w:val="top"/>
          </w:tcPr>
          <w:p w14:paraId="36F5A08A">
            <w:pPr>
              <w:spacing w:before="176" w:line="230" w:lineRule="auto"/>
              <w:ind w:left="18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10" w:type="dxa"/>
            <w:gridSpan w:val="2"/>
            <w:vAlign w:val="top"/>
          </w:tcPr>
          <w:p w14:paraId="1A081902">
            <w:pPr>
              <w:spacing w:before="176"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项目名称</w:t>
            </w:r>
          </w:p>
        </w:tc>
        <w:tc>
          <w:tcPr>
            <w:tcW w:w="2021" w:type="dxa"/>
            <w:gridSpan w:val="2"/>
            <w:vAlign w:val="top"/>
          </w:tcPr>
          <w:p w14:paraId="773730B3">
            <w:pPr>
              <w:spacing w:before="176" w:line="229" w:lineRule="auto"/>
              <w:ind w:left="5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建设单位</w:t>
            </w:r>
          </w:p>
        </w:tc>
        <w:tc>
          <w:tcPr>
            <w:tcW w:w="2047" w:type="dxa"/>
            <w:vAlign w:val="top"/>
          </w:tcPr>
          <w:p w14:paraId="271BA220">
            <w:pPr>
              <w:spacing w:before="176" w:line="22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建设内容和规模</w:t>
            </w:r>
          </w:p>
        </w:tc>
        <w:tc>
          <w:tcPr>
            <w:tcW w:w="1783" w:type="dxa"/>
            <w:vAlign w:val="top"/>
          </w:tcPr>
          <w:p w14:paraId="26A77878">
            <w:pPr>
              <w:spacing w:before="176" w:line="228" w:lineRule="auto"/>
              <w:ind w:left="23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开、竣工日期</w:t>
            </w:r>
          </w:p>
        </w:tc>
        <w:tc>
          <w:tcPr>
            <w:tcW w:w="1386" w:type="dxa"/>
            <w:vAlign w:val="top"/>
          </w:tcPr>
          <w:p w14:paraId="311F0986">
            <w:pPr>
              <w:spacing w:before="176" w:line="228" w:lineRule="auto"/>
              <w:ind w:left="251"/>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质量等级</w:t>
            </w:r>
          </w:p>
        </w:tc>
      </w:tr>
      <w:tr w14:paraId="60A134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49B2F7FC">
            <w:pPr>
              <w:spacing w:before="214" w:line="195" w:lineRule="auto"/>
              <w:ind w:left="3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10" w:type="dxa"/>
            <w:gridSpan w:val="2"/>
            <w:vAlign w:val="top"/>
          </w:tcPr>
          <w:p w14:paraId="1D017C43">
            <w:pPr>
              <w:pStyle w:val="21"/>
              <w:rPr>
                <w:rFonts w:hint="eastAsia" w:ascii="宋体" w:hAnsi="宋体" w:eastAsia="宋体" w:cs="宋体"/>
                <w:color w:val="auto"/>
                <w:sz w:val="24"/>
                <w:szCs w:val="24"/>
                <w:highlight w:val="none"/>
              </w:rPr>
            </w:pPr>
          </w:p>
        </w:tc>
        <w:tc>
          <w:tcPr>
            <w:tcW w:w="2021" w:type="dxa"/>
            <w:gridSpan w:val="2"/>
            <w:vAlign w:val="top"/>
          </w:tcPr>
          <w:p w14:paraId="270436EC">
            <w:pPr>
              <w:pStyle w:val="21"/>
              <w:rPr>
                <w:rFonts w:hint="eastAsia" w:ascii="宋体" w:hAnsi="宋体" w:eastAsia="宋体" w:cs="宋体"/>
                <w:color w:val="auto"/>
                <w:sz w:val="24"/>
                <w:szCs w:val="24"/>
                <w:highlight w:val="none"/>
              </w:rPr>
            </w:pPr>
          </w:p>
        </w:tc>
        <w:tc>
          <w:tcPr>
            <w:tcW w:w="2047" w:type="dxa"/>
            <w:vAlign w:val="top"/>
          </w:tcPr>
          <w:p w14:paraId="254FE938">
            <w:pPr>
              <w:pStyle w:val="21"/>
              <w:rPr>
                <w:rFonts w:hint="eastAsia" w:ascii="宋体" w:hAnsi="宋体" w:eastAsia="宋体" w:cs="宋体"/>
                <w:color w:val="auto"/>
                <w:sz w:val="24"/>
                <w:szCs w:val="24"/>
                <w:highlight w:val="none"/>
              </w:rPr>
            </w:pPr>
          </w:p>
        </w:tc>
        <w:tc>
          <w:tcPr>
            <w:tcW w:w="1783" w:type="dxa"/>
            <w:vAlign w:val="top"/>
          </w:tcPr>
          <w:p w14:paraId="355EA15C">
            <w:pPr>
              <w:pStyle w:val="21"/>
              <w:rPr>
                <w:rFonts w:hint="eastAsia" w:ascii="宋体" w:hAnsi="宋体" w:eastAsia="宋体" w:cs="宋体"/>
                <w:color w:val="auto"/>
                <w:sz w:val="24"/>
                <w:szCs w:val="24"/>
                <w:highlight w:val="none"/>
              </w:rPr>
            </w:pPr>
          </w:p>
        </w:tc>
        <w:tc>
          <w:tcPr>
            <w:tcW w:w="1386" w:type="dxa"/>
            <w:vAlign w:val="top"/>
          </w:tcPr>
          <w:p w14:paraId="3A063067">
            <w:pPr>
              <w:pStyle w:val="21"/>
              <w:rPr>
                <w:rFonts w:hint="eastAsia" w:ascii="宋体" w:hAnsi="宋体" w:eastAsia="宋体" w:cs="宋体"/>
                <w:color w:val="auto"/>
                <w:sz w:val="24"/>
                <w:szCs w:val="24"/>
                <w:highlight w:val="none"/>
              </w:rPr>
            </w:pPr>
          </w:p>
        </w:tc>
      </w:tr>
      <w:tr w14:paraId="76EDBD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810" w:type="dxa"/>
            <w:vAlign w:val="top"/>
          </w:tcPr>
          <w:p w14:paraId="08B6618B">
            <w:pPr>
              <w:spacing w:before="213" w:line="195" w:lineRule="auto"/>
              <w:ind w:left="33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10" w:type="dxa"/>
            <w:gridSpan w:val="2"/>
            <w:vAlign w:val="top"/>
          </w:tcPr>
          <w:p w14:paraId="0C5944E3">
            <w:pPr>
              <w:pStyle w:val="21"/>
              <w:rPr>
                <w:rFonts w:hint="eastAsia" w:ascii="宋体" w:hAnsi="宋体" w:eastAsia="宋体" w:cs="宋体"/>
                <w:color w:val="auto"/>
                <w:sz w:val="24"/>
                <w:szCs w:val="24"/>
                <w:highlight w:val="none"/>
              </w:rPr>
            </w:pPr>
          </w:p>
        </w:tc>
        <w:tc>
          <w:tcPr>
            <w:tcW w:w="2021" w:type="dxa"/>
            <w:gridSpan w:val="2"/>
            <w:vAlign w:val="top"/>
          </w:tcPr>
          <w:p w14:paraId="4FF33181">
            <w:pPr>
              <w:pStyle w:val="21"/>
              <w:rPr>
                <w:rFonts w:hint="eastAsia" w:ascii="宋体" w:hAnsi="宋体" w:eastAsia="宋体" w:cs="宋体"/>
                <w:color w:val="auto"/>
                <w:sz w:val="24"/>
                <w:szCs w:val="24"/>
                <w:highlight w:val="none"/>
              </w:rPr>
            </w:pPr>
          </w:p>
        </w:tc>
        <w:tc>
          <w:tcPr>
            <w:tcW w:w="2047" w:type="dxa"/>
            <w:vAlign w:val="top"/>
          </w:tcPr>
          <w:p w14:paraId="7DB0E2CE">
            <w:pPr>
              <w:pStyle w:val="21"/>
              <w:rPr>
                <w:rFonts w:hint="eastAsia" w:ascii="宋体" w:hAnsi="宋体" w:eastAsia="宋体" w:cs="宋体"/>
                <w:color w:val="auto"/>
                <w:sz w:val="24"/>
                <w:szCs w:val="24"/>
                <w:highlight w:val="none"/>
              </w:rPr>
            </w:pPr>
          </w:p>
        </w:tc>
        <w:tc>
          <w:tcPr>
            <w:tcW w:w="1783" w:type="dxa"/>
            <w:vAlign w:val="top"/>
          </w:tcPr>
          <w:p w14:paraId="026AE2C4">
            <w:pPr>
              <w:pStyle w:val="21"/>
              <w:rPr>
                <w:rFonts w:hint="eastAsia" w:ascii="宋体" w:hAnsi="宋体" w:eastAsia="宋体" w:cs="宋体"/>
                <w:color w:val="auto"/>
                <w:sz w:val="24"/>
                <w:szCs w:val="24"/>
                <w:highlight w:val="none"/>
              </w:rPr>
            </w:pPr>
          </w:p>
        </w:tc>
        <w:tc>
          <w:tcPr>
            <w:tcW w:w="1386" w:type="dxa"/>
            <w:vAlign w:val="top"/>
          </w:tcPr>
          <w:p w14:paraId="371023C5">
            <w:pPr>
              <w:pStyle w:val="21"/>
              <w:rPr>
                <w:rFonts w:hint="eastAsia" w:ascii="宋体" w:hAnsi="宋体" w:eastAsia="宋体" w:cs="宋体"/>
                <w:color w:val="auto"/>
                <w:sz w:val="24"/>
                <w:szCs w:val="24"/>
                <w:highlight w:val="none"/>
              </w:rPr>
            </w:pPr>
          </w:p>
        </w:tc>
      </w:tr>
      <w:tr w14:paraId="69277F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3F6C5487">
            <w:pPr>
              <w:spacing w:before="178" w:line="324" w:lineRule="exact"/>
              <w:ind w:left="197"/>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610" w:type="dxa"/>
            <w:gridSpan w:val="2"/>
            <w:vAlign w:val="top"/>
          </w:tcPr>
          <w:p w14:paraId="4A2416CF">
            <w:pPr>
              <w:pStyle w:val="21"/>
              <w:rPr>
                <w:rFonts w:hint="eastAsia" w:ascii="宋体" w:hAnsi="宋体" w:eastAsia="宋体" w:cs="宋体"/>
                <w:color w:val="auto"/>
                <w:sz w:val="24"/>
                <w:szCs w:val="24"/>
                <w:highlight w:val="none"/>
              </w:rPr>
            </w:pPr>
          </w:p>
        </w:tc>
        <w:tc>
          <w:tcPr>
            <w:tcW w:w="2021" w:type="dxa"/>
            <w:gridSpan w:val="2"/>
            <w:vAlign w:val="top"/>
          </w:tcPr>
          <w:p w14:paraId="5DC4416F">
            <w:pPr>
              <w:pStyle w:val="21"/>
              <w:rPr>
                <w:rFonts w:hint="eastAsia" w:ascii="宋体" w:hAnsi="宋体" w:eastAsia="宋体" w:cs="宋体"/>
                <w:color w:val="auto"/>
                <w:sz w:val="24"/>
                <w:szCs w:val="24"/>
                <w:highlight w:val="none"/>
              </w:rPr>
            </w:pPr>
          </w:p>
        </w:tc>
        <w:tc>
          <w:tcPr>
            <w:tcW w:w="2047" w:type="dxa"/>
            <w:vAlign w:val="top"/>
          </w:tcPr>
          <w:p w14:paraId="2AF0F04E">
            <w:pPr>
              <w:pStyle w:val="21"/>
              <w:rPr>
                <w:rFonts w:hint="eastAsia" w:ascii="宋体" w:hAnsi="宋体" w:eastAsia="宋体" w:cs="宋体"/>
                <w:color w:val="auto"/>
                <w:sz w:val="24"/>
                <w:szCs w:val="24"/>
                <w:highlight w:val="none"/>
              </w:rPr>
            </w:pPr>
          </w:p>
        </w:tc>
        <w:tc>
          <w:tcPr>
            <w:tcW w:w="1783" w:type="dxa"/>
            <w:vAlign w:val="top"/>
          </w:tcPr>
          <w:p w14:paraId="400EE5B7">
            <w:pPr>
              <w:pStyle w:val="21"/>
              <w:rPr>
                <w:rFonts w:hint="eastAsia" w:ascii="宋体" w:hAnsi="宋体" w:eastAsia="宋体" w:cs="宋体"/>
                <w:color w:val="auto"/>
                <w:sz w:val="24"/>
                <w:szCs w:val="24"/>
                <w:highlight w:val="none"/>
              </w:rPr>
            </w:pPr>
          </w:p>
        </w:tc>
        <w:tc>
          <w:tcPr>
            <w:tcW w:w="1386" w:type="dxa"/>
            <w:vAlign w:val="top"/>
          </w:tcPr>
          <w:p w14:paraId="1734BD0B">
            <w:pPr>
              <w:pStyle w:val="21"/>
              <w:rPr>
                <w:rFonts w:hint="eastAsia" w:ascii="宋体" w:hAnsi="宋体" w:eastAsia="宋体" w:cs="宋体"/>
                <w:color w:val="auto"/>
                <w:sz w:val="24"/>
                <w:szCs w:val="24"/>
                <w:highlight w:val="none"/>
              </w:rPr>
            </w:pPr>
          </w:p>
        </w:tc>
      </w:tr>
      <w:tr w14:paraId="58719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3EA1F3C9">
            <w:pPr>
              <w:pStyle w:val="21"/>
              <w:rPr>
                <w:rFonts w:hint="eastAsia" w:ascii="宋体" w:hAnsi="宋体" w:eastAsia="宋体" w:cs="宋体"/>
                <w:color w:val="auto"/>
                <w:sz w:val="24"/>
                <w:szCs w:val="24"/>
                <w:highlight w:val="none"/>
              </w:rPr>
            </w:pPr>
          </w:p>
        </w:tc>
        <w:tc>
          <w:tcPr>
            <w:tcW w:w="1610" w:type="dxa"/>
            <w:gridSpan w:val="2"/>
            <w:vAlign w:val="top"/>
          </w:tcPr>
          <w:p w14:paraId="698F5787">
            <w:pPr>
              <w:pStyle w:val="21"/>
              <w:rPr>
                <w:rFonts w:hint="eastAsia" w:ascii="宋体" w:hAnsi="宋体" w:eastAsia="宋体" w:cs="宋体"/>
                <w:color w:val="auto"/>
                <w:sz w:val="24"/>
                <w:szCs w:val="24"/>
                <w:highlight w:val="none"/>
              </w:rPr>
            </w:pPr>
          </w:p>
        </w:tc>
        <w:tc>
          <w:tcPr>
            <w:tcW w:w="2021" w:type="dxa"/>
            <w:gridSpan w:val="2"/>
            <w:vAlign w:val="top"/>
          </w:tcPr>
          <w:p w14:paraId="69858A0D">
            <w:pPr>
              <w:pStyle w:val="21"/>
              <w:rPr>
                <w:rFonts w:hint="eastAsia" w:ascii="宋体" w:hAnsi="宋体" w:eastAsia="宋体" w:cs="宋体"/>
                <w:color w:val="auto"/>
                <w:sz w:val="24"/>
                <w:szCs w:val="24"/>
                <w:highlight w:val="none"/>
              </w:rPr>
            </w:pPr>
          </w:p>
        </w:tc>
        <w:tc>
          <w:tcPr>
            <w:tcW w:w="2047" w:type="dxa"/>
            <w:vAlign w:val="top"/>
          </w:tcPr>
          <w:p w14:paraId="2BD7DCDB">
            <w:pPr>
              <w:pStyle w:val="21"/>
              <w:rPr>
                <w:rFonts w:hint="eastAsia" w:ascii="宋体" w:hAnsi="宋体" w:eastAsia="宋体" w:cs="宋体"/>
                <w:color w:val="auto"/>
                <w:sz w:val="24"/>
                <w:szCs w:val="24"/>
                <w:highlight w:val="none"/>
              </w:rPr>
            </w:pPr>
          </w:p>
        </w:tc>
        <w:tc>
          <w:tcPr>
            <w:tcW w:w="1783" w:type="dxa"/>
            <w:vAlign w:val="top"/>
          </w:tcPr>
          <w:p w14:paraId="4D125A3E">
            <w:pPr>
              <w:pStyle w:val="21"/>
              <w:rPr>
                <w:rFonts w:hint="eastAsia" w:ascii="宋体" w:hAnsi="宋体" w:eastAsia="宋体" w:cs="宋体"/>
                <w:color w:val="auto"/>
                <w:sz w:val="24"/>
                <w:szCs w:val="24"/>
                <w:highlight w:val="none"/>
              </w:rPr>
            </w:pPr>
          </w:p>
        </w:tc>
        <w:tc>
          <w:tcPr>
            <w:tcW w:w="1386" w:type="dxa"/>
            <w:vAlign w:val="top"/>
          </w:tcPr>
          <w:p w14:paraId="39C6E406">
            <w:pPr>
              <w:pStyle w:val="21"/>
              <w:rPr>
                <w:rFonts w:hint="eastAsia" w:ascii="宋体" w:hAnsi="宋体" w:eastAsia="宋体" w:cs="宋体"/>
                <w:color w:val="auto"/>
                <w:sz w:val="24"/>
                <w:szCs w:val="24"/>
                <w:highlight w:val="none"/>
              </w:rPr>
            </w:pPr>
          </w:p>
        </w:tc>
      </w:tr>
      <w:tr w14:paraId="320ED6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810" w:type="dxa"/>
            <w:vAlign w:val="top"/>
          </w:tcPr>
          <w:p w14:paraId="2C145747">
            <w:pPr>
              <w:pStyle w:val="21"/>
              <w:rPr>
                <w:rFonts w:hint="eastAsia" w:ascii="宋体" w:hAnsi="宋体" w:eastAsia="宋体" w:cs="宋体"/>
                <w:color w:val="auto"/>
                <w:sz w:val="24"/>
                <w:szCs w:val="24"/>
                <w:highlight w:val="none"/>
              </w:rPr>
            </w:pPr>
          </w:p>
        </w:tc>
        <w:tc>
          <w:tcPr>
            <w:tcW w:w="1610" w:type="dxa"/>
            <w:gridSpan w:val="2"/>
            <w:vAlign w:val="top"/>
          </w:tcPr>
          <w:p w14:paraId="51FAB6E2">
            <w:pPr>
              <w:pStyle w:val="21"/>
              <w:rPr>
                <w:rFonts w:hint="eastAsia" w:ascii="宋体" w:hAnsi="宋体" w:eastAsia="宋体" w:cs="宋体"/>
                <w:color w:val="auto"/>
                <w:sz w:val="24"/>
                <w:szCs w:val="24"/>
                <w:highlight w:val="none"/>
              </w:rPr>
            </w:pPr>
          </w:p>
        </w:tc>
        <w:tc>
          <w:tcPr>
            <w:tcW w:w="2021" w:type="dxa"/>
            <w:gridSpan w:val="2"/>
            <w:vAlign w:val="top"/>
          </w:tcPr>
          <w:p w14:paraId="61875FD1">
            <w:pPr>
              <w:pStyle w:val="21"/>
              <w:rPr>
                <w:rFonts w:hint="eastAsia" w:ascii="宋体" w:hAnsi="宋体" w:eastAsia="宋体" w:cs="宋体"/>
                <w:color w:val="auto"/>
                <w:sz w:val="24"/>
                <w:szCs w:val="24"/>
                <w:highlight w:val="none"/>
              </w:rPr>
            </w:pPr>
          </w:p>
        </w:tc>
        <w:tc>
          <w:tcPr>
            <w:tcW w:w="2047" w:type="dxa"/>
            <w:vAlign w:val="top"/>
          </w:tcPr>
          <w:p w14:paraId="404E5FF7">
            <w:pPr>
              <w:pStyle w:val="21"/>
              <w:rPr>
                <w:rFonts w:hint="eastAsia" w:ascii="宋体" w:hAnsi="宋体" w:eastAsia="宋体" w:cs="宋体"/>
                <w:color w:val="auto"/>
                <w:sz w:val="24"/>
                <w:szCs w:val="24"/>
                <w:highlight w:val="none"/>
              </w:rPr>
            </w:pPr>
          </w:p>
        </w:tc>
        <w:tc>
          <w:tcPr>
            <w:tcW w:w="1783" w:type="dxa"/>
            <w:vAlign w:val="top"/>
          </w:tcPr>
          <w:p w14:paraId="6ADD1E7F">
            <w:pPr>
              <w:pStyle w:val="21"/>
              <w:rPr>
                <w:rFonts w:hint="eastAsia" w:ascii="宋体" w:hAnsi="宋体" w:eastAsia="宋体" w:cs="宋体"/>
                <w:color w:val="auto"/>
                <w:sz w:val="24"/>
                <w:szCs w:val="24"/>
                <w:highlight w:val="none"/>
              </w:rPr>
            </w:pPr>
          </w:p>
        </w:tc>
        <w:tc>
          <w:tcPr>
            <w:tcW w:w="1386" w:type="dxa"/>
            <w:vAlign w:val="top"/>
          </w:tcPr>
          <w:p w14:paraId="384217C7">
            <w:pPr>
              <w:pStyle w:val="21"/>
              <w:rPr>
                <w:rFonts w:hint="eastAsia" w:ascii="宋体" w:hAnsi="宋体" w:eastAsia="宋体" w:cs="宋体"/>
                <w:color w:val="auto"/>
                <w:sz w:val="24"/>
                <w:szCs w:val="24"/>
                <w:highlight w:val="none"/>
              </w:rPr>
            </w:pPr>
          </w:p>
        </w:tc>
      </w:tr>
    </w:tbl>
    <w:p w14:paraId="45EB821D">
      <w:pPr>
        <w:pStyle w:val="5"/>
        <w:spacing w:line="314" w:lineRule="auto"/>
        <w:rPr>
          <w:rFonts w:hint="eastAsia" w:ascii="宋体" w:hAnsi="宋体" w:eastAsia="宋体" w:cs="宋体"/>
          <w:color w:val="auto"/>
          <w:sz w:val="24"/>
          <w:szCs w:val="24"/>
          <w:highlight w:val="none"/>
        </w:rPr>
      </w:pPr>
    </w:p>
    <w:p w14:paraId="02839B71">
      <w:pPr>
        <w:pStyle w:val="5"/>
        <w:spacing w:line="315" w:lineRule="auto"/>
        <w:rPr>
          <w:rFonts w:hint="eastAsia" w:ascii="宋体" w:hAnsi="宋体" w:eastAsia="宋体" w:cs="宋体"/>
          <w:color w:val="auto"/>
          <w:sz w:val="24"/>
          <w:szCs w:val="24"/>
          <w:highlight w:val="none"/>
        </w:rPr>
      </w:pPr>
    </w:p>
    <w:p w14:paraId="75FEC917">
      <w:pPr>
        <w:pStyle w:val="5"/>
        <w:spacing w:line="315" w:lineRule="auto"/>
        <w:rPr>
          <w:rFonts w:hint="eastAsia" w:ascii="宋体" w:hAnsi="宋体" w:eastAsia="宋体" w:cs="宋体"/>
          <w:color w:val="auto"/>
          <w:sz w:val="24"/>
          <w:szCs w:val="24"/>
          <w:highlight w:val="none"/>
        </w:rPr>
      </w:pPr>
    </w:p>
    <w:p w14:paraId="443E0EA6">
      <w:pPr>
        <w:spacing w:before="78" w:line="220" w:lineRule="auto"/>
        <w:ind w:left="5165"/>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项目技术负责人</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2"/>
          <w:sz w:val="24"/>
          <w:szCs w:val="24"/>
          <w:highlight w:val="none"/>
        </w:rPr>
        <w:t>签字）</w:t>
      </w:r>
    </w:p>
    <w:p w14:paraId="06231E95">
      <w:pPr>
        <w:pStyle w:val="5"/>
        <w:spacing w:line="256" w:lineRule="auto"/>
        <w:jc w:val="right"/>
        <w:rPr>
          <w:rFonts w:hint="eastAsia" w:ascii="宋体" w:hAnsi="宋体" w:eastAsia="宋体" w:cs="宋体"/>
          <w:color w:val="auto"/>
          <w:sz w:val="24"/>
          <w:szCs w:val="24"/>
          <w:highlight w:val="none"/>
        </w:rPr>
      </w:pPr>
    </w:p>
    <w:p w14:paraId="48AD0385">
      <w:pPr>
        <w:pStyle w:val="5"/>
        <w:spacing w:line="257" w:lineRule="auto"/>
        <w:jc w:val="right"/>
        <w:rPr>
          <w:rFonts w:hint="eastAsia" w:ascii="宋体" w:hAnsi="宋体" w:eastAsia="宋体" w:cs="宋体"/>
          <w:color w:val="auto"/>
          <w:sz w:val="24"/>
          <w:szCs w:val="24"/>
          <w:highlight w:val="none"/>
        </w:rPr>
      </w:pPr>
    </w:p>
    <w:p w14:paraId="50CB5F37">
      <w:pPr>
        <w:pStyle w:val="5"/>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1408BD7">
      <w:pPr>
        <w:spacing w:before="65" w:line="228" w:lineRule="auto"/>
        <w:ind w:left="47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说明：《项目技术负责人简历表》后应附拟派项目技术负责人以下资料：</w:t>
      </w:r>
    </w:p>
    <w:p w14:paraId="2DD6422C">
      <w:pPr>
        <w:spacing w:before="155" w:line="228" w:lineRule="auto"/>
        <w:ind w:left="484"/>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3"/>
          <w:sz w:val="24"/>
          <w:szCs w:val="24"/>
          <w:highlight w:val="none"/>
        </w:rPr>
        <w:t>．身份证彩色扫描件；</w:t>
      </w:r>
    </w:p>
    <w:p w14:paraId="2AC7099F">
      <w:pPr>
        <w:spacing w:before="151" w:line="228" w:lineRule="auto"/>
        <w:ind w:left="464"/>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2</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5"/>
          <w:sz w:val="24"/>
          <w:szCs w:val="24"/>
          <w:highlight w:val="none"/>
        </w:rPr>
        <w:t>．职称证彩色扫描件；</w:t>
      </w:r>
    </w:p>
    <w:p w14:paraId="531EC1B5">
      <w:pPr>
        <w:spacing w:before="153" w:line="299" w:lineRule="auto"/>
        <w:ind w:left="47" w:right="95" w:firstLine="42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8"/>
          <w:sz w:val="24"/>
          <w:szCs w:val="24"/>
          <w:highlight w:val="none"/>
        </w:rPr>
        <w:t>．在本单位缴纳社保的证明（</w:t>
      </w:r>
      <w:r>
        <w:rPr>
          <w:rFonts w:hint="eastAsia" w:ascii="宋体" w:hAnsi="宋体" w:eastAsia="宋体" w:cs="宋体"/>
          <w:color w:val="auto"/>
          <w:sz w:val="24"/>
          <w:szCs w:val="24"/>
          <w:highlight w:val="none"/>
          <w:lang w:eastAsia="zh-CN"/>
        </w:rPr>
        <w:t>至少</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个月</w:t>
      </w:r>
      <w:r>
        <w:rPr>
          <w:rFonts w:hint="eastAsia" w:ascii="宋体" w:hAnsi="宋体" w:eastAsia="宋体" w:cs="宋体"/>
          <w:color w:val="auto"/>
          <w:spacing w:val="8"/>
          <w:sz w:val="24"/>
          <w:szCs w:val="24"/>
          <w:highlight w:val="none"/>
        </w:rPr>
        <w:t>，其中必须有</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z w:val="24"/>
          <w:szCs w:val="24"/>
          <w:highlight w:val="none"/>
          <w:lang w:eastAsia="zh-CN"/>
        </w:rPr>
        <w:t>20</w:t>
      </w:r>
      <w:r>
        <w:rPr>
          <w:rFonts w:hint="eastAsia" w:ascii="宋体" w:hAnsi="宋体" w:eastAsia="宋体" w:cs="宋体"/>
          <w:color w:val="auto"/>
          <w:sz w:val="24"/>
          <w:szCs w:val="24"/>
          <w:highlight w:val="none"/>
          <w:lang w:val="en-US" w:eastAsia="zh-CN"/>
        </w:rPr>
        <w:t>26</w:t>
      </w:r>
      <w:r>
        <w:rPr>
          <w:rFonts w:hint="eastAsia" w:ascii="宋体" w:hAnsi="宋体" w:eastAsia="宋体" w:cs="宋体"/>
          <w:color w:val="auto"/>
          <w:spacing w:val="8"/>
          <w:sz w:val="24"/>
          <w:szCs w:val="24"/>
          <w:highlight w:val="none"/>
        </w:rPr>
        <w:t>年</w:t>
      </w:r>
      <w:r>
        <w:rPr>
          <w:rFonts w:hint="eastAsia" w:ascii="宋体" w:hAnsi="宋体" w:eastAsia="宋体" w:cs="宋体"/>
          <w:color w:val="auto"/>
          <w:spacing w:val="8"/>
          <w:sz w:val="24"/>
          <w:szCs w:val="24"/>
          <w:highlight w:val="none"/>
          <w:lang w:val="en-US" w:eastAsia="zh-CN"/>
        </w:rPr>
        <w:t>2</w:t>
      </w:r>
      <w:r>
        <w:rPr>
          <w:rFonts w:hint="eastAsia" w:ascii="宋体" w:hAnsi="宋体" w:eastAsia="宋体" w:cs="宋体"/>
          <w:color w:val="auto"/>
          <w:spacing w:val="8"/>
          <w:sz w:val="24"/>
          <w:szCs w:val="24"/>
          <w:highlight w:val="none"/>
        </w:rPr>
        <w:t>月）彩色扫描件</w:t>
      </w:r>
      <w:r>
        <w:rPr>
          <w:rFonts w:hint="eastAsia" w:ascii="宋体" w:hAnsi="宋体" w:eastAsia="宋体" w:cs="宋体"/>
          <w:color w:val="auto"/>
          <w:spacing w:val="8"/>
          <w:sz w:val="24"/>
          <w:szCs w:val="24"/>
          <w:highlight w:val="none"/>
          <w:lang w:val="en-US" w:eastAsia="zh-CN"/>
        </w:rPr>
        <w:t>或打印件</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拟派项目技术负责人为退休返聘人员无法提供社</w:t>
      </w:r>
      <w:r>
        <w:rPr>
          <w:rFonts w:hint="eastAsia" w:ascii="宋体" w:hAnsi="宋体" w:eastAsia="宋体" w:cs="宋体"/>
          <w:color w:val="auto"/>
          <w:spacing w:val="9"/>
          <w:sz w:val="24"/>
          <w:szCs w:val="24"/>
          <w:highlight w:val="none"/>
        </w:rPr>
        <w:t>保证明的，提供退休证和劳动合同彩色扫描件。</w:t>
      </w:r>
    </w:p>
    <w:p w14:paraId="784C2F67">
      <w:pPr>
        <w:spacing w:before="153" w:line="228" w:lineRule="auto"/>
        <w:ind w:left="46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8"/>
          <w:sz w:val="24"/>
          <w:szCs w:val="24"/>
          <w:highlight w:val="none"/>
        </w:rPr>
        <w:t>．“进粤企业和人员诚信信息登记平台</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8"/>
          <w:sz w:val="24"/>
          <w:szCs w:val="24"/>
          <w:highlight w:val="none"/>
        </w:rPr>
        <w:t>”个人信息情况截图。（适用于省外建筑企业）</w:t>
      </w:r>
    </w:p>
    <w:p w14:paraId="0CA53D6E">
      <w:pPr>
        <w:spacing w:line="228" w:lineRule="auto"/>
        <w:rPr>
          <w:rFonts w:hint="eastAsia" w:ascii="宋体" w:hAnsi="宋体" w:eastAsia="宋体" w:cs="宋体"/>
          <w:color w:val="auto"/>
          <w:sz w:val="20"/>
          <w:szCs w:val="20"/>
          <w:highlight w:val="none"/>
        </w:rPr>
        <w:sectPr>
          <w:footerReference r:id="rId21"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7A79FF21">
      <w:pPr>
        <w:spacing w:before="78" w:line="220" w:lineRule="auto"/>
        <w:outlineLvl w:val="2"/>
        <w:rPr>
          <w:rFonts w:hint="eastAsia" w:ascii="宋体" w:hAnsi="宋体" w:eastAsia="宋体" w:cs="宋体"/>
          <w:b/>
          <w:bCs/>
          <w:color w:val="auto"/>
          <w:spacing w:val="-4"/>
          <w:sz w:val="24"/>
          <w:szCs w:val="24"/>
          <w:highlight w:val="none"/>
        </w:rPr>
      </w:pPr>
      <w:bookmarkStart w:id="260" w:name="_Toc25235"/>
      <w:r>
        <w:rPr>
          <w:rFonts w:hint="eastAsia" w:ascii="宋体" w:hAnsi="宋体" w:eastAsia="宋体" w:cs="宋体"/>
          <w:b/>
          <w:bCs/>
          <w:color w:val="auto"/>
          <w:spacing w:val="-4"/>
          <w:sz w:val="24"/>
          <w:szCs w:val="24"/>
          <w:highlight w:val="none"/>
        </w:rPr>
        <w:t>格式十一 项目管理机构组成表</w:t>
      </w:r>
      <w:bookmarkEnd w:id="260"/>
    </w:p>
    <w:p w14:paraId="555428D3">
      <w:pPr>
        <w:pStyle w:val="5"/>
        <w:spacing w:line="351" w:lineRule="auto"/>
        <w:rPr>
          <w:rFonts w:hint="eastAsia" w:ascii="宋体" w:hAnsi="宋体" w:eastAsia="宋体" w:cs="宋体"/>
          <w:color w:val="auto"/>
          <w:highlight w:val="none"/>
        </w:rPr>
      </w:pPr>
    </w:p>
    <w:p w14:paraId="162B07EA">
      <w:pPr>
        <w:pStyle w:val="5"/>
        <w:spacing w:line="351" w:lineRule="auto"/>
        <w:rPr>
          <w:rFonts w:hint="eastAsia" w:ascii="宋体" w:hAnsi="宋体" w:eastAsia="宋体" w:cs="宋体"/>
          <w:color w:val="auto"/>
          <w:highlight w:val="none"/>
        </w:rPr>
      </w:pPr>
    </w:p>
    <w:p w14:paraId="3C7DD617">
      <w:pPr>
        <w:spacing w:before="97" w:line="219" w:lineRule="auto"/>
        <w:ind w:left="3200"/>
        <w:outlineLvl w:val="9"/>
        <w:rPr>
          <w:rFonts w:hint="eastAsia" w:ascii="宋体" w:hAnsi="宋体" w:eastAsia="宋体" w:cs="宋体"/>
          <w:color w:val="auto"/>
          <w:sz w:val="30"/>
          <w:szCs w:val="30"/>
          <w:highlight w:val="none"/>
        </w:rPr>
      </w:pPr>
      <w:bookmarkStart w:id="261" w:name="bookmark158"/>
      <w:bookmarkEnd w:id="261"/>
      <w:bookmarkStart w:id="262" w:name="_Toc28765"/>
      <w:bookmarkStart w:id="263" w:name="_Toc19973"/>
      <w:r>
        <w:rPr>
          <w:rFonts w:hint="eastAsia" w:ascii="宋体" w:hAnsi="宋体" w:eastAsia="宋体" w:cs="宋体"/>
          <w:b/>
          <w:bCs/>
          <w:color w:val="auto"/>
          <w:spacing w:val="-4"/>
          <w:sz w:val="30"/>
          <w:szCs w:val="30"/>
          <w:highlight w:val="none"/>
        </w:rPr>
        <w:t>项目管理机构组成表</w:t>
      </w:r>
      <w:bookmarkEnd w:id="262"/>
      <w:bookmarkEnd w:id="263"/>
    </w:p>
    <w:p w14:paraId="1EDDD763">
      <w:pPr>
        <w:spacing w:before="7"/>
        <w:rPr>
          <w:rFonts w:hint="eastAsia" w:ascii="宋体" w:hAnsi="宋体" w:eastAsia="宋体" w:cs="宋体"/>
          <w:color w:val="auto"/>
          <w:highlight w:val="none"/>
        </w:rPr>
      </w:pPr>
    </w:p>
    <w:tbl>
      <w:tblPr>
        <w:tblStyle w:val="14"/>
        <w:tblW w:w="963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939"/>
        <w:gridCol w:w="1567"/>
        <w:gridCol w:w="1017"/>
        <w:gridCol w:w="1002"/>
        <w:gridCol w:w="1551"/>
        <w:gridCol w:w="1926"/>
      </w:tblGrid>
      <w:tr w14:paraId="2173B2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jc w:val="center"/>
        </w:trPr>
        <w:tc>
          <w:tcPr>
            <w:tcW w:w="634" w:type="dxa"/>
            <w:vAlign w:val="top"/>
          </w:tcPr>
          <w:p w14:paraId="2D248E3F">
            <w:pPr>
              <w:spacing w:before="229" w:line="231" w:lineRule="auto"/>
              <w:ind w:left="9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序号</w:t>
            </w:r>
          </w:p>
        </w:tc>
        <w:tc>
          <w:tcPr>
            <w:tcW w:w="1939" w:type="dxa"/>
            <w:vAlign w:val="top"/>
          </w:tcPr>
          <w:p w14:paraId="5F461AAD">
            <w:pPr>
              <w:spacing w:before="228" w:line="231" w:lineRule="auto"/>
              <w:ind w:left="70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岗位</w:t>
            </w:r>
          </w:p>
        </w:tc>
        <w:tc>
          <w:tcPr>
            <w:tcW w:w="1567" w:type="dxa"/>
            <w:vAlign w:val="top"/>
          </w:tcPr>
          <w:p w14:paraId="1DD6F3D6">
            <w:pPr>
              <w:spacing w:before="228" w:line="231" w:lineRule="auto"/>
              <w:ind w:left="522"/>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姓名</w:t>
            </w:r>
          </w:p>
        </w:tc>
        <w:tc>
          <w:tcPr>
            <w:tcW w:w="1017" w:type="dxa"/>
            <w:vAlign w:val="top"/>
          </w:tcPr>
          <w:p w14:paraId="3FF2F319">
            <w:pPr>
              <w:spacing w:before="228" w:line="230" w:lineRule="auto"/>
              <w:ind w:left="268"/>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性别</w:t>
            </w:r>
          </w:p>
        </w:tc>
        <w:tc>
          <w:tcPr>
            <w:tcW w:w="1002" w:type="dxa"/>
            <w:vAlign w:val="top"/>
          </w:tcPr>
          <w:p w14:paraId="1F45BB1E">
            <w:pPr>
              <w:spacing w:before="229" w:line="231" w:lineRule="auto"/>
              <w:ind w:left="26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年龄</w:t>
            </w:r>
          </w:p>
        </w:tc>
        <w:tc>
          <w:tcPr>
            <w:tcW w:w="1551" w:type="dxa"/>
            <w:vAlign w:val="top"/>
          </w:tcPr>
          <w:p w14:paraId="3EC28A26">
            <w:pPr>
              <w:spacing w:before="228" w:line="230" w:lineRule="auto"/>
              <w:ind w:left="516"/>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职称</w:t>
            </w:r>
          </w:p>
        </w:tc>
        <w:tc>
          <w:tcPr>
            <w:tcW w:w="1926" w:type="dxa"/>
            <w:vAlign w:val="top"/>
          </w:tcPr>
          <w:p w14:paraId="2B3131B4">
            <w:pPr>
              <w:spacing w:before="228" w:line="230" w:lineRule="auto"/>
              <w:ind w:left="687"/>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备注</w:t>
            </w:r>
          </w:p>
        </w:tc>
      </w:tr>
      <w:tr w14:paraId="66C7AE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283EB046">
            <w:pPr>
              <w:spacing w:before="185" w:line="195" w:lineRule="auto"/>
              <w:ind w:left="2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939" w:type="dxa"/>
            <w:vAlign w:val="top"/>
          </w:tcPr>
          <w:p w14:paraId="197454C5">
            <w:pPr>
              <w:spacing w:before="150" w:line="229" w:lineRule="auto"/>
              <w:ind w:left="486"/>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p>
        </w:tc>
        <w:tc>
          <w:tcPr>
            <w:tcW w:w="1567" w:type="dxa"/>
            <w:vAlign w:val="top"/>
          </w:tcPr>
          <w:p w14:paraId="33D1707C">
            <w:pPr>
              <w:pStyle w:val="21"/>
              <w:rPr>
                <w:rFonts w:hint="eastAsia" w:ascii="宋体" w:hAnsi="宋体" w:eastAsia="宋体" w:cs="宋体"/>
                <w:color w:val="auto"/>
                <w:sz w:val="24"/>
                <w:szCs w:val="24"/>
                <w:highlight w:val="none"/>
              </w:rPr>
            </w:pPr>
          </w:p>
        </w:tc>
        <w:tc>
          <w:tcPr>
            <w:tcW w:w="1017" w:type="dxa"/>
            <w:vAlign w:val="top"/>
          </w:tcPr>
          <w:p w14:paraId="4EA01CAF">
            <w:pPr>
              <w:pStyle w:val="21"/>
              <w:rPr>
                <w:rFonts w:hint="eastAsia" w:ascii="宋体" w:hAnsi="宋体" w:eastAsia="宋体" w:cs="宋体"/>
                <w:color w:val="auto"/>
                <w:sz w:val="24"/>
                <w:szCs w:val="24"/>
                <w:highlight w:val="none"/>
              </w:rPr>
            </w:pPr>
          </w:p>
        </w:tc>
        <w:tc>
          <w:tcPr>
            <w:tcW w:w="1002" w:type="dxa"/>
            <w:vAlign w:val="top"/>
          </w:tcPr>
          <w:p w14:paraId="784E4E86">
            <w:pPr>
              <w:pStyle w:val="21"/>
              <w:rPr>
                <w:rFonts w:hint="eastAsia" w:ascii="宋体" w:hAnsi="宋体" w:eastAsia="宋体" w:cs="宋体"/>
                <w:color w:val="auto"/>
                <w:sz w:val="24"/>
                <w:szCs w:val="24"/>
                <w:highlight w:val="none"/>
              </w:rPr>
            </w:pPr>
          </w:p>
        </w:tc>
        <w:tc>
          <w:tcPr>
            <w:tcW w:w="1551" w:type="dxa"/>
            <w:vAlign w:val="top"/>
          </w:tcPr>
          <w:p w14:paraId="5F4F3964">
            <w:pPr>
              <w:pStyle w:val="21"/>
              <w:rPr>
                <w:rFonts w:hint="eastAsia" w:ascii="宋体" w:hAnsi="宋体" w:eastAsia="宋体" w:cs="宋体"/>
                <w:color w:val="auto"/>
                <w:sz w:val="24"/>
                <w:szCs w:val="24"/>
                <w:highlight w:val="none"/>
              </w:rPr>
            </w:pPr>
          </w:p>
        </w:tc>
        <w:tc>
          <w:tcPr>
            <w:tcW w:w="1926" w:type="dxa"/>
            <w:vAlign w:val="top"/>
          </w:tcPr>
          <w:p w14:paraId="7E0A4FFA">
            <w:pPr>
              <w:pStyle w:val="21"/>
              <w:rPr>
                <w:rFonts w:hint="eastAsia" w:ascii="宋体" w:hAnsi="宋体" w:eastAsia="宋体" w:cs="宋体"/>
                <w:color w:val="auto"/>
                <w:sz w:val="24"/>
                <w:szCs w:val="24"/>
                <w:highlight w:val="none"/>
              </w:rPr>
            </w:pPr>
          </w:p>
        </w:tc>
      </w:tr>
      <w:tr w14:paraId="5BB571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jc w:val="center"/>
        </w:trPr>
        <w:tc>
          <w:tcPr>
            <w:tcW w:w="634" w:type="dxa"/>
            <w:vAlign w:val="top"/>
          </w:tcPr>
          <w:p w14:paraId="2ACB0DD0">
            <w:pPr>
              <w:spacing w:before="187" w:line="195" w:lineRule="auto"/>
              <w:ind w:left="2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939" w:type="dxa"/>
            <w:vAlign w:val="top"/>
          </w:tcPr>
          <w:p w14:paraId="33B30217">
            <w:pPr>
              <w:spacing w:before="152" w:line="22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项目技术负责人</w:t>
            </w:r>
          </w:p>
        </w:tc>
        <w:tc>
          <w:tcPr>
            <w:tcW w:w="1567" w:type="dxa"/>
            <w:vAlign w:val="top"/>
          </w:tcPr>
          <w:p w14:paraId="101658E3">
            <w:pPr>
              <w:pStyle w:val="21"/>
              <w:rPr>
                <w:rFonts w:hint="eastAsia" w:ascii="宋体" w:hAnsi="宋体" w:eastAsia="宋体" w:cs="宋体"/>
                <w:color w:val="auto"/>
                <w:sz w:val="24"/>
                <w:szCs w:val="24"/>
                <w:highlight w:val="none"/>
              </w:rPr>
            </w:pPr>
          </w:p>
        </w:tc>
        <w:tc>
          <w:tcPr>
            <w:tcW w:w="1017" w:type="dxa"/>
            <w:vAlign w:val="top"/>
          </w:tcPr>
          <w:p w14:paraId="13CFB6FB">
            <w:pPr>
              <w:pStyle w:val="21"/>
              <w:rPr>
                <w:rFonts w:hint="eastAsia" w:ascii="宋体" w:hAnsi="宋体" w:eastAsia="宋体" w:cs="宋体"/>
                <w:color w:val="auto"/>
                <w:sz w:val="24"/>
                <w:szCs w:val="24"/>
                <w:highlight w:val="none"/>
              </w:rPr>
            </w:pPr>
          </w:p>
        </w:tc>
        <w:tc>
          <w:tcPr>
            <w:tcW w:w="1002" w:type="dxa"/>
            <w:vAlign w:val="top"/>
          </w:tcPr>
          <w:p w14:paraId="01708B9A">
            <w:pPr>
              <w:pStyle w:val="21"/>
              <w:rPr>
                <w:rFonts w:hint="eastAsia" w:ascii="宋体" w:hAnsi="宋体" w:eastAsia="宋体" w:cs="宋体"/>
                <w:color w:val="auto"/>
                <w:sz w:val="24"/>
                <w:szCs w:val="24"/>
                <w:highlight w:val="none"/>
              </w:rPr>
            </w:pPr>
          </w:p>
        </w:tc>
        <w:tc>
          <w:tcPr>
            <w:tcW w:w="1551" w:type="dxa"/>
            <w:vAlign w:val="top"/>
          </w:tcPr>
          <w:p w14:paraId="2DA12024">
            <w:pPr>
              <w:pStyle w:val="21"/>
              <w:rPr>
                <w:rFonts w:hint="eastAsia" w:ascii="宋体" w:hAnsi="宋体" w:eastAsia="宋体" w:cs="宋体"/>
                <w:color w:val="auto"/>
                <w:sz w:val="24"/>
                <w:szCs w:val="24"/>
                <w:highlight w:val="none"/>
              </w:rPr>
            </w:pPr>
          </w:p>
        </w:tc>
        <w:tc>
          <w:tcPr>
            <w:tcW w:w="1926" w:type="dxa"/>
            <w:vAlign w:val="top"/>
          </w:tcPr>
          <w:p w14:paraId="7E36E9CF">
            <w:pPr>
              <w:pStyle w:val="21"/>
              <w:rPr>
                <w:rFonts w:hint="eastAsia" w:ascii="宋体" w:hAnsi="宋体" w:eastAsia="宋体" w:cs="宋体"/>
                <w:color w:val="auto"/>
                <w:sz w:val="24"/>
                <w:szCs w:val="24"/>
                <w:highlight w:val="none"/>
              </w:rPr>
            </w:pPr>
          </w:p>
        </w:tc>
      </w:tr>
      <w:tr w14:paraId="72AE89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185BE277">
            <w:pPr>
              <w:spacing w:before="189" w:line="195" w:lineRule="auto"/>
              <w:ind w:left="247"/>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939" w:type="dxa"/>
            <w:vAlign w:val="center"/>
          </w:tcPr>
          <w:p w14:paraId="46937765">
            <w:pPr>
              <w:spacing w:before="153" w:line="229" w:lineRule="auto"/>
              <w:ind w:left="378"/>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专职安全员</w:t>
            </w:r>
          </w:p>
        </w:tc>
        <w:tc>
          <w:tcPr>
            <w:tcW w:w="1567" w:type="dxa"/>
            <w:vAlign w:val="top"/>
          </w:tcPr>
          <w:p w14:paraId="15C126D8">
            <w:pPr>
              <w:pStyle w:val="21"/>
              <w:rPr>
                <w:rFonts w:hint="eastAsia" w:ascii="宋体" w:hAnsi="宋体" w:eastAsia="宋体" w:cs="宋体"/>
                <w:color w:val="auto"/>
                <w:sz w:val="24"/>
                <w:szCs w:val="24"/>
                <w:highlight w:val="none"/>
              </w:rPr>
            </w:pPr>
          </w:p>
        </w:tc>
        <w:tc>
          <w:tcPr>
            <w:tcW w:w="1017" w:type="dxa"/>
            <w:vAlign w:val="top"/>
          </w:tcPr>
          <w:p w14:paraId="7B9FA270">
            <w:pPr>
              <w:pStyle w:val="21"/>
              <w:rPr>
                <w:rFonts w:hint="eastAsia" w:ascii="宋体" w:hAnsi="宋体" w:eastAsia="宋体" w:cs="宋体"/>
                <w:color w:val="auto"/>
                <w:sz w:val="24"/>
                <w:szCs w:val="24"/>
                <w:highlight w:val="none"/>
              </w:rPr>
            </w:pPr>
          </w:p>
        </w:tc>
        <w:tc>
          <w:tcPr>
            <w:tcW w:w="1002" w:type="dxa"/>
            <w:vAlign w:val="top"/>
          </w:tcPr>
          <w:p w14:paraId="1060A9BD">
            <w:pPr>
              <w:pStyle w:val="21"/>
              <w:rPr>
                <w:rFonts w:hint="eastAsia" w:ascii="宋体" w:hAnsi="宋体" w:eastAsia="宋体" w:cs="宋体"/>
                <w:color w:val="auto"/>
                <w:sz w:val="24"/>
                <w:szCs w:val="24"/>
                <w:highlight w:val="none"/>
              </w:rPr>
            </w:pPr>
          </w:p>
        </w:tc>
        <w:tc>
          <w:tcPr>
            <w:tcW w:w="1551" w:type="dxa"/>
            <w:vAlign w:val="top"/>
          </w:tcPr>
          <w:p w14:paraId="5301968F">
            <w:pPr>
              <w:pStyle w:val="21"/>
              <w:rPr>
                <w:rFonts w:hint="eastAsia" w:ascii="宋体" w:hAnsi="宋体" w:eastAsia="宋体" w:cs="宋体"/>
                <w:color w:val="auto"/>
                <w:sz w:val="24"/>
                <w:szCs w:val="24"/>
                <w:highlight w:val="none"/>
              </w:rPr>
            </w:pPr>
          </w:p>
        </w:tc>
        <w:tc>
          <w:tcPr>
            <w:tcW w:w="1926" w:type="dxa"/>
            <w:vAlign w:val="top"/>
          </w:tcPr>
          <w:p w14:paraId="6D41F555">
            <w:pPr>
              <w:pStyle w:val="21"/>
              <w:rPr>
                <w:rFonts w:hint="eastAsia" w:ascii="宋体" w:hAnsi="宋体" w:eastAsia="宋体" w:cs="宋体"/>
                <w:color w:val="auto"/>
                <w:sz w:val="24"/>
                <w:szCs w:val="24"/>
                <w:highlight w:val="none"/>
              </w:rPr>
            </w:pPr>
          </w:p>
        </w:tc>
      </w:tr>
      <w:tr w14:paraId="748716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30DCE2EF">
            <w:pPr>
              <w:spacing w:before="188" w:line="195" w:lineRule="auto"/>
              <w:ind w:left="24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w:t>
            </w:r>
          </w:p>
        </w:tc>
        <w:tc>
          <w:tcPr>
            <w:tcW w:w="1939" w:type="dxa"/>
            <w:vAlign w:val="top"/>
          </w:tcPr>
          <w:p w14:paraId="696539CB">
            <w:pPr>
              <w:spacing w:before="152" w:line="230" w:lineRule="auto"/>
              <w:ind w:left="58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施工员</w:t>
            </w:r>
          </w:p>
        </w:tc>
        <w:tc>
          <w:tcPr>
            <w:tcW w:w="1567" w:type="dxa"/>
            <w:vAlign w:val="top"/>
          </w:tcPr>
          <w:p w14:paraId="18E417E4">
            <w:pPr>
              <w:pStyle w:val="21"/>
              <w:rPr>
                <w:rFonts w:hint="eastAsia" w:ascii="宋体" w:hAnsi="宋体" w:eastAsia="宋体" w:cs="宋体"/>
                <w:color w:val="auto"/>
                <w:sz w:val="24"/>
                <w:szCs w:val="24"/>
                <w:highlight w:val="none"/>
              </w:rPr>
            </w:pPr>
          </w:p>
        </w:tc>
        <w:tc>
          <w:tcPr>
            <w:tcW w:w="1017" w:type="dxa"/>
            <w:vAlign w:val="top"/>
          </w:tcPr>
          <w:p w14:paraId="34BD54A5">
            <w:pPr>
              <w:pStyle w:val="21"/>
              <w:rPr>
                <w:rFonts w:hint="eastAsia" w:ascii="宋体" w:hAnsi="宋体" w:eastAsia="宋体" w:cs="宋体"/>
                <w:color w:val="auto"/>
                <w:sz w:val="24"/>
                <w:szCs w:val="24"/>
                <w:highlight w:val="none"/>
              </w:rPr>
            </w:pPr>
          </w:p>
        </w:tc>
        <w:tc>
          <w:tcPr>
            <w:tcW w:w="1002" w:type="dxa"/>
            <w:vAlign w:val="top"/>
          </w:tcPr>
          <w:p w14:paraId="35F0DD07">
            <w:pPr>
              <w:pStyle w:val="21"/>
              <w:rPr>
                <w:rFonts w:hint="eastAsia" w:ascii="宋体" w:hAnsi="宋体" w:eastAsia="宋体" w:cs="宋体"/>
                <w:color w:val="auto"/>
                <w:sz w:val="24"/>
                <w:szCs w:val="24"/>
                <w:highlight w:val="none"/>
              </w:rPr>
            </w:pPr>
          </w:p>
        </w:tc>
        <w:tc>
          <w:tcPr>
            <w:tcW w:w="1551" w:type="dxa"/>
            <w:vAlign w:val="top"/>
          </w:tcPr>
          <w:p w14:paraId="267F23C7">
            <w:pPr>
              <w:pStyle w:val="21"/>
              <w:rPr>
                <w:rFonts w:hint="eastAsia" w:ascii="宋体" w:hAnsi="宋体" w:eastAsia="宋体" w:cs="宋体"/>
                <w:color w:val="auto"/>
                <w:sz w:val="24"/>
                <w:szCs w:val="24"/>
                <w:highlight w:val="none"/>
              </w:rPr>
            </w:pPr>
          </w:p>
        </w:tc>
        <w:tc>
          <w:tcPr>
            <w:tcW w:w="1926" w:type="dxa"/>
            <w:vAlign w:val="top"/>
          </w:tcPr>
          <w:p w14:paraId="20919564">
            <w:pPr>
              <w:pStyle w:val="21"/>
              <w:rPr>
                <w:rFonts w:hint="eastAsia" w:ascii="宋体" w:hAnsi="宋体" w:eastAsia="宋体" w:cs="宋体"/>
                <w:color w:val="auto"/>
                <w:sz w:val="24"/>
                <w:szCs w:val="24"/>
                <w:highlight w:val="none"/>
              </w:rPr>
            </w:pPr>
          </w:p>
        </w:tc>
      </w:tr>
      <w:tr w14:paraId="0060E5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67913FB8">
            <w:pPr>
              <w:spacing w:before="193" w:line="192" w:lineRule="auto"/>
              <w:ind w:left="2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939" w:type="dxa"/>
            <w:vAlign w:val="top"/>
          </w:tcPr>
          <w:p w14:paraId="77726B25">
            <w:pPr>
              <w:spacing w:before="154" w:line="229" w:lineRule="auto"/>
              <w:ind w:left="58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质量员</w:t>
            </w:r>
          </w:p>
        </w:tc>
        <w:tc>
          <w:tcPr>
            <w:tcW w:w="1567" w:type="dxa"/>
            <w:vAlign w:val="top"/>
          </w:tcPr>
          <w:p w14:paraId="7AF367BA">
            <w:pPr>
              <w:pStyle w:val="21"/>
              <w:rPr>
                <w:rFonts w:hint="eastAsia" w:ascii="宋体" w:hAnsi="宋体" w:eastAsia="宋体" w:cs="宋体"/>
                <w:color w:val="auto"/>
                <w:sz w:val="24"/>
                <w:szCs w:val="24"/>
                <w:highlight w:val="none"/>
              </w:rPr>
            </w:pPr>
          </w:p>
        </w:tc>
        <w:tc>
          <w:tcPr>
            <w:tcW w:w="1017" w:type="dxa"/>
            <w:vAlign w:val="top"/>
          </w:tcPr>
          <w:p w14:paraId="28C0AB4F">
            <w:pPr>
              <w:pStyle w:val="21"/>
              <w:rPr>
                <w:rFonts w:hint="eastAsia" w:ascii="宋体" w:hAnsi="宋体" w:eastAsia="宋体" w:cs="宋体"/>
                <w:color w:val="auto"/>
                <w:sz w:val="24"/>
                <w:szCs w:val="24"/>
                <w:highlight w:val="none"/>
              </w:rPr>
            </w:pPr>
          </w:p>
        </w:tc>
        <w:tc>
          <w:tcPr>
            <w:tcW w:w="1002" w:type="dxa"/>
            <w:vAlign w:val="top"/>
          </w:tcPr>
          <w:p w14:paraId="4F2CE8AB">
            <w:pPr>
              <w:pStyle w:val="21"/>
              <w:rPr>
                <w:rFonts w:hint="eastAsia" w:ascii="宋体" w:hAnsi="宋体" w:eastAsia="宋体" w:cs="宋体"/>
                <w:color w:val="auto"/>
                <w:sz w:val="24"/>
                <w:szCs w:val="24"/>
                <w:highlight w:val="none"/>
              </w:rPr>
            </w:pPr>
          </w:p>
        </w:tc>
        <w:tc>
          <w:tcPr>
            <w:tcW w:w="1551" w:type="dxa"/>
            <w:vAlign w:val="top"/>
          </w:tcPr>
          <w:p w14:paraId="0E48A750">
            <w:pPr>
              <w:pStyle w:val="21"/>
              <w:rPr>
                <w:rFonts w:hint="eastAsia" w:ascii="宋体" w:hAnsi="宋体" w:eastAsia="宋体" w:cs="宋体"/>
                <w:color w:val="auto"/>
                <w:sz w:val="24"/>
                <w:szCs w:val="24"/>
                <w:highlight w:val="none"/>
              </w:rPr>
            </w:pPr>
          </w:p>
        </w:tc>
        <w:tc>
          <w:tcPr>
            <w:tcW w:w="1926" w:type="dxa"/>
            <w:vAlign w:val="top"/>
          </w:tcPr>
          <w:p w14:paraId="23F7D129">
            <w:pPr>
              <w:pStyle w:val="21"/>
              <w:rPr>
                <w:rFonts w:hint="eastAsia" w:ascii="宋体" w:hAnsi="宋体" w:eastAsia="宋体" w:cs="宋体"/>
                <w:color w:val="auto"/>
                <w:sz w:val="24"/>
                <w:szCs w:val="24"/>
                <w:highlight w:val="none"/>
              </w:rPr>
            </w:pPr>
          </w:p>
        </w:tc>
      </w:tr>
      <w:tr w14:paraId="28B3C7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4353BB91">
            <w:pPr>
              <w:spacing w:before="191" w:line="195" w:lineRule="auto"/>
              <w:ind w:left="24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939" w:type="dxa"/>
            <w:vAlign w:val="top"/>
          </w:tcPr>
          <w:p w14:paraId="36757C05">
            <w:pPr>
              <w:spacing w:before="155" w:line="228" w:lineRule="auto"/>
              <w:ind w:left="58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材料员</w:t>
            </w:r>
          </w:p>
        </w:tc>
        <w:tc>
          <w:tcPr>
            <w:tcW w:w="1567" w:type="dxa"/>
            <w:vAlign w:val="top"/>
          </w:tcPr>
          <w:p w14:paraId="7CA93473">
            <w:pPr>
              <w:pStyle w:val="21"/>
              <w:rPr>
                <w:rFonts w:hint="eastAsia" w:ascii="宋体" w:hAnsi="宋体" w:eastAsia="宋体" w:cs="宋体"/>
                <w:color w:val="auto"/>
                <w:sz w:val="24"/>
                <w:szCs w:val="24"/>
                <w:highlight w:val="none"/>
              </w:rPr>
            </w:pPr>
          </w:p>
        </w:tc>
        <w:tc>
          <w:tcPr>
            <w:tcW w:w="1017" w:type="dxa"/>
            <w:vAlign w:val="top"/>
          </w:tcPr>
          <w:p w14:paraId="22CBD8CF">
            <w:pPr>
              <w:pStyle w:val="21"/>
              <w:rPr>
                <w:rFonts w:hint="eastAsia" w:ascii="宋体" w:hAnsi="宋体" w:eastAsia="宋体" w:cs="宋体"/>
                <w:color w:val="auto"/>
                <w:sz w:val="24"/>
                <w:szCs w:val="24"/>
                <w:highlight w:val="none"/>
              </w:rPr>
            </w:pPr>
          </w:p>
        </w:tc>
        <w:tc>
          <w:tcPr>
            <w:tcW w:w="1002" w:type="dxa"/>
            <w:vAlign w:val="top"/>
          </w:tcPr>
          <w:p w14:paraId="215EF28A">
            <w:pPr>
              <w:pStyle w:val="21"/>
              <w:rPr>
                <w:rFonts w:hint="eastAsia" w:ascii="宋体" w:hAnsi="宋体" w:eastAsia="宋体" w:cs="宋体"/>
                <w:color w:val="auto"/>
                <w:sz w:val="24"/>
                <w:szCs w:val="24"/>
                <w:highlight w:val="none"/>
              </w:rPr>
            </w:pPr>
          </w:p>
        </w:tc>
        <w:tc>
          <w:tcPr>
            <w:tcW w:w="1551" w:type="dxa"/>
            <w:vAlign w:val="top"/>
          </w:tcPr>
          <w:p w14:paraId="4B59D5A3">
            <w:pPr>
              <w:pStyle w:val="21"/>
              <w:rPr>
                <w:rFonts w:hint="eastAsia" w:ascii="宋体" w:hAnsi="宋体" w:eastAsia="宋体" w:cs="宋体"/>
                <w:color w:val="auto"/>
                <w:sz w:val="24"/>
                <w:szCs w:val="24"/>
                <w:highlight w:val="none"/>
              </w:rPr>
            </w:pPr>
          </w:p>
        </w:tc>
        <w:tc>
          <w:tcPr>
            <w:tcW w:w="1926" w:type="dxa"/>
            <w:vAlign w:val="top"/>
          </w:tcPr>
          <w:p w14:paraId="6D3A902C">
            <w:pPr>
              <w:pStyle w:val="21"/>
              <w:rPr>
                <w:rFonts w:hint="eastAsia" w:ascii="宋体" w:hAnsi="宋体" w:eastAsia="宋体" w:cs="宋体"/>
                <w:color w:val="auto"/>
                <w:sz w:val="24"/>
                <w:szCs w:val="24"/>
                <w:highlight w:val="none"/>
              </w:rPr>
            </w:pPr>
          </w:p>
        </w:tc>
      </w:tr>
      <w:tr w14:paraId="024F77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6129B6BD">
            <w:pPr>
              <w:spacing w:before="192" w:line="192" w:lineRule="auto"/>
              <w:ind w:left="24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939" w:type="dxa"/>
            <w:vAlign w:val="top"/>
          </w:tcPr>
          <w:p w14:paraId="43618D94">
            <w:pPr>
              <w:spacing w:before="154" w:line="229" w:lineRule="auto"/>
              <w:ind w:left="59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资料员</w:t>
            </w:r>
          </w:p>
        </w:tc>
        <w:tc>
          <w:tcPr>
            <w:tcW w:w="1567" w:type="dxa"/>
            <w:vAlign w:val="top"/>
          </w:tcPr>
          <w:p w14:paraId="7F6F6292">
            <w:pPr>
              <w:pStyle w:val="21"/>
              <w:rPr>
                <w:rFonts w:hint="eastAsia" w:ascii="宋体" w:hAnsi="宋体" w:eastAsia="宋体" w:cs="宋体"/>
                <w:color w:val="auto"/>
                <w:sz w:val="24"/>
                <w:szCs w:val="24"/>
                <w:highlight w:val="none"/>
              </w:rPr>
            </w:pPr>
          </w:p>
        </w:tc>
        <w:tc>
          <w:tcPr>
            <w:tcW w:w="1017" w:type="dxa"/>
            <w:vAlign w:val="top"/>
          </w:tcPr>
          <w:p w14:paraId="6F5A3CD1">
            <w:pPr>
              <w:pStyle w:val="21"/>
              <w:rPr>
                <w:rFonts w:hint="eastAsia" w:ascii="宋体" w:hAnsi="宋体" w:eastAsia="宋体" w:cs="宋体"/>
                <w:color w:val="auto"/>
                <w:sz w:val="24"/>
                <w:szCs w:val="24"/>
                <w:highlight w:val="none"/>
              </w:rPr>
            </w:pPr>
          </w:p>
        </w:tc>
        <w:tc>
          <w:tcPr>
            <w:tcW w:w="1002" w:type="dxa"/>
            <w:vAlign w:val="top"/>
          </w:tcPr>
          <w:p w14:paraId="0A3F0696">
            <w:pPr>
              <w:pStyle w:val="21"/>
              <w:rPr>
                <w:rFonts w:hint="eastAsia" w:ascii="宋体" w:hAnsi="宋体" w:eastAsia="宋体" w:cs="宋体"/>
                <w:color w:val="auto"/>
                <w:sz w:val="24"/>
                <w:szCs w:val="24"/>
                <w:highlight w:val="none"/>
              </w:rPr>
            </w:pPr>
          </w:p>
        </w:tc>
        <w:tc>
          <w:tcPr>
            <w:tcW w:w="1551" w:type="dxa"/>
            <w:vAlign w:val="top"/>
          </w:tcPr>
          <w:p w14:paraId="33CF7C3A">
            <w:pPr>
              <w:pStyle w:val="21"/>
              <w:rPr>
                <w:rFonts w:hint="eastAsia" w:ascii="宋体" w:hAnsi="宋体" w:eastAsia="宋体" w:cs="宋体"/>
                <w:color w:val="auto"/>
                <w:sz w:val="24"/>
                <w:szCs w:val="24"/>
                <w:highlight w:val="none"/>
              </w:rPr>
            </w:pPr>
          </w:p>
        </w:tc>
        <w:tc>
          <w:tcPr>
            <w:tcW w:w="1926" w:type="dxa"/>
            <w:vAlign w:val="top"/>
          </w:tcPr>
          <w:p w14:paraId="2FDF9A49">
            <w:pPr>
              <w:pStyle w:val="21"/>
              <w:rPr>
                <w:rFonts w:hint="eastAsia" w:ascii="宋体" w:hAnsi="宋体" w:eastAsia="宋体" w:cs="宋体"/>
                <w:color w:val="auto"/>
                <w:sz w:val="24"/>
                <w:szCs w:val="24"/>
                <w:highlight w:val="none"/>
              </w:rPr>
            </w:pPr>
          </w:p>
        </w:tc>
      </w:tr>
      <w:tr w14:paraId="330E46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634" w:type="dxa"/>
            <w:vAlign w:val="top"/>
          </w:tcPr>
          <w:p w14:paraId="761367CA">
            <w:pPr>
              <w:spacing w:before="154" w:line="325" w:lineRule="exact"/>
              <w:ind w:left="104"/>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939" w:type="dxa"/>
            <w:vAlign w:val="top"/>
          </w:tcPr>
          <w:p w14:paraId="6C0AA321">
            <w:pPr>
              <w:pStyle w:val="21"/>
              <w:rPr>
                <w:rFonts w:hint="eastAsia" w:ascii="宋体" w:hAnsi="宋体" w:eastAsia="宋体" w:cs="宋体"/>
                <w:color w:val="auto"/>
                <w:sz w:val="24"/>
                <w:szCs w:val="24"/>
                <w:highlight w:val="none"/>
              </w:rPr>
            </w:pPr>
          </w:p>
        </w:tc>
        <w:tc>
          <w:tcPr>
            <w:tcW w:w="1567" w:type="dxa"/>
            <w:vAlign w:val="top"/>
          </w:tcPr>
          <w:p w14:paraId="6B481C93">
            <w:pPr>
              <w:pStyle w:val="21"/>
              <w:rPr>
                <w:rFonts w:hint="eastAsia" w:ascii="宋体" w:hAnsi="宋体" w:eastAsia="宋体" w:cs="宋体"/>
                <w:color w:val="auto"/>
                <w:sz w:val="24"/>
                <w:szCs w:val="24"/>
                <w:highlight w:val="none"/>
              </w:rPr>
            </w:pPr>
          </w:p>
        </w:tc>
        <w:tc>
          <w:tcPr>
            <w:tcW w:w="1017" w:type="dxa"/>
            <w:vAlign w:val="top"/>
          </w:tcPr>
          <w:p w14:paraId="2186C8F6">
            <w:pPr>
              <w:pStyle w:val="21"/>
              <w:rPr>
                <w:rFonts w:hint="eastAsia" w:ascii="宋体" w:hAnsi="宋体" w:eastAsia="宋体" w:cs="宋体"/>
                <w:color w:val="auto"/>
                <w:sz w:val="24"/>
                <w:szCs w:val="24"/>
                <w:highlight w:val="none"/>
              </w:rPr>
            </w:pPr>
          </w:p>
        </w:tc>
        <w:tc>
          <w:tcPr>
            <w:tcW w:w="1002" w:type="dxa"/>
            <w:vAlign w:val="top"/>
          </w:tcPr>
          <w:p w14:paraId="458500AA">
            <w:pPr>
              <w:pStyle w:val="21"/>
              <w:rPr>
                <w:rFonts w:hint="eastAsia" w:ascii="宋体" w:hAnsi="宋体" w:eastAsia="宋体" w:cs="宋体"/>
                <w:color w:val="auto"/>
                <w:sz w:val="24"/>
                <w:szCs w:val="24"/>
                <w:highlight w:val="none"/>
              </w:rPr>
            </w:pPr>
          </w:p>
        </w:tc>
        <w:tc>
          <w:tcPr>
            <w:tcW w:w="1551" w:type="dxa"/>
            <w:vAlign w:val="top"/>
          </w:tcPr>
          <w:p w14:paraId="69CC634F">
            <w:pPr>
              <w:pStyle w:val="21"/>
              <w:rPr>
                <w:rFonts w:hint="eastAsia" w:ascii="宋体" w:hAnsi="宋体" w:eastAsia="宋体" w:cs="宋体"/>
                <w:color w:val="auto"/>
                <w:sz w:val="24"/>
                <w:szCs w:val="24"/>
                <w:highlight w:val="none"/>
              </w:rPr>
            </w:pPr>
          </w:p>
        </w:tc>
        <w:tc>
          <w:tcPr>
            <w:tcW w:w="1926" w:type="dxa"/>
            <w:vAlign w:val="top"/>
          </w:tcPr>
          <w:p w14:paraId="0E3F8717">
            <w:pPr>
              <w:pStyle w:val="21"/>
              <w:rPr>
                <w:rFonts w:hint="eastAsia" w:ascii="宋体" w:hAnsi="宋体" w:eastAsia="宋体" w:cs="宋体"/>
                <w:color w:val="auto"/>
                <w:sz w:val="24"/>
                <w:szCs w:val="24"/>
                <w:highlight w:val="none"/>
              </w:rPr>
            </w:pPr>
          </w:p>
        </w:tc>
      </w:tr>
    </w:tbl>
    <w:p w14:paraId="2C506F4A">
      <w:pPr>
        <w:pStyle w:val="5"/>
        <w:spacing w:line="395" w:lineRule="auto"/>
        <w:rPr>
          <w:rFonts w:hint="eastAsia" w:ascii="宋体" w:hAnsi="宋体" w:eastAsia="宋体" w:cs="宋体"/>
          <w:color w:val="auto"/>
          <w:sz w:val="24"/>
          <w:szCs w:val="24"/>
          <w:highlight w:val="none"/>
        </w:rPr>
      </w:pPr>
    </w:p>
    <w:p w14:paraId="48D3ED77">
      <w:pPr>
        <w:spacing w:before="65" w:line="228" w:lineRule="auto"/>
        <w:ind w:left="43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说明：</w:t>
      </w:r>
    </w:p>
    <w:p w14:paraId="3E8C578A">
      <w:pPr>
        <w:spacing w:before="153" w:line="228" w:lineRule="auto"/>
        <w:ind w:firstLine="496"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4"/>
          <w:sz w:val="24"/>
          <w:szCs w:val="24"/>
          <w:highlight w:val="none"/>
        </w:rPr>
        <w:t>．《项目管理机构组成表》后应附表中拟派人</w:t>
      </w:r>
      <w:r>
        <w:rPr>
          <w:rFonts w:hint="eastAsia" w:ascii="宋体" w:hAnsi="宋体" w:eastAsia="宋体" w:cs="宋体"/>
          <w:color w:val="auto"/>
          <w:spacing w:val="3"/>
          <w:sz w:val="24"/>
          <w:szCs w:val="24"/>
          <w:highlight w:val="none"/>
        </w:rPr>
        <w:t>员（项目经理、项目技术负责人除外）以下资料：</w:t>
      </w:r>
    </w:p>
    <w:p w14:paraId="5D1DDFC3">
      <w:pPr>
        <w:spacing w:before="154" w:line="228" w:lineRule="auto"/>
        <w:ind w:left="448"/>
        <w:jc w:val="left"/>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lang w:val="en-US" w:eastAsia="zh-CN"/>
        </w:rPr>
        <w:t>1</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rPr>
        <w:t>身份证彩色扫描件；</w:t>
      </w:r>
    </w:p>
    <w:p w14:paraId="53B8EA83">
      <w:pPr>
        <w:spacing w:before="152" w:line="228" w:lineRule="auto"/>
        <w:ind w:left="42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5"/>
          <w:sz w:val="24"/>
          <w:szCs w:val="24"/>
          <w:highlight w:val="none"/>
          <w:lang w:val="en-US" w:eastAsia="zh-CN"/>
        </w:rPr>
        <w:t>2</w:t>
      </w: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9"/>
          <w:sz w:val="24"/>
          <w:szCs w:val="24"/>
          <w:highlight w:val="none"/>
        </w:rPr>
        <w:t>专职安全员须提供C类安全生产考核合格证书扫描件或“建筑施工企业管理人员安全生产考核信息系统”考核合格信息扫描件；施工员、质量员、材料员、资料员附岗位证书或培训证书彩色扫描件或打印件；</w:t>
      </w:r>
    </w:p>
    <w:p w14:paraId="40814848">
      <w:pPr>
        <w:spacing w:before="153" w:line="299" w:lineRule="auto"/>
        <w:ind w:left="11" w:right="89" w:firstLine="42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lang w:val="en-US" w:eastAsia="zh-CN"/>
        </w:rPr>
        <w:t>3</w:t>
      </w: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rPr>
        <w:t>在本单位缴纳社保的证明（</w:t>
      </w:r>
      <w:r>
        <w:rPr>
          <w:rFonts w:hint="eastAsia" w:ascii="宋体" w:hAnsi="宋体" w:eastAsia="宋体" w:cs="宋体"/>
          <w:color w:val="auto"/>
          <w:sz w:val="24"/>
          <w:szCs w:val="24"/>
          <w:highlight w:val="none"/>
          <w:lang w:eastAsia="zh-CN"/>
        </w:rPr>
        <w:t>至少</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个月</w:t>
      </w:r>
      <w:r>
        <w:rPr>
          <w:rFonts w:hint="eastAsia" w:ascii="宋体" w:hAnsi="宋体" w:eastAsia="宋体" w:cs="宋体"/>
          <w:color w:val="auto"/>
          <w:spacing w:val="9"/>
          <w:sz w:val="24"/>
          <w:szCs w:val="24"/>
          <w:highlight w:val="none"/>
        </w:rPr>
        <w:t>，其中必</w:t>
      </w:r>
      <w:r>
        <w:rPr>
          <w:rFonts w:hint="eastAsia" w:ascii="宋体" w:hAnsi="宋体" w:eastAsia="宋体" w:cs="宋体"/>
          <w:color w:val="auto"/>
          <w:spacing w:val="8"/>
          <w:sz w:val="24"/>
          <w:szCs w:val="24"/>
          <w:highlight w:val="none"/>
        </w:rPr>
        <w:t>须有</w:t>
      </w:r>
      <w:r>
        <w:rPr>
          <w:rFonts w:hint="eastAsia" w:ascii="宋体" w:hAnsi="宋体" w:eastAsia="宋体" w:cs="宋体"/>
          <w:color w:val="auto"/>
          <w:spacing w:val="8"/>
          <w:sz w:val="24"/>
          <w:szCs w:val="24"/>
          <w:highlight w:val="none"/>
          <w:lang w:eastAsia="zh-CN"/>
        </w:rPr>
        <w:t>20</w:t>
      </w:r>
      <w:r>
        <w:rPr>
          <w:rFonts w:hint="eastAsia" w:ascii="宋体" w:hAnsi="宋体" w:eastAsia="宋体" w:cs="宋体"/>
          <w:color w:val="auto"/>
          <w:spacing w:val="8"/>
          <w:sz w:val="24"/>
          <w:szCs w:val="24"/>
          <w:highlight w:val="none"/>
          <w:lang w:val="en-US" w:eastAsia="zh-CN"/>
        </w:rPr>
        <w:t>26</w:t>
      </w:r>
      <w:r>
        <w:rPr>
          <w:rFonts w:hint="eastAsia" w:ascii="宋体" w:hAnsi="宋体" w:eastAsia="宋体" w:cs="宋体"/>
          <w:color w:val="auto"/>
          <w:spacing w:val="8"/>
          <w:sz w:val="24"/>
          <w:szCs w:val="24"/>
          <w:highlight w:val="none"/>
        </w:rPr>
        <w:t>年</w:t>
      </w:r>
      <w:r>
        <w:rPr>
          <w:rFonts w:hint="eastAsia" w:ascii="宋体" w:hAnsi="宋体" w:eastAsia="宋体" w:cs="宋体"/>
          <w:color w:val="auto"/>
          <w:spacing w:val="8"/>
          <w:sz w:val="24"/>
          <w:szCs w:val="24"/>
          <w:highlight w:val="none"/>
          <w:lang w:val="en-US" w:eastAsia="zh-CN"/>
        </w:rPr>
        <w:t>2</w:t>
      </w:r>
      <w:r>
        <w:rPr>
          <w:rFonts w:hint="eastAsia" w:ascii="宋体" w:hAnsi="宋体" w:eastAsia="宋体" w:cs="宋体"/>
          <w:color w:val="auto"/>
          <w:spacing w:val="8"/>
          <w:sz w:val="24"/>
          <w:szCs w:val="24"/>
          <w:highlight w:val="none"/>
        </w:rPr>
        <w:t>月）彩色扫描件</w:t>
      </w:r>
      <w:r>
        <w:rPr>
          <w:rFonts w:hint="eastAsia" w:ascii="宋体" w:hAnsi="宋体" w:eastAsia="宋体" w:cs="宋体"/>
          <w:color w:val="auto"/>
          <w:spacing w:val="8"/>
          <w:sz w:val="24"/>
          <w:szCs w:val="24"/>
          <w:highlight w:val="none"/>
          <w:lang w:val="en-US" w:eastAsia="zh-CN"/>
        </w:rPr>
        <w:t>或打印件</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拟派项目技术负责人为退休返聘人员无法提供社</w:t>
      </w:r>
      <w:r>
        <w:rPr>
          <w:rFonts w:hint="eastAsia" w:ascii="宋体" w:hAnsi="宋体" w:eastAsia="宋体" w:cs="宋体"/>
          <w:color w:val="auto"/>
          <w:spacing w:val="9"/>
          <w:sz w:val="24"/>
          <w:szCs w:val="24"/>
          <w:highlight w:val="none"/>
        </w:rPr>
        <w:t>保证明的，提供退休证和劳动合同彩色扫描件。</w:t>
      </w:r>
    </w:p>
    <w:p w14:paraId="2488CB38">
      <w:pPr>
        <w:spacing w:before="152" w:line="228" w:lineRule="auto"/>
        <w:ind w:left="0" w:leftChars="0" w:firstLine="419" w:firstLineChars="164"/>
        <w:rPr>
          <w:rFonts w:hint="eastAsia" w:ascii="宋体" w:hAnsi="宋体" w:eastAsia="宋体" w:cs="宋体"/>
          <w:color w:val="auto"/>
          <w:spacing w:val="9"/>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9"/>
          <w:sz w:val="24"/>
          <w:szCs w:val="24"/>
          <w:highlight w:val="none"/>
        </w:rPr>
        <w:t>“进粤企业和人员诚信信息登记平台 ”个人信息情况截图。（适用于省外建筑企业）</w:t>
      </w:r>
    </w:p>
    <w:p w14:paraId="7D04B8DB">
      <w:pPr>
        <w:spacing w:before="153" w:line="299" w:lineRule="auto"/>
        <w:ind w:left="16" w:right="40" w:firstLine="41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lang w:val="en-US" w:eastAsia="zh-CN"/>
        </w:rPr>
        <w:t>2.</w:t>
      </w:r>
      <w:r>
        <w:rPr>
          <w:rFonts w:hint="eastAsia" w:ascii="宋体" w:hAnsi="宋体" w:eastAsia="宋体" w:cs="宋体"/>
          <w:color w:val="auto"/>
          <w:spacing w:val="8"/>
          <w:sz w:val="24"/>
          <w:szCs w:val="24"/>
          <w:highlight w:val="none"/>
        </w:rPr>
        <w:t>联合体投标的，《项目管理机构组成表》应包括联合体成员单位参与项目管理</w:t>
      </w:r>
      <w:r>
        <w:rPr>
          <w:rFonts w:hint="eastAsia" w:ascii="宋体" w:hAnsi="宋体" w:eastAsia="宋体" w:cs="宋体"/>
          <w:color w:val="auto"/>
          <w:spacing w:val="7"/>
          <w:sz w:val="24"/>
          <w:szCs w:val="24"/>
          <w:highlight w:val="none"/>
        </w:rPr>
        <w:t>机构的人员，并提供以上所需资料。</w:t>
      </w:r>
    </w:p>
    <w:p w14:paraId="270AB728">
      <w:pPr>
        <w:pStyle w:val="5"/>
        <w:spacing w:line="248" w:lineRule="auto"/>
        <w:rPr>
          <w:rFonts w:hint="eastAsia" w:ascii="宋体" w:hAnsi="宋体" w:eastAsia="宋体" w:cs="宋体"/>
          <w:color w:val="auto"/>
          <w:sz w:val="24"/>
          <w:szCs w:val="24"/>
          <w:highlight w:val="none"/>
        </w:rPr>
      </w:pPr>
    </w:p>
    <w:p w14:paraId="67BB345D">
      <w:pPr>
        <w:pStyle w:val="5"/>
        <w:spacing w:line="248" w:lineRule="auto"/>
        <w:rPr>
          <w:rFonts w:hint="eastAsia" w:ascii="宋体" w:hAnsi="宋体" w:eastAsia="宋体" w:cs="宋体"/>
          <w:color w:val="auto"/>
          <w:sz w:val="24"/>
          <w:szCs w:val="24"/>
          <w:highlight w:val="none"/>
        </w:rPr>
      </w:pPr>
    </w:p>
    <w:p w14:paraId="7B06C124">
      <w:pPr>
        <w:pStyle w:val="5"/>
        <w:spacing w:line="248" w:lineRule="auto"/>
        <w:rPr>
          <w:rFonts w:hint="eastAsia" w:ascii="宋体" w:hAnsi="宋体" w:eastAsia="宋体" w:cs="宋体"/>
          <w:color w:val="auto"/>
          <w:highlight w:val="none"/>
        </w:rPr>
      </w:pPr>
    </w:p>
    <w:p w14:paraId="4D41C197">
      <w:pPr>
        <w:pStyle w:val="5"/>
        <w:spacing w:line="248" w:lineRule="auto"/>
        <w:rPr>
          <w:rFonts w:hint="eastAsia" w:ascii="宋体" w:hAnsi="宋体" w:eastAsia="宋体" w:cs="宋体"/>
          <w:color w:val="auto"/>
          <w:highlight w:val="none"/>
        </w:rPr>
      </w:pPr>
    </w:p>
    <w:p w14:paraId="5146A28D">
      <w:pPr>
        <w:spacing w:before="79" w:line="220" w:lineRule="auto"/>
        <w:rPr>
          <w:rFonts w:hint="eastAsia" w:ascii="宋体" w:hAnsi="宋体" w:eastAsia="宋体" w:cs="宋体"/>
          <w:b/>
          <w:bCs/>
          <w:color w:val="auto"/>
          <w:spacing w:val="-2"/>
          <w:sz w:val="24"/>
          <w:szCs w:val="24"/>
          <w:highlight w:val="none"/>
        </w:rPr>
      </w:pPr>
    </w:p>
    <w:p w14:paraId="69CF808F">
      <w:pPr>
        <w:spacing w:before="78" w:line="220" w:lineRule="auto"/>
        <w:outlineLvl w:val="2"/>
        <w:rPr>
          <w:rFonts w:hint="eastAsia" w:ascii="宋体" w:hAnsi="宋体" w:eastAsia="宋体" w:cs="宋体"/>
          <w:b/>
          <w:bCs/>
          <w:color w:val="auto"/>
          <w:spacing w:val="-4"/>
          <w:sz w:val="24"/>
          <w:szCs w:val="24"/>
          <w:highlight w:val="none"/>
        </w:rPr>
      </w:pPr>
      <w:bookmarkStart w:id="264" w:name="_Toc16480"/>
      <w:r>
        <w:rPr>
          <w:rFonts w:hint="eastAsia" w:ascii="宋体" w:hAnsi="宋体" w:eastAsia="宋体" w:cs="宋体"/>
          <w:b/>
          <w:bCs/>
          <w:color w:val="auto"/>
          <w:spacing w:val="-4"/>
          <w:sz w:val="24"/>
          <w:szCs w:val="24"/>
          <w:highlight w:val="none"/>
        </w:rPr>
        <w:t>格式十二 建造师查询页（有效期+建造师签字）</w:t>
      </w:r>
      <w:bookmarkEnd w:id="264"/>
    </w:p>
    <w:p w14:paraId="7E4612B5">
      <w:pPr>
        <w:outlineLvl w:val="9"/>
        <w:rPr>
          <w:rFonts w:hint="eastAsia" w:ascii="宋体" w:hAnsi="宋体" w:eastAsia="宋体" w:cs="宋体"/>
          <w:color w:val="auto"/>
          <w:highlight w:val="none"/>
        </w:rPr>
      </w:pPr>
      <w:r>
        <w:rPr>
          <w:rFonts w:hint="eastAsia" w:ascii="宋体" w:hAnsi="宋体" w:eastAsia="宋体" w:cs="宋体"/>
          <w:color w:val="auto"/>
          <w:position w:val="-235"/>
          <w:highlight w:val="none"/>
        </w:rPr>
        <w:drawing>
          <wp:inline distT="0" distB="0" distL="114300" distR="114300">
            <wp:extent cx="6239510" cy="8013700"/>
            <wp:effectExtent l="0" t="0" r="8890" b="6350"/>
            <wp:docPr id="6" name="图片 8"/>
            <wp:cNvGraphicFramePr/>
            <a:graphic xmlns:a="http://schemas.openxmlformats.org/drawingml/2006/main">
              <a:graphicData uri="http://schemas.openxmlformats.org/drawingml/2006/picture">
                <pic:pic xmlns:pic="http://schemas.openxmlformats.org/drawingml/2006/picture">
                  <pic:nvPicPr>
                    <pic:cNvPr id="6" name="图片 8"/>
                    <pic:cNvPicPr/>
                  </pic:nvPicPr>
                  <pic:blipFill>
                    <a:blip r:embed="rId55"/>
                    <a:stretch>
                      <a:fillRect/>
                    </a:stretch>
                  </pic:blipFill>
                  <pic:spPr>
                    <a:xfrm>
                      <a:off x="0" y="0"/>
                      <a:ext cx="6239510" cy="8013700"/>
                    </a:xfrm>
                    <a:prstGeom prst="rect">
                      <a:avLst/>
                    </a:prstGeom>
                    <a:noFill/>
                    <a:ln>
                      <a:noFill/>
                    </a:ln>
                  </pic:spPr>
                </pic:pic>
              </a:graphicData>
            </a:graphic>
          </wp:inline>
        </w:drawing>
      </w:r>
    </w:p>
    <w:p w14:paraId="3172F0C9">
      <w:pPr>
        <w:spacing w:line="220" w:lineRule="auto"/>
        <w:rPr>
          <w:rFonts w:hint="eastAsia" w:ascii="宋体" w:hAnsi="宋体" w:eastAsia="宋体" w:cs="宋体"/>
          <w:color w:val="auto"/>
          <w:sz w:val="24"/>
          <w:szCs w:val="24"/>
          <w:highlight w:val="none"/>
        </w:rPr>
        <w:sectPr>
          <w:footerReference r:id="rId22"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135EB9FF">
      <w:pPr>
        <w:spacing w:line="10744" w:lineRule="exact"/>
        <w:rPr>
          <w:rFonts w:hint="eastAsia" w:ascii="宋体" w:hAnsi="宋体" w:eastAsia="宋体" w:cs="宋体"/>
          <w:color w:val="auto"/>
          <w:highlight w:val="none"/>
        </w:rPr>
      </w:pPr>
      <w:r>
        <w:rPr>
          <w:rFonts w:hint="eastAsia" w:ascii="宋体" w:hAnsi="宋体" w:eastAsia="宋体" w:cs="宋体"/>
          <w:color w:val="auto"/>
          <w:position w:val="-214"/>
          <w:highlight w:val="none"/>
        </w:rPr>
        <w:drawing>
          <wp:inline distT="0" distB="0" distL="114300" distR="114300">
            <wp:extent cx="6285865" cy="6925310"/>
            <wp:effectExtent l="0" t="0" r="635" b="8890"/>
            <wp:docPr id="4" name="图片 9"/>
            <wp:cNvGraphicFramePr/>
            <a:graphic xmlns:a="http://schemas.openxmlformats.org/drawingml/2006/main">
              <a:graphicData uri="http://schemas.openxmlformats.org/drawingml/2006/picture">
                <pic:pic xmlns:pic="http://schemas.openxmlformats.org/drawingml/2006/picture">
                  <pic:nvPicPr>
                    <pic:cNvPr id="4" name="图片 9"/>
                    <pic:cNvPicPr/>
                  </pic:nvPicPr>
                  <pic:blipFill>
                    <a:blip r:embed="rId56"/>
                    <a:stretch>
                      <a:fillRect/>
                    </a:stretch>
                  </pic:blipFill>
                  <pic:spPr>
                    <a:xfrm>
                      <a:off x="0" y="0"/>
                      <a:ext cx="6285865" cy="6925310"/>
                    </a:xfrm>
                    <a:prstGeom prst="rect">
                      <a:avLst/>
                    </a:prstGeom>
                    <a:noFill/>
                    <a:ln>
                      <a:noFill/>
                    </a:ln>
                  </pic:spPr>
                </pic:pic>
              </a:graphicData>
            </a:graphic>
          </wp:inline>
        </w:drawing>
      </w:r>
    </w:p>
    <w:p w14:paraId="0BA8F6B0">
      <w:pPr>
        <w:spacing w:line="10744" w:lineRule="exact"/>
        <w:rPr>
          <w:rFonts w:hint="eastAsia" w:ascii="宋体" w:hAnsi="宋体" w:eastAsia="宋体" w:cs="宋体"/>
          <w:color w:val="auto"/>
          <w:highlight w:val="none"/>
        </w:rPr>
        <w:sectPr>
          <w:footerReference r:id="rId23"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6807325D">
      <w:pPr>
        <w:spacing w:before="78" w:line="220" w:lineRule="auto"/>
        <w:outlineLvl w:val="2"/>
        <w:rPr>
          <w:rFonts w:hint="eastAsia" w:ascii="宋体" w:hAnsi="宋体" w:eastAsia="宋体" w:cs="宋体"/>
          <w:b/>
          <w:bCs/>
          <w:color w:val="auto"/>
          <w:spacing w:val="-4"/>
          <w:sz w:val="24"/>
          <w:szCs w:val="24"/>
          <w:highlight w:val="none"/>
        </w:rPr>
      </w:pPr>
      <w:bookmarkStart w:id="265" w:name="_Toc28779"/>
      <w:r>
        <w:rPr>
          <w:rFonts w:hint="eastAsia" w:ascii="宋体" w:hAnsi="宋体" w:eastAsia="宋体" w:cs="宋体"/>
          <w:b/>
          <w:bCs/>
          <w:color w:val="auto"/>
          <w:spacing w:val="-4"/>
          <w:sz w:val="24"/>
          <w:szCs w:val="24"/>
          <w:highlight w:val="none"/>
        </w:rPr>
        <w:t>格式十三：</w:t>
      </w:r>
      <w:r>
        <w:rPr>
          <w:rFonts w:hint="eastAsia" w:ascii="宋体" w:hAnsi="宋体" w:eastAsia="宋体" w:cs="宋体"/>
          <w:b/>
          <w:bCs/>
          <w:color w:val="auto"/>
          <w:spacing w:val="7"/>
          <w:sz w:val="22"/>
          <w:szCs w:val="22"/>
          <w:highlight w:val="none"/>
        </w:rPr>
        <w:t>危险性较大的分部分项工程清单及超过一定规模的危险性较大的</w:t>
      </w:r>
      <w:r>
        <w:rPr>
          <w:rFonts w:hint="eastAsia" w:ascii="宋体" w:hAnsi="宋体" w:eastAsia="宋体" w:cs="宋体"/>
          <w:b/>
          <w:bCs/>
          <w:color w:val="auto"/>
          <w:spacing w:val="5"/>
          <w:sz w:val="22"/>
          <w:szCs w:val="22"/>
          <w:highlight w:val="none"/>
        </w:rPr>
        <w:t>分部分项工程清单</w:t>
      </w:r>
      <w:bookmarkEnd w:id="265"/>
    </w:p>
    <w:p w14:paraId="4A8056AD">
      <w:pPr>
        <w:pStyle w:val="5"/>
        <w:spacing w:line="269" w:lineRule="auto"/>
        <w:rPr>
          <w:rFonts w:hint="eastAsia" w:ascii="宋体" w:hAnsi="宋体" w:eastAsia="宋体" w:cs="宋体"/>
          <w:color w:val="auto"/>
          <w:highlight w:val="none"/>
        </w:rPr>
      </w:pPr>
    </w:p>
    <w:p w14:paraId="6BF95D02">
      <w:pPr>
        <w:tabs>
          <w:tab w:val="left" w:pos="2940"/>
        </w:tabs>
        <w:spacing w:before="101" w:line="377" w:lineRule="auto"/>
        <w:ind w:left="3179" w:leftChars="0" w:right="41" w:hanging="3133" w:firstLineChars="0"/>
        <w:rPr>
          <w:rFonts w:hint="eastAsia" w:ascii="宋体" w:hAnsi="宋体" w:eastAsia="宋体" w:cs="宋体"/>
          <w:color w:val="auto"/>
          <w:sz w:val="31"/>
          <w:szCs w:val="31"/>
          <w:highlight w:val="none"/>
        </w:rPr>
      </w:pPr>
      <w:bookmarkStart w:id="266" w:name="bookmark160"/>
      <w:bookmarkEnd w:id="266"/>
      <w:bookmarkStart w:id="267" w:name="OLE_LINK41"/>
      <w:r>
        <w:rPr>
          <w:rFonts w:hint="eastAsia" w:ascii="宋体" w:hAnsi="宋体" w:eastAsia="宋体" w:cs="宋体"/>
          <w:b/>
          <w:bCs/>
          <w:color w:val="auto"/>
          <w:spacing w:val="7"/>
          <w:sz w:val="31"/>
          <w:szCs w:val="31"/>
          <w:highlight w:val="none"/>
        </w:rPr>
        <w:t>危险性较大的分部分项工程清单及超过一定规模的危险性较大的</w:t>
      </w:r>
      <w:r>
        <w:rPr>
          <w:rFonts w:hint="eastAsia" w:ascii="宋体" w:hAnsi="宋体" w:eastAsia="宋体" w:cs="宋体"/>
          <w:b/>
          <w:bCs/>
          <w:color w:val="auto"/>
          <w:spacing w:val="5"/>
          <w:sz w:val="31"/>
          <w:szCs w:val="31"/>
          <w:highlight w:val="none"/>
        </w:rPr>
        <w:t>分部分项工程清单</w:t>
      </w:r>
    </w:p>
    <w:bookmarkEnd w:id="267"/>
    <w:p w14:paraId="73F326BD">
      <w:pPr>
        <w:spacing w:before="6" w:line="326" w:lineRule="auto"/>
        <w:ind w:left="5" w:firstLine="49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1、根据中华人民共和国住房和城乡建设部令第37号《危险性较大的分部分项工程</w:t>
      </w:r>
      <w:r>
        <w:rPr>
          <w:rFonts w:hint="eastAsia" w:ascii="宋体" w:hAnsi="宋体" w:eastAsia="宋体" w:cs="宋体"/>
          <w:color w:val="auto"/>
          <w:spacing w:val="-2"/>
          <w:sz w:val="24"/>
          <w:szCs w:val="24"/>
          <w:highlight w:val="none"/>
        </w:rPr>
        <w:t>安全管理规定》（以下简称“37号文</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11"/>
          <w:sz w:val="24"/>
          <w:szCs w:val="24"/>
          <w:highlight w:val="none"/>
        </w:rPr>
        <w:t>），</w:t>
      </w:r>
      <w:r>
        <w:rPr>
          <w:rFonts w:hint="eastAsia" w:ascii="宋体" w:hAnsi="宋体" w:eastAsia="宋体" w:cs="宋体"/>
          <w:color w:val="auto"/>
          <w:spacing w:val="-2"/>
          <w:sz w:val="24"/>
          <w:szCs w:val="24"/>
          <w:highlight w:val="none"/>
        </w:rPr>
        <w:t>投标人在投标时须补充完善危大工程清单并</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明确相应的安全管理措施。</w:t>
      </w:r>
    </w:p>
    <w:p w14:paraId="1DC88D33">
      <w:pPr>
        <w:spacing w:before="208" w:line="326" w:lineRule="auto"/>
        <w:ind w:left="1"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2、招标人根据设计文件的要求及37号文、粤建规范〔2019〕2号文的规定列出“危险性较大的分部分项工程清单及超过一定规模的危</w:t>
      </w:r>
      <w:r>
        <w:rPr>
          <w:rFonts w:hint="eastAsia" w:ascii="宋体" w:hAnsi="宋体" w:eastAsia="宋体" w:cs="宋体"/>
          <w:color w:val="auto"/>
          <w:spacing w:val="-3"/>
          <w:sz w:val="24"/>
          <w:szCs w:val="24"/>
          <w:highlight w:val="none"/>
        </w:rPr>
        <w:t>险性较大的分部分项工程清单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”中与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5"/>
          <w:sz w:val="24"/>
          <w:szCs w:val="24"/>
          <w:highlight w:val="none"/>
        </w:rPr>
        <w:t>本招标项目相关的清单项，具体详见第5点“打</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5"/>
          <w:sz w:val="24"/>
          <w:szCs w:val="24"/>
          <w:highlight w:val="none"/>
        </w:rPr>
        <w:t>”标识。</w:t>
      </w:r>
    </w:p>
    <w:p w14:paraId="360030D3">
      <w:pPr>
        <w:spacing w:before="209" w:line="299" w:lineRule="auto"/>
        <w:ind w:left="3" w:right="72" w:firstLine="48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（1）投标单位同意建设单位在清单中标识的该</w:t>
      </w:r>
      <w:r>
        <w:rPr>
          <w:rFonts w:hint="eastAsia" w:ascii="宋体" w:hAnsi="宋体" w:eastAsia="宋体" w:cs="宋体"/>
          <w:color w:val="auto"/>
          <w:spacing w:val="-4"/>
          <w:sz w:val="24"/>
          <w:szCs w:val="24"/>
          <w:highlight w:val="none"/>
        </w:rPr>
        <w:t>项请在对应项打“</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”标识，并与</w:t>
      </w:r>
      <w:r>
        <w:rPr>
          <w:rFonts w:hint="eastAsia" w:ascii="宋体" w:hAnsi="宋体" w:eastAsia="宋体" w:cs="宋体"/>
          <w:color w:val="auto"/>
          <w:spacing w:val="-1"/>
          <w:sz w:val="24"/>
          <w:szCs w:val="24"/>
          <w:highlight w:val="none"/>
        </w:rPr>
        <w:t>投标文件中提供相应的安全管理措施。</w:t>
      </w:r>
    </w:p>
    <w:p w14:paraId="4935E083">
      <w:pPr>
        <w:spacing w:before="208" w:line="299" w:lineRule="auto"/>
        <w:ind w:left="2" w:right="72" w:firstLine="48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（2）投标单位对清单中认为需要补充的该项请</w:t>
      </w:r>
      <w:r>
        <w:rPr>
          <w:rFonts w:hint="eastAsia" w:ascii="宋体" w:hAnsi="宋体" w:eastAsia="宋体" w:cs="宋体"/>
          <w:color w:val="auto"/>
          <w:spacing w:val="-4"/>
          <w:sz w:val="24"/>
          <w:szCs w:val="24"/>
          <w:highlight w:val="none"/>
        </w:rPr>
        <w:t>在对应项打“</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”标识，并与投标</w:t>
      </w:r>
      <w:r>
        <w:rPr>
          <w:rFonts w:hint="eastAsia" w:ascii="宋体" w:hAnsi="宋体" w:eastAsia="宋体" w:cs="宋体"/>
          <w:color w:val="auto"/>
          <w:spacing w:val="-1"/>
          <w:sz w:val="24"/>
          <w:szCs w:val="24"/>
          <w:highlight w:val="none"/>
        </w:rPr>
        <w:t>文件中提供相应的安全管理措施。</w:t>
      </w:r>
    </w:p>
    <w:p w14:paraId="47CE10C4">
      <w:pPr>
        <w:spacing w:before="210" w:line="300" w:lineRule="auto"/>
        <w:ind w:right="72" w:firstLine="49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（3）投标单位不同意建设单位在清单中标识的该项请在对应项打“</w:t>
      </w:r>
      <w:r>
        <w:rPr>
          <w:rFonts w:hint="eastAsia" w:ascii="宋体" w:hAnsi="宋体" w:eastAsia="宋体" w:cs="宋体"/>
          <w:color w:val="auto"/>
          <w:spacing w:val="-66"/>
          <w:sz w:val="24"/>
          <w:szCs w:val="24"/>
          <w:highlight w:val="none"/>
        </w:rPr>
        <w:t xml:space="preserve"> </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”标识，并</w:t>
      </w:r>
      <w:r>
        <w:rPr>
          <w:rFonts w:hint="eastAsia" w:ascii="宋体" w:hAnsi="宋体" w:eastAsia="宋体" w:cs="宋体"/>
          <w:color w:val="auto"/>
          <w:spacing w:val="-1"/>
          <w:sz w:val="24"/>
          <w:szCs w:val="24"/>
          <w:highlight w:val="none"/>
        </w:rPr>
        <w:t>在备注栏填上相关说明。</w:t>
      </w:r>
    </w:p>
    <w:p w14:paraId="34A6CA4A">
      <w:pPr>
        <w:spacing w:before="207" w:line="371" w:lineRule="auto"/>
        <w:ind w:firstLine="484"/>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u w:val="single"/>
        </w:rPr>
        <w:t>3、投标单位应当在投标时根据招标人提供的下述第5点清单，</w:t>
      </w:r>
      <w:r>
        <w:rPr>
          <w:rFonts w:hint="eastAsia" w:ascii="宋体" w:hAnsi="宋体" w:eastAsia="宋体" w:cs="宋体"/>
          <w:b/>
          <w:bCs/>
          <w:color w:val="auto"/>
          <w:spacing w:val="-5"/>
          <w:sz w:val="24"/>
          <w:szCs w:val="24"/>
          <w:highlight w:val="none"/>
          <w:u w:val="single"/>
        </w:rPr>
        <w:t>在投标施工组织中回</w:t>
      </w:r>
      <w:r>
        <w:rPr>
          <w:rFonts w:hint="eastAsia" w:ascii="宋体" w:hAnsi="宋体" w:eastAsia="宋体" w:cs="宋体"/>
          <w:b/>
          <w:bCs/>
          <w:color w:val="auto"/>
          <w:spacing w:val="-4"/>
          <w:sz w:val="24"/>
          <w:szCs w:val="24"/>
          <w:highlight w:val="none"/>
          <w:u w:val="single"/>
        </w:rPr>
        <w:t>应建设单位提供的危大工程清单，补充相应的安全管理措施。（为减轻标书编制</w:t>
      </w:r>
      <w:r>
        <w:rPr>
          <w:rFonts w:hint="eastAsia" w:ascii="宋体" w:hAnsi="宋体" w:eastAsia="宋体" w:cs="宋体"/>
          <w:b/>
          <w:bCs/>
          <w:color w:val="auto"/>
          <w:spacing w:val="-5"/>
          <w:sz w:val="24"/>
          <w:szCs w:val="24"/>
          <w:highlight w:val="none"/>
          <w:u w:val="single"/>
        </w:rPr>
        <w:t>的工作</w:t>
      </w:r>
      <w:r>
        <w:rPr>
          <w:rFonts w:hint="eastAsia" w:ascii="宋体" w:hAnsi="宋体" w:eastAsia="宋体" w:cs="宋体"/>
          <w:b/>
          <w:bCs/>
          <w:color w:val="auto"/>
          <w:spacing w:val="-2"/>
          <w:sz w:val="24"/>
          <w:szCs w:val="24"/>
          <w:highlight w:val="none"/>
          <w:u w:val="single"/>
        </w:rPr>
        <w:t>量，投标单位回应的危大工程清单该部分的页数应控制在3页内）</w:t>
      </w:r>
    </w:p>
    <w:p w14:paraId="24405FA5">
      <w:pPr>
        <w:spacing w:before="33" w:line="326" w:lineRule="auto"/>
        <w:ind w:left="1" w:firstLine="47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4、对于超过一定规模的危大工程，中标单位应当组织召开</w:t>
      </w:r>
      <w:r>
        <w:rPr>
          <w:rFonts w:hint="eastAsia" w:ascii="宋体" w:hAnsi="宋体" w:eastAsia="宋体" w:cs="宋体"/>
          <w:color w:val="auto"/>
          <w:spacing w:val="-1"/>
          <w:sz w:val="24"/>
          <w:szCs w:val="24"/>
          <w:highlight w:val="none"/>
        </w:rPr>
        <w:t>专家论证会对专项施工</w:t>
      </w:r>
      <w:r>
        <w:rPr>
          <w:rFonts w:hint="eastAsia" w:ascii="宋体" w:hAnsi="宋体" w:eastAsia="宋体" w:cs="宋体"/>
          <w:color w:val="auto"/>
          <w:spacing w:val="-2"/>
          <w:sz w:val="24"/>
          <w:szCs w:val="24"/>
          <w:highlight w:val="none"/>
        </w:rPr>
        <w:t>方案进行论证。实行施工总承包的，由施工总承包单位组织召开专家论证会。专家论证</w:t>
      </w:r>
      <w:r>
        <w:rPr>
          <w:rFonts w:hint="eastAsia" w:ascii="宋体" w:hAnsi="宋体" w:eastAsia="宋体" w:cs="宋体"/>
          <w:color w:val="auto"/>
          <w:spacing w:val="-1"/>
          <w:sz w:val="24"/>
          <w:szCs w:val="24"/>
          <w:highlight w:val="none"/>
        </w:rPr>
        <w:t>前专项施工方案应当通过施工总承包单位审核和总监理工程师审查。</w:t>
      </w:r>
    </w:p>
    <w:p w14:paraId="6259503A">
      <w:pPr>
        <w:spacing w:before="208" w:line="301" w:lineRule="auto"/>
        <w:ind w:firstLine="484"/>
        <w:rPr>
          <w:rFonts w:hint="eastAsia" w:ascii="宋体" w:hAnsi="宋体" w:eastAsia="宋体" w:cs="宋体"/>
          <w:color w:val="auto"/>
          <w:highlight w:val="none"/>
        </w:rPr>
      </w:pPr>
      <w:r>
        <w:rPr>
          <w:rFonts w:hint="eastAsia" w:ascii="宋体" w:hAnsi="宋体" w:eastAsia="宋体" w:cs="宋体"/>
          <w:color w:val="auto"/>
          <w:spacing w:val="2"/>
          <w:sz w:val="24"/>
          <w:szCs w:val="24"/>
          <w:highlight w:val="none"/>
        </w:rPr>
        <w:t>5、危险性较大的分部分项工程清单及超过一</w:t>
      </w:r>
      <w:r>
        <w:rPr>
          <w:rFonts w:hint="eastAsia" w:ascii="宋体" w:hAnsi="宋体" w:eastAsia="宋体" w:cs="宋体"/>
          <w:color w:val="auto"/>
          <w:spacing w:val="1"/>
          <w:sz w:val="24"/>
          <w:szCs w:val="24"/>
          <w:highlight w:val="none"/>
        </w:rPr>
        <w:t>定规模的危险性较大的分部分项工程</w:t>
      </w:r>
      <w:r>
        <w:rPr>
          <w:rFonts w:hint="eastAsia" w:ascii="宋体" w:hAnsi="宋体" w:eastAsia="宋体" w:cs="宋体"/>
          <w:color w:val="auto"/>
          <w:spacing w:val="-4"/>
          <w:sz w:val="24"/>
          <w:szCs w:val="24"/>
          <w:highlight w:val="none"/>
        </w:rPr>
        <w:t>清单</w:t>
      </w:r>
    </w:p>
    <w:p w14:paraId="3E4BB257">
      <w:pPr>
        <w:spacing w:before="40"/>
        <w:rPr>
          <w:rFonts w:hint="eastAsia" w:ascii="宋体" w:hAnsi="宋体" w:eastAsia="宋体" w:cs="宋体"/>
          <w:color w:val="auto"/>
          <w:highlight w:val="none"/>
        </w:rPr>
      </w:pPr>
    </w:p>
    <w:tbl>
      <w:tblPr>
        <w:tblStyle w:val="14"/>
        <w:tblW w:w="988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
        <w:gridCol w:w="4862"/>
        <w:gridCol w:w="1294"/>
        <w:gridCol w:w="1294"/>
        <w:gridCol w:w="2428"/>
      </w:tblGrid>
      <w:tr w14:paraId="27FF43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B26D5DC">
            <w:pPr>
              <w:spacing w:before="133" w:line="220" w:lineRule="auto"/>
              <w:ind w:firstLine="235" w:firstLineChars="100"/>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3"/>
                <w:sz w:val="24"/>
                <w:szCs w:val="24"/>
                <w:highlight w:val="none"/>
              </w:rPr>
              <w:t>一、危险性较大的分部分项工程清单</w:t>
            </w:r>
          </w:p>
        </w:tc>
        <w:tc>
          <w:tcPr>
            <w:tcW w:w="1294" w:type="dxa"/>
            <w:vAlign w:val="top"/>
          </w:tcPr>
          <w:p w14:paraId="7FABA18C">
            <w:pPr>
              <w:spacing w:before="133" w:line="221" w:lineRule="auto"/>
              <w:ind w:left="206" w:leftChars="0"/>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4"/>
                <w:sz w:val="24"/>
                <w:szCs w:val="24"/>
                <w:highlight w:val="none"/>
              </w:rPr>
              <w:t>建设单位</w:t>
            </w:r>
          </w:p>
        </w:tc>
        <w:tc>
          <w:tcPr>
            <w:tcW w:w="1294" w:type="dxa"/>
            <w:vAlign w:val="top"/>
          </w:tcPr>
          <w:p w14:paraId="350FCB31">
            <w:pPr>
              <w:spacing w:before="133" w:line="221" w:lineRule="auto"/>
              <w:ind w:left="205" w:leftChars="0"/>
              <w:rPr>
                <w:rFonts w:hint="eastAsia" w:ascii="宋体" w:hAnsi="宋体" w:eastAsia="宋体" w:cs="宋体"/>
                <w:color w:val="auto"/>
                <w:spacing w:val="-19"/>
                <w:w w:val="94"/>
                <w:sz w:val="24"/>
                <w:szCs w:val="24"/>
                <w:highlight w:val="none"/>
              </w:rPr>
            </w:pPr>
            <w:r>
              <w:rPr>
                <w:rFonts w:hint="eastAsia" w:ascii="宋体" w:hAnsi="宋体" w:eastAsia="宋体" w:cs="宋体"/>
                <w:b/>
                <w:bCs/>
                <w:color w:val="auto"/>
                <w:spacing w:val="-5"/>
                <w:sz w:val="24"/>
                <w:szCs w:val="24"/>
                <w:highlight w:val="none"/>
              </w:rPr>
              <w:t>投标单位</w:t>
            </w:r>
          </w:p>
        </w:tc>
        <w:tc>
          <w:tcPr>
            <w:tcW w:w="2428" w:type="dxa"/>
            <w:vAlign w:val="top"/>
          </w:tcPr>
          <w:p w14:paraId="3E269D90">
            <w:pPr>
              <w:spacing w:before="133" w:line="222" w:lineRule="auto"/>
              <w:ind w:left="360" w:leftChars="0"/>
              <w:rPr>
                <w:rFonts w:hint="eastAsia" w:ascii="宋体" w:hAnsi="宋体" w:eastAsia="宋体" w:cs="宋体"/>
                <w:color w:val="auto"/>
                <w:highlight w:val="none"/>
              </w:rPr>
            </w:pPr>
            <w:r>
              <w:rPr>
                <w:rFonts w:hint="eastAsia" w:ascii="宋体" w:hAnsi="宋体" w:eastAsia="宋体" w:cs="宋体"/>
                <w:color w:val="auto"/>
                <w:spacing w:val="-7"/>
                <w:sz w:val="24"/>
                <w:szCs w:val="24"/>
                <w:highlight w:val="none"/>
              </w:rPr>
              <w:t>备注</w:t>
            </w:r>
          </w:p>
        </w:tc>
      </w:tr>
      <w:tr w14:paraId="791A56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08A01D90">
            <w:pPr>
              <w:spacing w:before="128" w:line="221" w:lineRule="auto"/>
              <w:ind w:left="120" w:leftChars="0"/>
              <w:rPr>
                <w:rFonts w:hint="eastAsia" w:ascii="宋体" w:hAnsi="宋体" w:eastAsia="宋体" w:cs="宋体"/>
                <w:color w:val="auto"/>
                <w:spacing w:val="-2"/>
                <w:sz w:val="24"/>
                <w:szCs w:val="24"/>
                <w:highlight w:val="none"/>
              </w:rPr>
            </w:pPr>
            <w:r>
              <w:rPr>
                <w:rFonts w:hint="eastAsia" w:ascii="宋体" w:hAnsi="宋体" w:eastAsia="宋体" w:cs="宋体"/>
                <w:color w:val="auto"/>
                <w:spacing w:val="-3"/>
                <w:sz w:val="24"/>
                <w:szCs w:val="24"/>
                <w:highlight w:val="none"/>
              </w:rPr>
              <w:t>一、基坑支护</w:t>
            </w:r>
          </w:p>
        </w:tc>
        <w:tc>
          <w:tcPr>
            <w:tcW w:w="1294" w:type="dxa"/>
            <w:vAlign w:val="top"/>
          </w:tcPr>
          <w:p w14:paraId="13602047">
            <w:pPr>
              <w:spacing w:before="128" w:line="223" w:lineRule="auto"/>
              <w:jc w:val="center"/>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bookmarkStart w:id="268" w:name="OLE_LINK39"/>
            <w:r>
              <w:rPr>
                <w:rFonts w:hint="eastAsia" w:ascii="宋体" w:hAnsi="宋体" w:eastAsia="宋体" w:cs="宋体"/>
                <w:color w:val="auto"/>
                <w:spacing w:val="5"/>
                <w:sz w:val="24"/>
                <w:szCs w:val="24"/>
                <w:highlight w:val="none"/>
              </w:rPr>
              <w:t xml:space="preserve">  </w:t>
            </w:r>
            <w:bookmarkEnd w:id="268"/>
            <w:r>
              <w:rPr>
                <w:rFonts w:hint="eastAsia" w:ascii="宋体" w:hAnsi="宋体" w:eastAsia="宋体" w:cs="宋体"/>
                <w:color w:val="auto"/>
                <w:spacing w:val="-19"/>
                <w:w w:val="94"/>
                <w:sz w:val="24"/>
                <w:szCs w:val="24"/>
                <w:highlight w:val="none"/>
              </w:rPr>
              <w:t>)</w:t>
            </w:r>
          </w:p>
        </w:tc>
        <w:tc>
          <w:tcPr>
            <w:tcW w:w="1294" w:type="dxa"/>
            <w:vAlign w:val="top"/>
          </w:tcPr>
          <w:p w14:paraId="6590122D">
            <w:pPr>
              <w:spacing w:before="128" w:line="223" w:lineRule="auto"/>
              <w:ind w:left="367" w:leftChars="0"/>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67C5177">
            <w:pPr>
              <w:pStyle w:val="21"/>
              <w:rPr>
                <w:rFonts w:hint="eastAsia" w:ascii="宋体" w:hAnsi="宋体" w:eastAsia="宋体" w:cs="宋体"/>
                <w:color w:val="auto"/>
                <w:highlight w:val="none"/>
              </w:rPr>
            </w:pPr>
          </w:p>
        </w:tc>
      </w:tr>
      <w:tr w14:paraId="5B4AB8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2AFB183">
            <w:pPr>
              <w:spacing w:before="129" w:line="328" w:lineRule="auto"/>
              <w:ind w:left="135" w:leftChars="0" w:right="68" w:rightChars="0" w:hanging="8" w:firstLineChars="0"/>
              <w:rPr>
                <w:rFonts w:hint="eastAsia" w:ascii="宋体" w:hAnsi="宋体" w:eastAsia="宋体" w:cs="宋体"/>
                <w:color w:val="auto"/>
                <w:spacing w:val="-2"/>
                <w:sz w:val="24"/>
                <w:szCs w:val="24"/>
                <w:highlight w:val="none"/>
              </w:rPr>
            </w:pPr>
            <w:r>
              <w:rPr>
                <w:rFonts w:hint="eastAsia" w:ascii="宋体" w:hAnsi="宋体" w:eastAsia="宋体" w:cs="宋体"/>
                <w:color w:val="auto"/>
                <w:spacing w:val="-4"/>
                <w:sz w:val="24"/>
                <w:szCs w:val="24"/>
                <w:highlight w:val="none"/>
              </w:rPr>
              <w:t>（一）开挖深度超过</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3m（含</w:t>
            </w:r>
            <w:r>
              <w:rPr>
                <w:rFonts w:hint="eastAsia" w:ascii="宋体" w:hAnsi="宋体" w:eastAsia="宋体" w:cs="宋体"/>
                <w:color w:val="auto"/>
                <w:spacing w:val="-46"/>
                <w:sz w:val="24"/>
                <w:szCs w:val="24"/>
                <w:highlight w:val="none"/>
              </w:rPr>
              <w:t xml:space="preserve"> </w:t>
            </w:r>
            <w:r>
              <w:rPr>
                <w:rFonts w:hint="eastAsia" w:ascii="宋体" w:hAnsi="宋体" w:eastAsia="宋体" w:cs="宋体"/>
                <w:color w:val="auto"/>
                <w:spacing w:val="-4"/>
                <w:sz w:val="24"/>
                <w:szCs w:val="24"/>
                <w:highlight w:val="none"/>
              </w:rPr>
              <w:t>3m）的基坑（槽）</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的土方开挖、支护、降水工程。</w:t>
            </w:r>
          </w:p>
        </w:tc>
        <w:tc>
          <w:tcPr>
            <w:tcW w:w="1294" w:type="dxa"/>
            <w:vAlign w:val="top"/>
          </w:tcPr>
          <w:p w14:paraId="5EEDD4FC">
            <w:pPr>
              <w:pStyle w:val="21"/>
              <w:spacing w:line="297" w:lineRule="auto"/>
              <w:rPr>
                <w:rFonts w:hint="eastAsia" w:ascii="宋体" w:hAnsi="宋体" w:eastAsia="宋体" w:cs="宋体"/>
                <w:color w:val="auto"/>
                <w:highlight w:val="none"/>
              </w:rPr>
            </w:pPr>
          </w:p>
          <w:p w14:paraId="0E5A3F62">
            <w:pPr>
              <w:spacing w:before="78" w:line="223" w:lineRule="auto"/>
              <w:ind w:left="396" w:leftChars="0"/>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3A8ADC1">
            <w:pPr>
              <w:pStyle w:val="21"/>
              <w:spacing w:line="297" w:lineRule="auto"/>
              <w:rPr>
                <w:rFonts w:hint="eastAsia" w:ascii="宋体" w:hAnsi="宋体" w:eastAsia="宋体" w:cs="宋体"/>
                <w:color w:val="auto"/>
                <w:highlight w:val="none"/>
              </w:rPr>
            </w:pPr>
          </w:p>
          <w:p w14:paraId="3ED7F037">
            <w:pPr>
              <w:spacing w:before="78" w:line="223" w:lineRule="auto"/>
              <w:ind w:left="367" w:leftChars="0"/>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E844507">
            <w:pPr>
              <w:pStyle w:val="21"/>
              <w:rPr>
                <w:rFonts w:hint="eastAsia" w:ascii="宋体" w:hAnsi="宋体" w:eastAsia="宋体" w:cs="宋体"/>
                <w:color w:val="auto"/>
                <w:highlight w:val="none"/>
              </w:rPr>
            </w:pPr>
          </w:p>
        </w:tc>
      </w:tr>
      <w:tr w14:paraId="798EFC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6253A00">
            <w:pPr>
              <w:spacing w:before="132" w:line="354" w:lineRule="auto"/>
              <w:ind w:left="116" w:right="108" w:firstLine="11"/>
              <w:jc w:val="both"/>
              <w:rPr>
                <w:rFonts w:hint="eastAsia" w:ascii="宋体" w:hAnsi="宋体" w:eastAsia="宋体" w:cs="宋体"/>
                <w:color w:val="auto"/>
                <w:sz w:val="24"/>
                <w:szCs w:val="24"/>
                <w:highlight w:val="none"/>
              </w:rPr>
            </w:pPr>
            <w:bookmarkStart w:id="269" w:name="bookmark161"/>
            <w:bookmarkEnd w:id="269"/>
            <w:r>
              <w:rPr>
                <w:rFonts w:hint="eastAsia" w:ascii="宋体" w:hAnsi="宋体" w:eastAsia="宋体" w:cs="宋体"/>
                <w:color w:val="auto"/>
                <w:spacing w:val="-2"/>
                <w:sz w:val="24"/>
                <w:szCs w:val="24"/>
                <w:highlight w:val="none"/>
              </w:rPr>
              <w:t>（二）开挖深度虽未超过</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2"/>
                <w:sz w:val="24"/>
                <w:szCs w:val="24"/>
                <w:highlight w:val="none"/>
              </w:rPr>
              <w:t>3m，但地质条件、周</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围环境和地下管线复杂，或影响毗邻建、构筑</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1"/>
                <w:sz w:val="24"/>
                <w:szCs w:val="24"/>
                <w:highlight w:val="none"/>
              </w:rPr>
              <w:t>物安全的基坑（槽）的土方开挖、支护、降水</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4"/>
                <w:sz w:val="24"/>
                <w:szCs w:val="24"/>
                <w:highlight w:val="none"/>
              </w:rPr>
              <w:t>工程。</w:t>
            </w:r>
          </w:p>
        </w:tc>
        <w:tc>
          <w:tcPr>
            <w:tcW w:w="1294" w:type="dxa"/>
            <w:vAlign w:val="top"/>
          </w:tcPr>
          <w:p w14:paraId="092F9FFB">
            <w:pPr>
              <w:pStyle w:val="21"/>
              <w:spacing w:line="263" w:lineRule="auto"/>
              <w:rPr>
                <w:rFonts w:hint="eastAsia" w:ascii="宋体" w:hAnsi="宋体" w:eastAsia="宋体" w:cs="宋体"/>
                <w:color w:val="auto"/>
                <w:highlight w:val="none"/>
              </w:rPr>
            </w:pPr>
          </w:p>
          <w:p w14:paraId="1C25F382">
            <w:pPr>
              <w:pStyle w:val="21"/>
              <w:spacing w:line="263" w:lineRule="auto"/>
              <w:rPr>
                <w:rFonts w:hint="eastAsia" w:ascii="宋体" w:hAnsi="宋体" w:eastAsia="宋体" w:cs="宋体"/>
                <w:color w:val="auto"/>
                <w:highlight w:val="none"/>
              </w:rPr>
            </w:pPr>
          </w:p>
          <w:p w14:paraId="6C433F14">
            <w:pPr>
              <w:pStyle w:val="21"/>
              <w:spacing w:line="264" w:lineRule="auto"/>
              <w:rPr>
                <w:rFonts w:hint="eastAsia" w:ascii="宋体" w:hAnsi="宋体" w:eastAsia="宋体" w:cs="宋体"/>
                <w:color w:val="auto"/>
                <w:highlight w:val="none"/>
              </w:rPr>
            </w:pPr>
          </w:p>
          <w:p w14:paraId="1703ABF9">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bookmarkStart w:id="270" w:name="OLE_LINK40"/>
            <w:r>
              <w:rPr>
                <w:rFonts w:hint="eastAsia" w:ascii="宋体" w:hAnsi="宋体" w:eastAsia="宋体" w:cs="宋体"/>
                <w:color w:val="auto"/>
                <w:spacing w:val="2"/>
                <w:sz w:val="24"/>
                <w:szCs w:val="24"/>
                <w:highlight w:val="none"/>
              </w:rPr>
              <w:t xml:space="preserve">     </w:t>
            </w:r>
            <w:bookmarkEnd w:id="270"/>
            <w:r>
              <w:rPr>
                <w:rFonts w:hint="eastAsia" w:ascii="宋体" w:hAnsi="宋体" w:eastAsia="宋体" w:cs="宋体"/>
                <w:color w:val="auto"/>
                <w:spacing w:val="-19"/>
                <w:w w:val="94"/>
                <w:sz w:val="24"/>
                <w:szCs w:val="24"/>
                <w:highlight w:val="none"/>
              </w:rPr>
              <w:t>)</w:t>
            </w:r>
          </w:p>
        </w:tc>
        <w:tc>
          <w:tcPr>
            <w:tcW w:w="1294" w:type="dxa"/>
            <w:vAlign w:val="top"/>
          </w:tcPr>
          <w:p w14:paraId="27A5AB03">
            <w:pPr>
              <w:pStyle w:val="21"/>
              <w:spacing w:line="263" w:lineRule="auto"/>
              <w:rPr>
                <w:rFonts w:hint="eastAsia" w:ascii="宋体" w:hAnsi="宋体" w:eastAsia="宋体" w:cs="宋体"/>
                <w:color w:val="auto"/>
                <w:highlight w:val="none"/>
              </w:rPr>
            </w:pPr>
          </w:p>
          <w:p w14:paraId="2C8EDC97">
            <w:pPr>
              <w:pStyle w:val="21"/>
              <w:spacing w:line="263" w:lineRule="auto"/>
              <w:rPr>
                <w:rFonts w:hint="eastAsia" w:ascii="宋体" w:hAnsi="宋体" w:eastAsia="宋体" w:cs="宋体"/>
                <w:color w:val="auto"/>
                <w:highlight w:val="none"/>
              </w:rPr>
            </w:pPr>
          </w:p>
          <w:p w14:paraId="1A88AF32">
            <w:pPr>
              <w:pStyle w:val="21"/>
              <w:spacing w:line="264" w:lineRule="auto"/>
              <w:rPr>
                <w:rFonts w:hint="eastAsia" w:ascii="宋体" w:hAnsi="宋体" w:eastAsia="宋体" w:cs="宋体"/>
                <w:color w:val="auto"/>
                <w:highlight w:val="none"/>
              </w:rPr>
            </w:pPr>
          </w:p>
          <w:p w14:paraId="7BCE6290">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66CE42E4">
            <w:pPr>
              <w:pStyle w:val="21"/>
              <w:rPr>
                <w:rFonts w:hint="eastAsia" w:ascii="宋体" w:hAnsi="宋体" w:eastAsia="宋体" w:cs="宋体"/>
                <w:color w:val="auto"/>
                <w:highlight w:val="none"/>
              </w:rPr>
            </w:pPr>
          </w:p>
        </w:tc>
      </w:tr>
      <w:tr w14:paraId="13D609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721ACA2D">
            <w:pPr>
              <w:spacing w:before="128" w:line="219"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二、模板工程及支撑体系</w:t>
            </w:r>
          </w:p>
        </w:tc>
        <w:tc>
          <w:tcPr>
            <w:tcW w:w="1294" w:type="dxa"/>
            <w:vAlign w:val="top"/>
          </w:tcPr>
          <w:p w14:paraId="013D7C49">
            <w:pPr>
              <w:spacing w:before="12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0E30F9F">
            <w:pPr>
              <w:spacing w:before="12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BFA85A5">
            <w:pPr>
              <w:pStyle w:val="21"/>
              <w:rPr>
                <w:rFonts w:hint="eastAsia" w:ascii="宋体" w:hAnsi="宋体" w:eastAsia="宋体" w:cs="宋体"/>
                <w:color w:val="auto"/>
                <w:highlight w:val="none"/>
              </w:rPr>
            </w:pPr>
          </w:p>
        </w:tc>
      </w:tr>
      <w:tr w14:paraId="21CEA9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1886AEA5">
            <w:pPr>
              <w:spacing w:before="128" w:line="328" w:lineRule="auto"/>
              <w:ind w:left="123" w:right="25" w:firstLine="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（一）各类工具式模板工程：包括滑模、爬模、</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2"/>
                <w:sz w:val="24"/>
                <w:szCs w:val="24"/>
                <w:highlight w:val="none"/>
              </w:rPr>
              <w:t>飞模、隧道模等工程。</w:t>
            </w:r>
          </w:p>
        </w:tc>
        <w:tc>
          <w:tcPr>
            <w:tcW w:w="1294" w:type="dxa"/>
            <w:vAlign w:val="top"/>
          </w:tcPr>
          <w:p w14:paraId="31F482D0">
            <w:pPr>
              <w:pStyle w:val="21"/>
              <w:spacing w:line="293" w:lineRule="auto"/>
              <w:rPr>
                <w:rFonts w:hint="eastAsia" w:ascii="宋体" w:hAnsi="宋体" w:eastAsia="宋体" w:cs="宋体"/>
                <w:color w:val="auto"/>
                <w:highlight w:val="none"/>
              </w:rPr>
            </w:pPr>
          </w:p>
          <w:p w14:paraId="7F64793B">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D856E2E">
            <w:pPr>
              <w:pStyle w:val="21"/>
              <w:spacing w:line="293" w:lineRule="auto"/>
              <w:rPr>
                <w:rFonts w:hint="eastAsia" w:ascii="宋体" w:hAnsi="宋体" w:eastAsia="宋体" w:cs="宋体"/>
                <w:color w:val="auto"/>
                <w:highlight w:val="none"/>
              </w:rPr>
            </w:pPr>
          </w:p>
          <w:p w14:paraId="1BBC59B1">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12A8AE3">
            <w:pPr>
              <w:pStyle w:val="21"/>
              <w:rPr>
                <w:rFonts w:hint="eastAsia" w:ascii="宋体" w:hAnsi="宋体" w:eastAsia="宋体" w:cs="宋体"/>
                <w:color w:val="auto"/>
                <w:highlight w:val="none"/>
              </w:rPr>
            </w:pPr>
          </w:p>
        </w:tc>
      </w:tr>
      <w:tr w14:paraId="7A255F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FBDC893">
            <w:pPr>
              <w:spacing w:before="131" w:line="362" w:lineRule="auto"/>
              <w:ind w:left="115" w:right="105" w:firstLine="12"/>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（二）混凝土模板支撑工程：搭设高度</w:t>
            </w:r>
            <w:r>
              <w:rPr>
                <w:rFonts w:hint="eastAsia" w:ascii="宋体" w:hAnsi="宋体" w:eastAsia="宋体" w:cs="宋体"/>
                <w:color w:val="auto"/>
                <w:spacing w:val="-43"/>
                <w:sz w:val="24"/>
                <w:szCs w:val="24"/>
                <w:highlight w:val="none"/>
              </w:rPr>
              <w:t xml:space="preserve"> </w:t>
            </w:r>
            <w:r>
              <w:rPr>
                <w:rFonts w:hint="eastAsia" w:ascii="宋体" w:hAnsi="宋体" w:eastAsia="宋体" w:cs="宋体"/>
                <w:color w:val="auto"/>
                <w:spacing w:val="-5"/>
                <w:sz w:val="24"/>
                <w:szCs w:val="24"/>
                <w:highlight w:val="none"/>
              </w:rPr>
              <w:t>5m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5"/>
                <w:sz w:val="24"/>
                <w:szCs w:val="24"/>
                <w:highlight w:val="none"/>
              </w:rPr>
              <w:t>及以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上，或搭设跨度</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10"/>
                <w:sz w:val="24"/>
                <w:szCs w:val="24"/>
                <w:highlight w:val="none"/>
              </w:rPr>
              <w:t>10m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0"/>
                <w:sz w:val="24"/>
                <w:szCs w:val="24"/>
                <w:highlight w:val="none"/>
              </w:rPr>
              <w:t>及以上，或施工总荷</w:t>
            </w:r>
            <w:r>
              <w:rPr>
                <w:rFonts w:hint="eastAsia" w:ascii="宋体" w:hAnsi="宋体" w:eastAsia="宋体" w:cs="宋体"/>
                <w:color w:val="auto"/>
                <w:spacing w:val="-11"/>
                <w:sz w:val="24"/>
                <w:szCs w:val="24"/>
                <w:highlight w:val="none"/>
              </w:rPr>
              <w:t>载（荷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载效应基本组合的设计值，以下简称设计值）</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14"/>
                <w:sz w:val="24"/>
                <w:szCs w:val="24"/>
                <w:highlight w:val="none"/>
              </w:rPr>
              <w:t>10kN/m2</w:t>
            </w:r>
            <w:r>
              <w:rPr>
                <w:rFonts w:hint="eastAsia" w:ascii="宋体" w:hAnsi="宋体" w:eastAsia="宋体" w:cs="宋体"/>
                <w:color w:val="auto"/>
                <w:spacing w:val="-35"/>
                <w:sz w:val="24"/>
                <w:szCs w:val="24"/>
                <w:highlight w:val="none"/>
              </w:rPr>
              <w:t xml:space="preserve"> </w:t>
            </w:r>
            <w:r>
              <w:rPr>
                <w:rFonts w:hint="eastAsia" w:ascii="宋体" w:hAnsi="宋体" w:eastAsia="宋体" w:cs="宋体"/>
                <w:color w:val="auto"/>
                <w:spacing w:val="-14"/>
                <w:sz w:val="24"/>
                <w:szCs w:val="24"/>
                <w:highlight w:val="none"/>
              </w:rPr>
              <w:t>及以上，或集中线荷载（设计值）15kN/m</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及以上，或高度大于支撑水平投影宽度且相对</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独立无联系构件的混凝土模板支撑工程。</w:t>
            </w:r>
          </w:p>
        </w:tc>
        <w:tc>
          <w:tcPr>
            <w:tcW w:w="1294" w:type="dxa"/>
            <w:vAlign w:val="top"/>
          </w:tcPr>
          <w:p w14:paraId="0AC76692">
            <w:pPr>
              <w:pStyle w:val="21"/>
              <w:spacing w:line="255" w:lineRule="auto"/>
              <w:rPr>
                <w:rFonts w:hint="eastAsia" w:ascii="宋体" w:hAnsi="宋体" w:eastAsia="宋体" w:cs="宋体"/>
                <w:color w:val="auto"/>
                <w:highlight w:val="none"/>
              </w:rPr>
            </w:pPr>
          </w:p>
          <w:p w14:paraId="06A69DBD">
            <w:pPr>
              <w:pStyle w:val="21"/>
              <w:spacing w:line="255" w:lineRule="auto"/>
              <w:rPr>
                <w:rFonts w:hint="eastAsia" w:ascii="宋体" w:hAnsi="宋体" w:eastAsia="宋体" w:cs="宋体"/>
                <w:color w:val="auto"/>
                <w:highlight w:val="none"/>
              </w:rPr>
            </w:pPr>
          </w:p>
          <w:p w14:paraId="5F44AC94">
            <w:pPr>
              <w:pStyle w:val="21"/>
              <w:spacing w:line="255" w:lineRule="auto"/>
              <w:rPr>
                <w:rFonts w:hint="eastAsia" w:ascii="宋体" w:hAnsi="宋体" w:eastAsia="宋体" w:cs="宋体"/>
                <w:color w:val="auto"/>
                <w:highlight w:val="none"/>
              </w:rPr>
            </w:pPr>
          </w:p>
          <w:p w14:paraId="117E02D8">
            <w:pPr>
              <w:pStyle w:val="21"/>
              <w:spacing w:line="255" w:lineRule="auto"/>
              <w:rPr>
                <w:rFonts w:hint="eastAsia" w:ascii="宋体" w:hAnsi="宋体" w:eastAsia="宋体" w:cs="宋体"/>
                <w:color w:val="auto"/>
                <w:highlight w:val="none"/>
              </w:rPr>
            </w:pPr>
          </w:p>
          <w:p w14:paraId="58924DBB">
            <w:pPr>
              <w:pStyle w:val="21"/>
              <w:spacing w:line="256" w:lineRule="auto"/>
              <w:rPr>
                <w:rFonts w:hint="eastAsia" w:ascii="宋体" w:hAnsi="宋体" w:eastAsia="宋体" w:cs="宋体"/>
                <w:color w:val="auto"/>
                <w:highlight w:val="none"/>
              </w:rPr>
            </w:pPr>
          </w:p>
          <w:p w14:paraId="7CC727ED">
            <w:pPr>
              <w:spacing w:before="78"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8C34081">
            <w:pPr>
              <w:pStyle w:val="21"/>
              <w:spacing w:line="255" w:lineRule="auto"/>
              <w:rPr>
                <w:rFonts w:hint="eastAsia" w:ascii="宋体" w:hAnsi="宋体" w:eastAsia="宋体" w:cs="宋体"/>
                <w:color w:val="auto"/>
                <w:highlight w:val="none"/>
              </w:rPr>
            </w:pPr>
          </w:p>
          <w:p w14:paraId="44D32487">
            <w:pPr>
              <w:pStyle w:val="21"/>
              <w:spacing w:line="255" w:lineRule="auto"/>
              <w:rPr>
                <w:rFonts w:hint="eastAsia" w:ascii="宋体" w:hAnsi="宋体" w:eastAsia="宋体" w:cs="宋体"/>
                <w:color w:val="auto"/>
                <w:highlight w:val="none"/>
              </w:rPr>
            </w:pPr>
          </w:p>
          <w:p w14:paraId="2FB6EB74">
            <w:pPr>
              <w:pStyle w:val="21"/>
              <w:spacing w:line="255" w:lineRule="auto"/>
              <w:rPr>
                <w:rFonts w:hint="eastAsia" w:ascii="宋体" w:hAnsi="宋体" w:eastAsia="宋体" w:cs="宋体"/>
                <w:color w:val="auto"/>
                <w:highlight w:val="none"/>
              </w:rPr>
            </w:pPr>
          </w:p>
          <w:p w14:paraId="2532C873">
            <w:pPr>
              <w:pStyle w:val="21"/>
              <w:spacing w:line="255" w:lineRule="auto"/>
              <w:rPr>
                <w:rFonts w:hint="eastAsia" w:ascii="宋体" w:hAnsi="宋体" w:eastAsia="宋体" w:cs="宋体"/>
                <w:color w:val="auto"/>
                <w:highlight w:val="none"/>
              </w:rPr>
            </w:pPr>
          </w:p>
          <w:p w14:paraId="6EA29091">
            <w:pPr>
              <w:pStyle w:val="21"/>
              <w:spacing w:line="256" w:lineRule="auto"/>
              <w:rPr>
                <w:rFonts w:hint="eastAsia" w:ascii="宋体" w:hAnsi="宋体" w:eastAsia="宋体" w:cs="宋体"/>
                <w:color w:val="auto"/>
                <w:highlight w:val="none"/>
              </w:rPr>
            </w:pPr>
          </w:p>
          <w:p w14:paraId="4FFEF356">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0A88735">
            <w:pPr>
              <w:pStyle w:val="21"/>
              <w:rPr>
                <w:rFonts w:hint="eastAsia" w:ascii="宋体" w:hAnsi="宋体" w:eastAsia="宋体" w:cs="宋体"/>
                <w:color w:val="auto"/>
                <w:highlight w:val="none"/>
              </w:rPr>
            </w:pPr>
          </w:p>
        </w:tc>
      </w:tr>
      <w:tr w14:paraId="55FE49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DB8DF3D">
            <w:pPr>
              <w:spacing w:before="130" w:line="327"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（三）承重支撑体系：用于钢结构安装等满堂</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3"/>
                <w:sz w:val="24"/>
                <w:szCs w:val="24"/>
                <w:highlight w:val="none"/>
              </w:rPr>
              <w:t>支撑体系。</w:t>
            </w:r>
          </w:p>
        </w:tc>
        <w:tc>
          <w:tcPr>
            <w:tcW w:w="1294" w:type="dxa"/>
            <w:vAlign w:val="top"/>
          </w:tcPr>
          <w:p w14:paraId="08B49BEC">
            <w:pPr>
              <w:pStyle w:val="21"/>
              <w:spacing w:line="296" w:lineRule="auto"/>
              <w:rPr>
                <w:rFonts w:hint="eastAsia" w:ascii="宋体" w:hAnsi="宋体" w:eastAsia="宋体" w:cs="宋体"/>
                <w:color w:val="auto"/>
                <w:highlight w:val="none"/>
              </w:rPr>
            </w:pPr>
          </w:p>
          <w:p w14:paraId="62113AAF">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61AA738">
            <w:pPr>
              <w:pStyle w:val="21"/>
              <w:spacing w:line="296" w:lineRule="auto"/>
              <w:rPr>
                <w:rFonts w:hint="eastAsia" w:ascii="宋体" w:hAnsi="宋体" w:eastAsia="宋体" w:cs="宋体"/>
                <w:color w:val="auto"/>
                <w:highlight w:val="none"/>
              </w:rPr>
            </w:pPr>
          </w:p>
          <w:p w14:paraId="2247851E">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28C2275">
            <w:pPr>
              <w:pStyle w:val="21"/>
              <w:rPr>
                <w:rFonts w:hint="eastAsia" w:ascii="宋体" w:hAnsi="宋体" w:eastAsia="宋体" w:cs="宋体"/>
                <w:color w:val="auto"/>
                <w:highlight w:val="none"/>
              </w:rPr>
            </w:pPr>
          </w:p>
        </w:tc>
      </w:tr>
      <w:tr w14:paraId="22C012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CD7B1B3">
            <w:pPr>
              <w:spacing w:before="130" w:line="219" w:lineRule="auto"/>
              <w:ind w:left="35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三、起重吊装及起重机械安装拆卸工程</w:t>
            </w:r>
          </w:p>
        </w:tc>
        <w:tc>
          <w:tcPr>
            <w:tcW w:w="1294" w:type="dxa"/>
            <w:vAlign w:val="top"/>
          </w:tcPr>
          <w:p w14:paraId="0C4B19D2">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007119F">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778356F">
            <w:pPr>
              <w:pStyle w:val="21"/>
              <w:rPr>
                <w:rFonts w:hint="eastAsia" w:ascii="宋体" w:hAnsi="宋体" w:eastAsia="宋体" w:cs="宋体"/>
                <w:color w:val="auto"/>
                <w:highlight w:val="none"/>
              </w:rPr>
            </w:pPr>
          </w:p>
        </w:tc>
      </w:tr>
      <w:tr w14:paraId="54B4CC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640879D">
            <w:pPr>
              <w:spacing w:before="131" w:line="327" w:lineRule="auto"/>
              <w:ind w:left="144" w:right="168" w:hanging="1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（一）采用非常规起重设备、方法，且单件起</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4"/>
                <w:sz w:val="24"/>
                <w:szCs w:val="24"/>
                <w:highlight w:val="none"/>
              </w:rPr>
              <w:t>吊重量在</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10kN</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4"/>
                <w:sz w:val="24"/>
                <w:szCs w:val="24"/>
                <w:highlight w:val="none"/>
              </w:rPr>
              <w:t>及以上的起重吊装工程。</w:t>
            </w:r>
          </w:p>
        </w:tc>
        <w:tc>
          <w:tcPr>
            <w:tcW w:w="1294" w:type="dxa"/>
            <w:vAlign w:val="top"/>
          </w:tcPr>
          <w:p w14:paraId="42DC5BCC">
            <w:pPr>
              <w:pStyle w:val="21"/>
              <w:spacing w:line="297" w:lineRule="auto"/>
              <w:rPr>
                <w:rFonts w:hint="eastAsia" w:ascii="宋体" w:hAnsi="宋体" w:eastAsia="宋体" w:cs="宋体"/>
                <w:color w:val="auto"/>
                <w:highlight w:val="none"/>
              </w:rPr>
            </w:pPr>
          </w:p>
          <w:p w14:paraId="25E8B5B3">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7E69931">
            <w:pPr>
              <w:pStyle w:val="21"/>
              <w:spacing w:line="297" w:lineRule="auto"/>
              <w:rPr>
                <w:rFonts w:hint="eastAsia" w:ascii="宋体" w:hAnsi="宋体" w:eastAsia="宋体" w:cs="宋体"/>
                <w:color w:val="auto"/>
                <w:highlight w:val="none"/>
              </w:rPr>
            </w:pPr>
          </w:p>
          <w:p w14:paraId="0DECF4EA">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F10A58D">
            <w:pPr>
              <w:pStyle w:val="21"/>
              <w:rPr>
                <w:rFonts w:hint="eastAsia" w:ascii="宋体" w:hAnsi="宋体" w:eastAsia="宋体" w:cs="宋体"/>
                <w:color w:val="auto"/>
                <w:highlight w:val="none"/>
              </w:rPr>
            </w:pPr>
          </w:p>
        </w:tc>
      </w:tr>
      <w:tr w14:paraId="30F998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661E26F">
            <w:pPr>
              <w:spacing w:before="132"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（二）采用起重机械进行安装的工程。</w:t>
            </w:r>
          </w:p>
        </w:tc>
        <w:tc>
          <w:tcPr>
            <w:tcW w:w="1294" w:type="dxa"/>
            <w:vAlign w:val="top"/>
          </w:tcPr>
          <w:p w14:paraId="26A8715D">
            <w:pPr>
              <w:spacing w:before="131"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9D48700">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FDBB930">
            <w:pPr>
              <w:pStyle w:val="21"/>
              <w:rPr>
                <w:rFonts w:hint="eastAsia" w:ascii="宋体" w:hAnsi="宋体" w:eastAsia="宋体" w:cs="宋体"/>
                <w:color w:val="auto"/>
                <w:highlight w:val="none"/>
              </w:rPr>
            </w:pPr>
          </w:p>
        </w:tc>
      </w:tr>
      <w:tr w14:paraId="1EB3FB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D746302">
            <w:pPr>
              <w:spacing w:before="130"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（三）起重机械安装和拆卸工程。</w:t>
            </w:r>
          </w:p>
        </w:tc>
        <w:tc>
          <w:tcPr>
            <w:tcW w:w="1294" w:type="dxa"/>
            <w:vAlign w:val="top"/>
          </w:tcPr>
          <w:p w14:paraId="5BA7A2F9">
            <w:pPr>
              <w:spacing w:before="129"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2E655D6">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17E93BE">
            <w:pPr>
              <w:pStyle w:val="21"/>
              <w:rPr>
                <w:rFonts w:hint="eastAsia" w:ascii="宋体" w:hAnsi="宋体" w:eastAsia="宋体" w:cs="宋体"/>
                <w:color w:val="auto"/>
                <w:highlight w:val="none"/>
              </w:rPr>
            </w:pPr>
          </w:p>
        </w:tc>
      </w:tr>
      <w:tr w14:paraId="0E7C6C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3F3AA51">
            <w:pPr>
              <w:spacing w:before="131" w:line="219" w:lineRule="auto"/>
              <w:ind w:left="1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四、脚手架工程</w:t>
            </w:r>
          </w:p>
        </w:tc>
        <w:tc>
          <w:tcPr>
            <w:tcW w:w="1294" w:type="dxa"/>
            <w:vAlign w:val="top"/>
          </w:tcPr>
          <w:p w14:paraId="2C09298F">
            <w:pPr>
              <w:spacing w:before="130" w:line="223" w:lineRule="auto"/>
              <w:ind w:left="48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5"/>
                <w:sz w:val="24"/>
                <w:szCs w:val="24"/>
                <w:highlight w:val="none"/>
                <w:lang w:val="en-US" w:eastAsia="zh-CN"/>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C25E0F8">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0A186D6">
            <w:pPr>
              <w:pStyle w:val="21"/>
              <w:rPr>
                <w:rFonts w:hint="eastAsia" w:ascii="宋体" w:hAnsi="宋体" w:eastAsia="宋体" w:cs="宋体"/>
                <w:color w:val="auto"/>
                <w:highlight w:val="none"/>
              </w:rPr>
            </w:pPr>
          </w:p>
        </w:tc>
      </w:tr>
      <w:tr w14:paraId="749B5C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EE02938">
            <w:pPr>
              <w:spacing w:before="130" w:line="327"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（一）搭设高度</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2"/>
                <w:sz w:val="24"/>
                <w:szCs w:val="24"/>
                <w:highlight w:val="none"/>
              </w:rPr>
              <w:t>24m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及以上的落地式钢管脚手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架工程（包括采光井、电梯井脚手架）。</w:t>
            </w:r>
          </w:p>
        </w:tc>
        <w:tc>
          <w:tcPr>
            <w:tcW w:w="1294" w:type="dxa"/>
            <w:vAlign w:val="top"/>
          </w:tcPr>
          <w:p w14:paraId="5F252975">
            <w:pPr>
              <w:pStyle w:val="21"/>
              <w:spacing w:line="297" w:lineRule="auto"/>
              <w:rPr>
                <w:rFonts w:hint="eastAsia" w:ascii="宋体" w:hAnsi="宋体" w:eastAsia="宋体" w:cs="宋体"/>
                <w:color w:val="auto"/>
                <w:highlight w:val="none"/>
              </w:rPr>
            </w:pPr>
          </w:p>
          <w:p w14:paraId="274F49B0">
            <w:pPr>
              <w:spacing w:before="78"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EF3E3EC">
            <w:pPr>
              <w:pStyle w:val="21"/>
              <w:spacing w:line="297" w:lineRule="auto"/>
              <w:rPr>
                <w:rFonts w:hint="eastAsia" w:ascii="宋体" w:hAnsi="宋体" w:eastAsia="宋体" w:cs="宋体"/>
                <w:color w:val="auto"/>
                <w:highlight w:val="none"/>
              </w:rPr>
            </w:pPr>
          </w:p>
          <w:p w14:paraId="382FDB0B">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593D3CB">
            <w:pPr>
              <w:pStyle w:val="21"/>
              <w:rPr>
                <w:rFonts w:hint="eastAsia" w:ascii="宋体" w:hAnsi="宋体" w:eastAsia="宋体" w:cs="宋体"/>
                <w:color w:val="auto"/>
                <w:highlight w:val="none"/>
              </w:rPr>
            </w:pPr>
          </w:p>
        </w:tc>
      </w:tr>
      <w:tr w14:paraId="6AD177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6711E1F">
            <w:pPr>
              <w:spacing w:before="131"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（二）附着式升降脚手架工程。</w:t>
            </w:r>
          </w:p>
        </w:tc>
        <w:tc>
          <w:tcPr>
            <w:tcW w:w="1294" w:type="dxa"/>
            <w:vAlign w:val="top"/>
          </w:tcPr>
          <w:p w14:paraId="46BCB016">
            <w:pPr>
              <w:spacing w:before="130" w:line="223" w:lineRule="auto"/>
              <w:ind w:left="24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7577F1C">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09FAE20">
            <w:pPr>
              <w:pStyle w:val="21"/>
              <w:rPr>
                <w:rFonts w:hint="eastAsia" w:ascii="宋体" w:hAnsi="宋体" w:eastAsia="宋体" w:cs="宋体"/>
                <w:color w:val="auto"/>
                <w:highlight w:val="none"/>
              </w:rPr>
            </w:pPr>
          </w:p>
        </w:tc>
      </w:tr>
      <w:tr w14:paraId="0A02A1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48C6DC8">
            <w:pPr>
              <w:spacing w:before="132"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（三）悬挑式脚手架工程。</w:t>
            </w:r>
          </w:p>
        </w:tc>
        <w:tc>
          <w:tcPr>
            <w:tcW w:w="1294" w:type="dxa"/>
            <w:vAlign w:val="top"/>
          </w:tcPr>
          <w:p w14:paraId="46C95298">
            <w:pPr>
              <w:spacing w:before="131" w:line="223" w:lineRule="auto"/>
              <w:ind w:left="24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6243FF5">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0A6B0F2">
            <w:pPr>
              <w:pStyle w:val="21"/>
              <w:rPr>
                <w:rFonts w:hint="eastAsia" w:ascii="宋体" w:hAnsi="宋体" w:eastAsia="宋体" w:cs="宋体"/>
                <w:color w:val="auto"/>
                <w:highlight w:val="none"/>
              </w:rPr>
            </w:pPr>
          </w:p>
        </w:tc>
      </w:tr>
      <w:tr w14:paraId="4D8E09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73025F46">
            <w:pPr>
              <w:spacing w:before="131"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（四）高处作业吊篮。</w:t>
            </w:r>
          </w:p>
        </w:tc>
        <w:tc>
          <w:tcPr>
            <w:tcW w:w="1294" w:type="dxa"/>
            <w:vAlign w:val="top"/>
          </w:tcPr>
          <w:p w14:paraId="30F61595">
            <w:pPr>
              <w:spacing w:before="131"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B23E52E">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598EC26">
            <w:pPr>
              <w:pStyle w:val="21"/>
              <w:rPr>
                <w:rFonts w:hint="eastAsia" w:ascii="宋体" w:hAnsi="宋体" w:eastAsia="宋体" w:cs="宋体"/>
                <w:color w:val="auto"/>
                <w:highlight w:val="none"/>
              </w:rPr>
            </w:pPr>
          </w:p>
        </w:tc>
      </w:tr>
      <w:tr w14:paraId="2D3206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00EF757">
            <w:pPr>
              <w:spacing w:before="132"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（五）卸料平台、操作平台工程。</w:t>
            </w:r>
          </w:p>
        </w:tc>
        <w:tc>
          <w:tcPr>
            <w:tcW w:w="1294" w:type="dxa"/>
            <w:vAlign w:val="top"/>
          </w:tcPr>
          <w:p w14:paraId="0C7B65F3">
            <w:pPr>
              <w:spacing w:before="132" w:line="223" w:lineRule="auto"/>
              <w:ind w:left="24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4A95D6B">
            <w:pPr>
              <w:spacing w:before="132"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1878476">
            <w:pPr>
              <w:pStyle w:val="21"/>
              <w:rPr>
                <w:rFonts w:hint="eastAsia" w:ascii="宋体" w:hAnsi="宋体" w:eastAsia="宋体" w:cs="宋体"/>
                <w:color w:val="auto"/>
                <w:highlight w:val="none"/>
              </w:rPr>
            </w:pPr>
          </w:p>
        </w:tc>
      </w:tr>
      <w:tr w14:paraId="30655E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E5297D0">
            <w:pPr>
              <w:spacing w:before="133"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（六）异型脚手架工程。</w:t>
            </w:r>
          </w:p>
        </w:tc>
        <w:tc>
          <w:tcPr>
            <w:tcW w:w="1294" w:type="dxa"/>
            <w:vAlign w:val="top"/>
          </w:tcPr>
          <w:p w14:paraId="486B9887">
            <w:pPr>
              <w:spacing w:before="132"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1E5988F">
            <w:pPr>
              <w:spacing w:before="132"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235BD7D">
            <w:pPr>
              <w:pStyle w:val="21"/>
              <w:rPr>
                <w:rFonts w:hint="eastAsia" w:ascii="宋体" w:hAnsi="宋体" w:eastAsia="宋体" w:cs="宋体"/>
                <w:color w:val="auto"/>
                <w:highlight w:val="none"/>
              </w:rPr>
            </w:pPr>
          </w:p>
        </w:tc>
      </w:tr>
      <w:tr w14:paraId="0D44A4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A6B7C50">
            <w:pPr>
              <w:spacing w:before="131" w:line="220" w:lineRule="auto"/>
              <w:ind w:left="120"/>
              <w:rPr>
                <w:rFonts w:hint="eastAsia" w:ascii="宋体" w:hAnsi="宋体" w:eastAsia="宋体" w:cs="宋体"/>
                <w:color w:val="auto"/>
                <w:sz w:val="24"/>
                <w:szCs w:val="24"/>
                <w:highlight w:val="none"/>
              </w:rPr>
            </w:pPr>
            <w:bookmarkStart w:id="271" w:name="bookmark162"/>
            <w:bookmarkEnd w:id="271"/>
            <w:r>
              <w:rPr>
                <w:rFonts w:hint="eastAsia" w:ascii="宋体" w:hAnsi="宋体" w:eastAsia="宋体" w:cs="宋体"/>
                <w:color w:val="auto"/>
                <w:spacing w:val="-3"/>
                <w:sz w:val="24"/>
                <w:szCs w:val="24"/>
                <w:highlight w:val="none"/>
              </w:rPr>
              <w:t>五、拆除工程</w:t>
            </w:r>
          </w:p>
        </w:tc>
        <w:tc>
          <w:tcPr>
            <w:tcW w:w="1294" w:type="dxa"/>
            <w:vAlign w:val="top"/>
          </w:tcPr>
          <w:p w14:paraId="0F5EE650">
            <w:pPr>
              <w:spacing w:before="131" w:line="223" w:lineRule="auto"/>
              <w:ind w:left="48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6328EEA">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9A24BEF">
            <w:pPr>
              <w:pStyle w:val="21"/>
              <w:rPr>
                <w:rFonts w:hint="eastAsia" w:ascii="宋体" w:hAnsi="宋体" w:eastAsia="宋体" w:cs="宋体"/>
                <w:color w:val="auto"/>
                <w:highlight w:val="none"/>
              </w:rPr>
            </w:pPr>
          </w:p>
        </w:tc>
      </w:tr>
      <w:tr w14:paraId="42ACFF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F6894BB">
            <w:pPr>
              <w:spacing w:before="126" w:line="329" w:lineRule="auto"/>
              <w:ind w:left="117" w:right="16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可能影响行人、交通、电力设施、通讯设施或</w:t>
            </w:r>
            <w:r>
              <w:rPr>
                <w:rFonts w:hint="eastAsia" w:ascii="宋体" w:hAnsi="宋体" w:eastAsia="宋体" w:cs="宋体"/>
                <w:color w:val="auto"/>
                <w:spacing w:val="7"/>
                <w:sz w:val="24"/>
                <w:szCs w:val="24"/>
                <w:highlight w:val="none"/>
              </w:rPr>
              <w:t xml:space="preserve"> </w:t>
            </w:r>
            <w:r>
              <w:rPr>
                <w:rFonts w:hint="eastAsia" w:ascii="宋体" w:hAnsi="宋体" w:eastAsia="宋体" w:cs="宋体"/>
                <w:color w:val="auto"/>
                <w:spacing w:val="-1"/>
                <w:sz w:val="24"/>
                <w:szCs w:val="24"/>
                <w:highlight w:val="none"/>
              </w:rPr>
              <w:t>其它建、构筑物安全的拆除工程。</w:t>
            </w:r>
          </w:p>
        </w:tc>
        <w:tc>
          <w:tcPr>
            <w:tcW w:w="1294" w:type="dxa"/>
            <w:vAlign w:val="top"/>
          </w:tcPr>
          <w:p w14:paraId="53C1D06F">
            <w:pPr>
              <w:pStyle w:val="21"/>
              <w:spacing w:line="294" w:lineRule="auto"/>
              <w:rPr>
                <w:rFonts w:hint="eastAsia" w:ascii="宋体" w:hAnsi="宋体" w:eastAsia="宋体" w:cs="宋体"/>
                <w:color w:val="auto"/>
                <w:highlight w:val="none"/>
              </w:rPr>
            </w:pPr>
          </w:p>
          <w:p w14:paraId="76CB7DF5">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310AE40">
            <w:pPr>
              <w:pStyle w:val="21"/>
              <w:spacing w:line="294" w:lineRule="auto"/>
              <w:rPr>
                <w:rFonts w:hint="eastAsia" w:ascii="宋体" w:hAnsi="宋体" w:eastAsia="宋体" w:cs="宋体"/>
                <w:color w:val="auto"/>
                <w:highlight w:val="none"/>
              </w:rPr>
            </w:pPr>
          </w:p>
          <w:p w14:paraId="4D2EE233">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4D942FE">
            <w:pPr>
              <w:pStyle w:val="21"/>
              <w:rPr>
                <w:rFonts w:hint="eastAsia" w:ascii="宋体" w:hAnsi="宋体" w:eastAsia="宋体" w:cs="宋体"/>
                <w:color w:val="auto"/>
                <w:highlight w:val="none"/>
              </w:rPr>
            </w:pPr>
          </w:p>
        </w:tc>
      </w:tr>
      <w:tr w14:paraId="15559B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E91FBFB">
            <w:pPr>
              <w:spacing w:before="126" w:line="221" w:lineRule="auto"/>
              <w:ind w:left="35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六、暗挖工程</w:t>
            </w:r>
          </w:p>
        </w:tc>
        <w:tc>
          <w:tcPr>
            <w:tcW w:w="1294" w:type="dxa"/>
            <w:vAlign w:val="top"/>
          </w:tcPr>
          <w:p w14:paraId="137FC89C">
            <w:pPr>
              <w:spacing w:before="126"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F652C1B">
            <w:pPr>
              <w:spacing w:before="126"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D8FEC99">
            <w:pPr>
              <w:pStyle w:val="21"/>
              <w:rPr>
                <w:rFonts w:hint="eastAsia" w:ascii="宋体" w:hAnsi="宋体" w:eastAsia="宋体" w:cs="宋体"/>
                <w:color w:val="auto"/>
                <w:highlight w:val="none"/>
              </w:rPr>
            </w:pPr>
          </w:p>
        </w:tc>
      </w:tr>
      <w:tr w14:paraId="4B8861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89E82C2">
            <w:pPr>
              <w:spacing w:before="128" w:line="328" w:lineRule="auto"/>
              <w:ind w:left="119" w:right="168" w:hanging="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采用矿山法、盾构法、顶管法施工的隧道、洞</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4"/>
                <w:sz w:val="24"/>
                <w:szCs w:val="24"/>
                <w:highlight w:val="none"/>
              </w:rPr>
              <w:t>室工程。</w:t>
            </w:r>
          </w:p>
        </w:tc>
        <w:tc>
          <w:tcPr>
            <w:tcW w:w="1294" w:type="dxa"/>
            <w:vAlign w:val="top"/>
          </w:tcPr>
          <w:p w14:paraId="69EA54F0">
            <w:pPr>
              <w:pStyle w:val="21"/>
              <w:spacing w:line="294" w:lineRule="auto"/>
              <w:rPr>
                <w:rFonts w:hint="eastAsia" w:ascii="宋体" w:hAnsi="宋体" w:eastAsia="宋体" w:cs="宋体"/>
                <w:color w:val="auto"/>
                <w:highlight w:val="none"/>
              </w:rPr>
            </w:pPr>
          </w:p>
          <w:p w14:paraId="25806042">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7831483">
            <w:pPr>
              <w:pStyle w:val="21"/>
              <w:spacing w:line="294" w:lineRule="auto"/>
              <w:rPr>
                <w:rFonts w:hint="eastAsia" w:ascii="宋体" w:hAnsi="宋体" w:eastAsia="宋体" w:cs="宋体"/>
                <w:color w:val="auto"/>
                <w:highlight w:val="none"/>
              </w:rPr>
            </w:pPr>
          </w:p>
          <w:p w14:paraId="551C407F">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91DD324">
            <w:pPr>
              <w:pStyle w:val="21"/>
              <w:rPr>
                <w:rFonts w:hint="eastAsia" w:ascii="宋体" w:hAnsi="宋体" w:eastAsia="宋体" w:cs="宋体"/>
                <w:color w:val="auto"/>
                <w:highlight w:val="none"/>
              </w:rPr>
            </w:pPr>
          </w:p>
        </w:tc>
      </w:tr>
      <w:tr w14:paraId="512FA1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63B8B64">
            <w:pPr>
              <w:spacing w:before="129" w:line="222"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七、其它</w:t>
            </w:r>
          </w:p>
        </w:tc>
        <w:tc>
          <w:tcPr>
            <w:tcW w:w="1294" w:type="dxa"/>
            <w:vAlign w:val="top"/>
          </w:tcPr>
          <w:p w14:paraId="041AFA2A">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06F78AB">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8F38261">
            <w:pPr>
              <w:pStyle w:val="21"/>
              <w:rPr>
                <w:rFonts w:hint="eastAsia" w:ascii="宋体" w:hAnsi="宋体" w:eastAsia="宋体" w:cs="宋体"/>
                <w:color w:val="auto"/>
                <w:highlight w:val="none"/>
              </w:rPr>
            </w:pPr>
          </w:p>
        </w:tc>
      </w:tr>
      <w:tr w14:paraId="610446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0BC9C24">
            <w:pPr>
              <w:spacing w:before="128"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（一）建筑幕墙安装工程。</w:t>
            </w:r>
          </w:p>
        </w:tc>
        <w:tc>
          <w:tcPr>
            <w:tcW w:w="1294" w:type="dxa"/>
            <w:vAlign w:val="top"/>
          </w:tcPr>
          <w:p w14:paraId="6935FC1C">
            <w:pPr>
              <w:spacing w:before="127"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4275F3F">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153FAD5">
            <w:pPr>
              <w:pStyle w:val="21"/>
              <w:rPr>
                <w:rFonts w:hint="eastAsia" w:ascii="宋体" w:hAnsi="宋体" w:eastAsia="宋体" w:cs="宋体"/>
                <w:color w:val="auto"/>
                <w:highlight w:val="none"/>
              </w:rPr>
            </w:pPr>
          </w:p>
        </w:tc>
      </w:tr>
      <w:tr w14:paraId="10816A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8649116">
            <w:pPr>
              <w:spacing w:before="128" w:line="221"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（二）钢结构、网架和索膜结构安装工程。</w:t>
            </w:r>
          </w:p>
        </w:tc>
        <w:tc>
          <w:tcPr>
            <w:tcW w:w="1294" w:type="dxa"/>
            <w:vAlign w:val="top"/>
          </w:tcPr>
          <w:p w14:paraId="5B256D88">
            <w:pPr>
              <w:spacing w:before="12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002621C">
            <w:pPr>
              <w:spacing w:before="12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9C7386C">
            <w:pPr>
              <w:pStyle w:val="21"/>
              <w:rPr>
                <w:rFonts w:hint="eastAsia" w:ascii="宋体" w:hAnsi="宋体" w:eastAsia="宋体" w:cs="宋体"/>
                <w:color w:val="auto"/>
                <w:highlight w:val="none"/>
              </w:rPr>
            </w:pPr>
          </w:p>
        </w:tc>
      </w:tr>
      <w:tr w14:paraId="6E0F45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7F48E3C">
            <w:pPr>
              <w:spacing w:before="128"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（三）人工挖孔桩工程。</w:t>
            </w:r>
          </w:p>
        </w:tc>
        <w:tc>
          <w:tcPr>
            <w:tcW w:w="1294" w:type="dxa"/>
            <w:vAlign w:val="top"/>
          </w:tcPr>
          <w:p w14:paraId="2B0443D0">
            <w:pPr>
              <w:spacing w:before="12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9457DD8">
            <w:pPr>
              <w:spacing w:before="12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B54B549">
            <w:pPr>
              <w:pStyle w:val="21"/>
              <w:rPr>
                <w:rFonts w:hint="eastAsia" w:ascii="宋体" w:hAnsi="宋体" w:eastAsia="宋体" w:cs="宋体"/>
                <w:color w:val="auto"/>
                <w:highlight w:val="none"/>
              </w:rPr>
            </w:pPr>
          </w:p>
        </w:tc>
      </w:tr>
      <w:tr w14:paraId="1D87E6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023A2A7">
            <w:pPr>
              <w:spacing w:before="129"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（四）水下作业工程。</w:t>
            </w:r>
          </w:p>
        </w:tc>
        <w:tc>
          <w:tcPr>
            <w:tcW w:w="1294" w:type="dxa"/>
            <w:vAlign w:val="top"/>
          </w:tcPr>
          <w:p w14:paraId="7FF1CEBB">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19BA99D">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9099C2E">
            <w:pPr>
              <w:pStyle w:val="21"/>
              <w:rPr>
                <w:rFonts w:hint="eastAsia" w:ascii="宋体" w:hAnsi="宋体" w:eastAsia="宋体" w:cs="宋体"/>
                <w:color w:val="auto"/>
                <w:highlight w:val="none"/>
              </w:rPr>
            </w:pPr>
          </w:p>
        </w:tc>
      </w:tr>
      <w:tr w14:paraId="0578EE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E2CFFC3">
            <w:pPr>
              <w:spacing w:before="129"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（五）装配式建筑混凝土预制构件安装工程。</w:t>
            </w:r>
          </w:p>
        </w:tc>
        <w:tc>
          <w:tcPr>
            <w:tcW w:w="1294" w:type="dxa"/>
            <w:vAlign w:val="top"/>
          </w:tcPr>
          <w:p w14:paraId="65C993F2">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4B18911">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0EEB872">
            <w:pPr>
              <w:pStyle w:val="21"/>
              <w:rPr>
                <w:rFonts w:hint="eastAsia" w:ascii="宋体" w:hAnsi="宋体" w:eastAsia="宋体" w:cs="宋体"/>
                <w:color w:val="auto"/>
                <w:highlight w:val="none"/>
              </w:rPr>
            </w:pPr>
          </w:p>
        </w:tc>
      </w:tr>
      <w:tr w14:paraId="13F167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2E07234">
            <w:pPr>
              <w:spacing w:before="129" w:line="345" w:lineRule="auto"/>
              <w:ind w:left="117" w:right="168" w:firstLine="1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（六）采用新技术、新工艺、新材料、新设备</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可能影响工程施工安全，尚无国家、行业及地</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1"/>
                <w:sz w:val="24"/>
                <w:szCs w:val="24"/>
                <w:highlight w:val="none"/>
              </w:rPr>
              <w:t>方技术标准的分部分项工程。</w:t>
            </w:r>
          </w:p>
        </w:tc>
        <w:tc>
          <w:tcPr>
            <w:tcW w:w="1294" w:type="dxa"/>
            <w:vAlign w:val="top"/>
          </w:tcPr>
          <w:p w14:paraId="173190AF">
            <w:pPr>
              <w:pStyle w:val="21"/>
              <w:spacing w:line="270" w:lineRule="auto"/>
              <w:rPr>
                <w:rFonts w:hint="eastAsia" w:ascii="宋体" w:hAnsi="宋体" w:eastAsia="宋体" w:cs="宋体"/>
                <w:color w:val="auto"/>
                <w:highlight w:val="none"/>
              </w:rPr>
            </w:pPr>
          </w:p>
          <w:p w14:paraId="25286718">
            <w:pPr>
              <w:pStyle w:val="21"/>
              <w:spacing w:line="271" w:lineRule="auto"/>
              <w:rPr>
                <w:rFonts w:hint="eastAsia" w:ascii="宋体" w:hAnsi="宋体" w:eastAsia="宋体" w:cs="宋体"/>
                <w:color w:val="auto"/>
                <w:highlight w:val="none"/>
              </w:rPr>
            </w:pPr>
          </w:p>
          <w:p w14:paraId="43C2B6E5">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98617CC">
            <w:pPr>
              <w:pStyle w:val="21"/>
              <w:spacing w:line="270" w:lineRule="auto"/>
              <w:rPr>
                <w:rFonts w:hint="eastAsia" w:ascii="宋体" w:hAnsi="宋体" w:eastAsia="宋体" w:cs="宋体"/>
                <w:color w:val="auto"/>
                <w:highlight w:val="none"/>
              </w:rPr>
            </w:pPr>
          </w:p>
          <w:p w14:paraId="178E42BF">
            <w:pPr>
              <w:pStyle w:val="21"/>
              <w:spacing w:line="271" w:lineRule="auto"/>
              <w:rPr>
                <w:rFonts w:hint="eastAsia" w:ascii="宋体" w:hAnsi="宋体" w:eastAsia="宋体" w:cs="宋体"/>
                <w:color w:val="auto"/>
                <w:highlight w:val="none"/>
              </w:rPr>
            </w:pPr>
          </w:p>
          <w:p w14:paraId="7C375C8E">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66939D6">
            <w:pPr>
              <w:pStyle w:val="21"/>
              <w:rPr>
                <w:rFonts w:hint="eastAsia" w:ascii="宋体" w:hAnsi="宋体" w:eastAsia="宋体" w:cs="宋体"/>
                <w:color w:val="auto"/>
                <w:highlight w:val="none"/>
              </w:rPr>
            </w:pPr>
          </w:p>
        </w:tc>
      </w:tr>
      <w:tr w14:paraId="3B5627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3107AB9">
            <w:pPr>
              <w:spacing w:before="129" w:line="328" w:lineRule="auto"/>
              <w:ind w:left="115" w:right="108" w:firstLine="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二、超过一定规模的危险性较大的分部分项工</w:t>
            </w:r>
            <w:r>
              <w:rPr>
                <w:rFonts w:hint="eastAsia" w:ascii="宋体" w:hAnsi="宋体" w:eastAsia="宋体" w:cs="宋体"/>
                <w:b/>
                <w:bCs/>
                <w:color w:val="auto"/>
                <w:spacing w:val="-5"/>
                <w:sz w:val="24"/>
                <w:szCs w:val="24"/>
                <w:highlight w:val="none"/>
              </w:rPr>
              <w:t>程清单</w:t>
            </w:r>
          </w:p>
        </w:tc>
        <w:tc>
          <w:tcPr>
            <w:tcW w:w="1294" w:type="dxa"/>
            <w:vAlign w:val="top"/>
          </w:tcPr>
          <w:p w14:paraId="5A67B5C5">
            <w:pPr>
              <w:pStyle w:val="21"/>
              <w:spacing w:line="295" w:lineRule="auto"/>
              <w:rPr>
                <w:rFonts w:hint="eastAsia" w:ascii="宋体" w:hAnsi="宋体" w:eastAsia="宋体" w:cs="宋体"/>
                <w:color w:val="auto"/>
                <w:highlight w:val="none"/>
              </w:rPr>
            </w:pPr>
          </w:p>
          <w:p w14:paraId="2D811006">
            <w:pPr>
              <w:spacing w:before="78" w:line="221" w:lineRule="auto"/>
              <w:ind w:left="206"/>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建设单位</w:t>
            </w:r>
          </w:p>
        </w:tc>
        <w:tc>
          <w:tcPr>
            <w:tcW w:w="1294" w:type="dxa"/>
            <w:vAlign w:val="top"/>
          </w:tcPr>
          <w:p w14:paraId="24A69ECB">
            <w:pPr>
              <w:pStyle w:val="21"/>
              <w:spacing w:line="295" w:lineRule="auto"/>
              <w:rPr>
                <w:rFonts w:hint="eastAsia" w:ascii="宋体" w:hAnsi="宋体" w:eastAsia="宋体" w:cs="宋体"/>
                <w:color w:val="auto"/>
                <w:highlight w:val="none"/>
              </w:rPr>
            </w:pPr>
          </w:p>
          <w:p w14:paraId="26DB2221">
            <w:pPr>
              <w:spacing w:before="78" w:line="221" w:lineRule="auto"/>
              <w:ind w:left="119"/>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投标单位</w:t>
            </w:r>
          </w:p>
        </w:tc>
        <w:tc>
          <w:tcPr>
            <w:tcW w:w="2428" w:type="dxa"/>
            <w:vAlign w:val="top"/>
          </w:tcPr>
          <w:p w14:paraId="7B1AFF26">
            <w:pPr>
              <w:pStyle w:val="21"/>
              <w:spacing w:line="295" w:lineRule="auto"/>
              <w:rPr>
                <w:rFonts w:hint="eastAsia" w:ascii="宋体" w:hAnsi="宋体" w:eastAsia="宋体" w:cs="宋体"/>
                <w:color w:val="auto"/>
                <w:highlight w:val="none"/>
              </w:rPr>
            </w:pPr>
          </w:p>
          <w:p w14:paraId="3584F90F">
            <w:pPr>
              <w:spacing w:before="78" w:line="222" w:lineRule="auto"/>
              <w:ind w:left="30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备注</w:t>
            </w:r>
          </w:p>
        </w:tc>
      </w:tr>
      <w:tr w14:paraId="4B6EE0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FFEC06F">
            <w:pPr>
              <w:spacing w:before="129" w:line="221"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一、深基坑工程</w:t>
            </w:r>
          </w:p>
        </w:tc>
        <w:tc>
          <w:tcPr>
            <w:tcW w:w="1294" w:type="dxa"/>
            <w:vAlign w:val="top"/>
          </w:tcPr>
          <w:p w14:paraId="0F1DCA38">
            <w:pPr>
              <w:spacing w:before="129"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A99B878">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A826AFC">
            <w:pPr>
              <w:pStyle w:val="21"/>
              <w:rPr>
                <w:rFonts w:hint="eastAsia" w:ascii="宋体" w:hAnsi="宋体" w:eastAsia="宋体" w:cs="宋体"/>
                <w:color w:val="auto"/>
                <w:highlight w:val="none"/>
              </w:rPr>
            </w:pPr>
          </w:p>
        </w:tc>
      </w:tr>
      <w:tr w14:paraId="70408D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C7BBDEF">
            <w:pPr>
              <w:spacing w:before="131" w:line="327" w:lineRule="auto"/>
              <w:ind w:left="117" w:right="10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开挖深度超过</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5"/>
                <w:sz w:val="24"/>
                <w:szCs w:val="24"/>
                <w:highlight w:val="none"/>
              </w:rPr>
              <w:t>5m（含</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5m）的基坑（槽）的土方</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开挖、支护、降水工程。</w:t>
            </w:r>
          </w:p>
        </w:tc>
        <w:tc>
          <w:tcPr>
            <w:tcW w:w="1294" w:type="dxa"/>
            <w:vAlign w:val="top"/>
          </w:tcPr>
          <w:p w14:paraId="1796810E">
            <w:pPr>
              <w:pStyle w:val="21"/>
              <w:spacing w:line="295" w:lineRule="auto"/>
              <w:rPr>
                <w:rFonts w:hint="eastAsia" w:ascii="宋体" w:hAnsi="宋体" w:eastAsia="宋体" w:cs="宋体"/>
                <w:color w:val="auto"/>
                <w:highlight w:val="none"/>
              </w:rPr>
            </w:pPr>
          </w:p>
          <w:p w14:paraId="37F2E30C">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B7F49D4">
            <w:pPr>
              <w:pStyle w:val="21"/>
              <w:spacing w:line="295" w:lineRule="auto"/>
              <w:rPr>
                <w:rFonts w:hint="eastAsia" w:ascii="宋体" w:hAnsi="宋体" w:eastAsia="宋体" w:cs="宋体"/>
                <w:color w:val="auto"/>
                <w:highlight w:val="none"/>
              </w:rPr>
            </w:pPr>
          </w:p>
          <w:p w14:paraId="005B6C9B">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6B784C5">
            <w:pPr>
              <w:pStyle w:val="21"/>
              <w:rPr>
                <w:rFonts w:hint="eastAsia" w:ascii="宋体" w:hAnsi="宋体" w:eastAsia="宋体" w:cs="宋体"/>
                <w:color w:val="auto"/>
                <w:highlight w:val="none"/>
              </w:rPr>
            </w:pPr>
          </w:p>
        </w:tc>
      </w:tr>
      <w:tr w14:paraId="67E021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072E12A">
            <w:pPr>
              <w:spacing w:before="130" w:line="219"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二、模板工程及支撑体系</w:t>
            </w:r>
          </w:p>
        </w:tc>
        <w:tc>
          <w:tcPr>
            <w:tcW w:w="1294" w:type="dxa"/>
            <w:vAlign w:val="top"/>
          </w:tcPr>
          <w:p w14:paraId="695E6722">
            <w:pPr>
              <w:spacing w:before="129"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default" w:ascii="宋体" w:hAnsi="宋体" w:eastAsia="宋体" w:cs="宋体"/>
                <w:color w:val="auto"/>
                <w:spacing w:val="2"/>
                <w:sz w:val="24"/>
                <w:szCs w:val="24"/>
                <w:highlight w:val="none"/>
                <w:lang w:val="en-US"/>
              </w:rPr>
              <w:t xml:space="preserve">  </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4D75F55">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9BB9547">
            <w:pPr>
              <w:pStyle w:val="21"/>
              <w:rPr>
                <w:rFonts w:hint="eastAsia" w:ascii="宋体" w:hAnsi="宋体" w:eastAsia="宋体" w:cs="宋体"/>
                <w:color w:val="auto"/>
                <w:highlight w:val="none"/>
              </w:rPr>
            </w:pPr>
          </w:p>
        </w:tc>
      </w:tr>
      <w:tr w14:paraId="10065A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25B4D44">
            <w:pPr>
              <w:spacing w:before="130" w:line="327" w:lineRule="auto"/>
              <w:ind w:left="123" w:right="25" w:firstLine="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（一）各类工具式模板工程：包括滑模、爬模、</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2"/>
                <w:sz w:val="24"/>
                <w:szCs w:val="24"/>
                <w:highlight w:val="none"/>
              </w:rPr>
              <w:t>飞模、隧道模等工程。</w:t>
            </w:r>
          </w:p>
        </w:tc>
        <w:tc>
          <w:tcPr>
            <w:tcW w:w="1294" w:type="dxa"/>
            <w:vAlign w:val="top"/>
          </w:tcPr>
          <w:p w14:paraId="333C7548">
            <w:pPr>
              <w:pStyle w:val="21"/>
              <w:spacing w:line="294" w:lineRule="auto"/>
              <w:rPr>
                <w:rFonts w:hint="eastAsia" w:ascii="宋体" w:hAnsi="宋体" w:eastAsia="宋体" w:cs="宋体"/>
                <w:color w:val="auto"/>
                <w:highlight w:val="none"/>
              </w:rPr>
            </w:pPr>
          </w:p>
          <w:p w14:paraId="40884F4C">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4BE3EB5">
            <w:pPr>
              <w:pStyle w:val="21"/>
              <w:spacing w:line="294" w:lineRule="auto"/>
              <w:rPr>
                <w:rFonts w:hint="eastAsia" w:ascii="宋体" w:hAnsi="宋体" w:eastAsia="宋体" w:cs="宋体"/>
                <w:color w:val="auto"/>
                <w:highlight w:val="none"/>
              </w:rPr>
            </w:pPr>
          </w:p>
          <w:p w14:paraId="4243723E">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6243DDE8">
            <w:pPr>
              <w:pStyle w:val="21"/>
              <w:rPr>
                <w:rFonts w:hint="eastAsia" w:ascii="宋体" w:hAnsi="宋体" w:eastAsia="宋体" w:cs="宋体"/>
                <w:color w:val="auto"/>
                <w:highlight w:val="none"/>
              </w:rPr>
            </w:pPr>
          </w:p>
        </w:tc>
      </w:tr>
      <w:tr w14:paraId="2F8211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B41265B">
            <w:pPr>
              <w:spacing w:before="132" w:line="353" w:lineRule="auto"/>
              <w:ind w:left="116" w:right="6" w:firstLine="11"/>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（二）混凝土模板支撑工程：搭设高度8m</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2"/>
                <w:sz w:val="24"/>
                <w:szCs w:val="24"/>
                <w:highlight w:val="none"/>
              </w:rPr>
              <w:t>及以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1"/>
                <w:sz w:val="24"/>
                <w:szCs w:val="24"/>
                <w:highlight w:val="none"/>
              </w:rPr>
              <w:t>上，或搭设跨度</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11"/>
                <w:sz w:val="24"/>
                <w:szCs w:val="24"/>
                <w:highlight w:val="none"/>
              </w:rPr>
              <w:t>18m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1"/>
                <w:sz w:val="24"/>
                <w:szCs w:val="24"/>
                <w:highlight w:val="none"/>
              </w:rPr>
              <w:t>及以上，或施工总荷载（设</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1"/>
                <w:sz w:val="24"/>
                <w:szCs w:val="24"/>
                <w:highlight w:val="none"/>
              </w:rPr>
              <w:t>计值）15kN/m2</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1"/>
                <w:sz w:val="24"/>
                <w:szCs w:val="24"/>
                <w:highlight w:val="none"/>
              </w:rPr>
              <w:t>及以上，或集中线荷载（设</w:t>
            </w:r>
            <w:r>
              <w:rPr>
                <w:rFonts w:hint="eastAsia" w:ascii="宋体" w:hAnsi="宋体" w:eastAsia="宋体" w:cs="宋体"/>
                <w:color w:val="auto"/>
                <w:spacing w:val="-12"/>
                <w:sz w:val="24"/>
                <w:szCs w:val="24"/>
                <w:highlight w:val="none"/>
              </w:rPr>
              <w:t>计值）</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20kN/m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及以上。</w:t>
            </w:r>
          </w:p>
        </w:tc>
        <w:tc>
          <w:tcPr>
            <w:tcW w:w="1294" w:type="dxa"/>
            <w:vAlign w:val="top"/>
          </w:tcPr>
          <w:p w14:paraId="3A659D94">
            <w:pPr>
              <w:pStyle w:val="21"/>
              <w:spacing w:line="262" w:lineRule="auto"/>
              <w:rPr>
                <w:rFonts w:hint="eastAsia" w:ascii="宋体" w:hAnsi="宋体" w:eastAsia="宋体" w:cs="宋体"/>
                <w:color w:val="auto"/>
                <w:highlight w:val="none"/>
              </w:rPr>
            </w:pPr>
          </w:p>
          <w:p w14:paraId="36D0E943">
            <w:pPr>
              <w:pStyle w:val="21"/>
              <w:spacing w:line="263" w:lineRule="auto"/>
              <w:rPr>
                <w:rFonts w:hint="eastAsia" w:ascii="宋体" w:hAnsi="宋体" w:eastAsia="宋体" w:cs="宋体"/>
                <w:color w:val="auto"/>
                <w:highlight w:val="none"/>
              </w:rPr>
            </w:pPr>
          </w:p>
          <w:p w14:paraId="36225E0A">
            <w:pPr>
              <w:pStyle w:val="21"/>
              <w:spacing w:line="263" w:lineRule="auto"/>
              <w:rPr>
                <w:rFonts w:hint="eastAsia" w:ascii="宋体" w:hAnsi="宋体" w:eastAsia="宋体" w:cs="宋体"/>
                <w:color w:val="auto"/>
                <w:highlight w:val="none"/>
              </w:rPr>
            </w:pPr>
          </w:p>
          <w:p w14:paraId="1B11D092">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6F36B3E">
            <w:pPr>
              <w:pStyle w:val="21"/>
              <w:spacing w:line="262" w:lineRule="auto"/>
              <w:rPr>
                <w:rFonts w:hint="eastAsia" w:ascii="宋体" w:hAnsi="宋体" w:eastAsia="宋体" w:cs="宋体"/>
                <w:color w:val="auto"/>
                <w:highlight w:val="none"/>
              </w:rPr>
            </w:pPr>
          </w:p>
          <w:p w14:paraId="39B92A8D">
            <w:pPr>
              <w:pStyle w:val="21"/>
              <w:spacing w:line="263" w:lineRule="auto"/>
              <w:rPr>
                <w:rFonts w:hint="eastAsia" w:ascii="宋体" w:hAnsi="宋体" w:eastAsia="宋体" w:cs="宋体"/>
                <w:color w:val="auto"/>
                <w:highlight w:val="none"/>
              </w:rPr>
            </w:pPr>
          </w:p>
          <w:p w14:paraId="52E91544">
            <w:pPr>
              <w:pStyle w:val="21"/>
              <w:spacing w:line="263" w:lineRule="auto"/>
              <w:rPr>
                <w:rFonts w:hint="eastAsia" w:ascii="宋体" w:hAnsi="宋体" w:eastAsia="宋体" w:cs="宋体"/>
                <w:color w:val="auto"/>
                <w:highlight w:val="none"/>
              </w:rPr>
            </w:pPr>
          </w:p>
          <w:p w14:paraId="4010B8F8">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6675310">
            <w:pPr>
              <w:pStyle w:val="21"/>
              <w:rPr>
                <w:rFonts w:hint="eastAsia" w:ascii="宋体" w:hAnsi="宋体" w:eastAsia="宋体" w:cs="宋体"/>
                <w:color w:val="auto"/>
                <w:highlight w:val="none"/>
              </w:rPr>
            </w:pPr>
          </w:p>
        </w:tc>
      </w:tr>
      <w:tr w14:paraId="314862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4038DE2">
            <w:pPr>
              <w:spacing w:before="131"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（三）承重支撑体系：用于钢结构安装等满堂</w:t>
            </w:r>
          </w:p>
        </w:tc>
        <w:tc>
          <w:tcPr>
            <w:tcW w:w="1294" w:type="dxa"/>
            <w:vAlign w:val="top"/>
          </w:tcPr>
          <w:p w14:paraId="7EA93CE0">
            <w:pPr>
              <w:spacing w:before="131"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89782CE">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E42B55B">
            <w:pPr>
              <w:pStyle w:val="21"/>
              <w:rPr>
                <w:rFonts w:hint="eastAsia" w:ascii="宋体" w:hAnsi="宋体" w:eastAsia="宋体" w:cs="宋体"/>
                <w:color w:val="auto"/>
                <w:highlight w:val="none"/>
              </w:rPr>
            </w:pPr>
          </w:p>
        </w:tc>
      </w:tr>
      <w:tr w14:paraId="0DCFCE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4CD01D5">
            <w:pPr>
              <w:spacing w:before="131" w:line="220" w:lineRule="auto"/>
              <w:ind w:left="11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支撑体系，承受单点集中荷载</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2"/>
                <w:sz w:val="24"/>
                <w:szCs w:val="24"/>
                <w:highlight w:val="none"/>
              </w:rPr>
              <w:t>7kN</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w:t>
            </w:r>
          </w:p>
        </w:tc>
        <w:tc>
          <w:tcPr>
            <w:tcW w:w="1294" w:type="dxa"/>
            <w:vAlign w:val="top"/>
          </w:tcPr>
          <w:p w14:paraId="3D707081">
            <w:pPr>
              <w:pStyle w:val="21"/>
              <w:rPr>
                <w:rFonts w:hint="eastAsia" w:ascii="宋体" w:hAnsi="宋体" w:eastAsia="宋体" w:cs="宋体"/>
                <w:color w:val="auto"/>
                <w:highlight w:val="none"/>
              </w:rPr>
            </w:pPr>
          </w:p>
        </w:tc>
        <w:tc>
          <w:tcPr>
            <w:tcW w:w="1294" w:type="dxa"/>
            <w:vAlign w:val="top"/>
          </w:tcPr>
          <w:p w14:paraId="53A736AF">
            <w:pPr>
              <w:pStyle w:val="21"/>
              <w:rPr>
                <w:rFonts w:hint="eastAsia" w:ascii="宋体" w:hAnsi="宋体" w:eastAsia="宋体" w:cs="宋体"/>
                <w:color w:val="auto"/>
                <w:highlight w:val="none"/>
              </w:rPr>
            </w:pPr>
          </w:p>
        </w:tc>
        <w:tc>
          <w:tcPr>
            <w:tcW w:w="2428" w:type="dxa"/>
            <w:vAlign w:val="top"/>
          </w:tcPr>
          <w:p w14:paraId="56059996">
            <w:pPr>
              <w:pStyle w:val="21"/>
              <w:rPr>
                <w:rFonts w:hint="eastAsia" w:ascii="宋体" w:hAnsi="宋体" w:eastAsia="宋体" w:cs="宋体"/>
                <w:color w:val="auto"/>
                <w:highlight w:val="none"/>
              </w:rPr>
            </w:pPr>
          </w:p>
        </w:tc>
      </w:tr>
      <w:tr w14:paraId="718D0E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B0C9181">
            <w:pPr>
              <w:spacing w:before="128" w:line="219" w:lineRule="auto"/>
              <w:ind w:left="35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三、起重吊装及起重机械安装拆卸工程</w:t>
            </w:r>
          </w:p>
        </w:tc>
        <w:tc>
          <w:tcPr>
            <w:tcW w:w="1294" w:type="dxa"/>
            <w:vAlign w:val="top"/>
          </w:tcPr>
          <w:p w14:paraId="5DAC60BF">
            <w:pPr>
              <w:spacing w:before="127"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4A1EBF1">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8A51EE5">
            <w:pPr>
              <w:pStyle w:val="21"/>
              <w:rPr>
                <w:rFonts w:hint="eastAsia" w:ascii="宋体" w:hAnsi="宋体" w:eastAsia="宋体" w:cs="宋体"/>
                <w:color w:val="auto"/>
                <w:highlight w:val="none"/>
              </w:rPr>
            </w:pPr>
          </w:p>
        </w:tc>
      </w:tr>
      <w:tr w14:paraId="723FC7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2A57479">
            <w:pPr>
              <w:spacing w:before="129" w:line="328" w:lineRule="auto"/>
              <w:ind w:left="144" w:right="168" w:hanging="1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（一）采用非常规起重设备、方法，且单件起</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4"/>
                <w:sz w:val="24"/>
                <w:szCs w:val="24"/>
                <w:highlight w:val="none"/>
              </w:rPr>
              <w:t>吊重量在</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100kN</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4"/>
                <w:sz w:val="24"/>
                <w:szCs w:val="24"/>
                <w:highlight w:val="none"/>
              </w:rPr>
              <w:t>及以上的起重吊装工程。</w:t>
            </w:r>
          </w:p>
        </w:tc>
        <w:tc>
          <w:tcPr>
            <w:tcW w:w="1294" w:type="dxa"/>
            <w:vAlign w:val="top"/>
          </w:tcPr>
          <w:p w14:paraId="2AF28C1D">
            <w:pPr>
              <w:pStyle w:val="21"/>
              <w:spacing w:line="295" w:lineRule="auto"/>
              <w:rPr>
                <w:rFonts w:hint="eastAsia" w:ascii="宋体" w:hAnsi="宋体" w:eastAsia="宋体" w:cs="宋体"/>
                <w:color w:val="auto"/>
                <w:highlight w:val="none"/>
              </w:rPr>
            </w:pPr>
          </w:p>
          <w:p w14:paraId="68D38ADD">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DDBCC99">
            <w:pPr>
              <w:pStyle w:val="21"/>
              <w:spacing w:line="295" w:lineRule="auto"/>
              <w:rPr>
                <w:rFonts w:hint="eastAsia" w:ascii="宋体" w:hAnsi="宋体" w:eastAsia="宋体" w:cs="宋体"/>
                <w:color w:val="auto"/>
                <w:highlight w:val="none"/>
              </w:rPr>
            </w:pPr>
          </w:p>
          <w:p w14:paraId="26478C8F">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DAC0590">
            <w:pPr>
              <w:pStyle w:val="21"/>
              <w:rPr>
                <w:rFonts w:hint="eastAsia" w:ascii="宋体" w:hAnsi="宋体" w:eastAsia="宋体" w:cs="宋体"/>
                <w:color w:val="auto"/>
                <w:highlight w:val="none"/>
              </w:rPr>
            </w:pPr>
          </w:p>
        </w:tc>
      </w:tr>
      <w:tr w14:paraId="7A49CE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C5F7230">
            <w:pPr>
              <w:spacing w:before="129" w:line="345" w:lineRule="auto"/>
              <w:ind w:left="115" w:right="105" w:firstLine="12"/>
              <w:jc w:val="both"/>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（二）起重量</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12"/>
                <w:sz w:val="24"/>
                <w:szCs w:val="24"/>
                <w:highlight w:val="none"/>
              </w:rPr>
              <w:t>300kN</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2"/>
                <w:sz w:val="24"/>
                <w:szCs w:val="24"/>
                <w:highlight w:val="none"/>
              </w:rPr>
              <w:t>及以上，或搭设总高度</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12"/>
                <w:sz w:val="24"/>
                <w:szCs w:val="24"/>
                <w:highlight w:val="none"/>
              </w:rPr>
              <w:t>200m</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及以上，或搭设基础标高在</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4"/>
                <w:sz w:val="24"/>
                <w:szCs w:val="24"/>
                <w:highlight w:val="none"/>
              </w:rPr>
              <w:t>200m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及以上的起重</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机械安装和拆卸工程。</w:t>
            </w:r>
          </w:p>
        </w:tc>
        <w:tc>
          <w:tcPr>
            <w:tcW w:w="1294" w:type="dxa"/>
            <w:vAlign w:val="top"/>
          </w:tcPr>
          <w:p w14:paraId="3C812803">
            <w:pPr>
              <w:pStyle w:val="21"/>
              <w:spacing w:line="270" w:lineRule="auto"/>
              <w:rPr>
                <w:rFonts w:hint="eastAsia" w:ascii="宋体" w:hAnsi="宋体" w:eastAsia="宋体" w:cs="宋体"/>
                <w:color w:val="auto"/>
                <w:highlight w:val="none"/>
              </w:rPr>
            </w:pPr>
          </w:p>
          <w:p w14:paraId="5121DDDA">
            <w:pPr>
              <w:pStyle w:val="21"/>
              <w:spacing w:line="270" w:lineRule="auto"/>
              <w:rPr>
                <w:rFonts w:hint="eastAsia" w:ascii="宋体" w:hAnsi="宋体" w:eastAsia="宋体" w:cs="宋体"/>
                <w:color w:val="auto"/>
                <w:highlight w:val="none"/>
              </w:rPr>
            </w:pPr>
          </w:p>
          <w:p w14:paraId="560FB691">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2976141">
            <w:pPr>
              <w:pStyle w:val="21"/>
              <w:spacing w:line="270" w:lineRule="auto"/>
              <w:rPr>
                <w:rFonts w:hint="eastAsia" w:ascii="宋体" w:hAnsi="宋体" w:eastAsia="宋体" w:cs="宋体"/>
                <w:color w:val="auto"/>
                <w:highlight w:val="none"/>
              </w:rPr>
            </w:pPr>
          </w:p>
          <w:p w14:paraId="0F0AF9F1">
            <w:pPr>
              <w:pStyle w:val="21"/>
              <w:spacing w:line="270" w:lineRule="auto"/>
              <w:rPr>
                <w:rFonts w:hint="eastAsia" w:ascii="宋体" w:hAnsi="宋体" w:eastAsia="宋体" w:cs="宋体"/>
                <w:color w:val="auto"/>
                <w:highlight w:val="none"/>
              </w:rPr>
            </w:pPr>
          </w:p>
          <w:p w14:paraId="69309DD2">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436BC6D">
            <w:pPr>
              <w:pStyle w:val="21"/>
              <w:rPr>
                <w:rFonts w:hint="eastAsia" w:ascii="宋体" w:hAnsi="宋体" w:eastAsia="宋体" w:cs="宋体"/>
                <w:color w:val="auto"/>
                <w:highlight w:val="none"/>
              </w:rPr>
            </w:pPr>
          </w:p>
        </w:tc>
      </w:tr>
      <w:tr w14:paraId="0E46CF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528645FA">
            <w:pPr>
              <w:spacing w:before="128" w:line="219" w:lineRule="auto"/>
              <w:ind w:left="1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四、脚手架工程</w:t>
            </w:r>
          </w:p>
        </w:tc>
        <w:tc>
          <w:tcPr>
            <w:tcW w:w="1294" w:type="dxa"/>
            <w:vAlign w:val="top"/>
          </w:tcPr>
          <w:p w14:paraId="67CC54F8">
            <w:pPr>
              <w:spacing w:before="127"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D0B7418">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66E3407">
            <w:pPr>
              <w:pStyle w:val="21"/>
              <w:rPr>
                <w:rFonts w:hint="eastAsia" w:ascii="宋体" w:hAnsi="宋体" w:eastAsia="宋体" w:cs="宋体"/>
                <w:color w:val="auto"/>
                <w:highlight w:val="none"/>
              </w:rPr>
            </w:pPr>
          </w:p>
        </w:tc>
      </w:tr>
      <w:tr w14:paraId="20CD77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8FD09B2">
            <w:pPr>
              <w:spacing w:before="128" w:line="328"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（一）搭设高度</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50m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3"/>
                <w:sz w:val="24"/>
                <w:szCs w:val="24"/>
                <w:highlight w:val="none"/>
              </w:rPr>
              <w:t>及以上的落地式钢管脚手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架工程。</w:t>
            </w:r>
          </w:p>
        </w:tc>
        <w:tc>
          <w:tcPr>
            <w:tcW w:w="1294" w:type="dxa"/>
            <w:vAlign w:val="top"/>
          </w:tcPr>
          <w:p w14:paraId="30FE1B6D">
            <w:pPr>
              <w:pStyle w:val="21"/>
              <w:spacing w:line="296" w:lineRule="auto"/>
              <w:rPr>
                <w:rFonts w:hint="eastAsia" w:ascii="宋体" w:hAnsi="宋体" w:eastAsia="宋体" w:cs="宋体"/>
                <w:color w:val="auto"/>
                <w:highlight w:val="none"/>
              </w:rPr>
            </w:pPr>
          </w:p>
          <w:p w14:paraId="49A947C9">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645D770">
            <w:pPr>
              <w:pStyle w:val="21"/>
              <w:spacing w:line="296" w:lineRule="auto"/>
              <w:rPr>
                <w:rFonts w:hint="eastAsia" w:ascii="宋体" w:hAnsi="宋体" w:eastAsia="宋体" w:cs="宋体"/>
                <w:color w:val="auto"/>
                <w:highlight w:val="none"/>
              </w:rPr>
            </w:pPr>
          </w:p>
          <w:p w14:paraId="0046F705">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5A45629">
            <w:pPr>
              <w:pStyle w:val="21"/>
              <w:rPr>
                <w:rFonts w:hint="eastAsia" w:ascii="宋体" w:hAnsi="宋体" w:eastAsia="宋体" w:cs="宋体"/>
                <w:color w:val="auto"/>
                <w:highlight w:val="none"/>
              </w:rPr>
            </w:pPr>
          </w:p>
        </w:tc>
      </w:tr>
      <w:tr w14:paraId="4C2B79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31197BD">
            <w:pPr>
              <w:spacing w:before="131" w:line="327" w:lineRule="auto"/>
              <w:ind w:left="116" w:right="105" w:firstLine="11"/>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（二）提升高度在</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6"/>
                <w:sz w:val="24"/>
                <w:szCs w:val="24"/>
                <w:highlight w:val="none"/>
                <w:lang w:eastAsia="zh-CN"/>
              </w:rPr>
              <w:t>450</w:t>
            </w:r>
            <w:r>
              <w:rPr>
                <w:rFonts w:hint="eastAsia" w:ascii="宋体" w:hAnsi="宋体" w:eastAsia="宋体" w:cs="宋体"/>
                <w:color w:val="auto"/>
                <w:spacing w:val="-6"/>
                <w:sz w:val="24"/>
                <w:szCs w:val="24"/>
                <w:highlight w:val="none"/>
              </w:rPr>
              <w:t>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6"/>
                <w:sz w:val="24"/>
                <w:szCs w:val="24"/>
                <w:highlight w:val="none"/>
              </w:rPr>
              <w:t>及以上的附着式升降脚</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手架工程或附着式升降操作平台工程。</w:t>
            </w:r>
          </w:p>
        </w:tc>
        <w:tc>
          <w:tcPr>
            <w:tcW w:w="1294" w:type="dxa"/>
            <w:vAlign w:val="top"/>
          </w:tcPr>
          <w:p w14:paraId="26E4FDC5">
            <w:pPr>
              <w:pStyle w:val="21"/>
              <w:spacing w:line="296" w:lineRule="auto"/>
              <w:rPr>
                <w:rFonts w:hint="eastAsia" w:ascii="宋体" w:hAnsi="宋体" w:eastAsia="宋体" w:cs="宋体"/>
                <w:color w:val="auto"/>
                <w:highlight w:val="none"/>
              </w:rPr>
            </w:pPr>
          </w:p>
          <w:p w14:paraId="558431DE">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E227112">
            <w:pPr>
              <w:pStyle w:val="21"/>
              <w:spacing w:line="296" w:lineRule="auto"/>
              <w:rPr>
                <w:rFonts w:hint="eastAsia" w:ascii="宋体" w:hAnsi="宋体" w:eastAsia="宋体" w:cs="宋体"/>
                <w:color w:val="auto"/>
                <w:highlight w:val="none"/>
              </w:rPr>
            </w:pPr>
          </w:p>
          <w:p w14:paraId="4D51D49D">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D447CAF">
            <w:pPr>
              <w:pStyle w:val="21"/>
              <w:rPr>
                <w:rFonts w:hint="eastAsia" w:ascii="宋体" w:hAnsi="宋体" w:eastAsia="宋体" w:cs="宋体"/>
                <w:color w:val="auto"/>
                <w:highlight w:val="none"/>
              </w:rPr>
            </w:pPr>
          </w:p>
        </w:tc>
      </w:tr>
      <w:tr w14:paraId="4390B4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02DA04D">
            <w:pPr>
              <w:spacing w:before="129" w:line="328" w:lineRule="auto"/>
              <w:ind w:left="115" w:right="168" w:firstLine="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（三）分段架体搭设高度</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2"/>
                <w:sz w:val="24"/>
                <w:szCs w:val="24"/>
                <w:highlight w:val="none"/>
              </w:rPr>
              <w:t>20m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及以上的悬挑式</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脚手架工程。</w:t>
            </w:r>
          </w:p>
        </w:tc>
        <w:tc>
          <w:tcPr>
            <w:tcW w:w="1294" w:type="dxa"/>
            <w:vAlign w:val="top"/>
          </w:tcPr>
          <w:p w14:paraId="1A4DC673">
            <w:pPr>
              <w:pStyle w:val="21"/>
              <w:spacing w:line="297" w:lineRule="auto"/>
              <w:rPr>
                <w:rFonts w:hint="eastAsia" w:ascii="宋体" w:hAnsi="宋体" w:eastAsia="宋体" w:cs="宋体"/>
                <w:color w:val="auto"/>
                <w:highlight w:val="none"/>
              </w:rPr>
            </w:pPr>
          </w:p>
          <w:p w14:paraId="13C8F70D">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78C3E33">
            <w:pPr>
              <w:pStyle w:val="21"/>
              <w:spacing w:line="297" w:lineRule="auto"/>
              <w:rPr>
                <w:rFonts w:hint="eastAsia" w:ascii="宋体" w:hAnsi="宋体" w:eastAsia="宋体" w:cs="宋体"/>
                <w:color w:val="auto"/>
                <w:highlight w:val="none"/>
              </w:rPr>
            </w:pPr>
          </w:p>
          <w:p w14:paraId="69F6EABF">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36FB7CE">
            <w:pPr>
              <w:pStyle w:val="21"/>
              <w:rPr>
                <w:rFonts w:hint="eastAsia" w:ascii="宋体" w:hAnsi="宋体" w:eastAsia="宋体" w:cs="宋体"/>
                <w:color w:val="auto"/>
                <w:highlight w:val="none"/>
              </w:rPr>
            </w:pPr>
          </w:p>
        </w:tc>
      </w:tr>
      <w:tr w14:paraId="19A540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E027364">
            <w:pPr>
              <w:spacing w:before="131" w:line="220"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五、拆除工程</w:t>
            </w:r>
          </w:p>
        </w:tc>
        <w:tc>
          <w:tcPr>
            <w:tcW w:w="1294" w:type="dxa"/>
            <w:vAlign w:val="top"/>
          </w:tcPr>
          <w:p w14:paraId="252E8CF3">
            <w:pPr>
              <w:spacing w:before="158"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2E328A9">
            <w:pPr>
              <w:spacing w:before="15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B214F7F">
            <w:pPr>
              <w:pStyle w:val="21"/>
              <w:rPr>
                <w:rFonts w:hint="eastAsia" w:ascii="宋体" w:hAnsi="宋体" w:eastAsia="宋体" w:cs="宋体"/>
                <w:color w:val="auto"/>
                <w:highlight w:val="none"/>
              </w:rPr>
            </w:pPr>
          </w:p>
        </w:tc>
      </w:tr>
      <w:tr w14:paraId="533AC8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FD68D25">
            <w:pPr>
              <w:spacing w:before="132" w:line="353" w:lineRule="auto"/>
              <w:ind w:left="115" w:right="168" w:firstLine="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（一）码头、桥梁、高架、烟囱、水塔或拆除</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中容易引起有毒有害气（液）体或粉尘扩散、</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易燃易爆事故发生的特殊建、构筑物的拆除工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5"/>
                <w:sz w:val="24"/>
                <w:szCs w:val="24"/>
                <w:highlight w:val="none"/>
              </w:rPr>
              <w:t>程。</w:t>
            </w:r>
          </w:p>
        </w:tc>
        <w:tc>
          <w:tcPr>
            <w:tcW w:w="1294" w:type="dxa"/>
            <w:vAlign w:val="top"/>
          </w:tcPr>
          <w:p w14:paraId="06E4383E">
            <w:pPr>
              <w:pStyle w:val="21"/>
              <w:spacing w:line="262" w:lineRule="auto"/>
              <w:rPr>
                <w:rFonts w:hint="eastAsia" w:ascii="宋体" w:hAnsi="宋体" w:eastAsia="宋体" w:cs="宋体"/>
                <w:color w:val="auto"/>
                <w:highlight w:val="none"/>
              </w:rPr>
            </w:pPr>
          </w:p>
          <w:p w14:paraId="7376B21D">
            <w:pPr>
              <w:pStyle w:val="21"/>
              <w:spacing w:line="262" w:lineRule="auto"/>
              <w:rPr>
                <w:rFonts w:hint="eastAsia" w:ascii="宋体" w:hAnsi="宋体" w:eastAsia="宋体" w:cs="宋体"/>
                <w:color w:val="auto"/>
                <w:highlight w:val="none"/>
              </w:rPr>
            </w:pPr>
          </w:p>
          <w:p w14:paraId="5707BFC6">
            <w:pPr>
              <w:pStyle w:val="21"/>
              <w:spacing w:line="262" w:lineRule="auto"/>
              <w:rPr>
                <w:rFonts w:hint="eastAsia" w:ascii="宋体" w:hAnsi="宋体" w:eastAsia="宋体" w:cs="宋体"/>
                <w:color w:val="auto"/>
                <w:highlight w:val="none"/>
              </w:rPr>
            </w:pPr>
          </w:p>
          <w:p w14:paraId="07A1B4B9">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AA7B904">
            <w:pPr>
              <w:pStyle w:val="21"/>
              <w:spacing w:line="262" w:lineRule="auto"/>
              <w:rPr>
                <w:rFonts w:hint="eastAsia" w:ascii="宋体" w:hAnsi="宋体" w:eastAsia="宋体" w:cs="宋体"/>
                <w:color w:val="auto"/>
                <w:highlight w:val="none"/>
              </w:rPr>
            </w:pPr>
          </w:p>
          <w:p w14:paraId="60B86E07">
            <w:pPr>
              <w:pStyle w:val="21"/>
              <w:spacing w:line="262" w:lineRule="auto"/>
              <w:rPr>
                <w:rFonts w:hint="eastAsia" w:ascii="宋体" w:hAnsi="宋体" w:eastAsia="宋体" w:cs="宋体"/>
                <w:color w:val="auto"/>
                <w:highlight w:val="none"/>
              </w:rPr>
            </w:pPr>
          </w:p>
          <w:p w14:paraId="069EBF28">
            <w:pPr>
              <w:pStyle w:val="21"/>
              <w:spacing w:line="262" w:lineRule="auto"/>
              <w:rPr>
                <w:rFonts w:hint="eastAsia" w:ascii="宋体" w:hAnsi="宋体" w:eastAsia="宋体" w:cs="宋体"/>
                <w:color w:val="auto"/>
                <w:highlight w:val="none"/>
              </w:rPr>
            </w:pPr>
          </w:p>
          <w:p w14:paraId="6B21D267">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744C282">
            <w:pPr>
              <w:pStyle w:val="21"/>
              <w:rPr>
                <w:rFonts w:hint="eastAsia" w:ascii="宋体" w:hAnsi="宋体" w:eastAsia="宋体" w:cs="宋体"/>
                <w:color w:val="auto"/>
                <w:highlight w:val="none"/>
              </w:rPr>
            </w:pPr>
          </w:p>
        </w:tc>
      </w:tr>
      <w:tr w14:paraId="7A72A5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3409FFD">
            <w:pPr>
              <w:spacing w:before="131" w:line="327"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（二）文物保护建筑、优秀历史建筑或历史文</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化风貌区影响范围内的拆除工程。</w:t>
            </w:r>
          </w:p>
        </w:tc>
        <w:tc>
          <w:tcPr>
            <w:tcW w:w="1294" w:type="dxa"/>
            <w:vAlign w:val="top"/>
          </w:tcPr>
          <w:p w14:paraId="4FDC9077">
            <w:pPr>
              <w:pStyle w:val="21"/>
              <w:spacing w:line="297" w:lineRule="auto"/>
              <w:rPr>
                <w:rFonts w:hint="eastAsia" w:ascii="宋体" w:hAnsi="宋体" w:eastAsia="宋体" w:cs="宋体"/>
                <w:color w:val="auto"/>
                <w:highlight w:val="none"/>
              </w:rPr>
            </w:pPr>
          </w:p>
          <w:p w14:paraId="557EC15C">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B5B90DE">
            <w:pPr>
              <w:pStyle w:val="21"/>
              <w:spacing w:line="297" w:lineRule="auto"/>
              <w:rPr>
                <w:rFonts w:hint="eastAsia" w:ascii="宋体" w:hAnsi="宋体" w:eastAsia="宋体" w:cs="宋体"/>
                <w:color w:val="auto"/>
                <w:highlight w:val="none"/>
              </w:rPr>
            </w:pPr>
          </w:p>
          <w:p w14:paraId="4F686E90">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662BBBA6">
            <w:pPr>
              <w:pStyle w:val="21"/>
              <w:rPr>
                <w:rFonts w:hint="eastAsia" w:ascii="宋体" w:hAnsi="宋体" w:eastAsia="宋体" w:cs="宋体"/>
                <w:color w:val="auto"/>
                <w:highlight w:val="none"/>
              </w:rPr>
            </w:pPr>
          </w:p>
        </w:tc>
      </w:tr>
      <w:tr w14:paraId="13DCE6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48FBF8E">
            <w:pPr>
              <w:spacing w:before="131" w:line="221" w:lineRule="auto"/>
              <w:ind w:left="11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六、暗挖工程</w:t>
            </w:r>
          </w:p>
        </w:tc>
        <w:tc>
          <w:tcPr>
            <w:tcW w:w="1294" w:type="dxa"/>
            <w:vAlign w:val="top"/>
          </w:tcPr>
          <w:p w14:paraId="655538CD">
            <w:pPr>
              <w:spacing w:before="140"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EC7D9AB">
            <w:pPr>
              <w:spacing w:before="14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A7A96A4">
            <w:pPr>
              <w:pStyle w:val="21"/>
              <w:rPr>
                <w:rFonts w:hint="eastAsia" w:ascii="宋体" w:hAnsi="宋体" w:eastAsia="宋体" w:cs="宋体"/>
                <w:color w:val="auto"/>
                <w:highlight w:val="none"/>
              </w:rPr>
            </w:pPr>
          </w:p>
        </w:tc>
      </w:tr>
      <w:tr w14:paraId="3C44D3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AE3583D">
            <w:pPr>
              <w:spacing w:before="131" w:line="327" w:lineRule="auto"/>
              <w:ind w:left="119" w:right="168" w:hanging="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采用矿山法、盾构法、顶管法施工的隧道、洞</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4"/>
                <w:sz w:val="24"/>
                <w:szCs w:val="24"/>
                <w:highlight w:val="none"/>
              </w:rPr>
              <w:t>室工程。</w:t>
            </w:r>
          </w:p>
        </w:tc>
        <w:tc>
          <w:tcPr>
            <w:tcW w:w="1294" w:type="dxa"/>
            <w:vAlign w:val="top"/>
          </w:tcPr>
          <w:p w14:paraId="0D94965A">
            <w:pPr>
              <w:pStyle w:val="21"/>
              <w:spacing w:line="298" w:lineRule="auto"/>
              <w:rPr>
                <w:rFonts w:hint="eastAsia" w:ascii="宋体" w:hAnsi="宋体" w:eastAsia="宋体" w:cs="宋体"/>
                <w:color w:val="auto"/>
                <w:highlight w:val="none"/>
              </w:rPr>
            </w:pPr>
          </w:p>
          <w:p w14:paraId="107BA7A6">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9BE5B49">
            <w:pPr>
              <w:pStyle w:val="21"/>
              <w:spacing w:line="298" w:lineRule="auto"/>
              <w:rPr>
                <w:rFonts w:hint="eastAsia" w:ascii="宋体" w:hAnsi="宋体" w:eastAsia="宋体" w:cs="宋体"/>
                <w:color w:val="auto"/>
                <w:highlight w:val="none"/>
              </w:rPr>
            </w:pPr>
          </w:p>
          <w:p w14:paraId="5C719A3E">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FC8E31C">
            <w:pPr>
              <w:pStyle w:val="21"/>
              <w:rPr>
                <w:rFonts w:hint="eastAsia" w:ascii="宋体" w:hAnsi="宋体" w:eastAsia="宋体" w:cs="宋体"/>
                <w:color w:val="auto"/>
                <w:highlight w:val="none"/>
              </w:rPr>
            </w:pPr>
          </w:p>
        </w:tc>
      </w:tr>
      <w:tr w14:paraId="532C0E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1EE62D7">
            <w:pPr>
              <w:spacing w:before="130" w:line="222"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七、其它</w:t>
            </w:r>
          </w:p>
        </w:tc>
        <w:tc>
          <w:tcPr>
            <w:tcW w:w="1294" w:type="dxa"/>
            <w:vAlign w:val="top"/>
          </w:tcPr>
          <w:p w14:paraId="0EBCA3B5">
            <w:pPr>
              <w:spacing w:before="130"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E4A9485">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1FFA8E9">
            <w:pPr>
              <w:pStyle w:val="21"/>
              <w:rPr>
                <w:rFonts w:hint="eastAsia" w:ascii="宋体" w:hAnsi="宋体" w:eastAsia="宋体" w:cs="宋体"/>
                <w:color w:val="auto"/>
                <w:highlight w:val="none"/>
              </w:rPr>
            </w:pPr>
          </w:p>
        </w:tc>
      </w:tr>
      <w:tr w14:paraId="2CEB38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1320CB1">
            <w:pPr>
              <w:spacing w:before="130" w:line="327" w:lineRule="auto"/>
              <w:ind w:left="115" w:right="168" w:firstLine="1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（一）施工高度</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50m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3"/>
                <w:sz w:val="24"/>
                <w:szCs w:val="24"/>
                <w:highlight w:val="none"/>
              </w:rPr>
              <w:t>及以上的建筑幕墙安装工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5"/>
                <w:sz w:val="24"/>
                <w:szCs w:val="24"/>
                <w:highlight w:val="none"/>
              </w:rPr>
              <w:t>程。</w:t>
            </w:r>
          </w:p>
        </w:tc>
        <w:tc>
          <w:tcPr>
            <w:tcW w:w="1294" w:type="dxa"/>
            <w:vAlign w:val="top"/>
          </w:tcPr>
          <w:p w14:paraId="6875389F">
            <w:pPr>
              <w:pStyle w:val="21"/>
              <w:spacing w:line="297" w:lineRule="auto"/>
              <w:rPr>
                <w:rFonts w:hint="eastAsia" w:ascii="宋体" w:hAnsi="宋体" w:eastAsia="宋体" w:cs="宋体"/>
                <w:color w:val="auto"/>
                <w:highlight w:val="none"/>
              </w:rPr>
            </w:pPr>
          </w:p>
          <w:p w14:paraId="6D662840">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7AE4538">
            <w:pPr>
              <w:pStyle w:val="21"/>
              <w:spacing w:line="297" w:lineRule="auto"/>
              <w:rPr>
                <w:rFonts w:hint="eastAsia" w:ascii="宋体" w:hAnsi="宋体" w:eastAsia="宋体" w:cs="宋体"/>
                <w:color w:val="auto"/>
                <w:highlight w:val="none"/>
              </w:rPr>
            </w:pPr>
          </w:p>
          <w:p w14:paraId="42F57BE7">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D9A8755">
            <w:pPr>
              <w:pStyle w:val="21"/>
              <w:rPr>
                <w:rFonts w:hint="eastAsia" w:ascii="宋体" w:hAnsi="宋体" w:eastAsia="宋体" w:cs="宋体"/>
                <w:color w:val="auto"/>
                <w:highlight w:val="none"/>
              </w:rPr>
            </w:pPr>
          </w:p>
        </w:tc>
      </w:tr>
      <w:tr w14:paraId="6CB92A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2D73F987">
            <w:pPr>
              <w:spacing w:before="130" w:line="221"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（二）跨度</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2"/>
                <w:sz w:val="24"/>
                <w:szCs w:val="24"/>
                <w:highlight w:val="none"/>
              </w:rPr>
              <w:t>36m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及以上的钢结构安装工程，或</w:t>
            </w:r>
          </w:p>
        </w:tc>
        <w:tc>
          <w:tcPr>
            <w:tcW w:w="1294" w:type="dxa"/>
            <w:vAlign w:val="top"/>
          </w:tcPr>
          <w:p w14:paraId="58CC489C">
            <w:pPr>
              <w:spacing w:before="130"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B6EC6D0">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0D5DCE7">
            <w:pPr>
              <w:pStyle w:val="21"/>
              <w:rPr>
                <w:rFonts w:hint="eastAsia" w:ascii="宋体" w:hAnsi="宋体" w:eastAsia="宋体" w:cs="宋体"/>
                <w:color w:val="auto"/>
                <w:highlight w:val="none"/>
              </w:rPr>
            </w:pPr>
          </w:p>
        </w:tc>
      </w:tr>
      <w:tr w14:paraId="483863DC">
        <w:tblPrEx>
          <w:tblCellMar>
            <w:top w:w="0" w:type="dxa"/>
            <w:left w:w="0" w:type="dxa"/>
            <w:bottom w:w="0" w:type="dxa"/>
            <w:right w:w="0" w:type="dxa"/>
          </w:tblCellMar>
        </w:tblPrEx>
        <w:trPr>
          <w:trHeight w:val="0" w:hRule="atLeast"/>
          <w:jc w:val="center"/>
        </w:trPr>
        <w:tc>
          <w:tcPr>
            <w:tcW w:w="4864" w:type="dxa"/>
            <w:gridSpan w:val="2"/>
            <w:vAlign w:val="top"/>
          </w:tcPr>
          <w:p w14:paraId="1A2E1211">
            <w:pPr>
              <w:spacing w:before="131" w:line="221" w:lineRule="auto"/>
              <w:ind w:left="116"/>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跨度</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2"/>
                <w:sz w:val="24"/>
                <w:szCs w:val="24"/>
                <w:highlight w:val="none"/>
              </w:rPr>
              <w:t>60m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及以上的网架和索膜结构安装工程。</w:t>
            </w:r>
          </w:p>
        </w:tc>
        <w:tc>
          <w:tcPr>
            <w:tcW w:w="1294" w:type="dxa"/>
            <w:vAlign w:val="top"/>
          </w:tcPr>
          <w:p w14:paraId="605F2EF6">
            <w:pPr>
              <w:pStyle w:val="21"/>
              <w:rPr>
                <w:rFonts w:hint="eastAsia" w:ascii="宋体" w:hAnsi="宋体" w:eastAsia="宋体" w:cs="宋体"/>
                <w:color w:val="auto"/>
                <w:highlight w:val="none"/>
              </w:rPr>
            </w:pPr>
          </w:p>
        </w:tc>
        <w:tc>
          <w:tcPr>
            <w:tcW w:w="1294" w:type="dxa"/>
            <w:vAlign w:val="top"/>
          </w:tcPr>
          <w:p w14:paraId="5D1675CC">
            <w:pPr>
              <w:pStyle w:val="21"/>
              <w:rPr>
                <w:rFonts w:hint="eastAsia" w:ascii="宋体" w:hAnsi="宋体" w:eastAsia="宋体" w:cs="宋体"/>
                <w:color w:val="auto"/>
                <w:highlight w:val="none"/>
              </w:rPr>
            </w:pPr>
          </w:p>
        </w:tc>
        <w:tc>
          <w:tcPr>
            <w:tcW w:w="2428" w:type="dxa"/>
            <w:vAlign w:val="top"/>
          </w:tcPr>
          <w:p w14:paraId="0D243CC5">
            <w:pPr>
              <w:pStyle w:val="21"/>
              <w:rPr>
                <w:rFonts w:hint="eastAsia" w:ascii="宋体" w:hAnsi="宋体" w:eastAsia="宋体" w:cs="宋体"/>
                <w:color w:val="auto"/>
                <w:highlight w:val="none"/>
              </w:rPr>
            </w:pPr>
          </w:p>
        </w:tc>
      </w:tr>
      <w:tr w14:paraId="76966F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3A897C1">
            <w:pPr>
              <w:spacing w:before="127" w:line="220"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（三）开挖深度</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7"/>
                <w:sz w:val="24"/>
                <w:szCs w:val="24"/>
                <w:highlight w:val="none"/>
              </w:rPr>
              <w:t>16m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7"/>
                <w:sz w:val="24"/>
                <w:szCs w:val="24"/>
                <w:highlight w:val="none"/>
              </w:rPr>
              <w:t>及以上的人工挖孔桩工程。</w:t>
            </w:r>
          </w:p>
        </w:tc>
        <w:tc>
          <w:tcPr>
            <w:tcW w:w="1294" w:type="dxa"/>
            <w:vAlign w:val="top"/>
          </w:tcPr>
          <w:p w14:paraId="1DFBD658">
            <w:pPr>
              <w:spacing w:before="127"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A4710CA">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8555BA1">
            <w:pPr>
              <w:pStyle w:val="21"/>
              <w:rPr>
                <w:rFonts w:hint="eastAsia" w:ascii="宋体" w:hAnsi="宋体" w:eastAsia="宋体" w:cs="宋体"/>
                <w:color w:val="auto"/>
                <w:highlight w:val="none"/>
              </w:rPr>
            </w:pPr>
          </w:p>
        </w:tc>
      </w:tr>
      <w:tr w14:paraId="2B8E78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2F49CBC9">
            <w:pPr>
              <w:spacing w:before="129"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（四）水下作业工程。</w:t>
            </w:r>
          </w:p>
        </w:tc>
        <w:tc>
          <w:tcPr>
            <w:tcW w:w="1294" w:type="dxa"/>
            <w:vAlign w:val="top"/>
          </w:tcPr>
          <w:p w14:paraId="23AC72B5">
            <w:pPr>
              <w:spacing w:before="163"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9BDB79A">
            <w:pPr>
              <w:spacing w:before="163"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25C0773">
            <w:pPr>
              <w:pStyle w:val="21"/>
              <w:rPr>
                <w:rFonts w:hint="eastAsia" w:ascii="宋体" w:hAnsi="宋体" w:eastAsia="宋体" w:cs="宋体"/>
                <w:color w:val="auto"/>
                <w:highlight w:val="none"/>
              </w:rPr>
            </w:pPr>
          </w:p>
        </w:tc>
      </w:tr>
      <w:tr w14:paraId="71E566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1065D67">
            <w:pPr>
              <w:spacing w:before="130" w:line="327" w:lineRule="auto"/>
              <w:ind w:left="115" w:right="25" w:firstLine="12"/>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（五）重量</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8"/>
                <w:sz w:val="24"/>
                <w:szCs w:val="24"/>
                <w:highlight w:val="none"/>
              </w:rPr>
              <w:t>1000kN及以上的大型结构整体顶升、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平移、转体等施工工艺。</w:t>
            </w:r>
          </w:p>
        </w:tc>
        <w:tc>
          <w:tcPr>
            <w:tcW w:w="1294" w:type="dxa"/>
            <w:vAlign w:val="top"/>
          </w:tcPr>
          <w:p w14:paraId="2C9AAB19">
            <w:pPr>
              <w:pStyle w:val="21"/>
              <w:spacing w:line="296" w:lineRule="auto"/>
              <w:rPr>
                <w:rFonts w:hint="eastAsia" w:ascii="宋体" w:hAnsi="宋体" w:eastAsia="宋体" w:cs="宋体"/>
                <w:color w:val="auto"/>
                <w:highlight w:val="none"/>
              </w:rPr>
            </w:pPr>
          </w:p>
          <w:p w14:paraId="4876A57F">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76200BC">
            <w:pPr>
              <w:pStyle w:val="21"/>
              <w:spacing w:line="296" w:lineRule="auto"/>
              <w:rPr>
                <w:rFonts w:hint="eastAsia" w:ascii="宋体" w:hAnsi="宋体" w:eastAsia="宋体" w:cs="宋体"/>
                <w:color w:val="auto"/>
                <w:highlight w:val="none"/>
              </w:rPr>
            </w:pPr>
          </w:p>
          <w:p w14:paraId="7AB7C83F">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E4D7469">
            <w:pPr>
              <w:pStyle w:val="21"/>
              <w:rPr>
                <w:rFonts w:hint="eastAsia" w:ascii="宋体" w:hAnsi="宋体" w:eastAsia="宋体" w:cs="宋体"/>
                <w:color w:val="auto"/>
                <w:highlight w:val="none"/>
              </w:rPr>
            </w:pPr>
          </w:p>
        </w:tc>
      </w:tr>
      <w:tr w14:paraId="6ACD16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2AABE9E">
            <w:pPr>
              <w:spacing w:before="129" w:line="346" w:lineRule="auto"/>
              <w:ind w:left="117" w:right="168" w:firstLine="1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（六）采用新技术、新工艺、新材料、新设备</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可能影响工程施工安全，尚无国家、行业及地</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1"/>
                <w:sz w:val="24"/>
                <w:szCs w:val="24"/>
                <w:highlight w:val="none"/>
              </w:rPr>
              <w:t>方技术标准的分部分项工程。</w:t>
            </w:r>
          </w:p>
        </w:tc>
        <w:tc>
          <w:tcPr>
            <w:tcW w:w="1294" w:type="dxa"/>
            <w:vAlign w:val="top"/>
          </w:tcPr>
          <w:p w14:paraId="2B72A05D">
            <w:pPr>
              <w:pStyle w:val="21"/>
              <w:spacing w:line="272" w:lineRule="auto"/>
              <w:rPr>
                <w:rFonts w:hint="eastAsia" w:ascii="宋体" w:hAnsi="宋体" w:eastAsia="宋体" w:cs="宋体"/>
                <w:color w:val="auto"/>
                <w:highlight w:val="none"/>
              </w:rPr>
            </w:pPr>
          </w:p>
          <w:p w14:paraId="5116E607">
            <w:pPr>
              <w:pStyle w:val="21"/>
              <w:spacing w:line="272" w:lineRule="auto"/>
              <w:rPr>
                <w:rFonts w:hint="eastAsia" w:ascii="宋体" w:hAnsi="宋体" w:eastAsia="宋体" w:cs="宋体"/>
                <w:color w:val="auto"/>
                <w:highlight w:val="none"/>
              </w:rPr>
            </w:pPr>
          </w:p>
          <w:p w14:paraId="1D92D5C4">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13E1CBC">
            <w:pPr>
              <w:pStyle w:val="21"/>
              <w:spacing w:line="272" w:lineRule="auto"/>
              <w:rPr>
                <w:rFonts w:hint="eastAsia" w:ascii="宋体" w:hAnsi="宋体" w:eastAsia="宋体" w:cs="宋体"/>
                <w:color w:val="auto"/>
                <w:highlight w:val="none"/>
              </w:rPr>
            </w:pPr>
          </w:p>
          <w:p w14:paraId="6170A90B">
            <w:pPr>
              <w:pStyle w:val="21"/>
              <w:spacing w:line="272" w:lineRule="auto"/>
              <w:rPr>
                <w:rFonts w:hint="eastAsia" w:ascii="宋体" w:hAnsi="宋体" w:eastAsia="宋体" w:cs="宋体"/>
                <w:color w:val="auto"/>
                <w:highlight w:val="none"/>
              </w:rPr>
            </w:pPr>
          </w:p>
          <w:p w14:paraId="154F4BC5">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DE1D241">
            <w:pPr>
              <w:pStyle w:val="21"/>
              <w:rPr>
                <w:rFonts w:hint="eastAsia" w:ascii="宋体" w:hAnsi="宋体" w:eastAsia="宋体" w:cs="宋体"/>
                <w:color w:val="auto"/>
                <w:highlight w:val="none"/>
              </w:rPr>
            </w:pPr>
          </w:p>
        </w:tc>
      </w:tr>
    </w:tbl>
    <w:p w14:paraId="6E4A0502">
      <w:pPr>
        <w:pStyle w:val="5"/>
        <w:spacing w:line="288" w:lineRule="auto"/>
        <w:rPr>
          <w:rFonts w:hint="eastAsia" w:ascii="宋体" w:hAnsi="宋体" w:eastAsia="宋体" w:cs="宋体"/>
          <w:color w:val="auto"/>
          <w:highlight w:val="none"/>
        </w:rPr>
      </w:pPr>
    </w:p>
    <w:p w14:paraId="75FD8B74">
      <w:pPr>
        <w:pStyle w:val="5"/>
        <w:spacing w:line="288" w:lineRule="auto"/>
        <w:rPr>
          <w:rFonts w:hint="eastAsia" w:ascii="宋体" w:hAnsi="宋体" w:eastAsia="宋体" w:cs="宋体"/>
          <w:color w:val="auto"/>
          <w:highlight w:val="none"/>
        </w:rPr>
      </w:pPr>
    </w:p>
    <w:p w14:paraId="3445358B">
      <w:pPr>
        <w:spacing w:before="21" w:line="376" w:lineRule="exact"/>
        <w:ind w:firstLine="520" w:firstLineChars="200"/>
        <w:rPr>
          <w:rFonts w:hint="eastAsia" w:ascii="宋体" w:hAnsi="宋体" w:eastAsia="宋体" w:cs="宋体"/>
          <w:color w:val="auto"/>
          <w:spacing w:val="9"/>
          <w:sz w:val="24"/>
          <w:szCs w:val="24"/>
          <w:highlight w:val="none"/>
          <w:lang w:eastAsia="zh-CN"/>
        </w:rPr>
      </w:pPr>
      <w:r>
        <w:rPr>
          <w:rFonts w:hint="eastAsia" w:ascii="宋体" w:hAnsi="宋体" w:eastAsia="宋体" w:cs="宋体"/>
          <w:color w:val="auto"/>
          <w:spacing w:val="10"/>
          <w:sz w:val="24"/>
          <w:szCs w:val="24"/>
          <w:highlight w:val="none"/>
        </w:rPr>
        <w:t>备注：1.根据《危险性较大的分部分项工程安全管理</w:t>
      </w:r>
      <w:r>
        <w:rPr>
          <w:rFonts w:hint="eastAsia" w:ascii="宋体" w:hAnsi="宋体" w:eastAsia="宋体" w:cs="宋体"/>
          <w:color w:val="auto"/>
          <w:spacing w:val="9"/>
          <w:sz w:val="24"/>
          <w:szCs w:val="24"/>
          <w:highlight w:val="none"/>
        </w:rPr>
        <w:t>规定》，该《危险性较大的分部分项工程清单及超</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9"/>
          <w:sz w:val="24"/>
          <w:szCs w:val="24"/>
          <w:highlight w:val="none"/>
        </w:rPr>
        <w:t>过一定规模的危险性较大的分部分项工程清单》</w:t>
      </w:r>
      <w:r>
        <w:rPr>
          <w:rFonts w:hint="eastAsia" w:ascii="宋体" w:hAnsi="宋体" w:eastAsia="宋体" w:cs="宋体"/>
          <w:color w:val="auto"/>
          <w:spacing w:val="9"/>
          <w:sz w:val="24"/>
          <w:szCs w:val="24"/>
          <w:highlight w:val="none"/>
          <w:lang w:eastAsia="zh-CN"/>
        </w:rPr>
        <w:t>应由建设单位组织勘察、设计等单位在招标文件中“勾选（对应项打“√”标识”危险性较大的分部分项工程。</w:t>
      </w:r>
    </w:p>
    <w:p w14:paraId="21F57ACA">
      <w:pPr>
        <w:spacing w:before="21" w:line="376" w:lineRule="exact"/>
        <w:ind w:firstLine="51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2.该《危险性较大的分部分项工程清单及超过一定规模的危险性较</w:t>
      </w:r>
      <w:r>
        <w:rPr>
          <w:rFonts w:hint="eastAsia" w:ascii="宋体" w:hAnsi="宋体" w:eastAsia="宋体" w:cs="宋体"/>
          <w:color w:val="auto"/>
          <w:spacing w:val="7"/>
          <w:sz w:val="24"/>
          <w:szCs w:val="24"/>
          <w:highlight w:val="none"/>
        </w:rPr>
        <w:t>大的分部分项工程清单》在办理</w:t>
      </w:r>
      <w:r>
        <w:rPr>
          <w:rFonts w:hint="eastAsia" w:ascii="宋体" w:hAnsi="宋体" w:eastAsia="宋体" w:cs="宋体"/>
          <w:color w:val="auto"/>
          <w:spacing w:val="10"/>
          <w:sz w:val="24"/>
          <w:szCs w:val="24"/>
          <w:highlight w:val="none"/>
        </w:rPr>
        <w:t>建设项目施工许可时必须提供，且各地建设行政主管部门可按照《广东省建设工</w:t>
      </w:r>
      <w:r>
        <w:rPr>
          <w:rFonts w:hint="eastAsia" w:ascii="宋体" w:hAnsi="宋体" w:eastAsia="宋体" w:cs="宋体"/>
          <w:color w:val="auto"/>
          <w:spacing w:val="9"/>
          <w:sz w:val="24"/>
          <w:szCs w:val="24"/>
          <w:highlight w:val="none"/>
        </w:rPr>
        <w:t>程项目招标中标后监督</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检查办法》相关规定开展检查。</w:t>
      </w:r>
    </w:p>
    <w:p w14:paraId="7A1DC17D">
      <w:pPr>
        <w:spacing w:before="28" w:line="228" w:lineRule="auto"/>
        <w:ind w:left="553" w:leftChars="244" w:hanging="41" w:hangingChars="16"/>
        <w:rPr>
          <w:rFonts w:hint="eastAsia" w:ascii="宋体" w:hAnsi="宋体" w:eastAsia="宋体" w:cs="宋体"/>
          <w:color w:val="auto"/>
          <w:spacing w:val="8"/>
          <w:sz w:val="24"/>
          <w:szCs w:val="24"/>
          <w:highlight w:val="none"/>
          <w:lang w:eastAsia="zh-CN"/>
        </w:rPr>
      </w:pPr>
      <w:r>
        <w:rPr>
          <w:rFonts w:hint="eastAsia" w:ascii="宋体" w:hAnsi="宋体" w:eastAsia="宋体" w:cs="宋体"/>
          <w:color w:val="auto"/>
          <w:spacing w:val="9"/>
          <w:sz w:val="24"/>
          <w:szCs w:val="24"/>
          <w:highlight w:val="none"/>
        </w:rPr>
        <w:t>3.如果需要（如需要通过计算编制专项方案，或者需要专家论证</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9"/>
          <w:sz w:val="24"/>
          <w:szCs w:val="24"/>
          <w:highlight w:val="none"/>
        </w:rPr>
        <w:t>可中</w:t>
      </w:r>
      <w:r>
        <w:rPr>
          <w:rFonts w:hint="eastAsia" w:ascii="宋体" w:hAnsi="宋体" w:eastAsia="宋体" w:cs="宋体"/>
          <w:color w:val="auto"/>
          <w:spacing w:val="8"/>
          <w:sz w:val="24"/>
          <w:szCs w:val="24"/>
          <w:highlight w:val="none"/>
        </w:rPr>
        <w:t>标后提供</w:t>
      </w:r>
      <w:r>
        <w:rPr>
          <w:rFonts w:hint="eastAsia" w:ascii="宋体" w:hAnsi="宋体" w:eastAsia="宋体" w:cs="宋体"/>
          <w:color w:val="auto"/>
          <w:spacing w:val="8"/>
          <w:sz w:val="24"/>
          <w:szCs w:val="24"/>
          <w:highlight w:val="none"/>
          <w:lang w:eastAsia="zh-CN"/>
        </w:rPr>
        <w:t>详细版。</w:t>
      </w:r>
    </w:p>
    <w:p w14:paraId="07D02C66">
      <w:pPr>
        <w:rPr>
          <w:color w:val="auto"/>
          <w:highlight w:val="none"/>
        </w:rPr>
      </w:pPr>
    </w:p>
    <w:p w14:paraId="086DFF7E">
      <w:pPr>
        <w:pStyle w:val="13"/>
        <w:rPr>
          <w:rFonts w:hint="eastAsia" w:ascii="宋体" w:hAnsi="宋体" w:eastAsia="宋体" w:cs="宋体"/>
          <w:b/>
          <w:bCs/>
          <w:color w:val="auto"/>
          <w:spacing w:val="-4"/>
          <w:sz w:val="24"/>
          <w:szCs w:val="24"/>
          <w:highlight w:val="none"/>
        </w:rPr>
      </w:pPr>
    </w:p>
    <w:p w14:paraId="4D9F0099">
      <w:pPr>
        <w:pStyle w:val="13"/>
        <w:rPr>
          <w:rFonts w:hint="eastAsia" w:ascii="宋体" w:hAnsi="宋体" w:eastAsia="宋体" w:cs="宋体"/>
          <w:b/>
          <w:bCs/>
          <w:color w:val="auto"/>
          <w:spacing w:val="-4"/>
          <w:sz w:val="24"/>
          <w:szCs w:val="24"/>
          <w:highlight w:val="none"/>
        </w:rPr>
      </w:pPr>
    </w:p>
    <w:p w14:paraId="1872DDAC">
      <w:pPr>
        <w:pStyle w:val="13"/>
        <w:rPr>
          <w:rFonts w:hint="eastAsia" w:ascii="宋体" w:hAnsi="宋体" w:eastAsia="宋体" w:cs="宋体"/>
          <w:b/>
          <w:bCs/>
          <w:color w:val="auto"/>
          <w:spacing w:val="-4"/>
          <w:sz w:val="24"/>
          <w:szCs w:val="24"/>
          <w:highlight w:val="none"/>
        </w:rPr>
      </w:pPr>
    </w:p>
    <w:p w14:paraId="102A38AF">
      <w:pPr>
        <w:pStyle w:val="13"/>
        <w:rPr>
          <w:rFonts w:hint="eastAsia" w:ascii="宋体" w:hAnsi="宋体" w:eastAsia="宋体" w:cs="宋体"/>
          <w:b/>
          <w:bCs/>
          <w:color w:val="auto"/>
          <w:spacing w:val="-4"/>
          <w:sz w:val="24"/>
          <w:szCs w:val="24"/>
          <w:highlight w:val="none"/>
        </w:rPr>
      </w:pPr>
    </w:p>
    <w:p w14:paraId="2E1BA95E">
      <w:pPr>
        <w:pStyle w:val="13"/>
        <w:rPr>
          <w:rFonts w:hint="eastAsia" w:ascii="宋体" w:hAnsi="宋体" w:eastAsia="宋体" w:cs="宋体"/>
          <w:b/>
          <w:bCs/>
          <w:color w:val="auto"/>
          <w:spacing w:val="-4"/>
          <w:sz w:val="24"/>
          <w:szCs w:val="24"/>
          <w:highlight w:val="none"/>
        </w:rPr>
      </w:pPr>
    </w:p>
    <w:p w14:paraId="738EC21D">
      <w:pPr>
        <w:pStyle w:val="13"/>
        <w:ind w:left="0" w:leftChars="0" w:firstLine="0" w:firstLineChars="0"/>
        <w:rPr>
          <w:rFonts w:hint="eastAsia" w:ascii="宋体" w:hAnsi="宋体" w:eastAsia="宋体" w:cs="宋体"/>
          <w:b/>
          <w:bCs/>
          <w:color w:val="auto"/>
          <w:spacing w:val="-4"/>
          <w:sz w:val="24"/>
          <w:szCs w:val="24"/>
          <w:highlight w:val="none"/>
        </w:rPr>
      </w:pPr>
    </w:p>
    <w:p w14:paraId="5A49A582">
      <w:pPr>
        <w:spacing w:before="78" w:line="220" w:lineRule="auto"/>
        <w:jc w:val="left"/>
        <w:outlineLvl w:val="9"/>
        <w:rPr>
          <w:rFonts w:hint="eastAsia" w:ascii="宋体" w:hAnsi="宋体" w:eastAsia="宋体" w:cs="宋体"/>
          <w:b/>
          <w:bCs/>
          <w:color w:val="auto"/>
          <w:spacing w:val="-4"/>
          <w:sz w:val="24"/>
          <w:szCs w:val="24"/>
          <w:highlight w:val="none"/>
        </w:rPr>
      </w:pPr>
    </w:p>
    <w:p w14:paraId="6BEB6D14">
      <w:pPr>
        <w:rPr>
          <w:rFonts w:hint="eastAsia" w:ascii="宋体" w:hAnsi="宋体" w:eastAsia="宋体" w:cs="宋体"/>
          <w:b/>
          <w:bCs/>
          <w:color w:val="auto"/>
          <w:spacing w:val="-4"/>
          <w:sz w:val="24"/>
          <w:szCs w:val="24"/>
          <w:highlight w:val="none"/>
        </w:rPr>
      </w:pPr>
      <w:r>
        <w:rPr>
          <w:rFonts w:hint="eastAsia" w:ascii="宋体" w:hAnsi="宋体" w:eastAsia="宋体" w:cs="宋体"/>
          <w:b/>
          <w:bCs/>
          <w:color w:val="auto"/>
          <w:spacing w:val="-4"/>
          <w:sz w:val="24"/>
          <w:szCs w:val="24"/>
          <w:highlight w:val="none"/>
        </w:rPr>
        <w:br w:type="page"/>
      </w:r>
    </w:p>
    <w:p w14:paraId="246AA64C">
      <w:pPr>
        <w:spacing w:before="78" w:line="220" w:lineRule="auto"/>
        <w:jc w:val="both"/>
        <w:outlineLvl w:val="2"/>
        <w:rPr>
          <w:rFonts w:hint="default" w:ascii="宋体" w:hAnsi="宋体" w:eastAsia="宋体" w:cs="宋体"/>
          <w:b/>
          <w:bCs/>
          <w:color w:val="auto"/>
          <w:spacing w:val="-4"/>
          <w:sz w:val="24"/>
          <w:szCs w:val="24"/>
          <w:highlight w:val="none"/>
          <w:lang w:val="en-US" w:eastAsia="zh-CN"/>
        </w:rPr>
      </w:pPr>
      <w:bookmarkStart w:id="272" w:name="_Toc738"/>
      <w:r>
        <w:rPr>
          <w:rFonts w:hint="eastAsia" w:ascii="宋体" w:hAnsi="宋体" w:eastAsia="宋体" w:cs="宋体"/>
          <w:b/>
          <w:bCs/>
          <w:color w:val="auto"/>
          <w:spacing w:val="-4"/>
          <w:sz w:val="24"/>
          <w:szCs w:val="24"/>
          <w:highlight w:val="none"/>
        </w:rPr>
        <w:t>格式十四</w:t>
      </w:r>
      <w:r>
        <w:rPr>
          <w:rFonts w:hint="eastAsia" w:ascii="宋体" w:hAnsi="宋体" w:eastAsia="宋体" w:cs="宋体"/>
          <w:b/>
          <w:bCs/>
          <w:color w:val="auto"/>
          <w:spacing w:val="-4"/>
          <w:sz w:val="24"/>
          <w:szCs w:val="24"/>
          <w:highlight w:val="none"/>
          <w:lang w:val="en-US" w:eastAsia="zh-CN"/>
        </w:rPr>
        <w:t xml:space="preserve">  </w:t>
      </w:r>
      <w:r>
        <w:rPr>
          <w:rFonts w:hint="eastAsia" w:ascii="宋体" w:hAnsi="宋体" w:eastAsia="宋体" w:cs="宋体"/>
          <w:b/>
          <w:bCs/>
          <w:color w:val="auto"/>
          <w:spacing w:val="4"/>
          <w:position w:val="3"/>
          <w:sz w:val="21"/>
          <w:szCs w:val="21"/>
          <w:highlight w:val="none"/>
        </w:rPr>
        <w:t>投标保证金信用承诺函</w:t>
      </w:r>
      <w:bookmarkEnd w:id="272"/>
    </w:p>
    <w:p w14:paraId="4FA8B08B">
      <w:pPr>
        <w:spacing w:before="140" w:line="604" w:lineRule="exact"/>
        <w:jc w:val="center"/>
        <w:rPr>
          <w:rFonts w:hint="eastAsia" w:ascii="宋体" w:hAnsi="宋体" w:eastAsia="宋体" w:cs="宋体"/>
          <w:color w:val="auto"/>
          <w:sz w:val="28"/>
          <w:szCs w:val="28"/>
          <w:highlight w:val="none"/>
        </w:rPr>
      </w:pPr>
      <w:r>
        <w:rPr>
          <w:rFonts w:hint="eastAsia" w:ascii="宋体" w:hAnsi="宋体" w:eastAsia="宋体" w:cs="宋体"/>
          <w:b/>
          <w:bCs/>
          <w:color w:val="auto"/>
          <w:spacing w:val="4"/>
          <w:position w:val="3"/>
          <w:sz w:val="28"/>
          <w:szCs w:val="28"/>
          <w:highlight w:val="none"/>
        </w:rPr>
        <w:t>投标保证金信用承诺函</w:t>
      </w:r>
    </w:p>
    <w:p w14:paraId="551571E0">
      <w:pPr>
        <w:pStyle w:val="5"/>
        <w:spacing w:line="408" w:lineRule="auto"/>
        <w:rPr>
          <w:rFonts w:hint="eastAsia" w:ascii="宋体" w:hAnsi="宋体" w:eastAsia="宋体" w:cs="宋体"/>
          <w:color w:val="auto"/>
          <w:highlight w:val="none"/>
        </w:rPr>
      </w:pPr>
    </w:p>
    <w:p w14:paraId="234CE695">
      <w:pPr>
        <w:spacing w:before="101" w:line="257" w:lineRule="auto"/>
        <w:ind w:left="3" w:firstLine="965"/>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一、</w:t>
      </w:r>
      <w:r>
        <w:rPr>
          <w:rFonts w:hint="eastAsia" w:ascii="宋体" w:hAnsi="宋体" w:eastAsia="宋体" w:cs="宋体"/>
          <w:color w:val="auto"/>
          <w:spacing w:val="7"/>
          <w:sz w:val="24"/>
          <w:szCs w:val="24"/>
          <w:highlight w:val="none"/>
        </w:rPr>
        <w:t>我单位参加</w:t>
      </w:r>
      <w:r>
        <w:rPr>
          <w:rFonts w:hint="eastAsia" w:ascii="宋体" w:hAnsi="宋体" w:eastAsia="宋体" w:cs="宋体"/>
          <w:color w:val="auto"/>
          <w:spacing w:val="7"/>
          <w:sz w:val="24"/>
          <w:szCs w:val="24"/>
          <w:highlight w:val="none"/>
          <w:u w:val="single"/>
        </w:rPr>
        <w:t xml:space="preserve">  （工程项目名称）  </w:t>
      </w:r>
      <w:r>
        <w:rPr>
          <w:rFonts w:hint="eastAsia" w:ascii="宋体" w:hAnsi="宋体" w:eastAsia="宋体" w:cs="宋体"/>
          <w:color w:val="auto"/>
          <w:spacing w:val="-116"/>
          <w:sz w:val="24"/>
          <w:szCs w:val="24"/>
          <w:highlight w:val="none"/>
        </w:rPr>
        <w:t xml:space="preserve"> </w:t>
      </w:r>
      <w:r>
        <w:rPr>
          <w:rFonts w:hint="eastAsia" w:ascii="宋体" w:hAnsi="宋体" w:eastAsia="宋体" w:cs="宋体"/>
          <w:color w:val="auto"/>
          <w:spacing w:val="7"/>
          <w:sz w:val="24"/>
          <w:szCs w:val="24"/>
          <w:highlight w:val="none"/>
        </w:rPr>
        <w:t>的投标活动，</w:t>
      </w:r>
      <w:r>
        <w:rPr>
          <w:rFonts w:hint="eastAsia" w:ascii="宋体" w:hAnsi="宋体" w:eastAsia="宋体" w:cs="宋体"/>
          <w:color w:val="auto"/>
          <w:spacing w:val="6"/>
          <w:sz w:val="24"/>
          <w:szCs w:val="24"/>
          <w:highlight w:val="none"/>
        </w:rPr>
        <w:t>现承</w:t>
      </w:r>
      <w:r>
        <w:rPr>
          <w:rFonts w:hint="eastAsia" w:ascii="宋体" w:hAnsi="宋体" w:eastAsia="宋体" w:cs="宋体"/>
          <w:color w:val="auto"/>
          <w:spacing w:val="9"/>
          <w:sz w:val="24"/>
          <w:szCs w:val="24"/>
          <w:highlight w:val="none"/>
        </w:rPr>
        <w:t>诺：将严格按照法律法规规定参与交易活动，按照招标文件要求</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依法履行投标人义务；我方若出现违反《中华人民共和国招标投</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标法》、《中华人民共和国招标投标法实施条例》、《电子招标</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投标办法》等有关法律法规的行为，将于投标有效期内全额付清</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7"/>
          <w:sz w:val="24"/>
          <w:szCs w:val="24"/>
          <w:highlight w:val="none"/>
        </w:rPr>
        <w:t>招标文件规定的投标保证金</w:t>
      </w:r>
      <w:r>
        <w:rPr>
          <w:rFonts w:hint="eastAsia" w:ascii="宋体" w:hAnsi="宋体" w:eastAsia="宋体" w:cs="宋体"/>
          <w:color w:val="auto"/>
          <w:spacing w:val="-153"/>
          <w:sz w:val="24"/>
          <w:szCs w:val="24"/>
          <w:highlight w:val="none"/>
        </w:rPr>
        <w:t xml:space="preserve"> </w:t>
      </w:r>
      <w:r>
        <w:rPr>
          <w:rFonts w:hint="eastAsia" w:ascii="宋体" w:hAnsi="宋体" w:eastAsia="宋体" w:cs="宋体"/>
          <w:color w:val="auto"/>
          <w:spacing w:val="5"/>
          <w:sz w:val="24"/>
          <w:szCs w:val="24"/>
          <w:highlight w:val="none"/>
          <w:u w:val="single"/>
        </w:rPr>
        <w:t xml:space="preserve">     </w:t>
      </w:r>
      <w:r>
        <w:rPr>
          <w:rFonts w:hint="eastAsia" w:ascii="宋体" w:hAnsi="宋体" w:eastAsia="宋体" w:cs="宋体"/>
          <w:color w:val="auto"/>
          <w:spacing w:val="-138"/>
          <w:sz w:val="24"/>
          <w:szCs w:val="24"/>
          <w:highlight w:val="none"/>
        </w:rPr>
        <w:t xml:space="preserve"> </w:t>
      </w:r>
      <w:r>
        <w:rPr>
          <w:rFonts w:hint="eastAsia" w:ascii="宋体" w:hAnsi="宋体" w:eastAsia="宋体" w:cs="宋体"/>
          <w:color w:val="auto"/>
          <w:spacing w:val="7"/>
          <w:sz w:val="24"/>
          <w:szCs w:val="24"/>
          <w:highlight w:val="none"/>
        </w:rPr>
        <w:t>元。</w:t>
      </w:r>
    </w:p>
    <w:p w14:paraId="67174F63">
      <w:pPr>
        <w:spacing w:before="48" w:line="252" w:lineRule="auto"/>
        <w:ind w:left="1" w:firstLine="647"/>
        <w:jc w:val="both"/>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二、至投标文件提交当天，本公司无严重不良信用记录或存在曾作出虚假承诺的情形，且不属于韶关市建筑市场信用管理平</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5"/>
          <w:sz w:val="24"/>
          <w:szCs w:val="24"/>
          <w:highlight w:val="none"/>
        </w:rPr>
        <w:t>台公布的信用等级为</w:t>
      </w:r>
      <w:r>
        <w:rPr>
          <w:rFonts w:hint="eastAsia" w:ascii="宋体" w:hAnsi="宋体" w:eastAsia="宋体" w:cs="宋体"/>
          <w:color w:val="auto"/>
          <w:spacing w:val="-62"/>
          <w:sz w:val="24"/>
          <w:szCs w:val="24"/>
          <w:highlight w:val="none"/>
        </w:rPr>
        <w:t xml:space="preserve"> </w:t>
      </w:r>
      <w:r>
        <w:rPr>
          <w:rFonts w:hint="eastAsia" w:ascii="宋体" w:hAnsi="宋体" w:eastAsia="宋体" w:cs="宋体"/>
          <w:color w:val="auto"/>
          <w:spacing w:val="5"/>
          <w:sz w:val="24"/>
          <w:szCs w:val="24"/>
          <w:highlight w:val="none"/>
        </w:rPr>
        <w:t>B</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5"/>
          <w:sz w:val="24"/>
          <w:szCs w:val="24"/>
          <w:highlight w:val="none"/>
        </w:rPr>
        <w:t>级、C</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5"/>
          <w:sz w:val="24"/>
          <w:szCs w:val="24"/>
          <w:highlight w:val="none"/>
        </w:rPr>
        <w:t>级、D</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5"/>
          <w:sz w:val="24"/>
          <w:szCs w:val="24"/>
          <w:highlight w:val="none"/>
        </w:rPr>
        <w:t>级的企业。</w:t>
      </w:r>
    </w:p>
    <w:p w14:paraId="3EE8C656">
      <w:pPr>
        <w:spacing w:before="52" w:line="247" w:lineRule="auto"/>
        <w:ind w:left="6" w:right="2" w:firstLine="638"/>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本企业对以上承诺和声明负责。如有虚假，愿接受行政主管</w:t>
      </w:r>
      <w:r>
        <w:rPr>
          <w:rFonts w:hint="eastAsia" w:ascii="宋体" w:hAnsi="宋体" w:eastAsia="宋体" w:cs="宋体"/>
          <w:color w:val="auto"/>
          <w:spacing w:val="8"/>
          <w:sz w:val="24"/>
          <w:szCs w:val="24"/>
          <w:highlight w:val="none"/>
        </w:rPr>
        <w:t>部门作出的处罚，并承担以下后果：</w:t>
      </w:r>
    </w:p>
    <w:p w14:paraId="3B20EF63">
      <w:pPr>
        <w:spacing w:before="48" w:line="225" w:lineRule="auto"/>
        <w:ind w:left="65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（一）取消本单位在本项目中的投标资格或中标资格；</w:t>
      </w:r>
    </w:p>
    <w:p w14:paraId="01EB796C">
      <w:pPr>
        <w:spacing w:before="64" w:line="225" w:lineRule="auto"/>
        <w:ind w:left="65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（二）将本单位不良行为纳入信用信息管理系统；</w:t>
      </w:r>
    </w:p>
    <w:p w14:paraId="170D400C">
      <w:pPr>
        <w:spacing w:before="60" w:line="244" w:lineRule="auto"/>
        <w:ind w:left="41" w:right="2" w:firstLine="615"/>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（三）主动在产生不良行为所在的各县（市、区）行</w:t>
      </w:r>
      <w:r>
        <w:rPr>
          <w:rFonts w:hint="eastAsia" w:ascii="宋体" w:hAnsi="宋体" w:eastAsia="宋体" w:cs="宋体"/>
          <w:color w:val="auto"/>
          <w:spacing w:val="8"/>
          <w:sz w:val="24"/>
          <w:szCs w:val="24"/>
          <w:highlight w:val="none"/>
        </w:rPr>
        <w:t>政区域</w:t>
      </w:r>
      <w:r>
        <w:rPr>
          <w:rFonts w:hint="eastAsia" w:ascii="宋体" w:hAnsi="宋体" w:eastAsia="宋体" w:cs="宋体"/>
          <w:color w:val="auto"/>
          <w:spacing w:val="6"/>
          <w:sz w:val="24"/>
          <w:szCs w:val="24"/>
          <w:highlight w:val="none"/>
        </w:rPr>
        <w:t>内不参加房建市政工程项目的投标活动一年；</w:t>
      </w:r>
    </w:p>
    <w:p w14:paraId="095339FF">
      <w:pPr>
        <w:spacing w:before="63" w:line="225" w:lineRule="auto"/>
        <w:ind w:left="65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（四）应付的赔偿责任和相应法律责任。</w:t>
      </w:r>
    </w:p>
    <w:p w14:paraId="324F4DDC">
      <w:pPr>
        <w:pStyle w:val="5"/>
        <w:spacing w:line="329" w:lineRule="auto"/>
        <w:rPr>
          <w:rFonts w:hint="eastAsia" w:ascii="宋体" w:hAnsi="宋体" w:eastAsia="宋体" w:cs="宋体"/>
          <w:color w:val="auto"/>
          <w:sz w:val="24"/>
          <w:szCs w:val="24"/>
          <w:highlight w:val="none"/>
        </w:rPr>
      </w:pPr>
    </w:p>
    <w:p w14:paraId="3A9404A8">
      <w:pPr>
        <w:spacing w:before="102" w:line="225" w:lineRule="auto"/>
        <w:ind w:left="845"/>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单位名称（公章</w:t>
      </w:r>
      <w:r>
        <w:rPr>
          <w:rFonts w:hint="eastAsia" w:ascii="宋体" w:hAnsi="宋体" w:eastAsia="宋体" w:cs="宋体"/>
          <w:color w:val="auto"/>
          <w:spacing w:val="1"/>
          <w:sz w:val="24"/>
          <w:szCs w:val="24"/>
          <w:highlight w:val="none"/>
        </w:rPr>
        <w:t>）：</w:t>
      </w:r>
    </w:p>
    <w:p w14:paraId="68F0A46E">
      <w:pPr>
        <w:pStyle w:val="5"/>
        <w:spacing w:line="457" w:lineRule="auto"/>
        <w:rPr>
          <w:rFonts w:hint="eastAsia" w:ascii="宋体" w:hAnsi="宋体" w:eastAsia="宋体" w:cs="宋体"/>
          <w:color w:val="auto"/>
          <w:sz w:val="24"/>
          <w:szCs w:val="24"/>
          <w:highlight w:val="none"/>
        </w:rPr>
      </w:pPr>
    </w:p>
    <w:p w14:paraId="1043625C">
      <w:pPr>
        <w:spacing w:before="100" w:line="225" w:lineRule="auto"/>
        <w:ind w:left="85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统一社会信用代码：</w:t>
      </w:r>
    </w:p>
    <w:p w14:paraId="2556479A">
      <w:pPr>
        <w:pStyle w:val="5"/>
        <w:spacing w:line="457" w:lineRule="auto"/>
        <w:rPr>
          <w:rFonts w:hint="eastAsia" w:ascii="宋体" w:hAnsi="宋体" w:eastAsia="宋体" w:cs="宋体"/>
          <w:color w:val="auto"/>
          <w:sz w:val="24"/>
          <w:szCs w:val="24"/>
          <w:highlight w:val="none"/>
        </w:rPr>
      </w:pPr>
    </w:p>
    <w:p w14:paraId="28E89218">
      <w:pPr>
        <w:spacing w:before="102" w:line="543" w:lineRule="auto"/>
        <w:ind w:left="844" w:right="5000"/>
        <w:rPr>
          <w:rFonts w:hint="eastAsia" w:ascii="宋体" w:hAnsi="宋体" w:eastAsia="宋体" w:cs="宋体"/>
          <w:color w:val="auto"/>
          <w:spacing w:val="-29"/>
          <w:sz w:val="24"/>
          <w:szCs w:val="24"/>
          <w:highlight w:val="none"/>
        </w:rPr>
      </w:pPr>
      <w:r>
        <w:rPr>
          <w:rFonts w:hint="eastAsia" w:ascii="宋体" w:hAnsi="宋体" w:eastAsia="宋体" w:cs="宋体"/>
          <w:color w:val="auto"/>
          <w:spacing w:val="8"/>
          <w:sz w:val="24"/>
          <w:szCs w:val="24"/>
          <w:highlight w:val="none"/>
        </w:rPr>
        <w:t>法定代表人（签字</w:t>
      </w:r>
      <w:r>
        <w:rPr>
          <w:rFonts w:hint="eastAsia" w:ascii="宋体" w:hAnsi="宋体" w:eastAsia="宋体" w:cs="宋体"/>
          <w:color w:val="auto"/>
          <w:spacing w:val="-29"/>
          <w:sz w:val="24"/>
          <w:szCs w:val="24"/>
          <w:highlight w:val="none"/>
        </w:rPr>
        <w:t>）：</w:t>
      </w:r>
    </w:p>
    <w:p w14:paraId="33A3CBAF">
      <w:pPr>
        <w:spacing w:before="102" w:line="543" w:lineRule="auto"/>
        <w:ind w:left="844" w:right="50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6"/>
          <w:sz w:val="24"/>
          <w:szCs w:val="24"/>
          <w:highlight w:val="none"/>
        </w:rPr>
        <w:t>年</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6"/>
          <w:sz w:val="24"/>
          <w:szCs w:val="24"/>
          <w:highlight w:val="none"/>
        </w:rPr>
        <w:t>月</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39"/>
          <w:sz w:val="24"/>
          <w:szCs w:val="24"/>
          <w:highlight w:val="none"/>
          <w:lang w:val="en-US" w:eastAsia="zh-CN"/>
        </w:rPr>
        <w:t xml:space="preserve">  </w:t>
      </w:r>
      <w:r>
        <w:rPr>
          <w:rFonts w:hint="eastAsia" w:ascii="宋体" w:hAnsi="宋体" w:eastAsia="宋体" w:cs="宋体"/>
          <w:color w:val="auto"/>
          <w:spacing w:val="-6"/>
          <w:sz w:val="24"/>
          <w:szCs w:val="24"/>
          <w:highlight w:val="none"/>
        </w:rPr>
        <w:t>日</w:t>
      </w:r>
    </w:p>
    <w:p w14:paraId="2B287F98">
      <w:pPr>
        <w:pStyle w:val="13"/>
        <w:rPr>
          <w:rFonts w:hint="eastAsia" w:ascii="宋体" w:hAnsi="宋体" w:eastAsia="宋体" w:cs="宋体"/>
          <w:color w:val="auto"/>
          <w:highlight w:val="none"/>
        </w:rPr>
      </w:pPr>
    </w:p>
    <w:p w14:paraId="3CFA9197">
      <w:pPr>
        <w:pStyle w:val="13"/>
        <w:rPr>
          <w:rFonts w:hint="eastAsia" w:ascii="宋体" w:hAnsi="宋体" w:eastAsia="宋体" w:cs="宋体"/>
          <w:color w:val="auto"/>
          <w:spacing w:val="8"/>
          <w:sz w:val="24"/>
          <w:szCs w:val="24"/>
          <w:highlight w:val="none"/>
          <w:lang w:eastAsia="zh-CN"/>
        </w:rPr>
        <w:sectPr>
          <w:footerReference r:id="rId24"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6906ADF0">
      <w:pPr>
        <w:spacing w:before="78" w:line="220" w:lineRule="auto"/>
        <w:outlineLvl w:val="2"/>
        <w:rPr>
          <w:rFonts w:hint="eastAsia" w:ascii="宋体" w:hAnsi="宋体" w:eastAsia="宋体" w:cs="宋体"/>
          <w:b/>
          <w:bCs/>
          <w:color w:val="auto"/>
          <w:spacing w:val="-4"/>
          <w:sz w:val="24"/>
          <w:szCs w:val="24"/>
          <w:highlight w:val="none"/>
        </w:rPr>
      </w:pPr>
      <w:bookmarkStart w:id="273" w:name="_Toc9960"/>
      <w:r>
        <w:rPr>
          <w:rFonts w:hint="eastAsia" w:ascii="宋体" w:hAnsi="宋体" w:eastAsia="宋体" w:cs="宋体"/>
          <w:b/>
          <w:bCs/>
          <w:color w:val="auto"/>
          <w:spacing w:val="-4"/>
          <w:sz w:val="24"/>
          <w:szCs w:val="24"/>
          <w:highlight w:val="none"/>
        </w:rPr>
        <w:t>格式十</w:t>
      </w:r>
      <w:r>
        <w:rPr>
          <w:rFonts w:hint="eastAsia" w:ascii="宋体" w:hAnsi="宋体" w:eastAsia="宋体" w:cs="宋体"/>
          <w:b/>
          <w:bCs/>
          <w:color w:val="auto"/>
          <w:spacing w:val="-4"/>
          <w:sz w:val="24"/>
          <w:szCs w:val="24"/>
          <w:highlight w:val="none"/>
          <w:lang w:eastAsia="zh-CN"/>
        </w:rPr>
        <w:t>五</w:t>
      </w:r>
      <w:r>
        <w:rPr>
          <w:rFonts w:hint="eastAsia" w:ascii="宋体" w:hAnsi="宋体" w:eastAsia="宋体" w:cs="宋体"/>
          <w:b/>
          <w:bCs/>
          <w:color w:val="auto"/>
          <w:spacing w:val="-4"/>
          <w:sz w:val="24"/>
          <w:szCs w:val="24"/>
          <w:highlight w:val="none"/>
        </w:rPr>
        <w:t xml:space="preserve">  原件一览表</w:t>
      </w:r>
      <w:bookmarkEnd w:id="273"/>
    </w:p>
    <w:tbl>
      <w:tblPr>
        <w:tblStyle w:val="14"/>
        <w:tblW w:w="9440" w:type="dxa"/>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8"/>
        <w:gridCol w:w="1896"/>
        <w:gridCol w:w="1725"/>
        <w:gridCol w:w="964"/>
        <w:gridCol w:w="719"/>
        <w:gridCol w:w="780"/>
        <w:gridCol w:w="991"/>
        <w:gridCol w:w="1637"/>
      </w:tblGrid>
      <w:tr w14:paraId="318045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9440" w:type="dxa"/>
            <w:gridSpan w:val="8"/>
            <w:vAlign w:val="top"/>
          </w:tcPr>
          <w:p w14:paraId="24FB1F09">
            <w:pPr>
              <w:spacing w:before="132" w:line="220" w:lineRule="auto"/>
              <w:ind w:left="3965"/>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原件一览表</w:t>
            </w:r>
          </w:p>
        </w:tc>
      </w:tr>
      <w:tr w14:paraId="2057FD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2624" w:type="dxa"/>
            <w:gridSpan w:val="2"/>
            <w:vAlign w:val="top"/>
          </w:tcPr>
          <w:p w14:paraId="59447AA3">
            <w:pPr>
              <w:pStyle w:val="21"/>
              <w:spacing w:line="253" w:lineRule="auto"/>
              <w:rPr>
                <w:rFonts w:hint="eastAsia" w:ascii="宋体" w:hAnsi="宋体" w:eastAsia="宋体" w:cs="宋体"/>
                <w:color w:val="auto"/>
                <w:sz w:val="24"/>
                <w:szCs w:val="24"/>
                <w:highlight w:val="none"/>
              </w:rPr>
            </w:pPr>
          </w:p>
          <w:p w14:paraId="0CEAB9EA">
            <w:pPr>
              <w:spacing w:before="62" w:line="230"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工程名称</w:t>
            </w:r>
          </w:p>
        </w:tc>
        <w:tc>
          <w:tcPr>
            <w:tcW w:w="6816" w:type="dxa"/>
            <w:gridSpan w:val="6"/>
            <w:vAlign w:val="top"/>
          </w:tcPr>
          <w:p w14:paraId="3FF8FF0B">
            <w:pPr>
              <w:pStyle w:val="21"/>
              <w:rPr>
                <w:rFonts w:hint="eastAsia" w:ascii="宋体" w:hAnsi="宋体" w:eastAsia="宋体" w:cs="宋体"/>
                <w:color w:val="auto"/>
                <w:sz w:val="24"/>
                <w:szCs w:val="24"/>
                <w:highlight w:val="none"/>
              </w:rPr>
            </w:pPr>
          </w:p>
        </w:tc>
      </w:tr>
      <w:tr w14:paraId="5DC6A5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0" w:hRule="atLeast"/>
        </w:trPr>
        <w:tc>
          <w:tcPr>
            <w:tcW w:w="2624" w:type="dxa"/>
            <w:gridSpan w:val="2"/>
            <w:vAlign w:val="top"/>
          </w:tcPr>
          <w:p w14:paraId="26176662">
            <w:pPr>
              <w:spacing w:before="150" w:line="230"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投标人名称</w:t>
            </w:r>
            <w:r>
              <w:rPr>
                <w:rFonts w:hint="eastAsia" w:ascii="宋体" w:hAnsi="宋体" w:eastAsia="宋体" w:cs="宋体"/>
                <w:color w:val="auto"/>
                <w:spacing w:val="5"/>
                <w:sz w:val="24"/>
                <w:szCs w:val="24"/>
                <w:highlight w:val="none"/>
              </w:rPr>
              <w:t>(请务必填写单位全称)</w:t>
            </w:r>
          </w:p>
        </w:tc>
        <w:tc>
          <w:tcPr>
            <w:tcW w:w="6816" w:type="dxa"/>
            <w:gridSpan w:val="6"/>
            <w:vAlign w:val="top"/>
          </w:tcPr>
          <w:p w14:paraId="668497E6">
            <w:pPr>
              <w:pStyle w:val="21"/>
              <w:rPr>
                <w:rFonts w:hint="eastAsia" w:ascii="宋体" w:hAnsi="宋体" w:eastAsia="宋体" w:cs="宋体"/>
                <w:color w:val="auto"/>
                <w:sz w:val="24"/>
                <w:szCs w:val="24"/>
                <w:highlight w:val="none"/>
              </w:rPr>
            </w:pPr>
          </w:p>
        </w:tc>
      </w:tr>
      <w:tr w14:paraId="0FA602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2624" w:type="dxa"/>
            <w:gridSpan w:val="2"/>
            <w:vAlign w:val="top"/>
          </w:tcPr>
          <w:p w14:paraId="6FE90DC5">
            <w:pPr>
              <w:spacing w:before="151"/>
              <w:ind w:right="14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投标人法定代表人或其委托代理人签名</w:t>
            </w:r>
          </w:p>
        </w:tc>
        <w:tc>
          <w:tcPr>
            <w:tcW w:w="2689" w:type="dxa"/>
            <w:gridSpan w:val="2"/>
            <w:vAlign w:val="top"/>
          </w:tcPr>
          <w:p w14:paraId="000B4605">
            <w:pPr>
              <w:pStyle w:val="21"/>
              <w:rPr>
                <w:rFonts w:hint="eastAsia" w:ascii="宋体" w:hAnsi="宋体" w:eastAsia="宋体" w:cs="宋体"/>
                <w:color w:val="auto"/>
                <w:sz w:val="24"/>
                <w:szCs w:val="24"/>
                <w:highlight w:val="none"/>
              </w:rPr>
            </w:pPr>
          </w:p>
        </w:tc>
        <w:tc>
          <w:tcPr>
            <w:tcW w:w="1499" w:type="dxa"/>
            <w:gridSpan w:val="2"/>
            <w:vAlign w:val="top"/>
          </w:tcPr>
          <w:p w14:paraId="3D60D1A8">
            <w:pPr>
              <w:spacing w:before="151" w:line="312" w:lineRule="auto"/>
              <w:ind w:right="17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手机</w:t>
            </w:r>
            <w:r>
              <w:rPr>
                <w:rFonts w:hint="eastAsia" w:ascii="宋体" w:hAnsi="宋体" w:eastAsia="宋体" w:cs="宋体"/>
                <w:color w:val="auto"/>
                <w:spacing w:val="2"/>
                <w:sz w:val="24"/>
                <w:szCs w:val="24"/>
                <w:highlight w:val="none"/>
              </w:rPr>
              <w:t>号码</w:t>
            </w:r>
          </w:p>
        </w:tc>
        <w:tc>
          <w:tcPr>
            <w:tcW w:w="2628" w:type="dxa"/>
            <w:gridSpan w:val="2"/>
            <w:vAlign w:val="top"/>
          </w:tcPr>
          <w:p w14:paraId="7B412076">
            <w:pPr>
              <w:pStyle w:val="21"/>
              <w:rPr>
                <w:rFonts w:hint="eastAsia" w:ascii="宋体" w:hAnsi="宋体" w:eastAsia="宋体" w:cs="宋体"/>
                <w:color w:val="auto"/>
                <w:sz w:val="24"/>
                <w:szCs w:val="24"/>
                <w:highlight w:val="none"/>
              </w:rPr>
            </w:pPr>
          </w:p>
        </w:tc>
      </w:tr>
      <w:tr w14:paraId="17484C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9440" w:type="dxa"/>
            <w:gridSpan w:val="8"/>
            <w:vAlign w:val="top"/>
          </w:tcPr>
          <w:p w14:paraId="567918AA">
            <w:pPr>
              <w:spacing w:before="62" w:line="228" w:lineRule="auto"/>
              <w:ind w:left="336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递交的证明材料原件如下：</w:t>
            </w:r>
          </w:p>
        </w:tc>
      </w:tr>
      <w:tr w14:paraId="1F0A61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728" w:type="dxa"/>
            <w:vAlign w:val="top"/>
          </w:tcPr>
          <w:p w14:paraId="21E26167">
            <w:pPr>
              <w:pStyle w:val="21"/>
              <w:spacing w:line="257" w:lineRule="auto"/>
              <w:rPr>
                <w:rFonts w:hint="eastAsia" w:ascii="宋体" w:hAnsi="宋体" w:eastAsia="宋体" w:cs="宋体"/>
                <w:color w:val="auto"/>
                <w:sz w:val="24"/>
                <w:szCs w:val="24"/>
                <w:highlight w:val="none"/>
              </w:rPr>
            </w:pPr>
          </w:p>
          <w:p w14:paraId="0EC21191">
            <w:pPr>
              <w:spacing w:before="62" w:line="230" w:lineRule="auto"/>
              <w:ind w:left="15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5304" w:type="dxa"/>
            <w:gridSpan w:val="4"/>
            <w:vAlign w:val="top"/>
          </w:tcPr>
          <w:p w14:paraId="76A61080">
            <w:pPr>
              <w:pStyle w:val="21"/>
              <w:spacing w:line="257" w:lineRule="auto"/>
              <w:rPr>
                <w:rFonts w:hint="eastAsia" w:ascii="宋体" w:hAnsi="宋体" w:eastAsia="宋体" w:cs="宋体"/>
                <w:color w:val="auto"/>
                <w:sz w:val="24"/>
                <w:szCs w:val="24"/>
                <w:highlight w:val="none"/>
              </w:rPr>
            </w:pPr>
          </w:p>
          <w:p w14:paraId="1A81F5E2">
            <w:pPr>
              <w:spacing w:before="61" w:line="228" w:lineRule="auto"/>
              <w:ind w:left="1765"/>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证明材料原件名称</w:t>
            </w:r>
          </w:p>
        </w:tc>
        <w:tc>
          <w:tcPr>
            <w:tcW w:w="1771" w:type="dxa"/>
            <w:gridSpan w:val="2"/>
            <w:vAlign w:val="top"/>
          </w:tcPr>
          <w:p w14:paraId="0177F328">
            <w:pPr>
              <w:pStyle w:val="21"/>
              <w:spacing w:line="256" w:lineRule="auto"/>
              <w:rPr>
                <w:rFonts w:hint="eastAsia" w:ascii="宋体" w:hAnsi="宋体" w:eastAsia="宋体" w:cs="宋体"/>
                <w:color w:val="auto"/>
                <w:sz w:val="24"/>
                <w:szCs w:val="24"/>
                <w:highlight w:val="none"/>
              </w:rPr>
            </w:pPr>
          </w:p>
          <w:p w14:paraId="456665A1">
            <w:pPr>
              <w:spacing w:before="62" w:line="230" w:lineRule="auto"/>
              <w:ind w:left="664"/>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单位</w:t>
            </w:r>
          </w:p>
        </w:tc>
        <w:tc>
          <w:tcPr>
            <w:tcW w:w="1637" w:type="dxa"/>
            <w:vAlign w:val="top"/>
          </w:tcPr>
          <w:p w14:paraId="41F7CEAC">
            <w:pPr>
              <w:pStyle w:val="21"/>
              <w:spacing w:line="256" w:lineRule="auto"/>
              <w:rPr>
                <w:rFonts w:hint="eastAsia" w:ascii="宋体" w:hAnsi="宋体" w:eastAsia="宋体" w:cs="宋体"/>
                <w:color w:val="auto"/>
                <w:sz w:val="24"/>
                <w:szCs w:val="24"/>
                <w:highlight w:val="none"/>
              </w:rPr>
            </w:pPr>
          </w:p>
          <w:p w14:paraId="09C47EB1">
            <w:pPr>
              <w:spacing w:before="62" w:line="229" w:lineRule="auto"/>
              <w:ind w:left="592"/>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数量</w:t>
            </w:r>
          </w:p>
        </w:tc>
      </w:tr>
      <w:tr w14:paraId="46502B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6FF8B91C">
            <w:pPr>
              <w:spacing w:before="287" w:line="184" w:lineRule="auto"/>
              <w:ind w:left="31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304" w:type="dxa"/>
            <w:gridSpan w:val="4"/>
            <w:vAlign w:val="top"/>
          </w:tcPr>
          <w:p w14:paraId="28B25A0D">
            <w:pPr>
              <w:pStyle w:val="21"/>
              <w:rPr>
                <w:rFonts w:hint="eastAsia" w:ascii="宋体" w:hAnsi="宋体" w:eastAsia="宋体" w:cs="宋体"/>
                <w:color w:val="auto"/>
                <w:sz w:val="24"/>
                <w:szCs w:val="24"/>
                <w:highlight w:val="none"/>
              </w:rPr>
            </w:pPr>
          </w:p>
        </w:tc>
        <w:tc>
          <w:tcPr>
            <w:tcW w:w="1771" w:type="dxa"/>
            <w:gridSpan w:val="2"/>
            <w:vAlign w:val="top"/>
          </w:tcPr>
          <w:p w14:paraId="4F42E60F">
            <w:pPr>
              <w:pStyle w:val="21"/>
              <w:rPr>
                <w:rFonts w:hint="eastAsia" w:ascii="宋体" w:hAnsi="宋体" w:eastAsia="宋体" w:cs="宋体"/>
                <w:color w:val="auto"/>
                <w:sz w:val="24"/>
                <w:szCs w:val="24"/>
                <w:highlight w:val="none"/>
              </w:rPr>
            </w:pPr>
          </w:p>
        </w:tc>
        <w:tc>
          <w:tcPr>
            <w:tcW w:w="1637" w:type="dxa"/>
            <w:vAlign w:val="top"/>
          </w:tcPr>
          <w:p w14:paraId="3C09D08F">
            <w:pPr>
              <w:pStyle w:val="21"/>
              <w:rPr>
                <w:rFonts w:hint="eastAsia" w:ascii="宋体" w:hAnsi="宋体" w:eastAsia="宋体" w:cs="宋体"/>
                <w:color w:val="auto"/>
                <w:sz w:val="24"/>
                <w:szCs w:val="24"/>
                <w:highlight w:val="none"/>
              </w:rPr>
            </w:pPr>
          </w:p>
        </w:tc>
      </w:tr>
      <w:tr w14:paraId="12E321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5B0FF1CC">
            <w:pPr>
              <w:spacing w:before="288" w:line="183" w:lineRule="auto"/>
              <w:ind w:left="3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304" w:type="dxa"/>
            <w:gridSpan w:val="4"/>
            <w:vAlign w:val="top"/>
          </w:tcPr>
          <w:p w14:paraId="0D3F050A">
            <w:pPr>
              <w:pStyle w:val="21"/>
              <w:rPr>
                <w:rFonts w:hint="eastAsia" w:ascii="宋体" w:hAnsi="宋体" w:eastAsia="宋体" w:cs="宋体"/>
                <w:color w:val="auto"/>
                <w:sz w:val="24"/>
                <w:szCs w:val="24"/>
                <w:highlight w:val="none"/>
              </w:rPr>
            </w:pPr>
          </w:p>
        </w:tc>
        <w:tc>
          <w:tcPr>
            <w:tcW w:w="1771" w:type="dxa"/>
            <w:gridSpan w:val="2"/>
            <w:vAlign w:val="top"/>
          </w:tcPr>
          <w:p w14:paraId="745FD79F">
            <w:pPr>
              <w:pStyle w:val="21"/>
              <w:rPr>
                <w:rFonts w:hint="eastAsia" w:ascii="宋体" w:hAnsi="宋体" w:eastAsia="宋体" w:cs="宋体"/>
                <w:color w:val="auto"/>
                <w:sz w:val="24"/>
                <w:szCs w:val="24"/>
                <w:highlight w:val="none"/>
              </w:rPr>
            </w:pPr>
          </w:p>
        </w:tc>
        <w:tc>
          <w:tcPr>
            <w:tcW w:w="1637" w:type="dxa"/>
            <w:vAlign w:val="top"/>
          </w:tcPr>
          <w:p w14:paraId="2EFE754E">
            <w:pPr>
              <w:pStyle w:val="21"/>
              <w:rPr>
                <w:rFonts w:hint="eastAsia" w:ascii="宋体" w:hAnsi="宋体" w:eastAsia="宋体" w:cs="宋体"/>
                <w:color w:val="auto"/>
                <w:sz w:val="24"/>
                <w:szCs w:val="24"/>
                <w:highlight w:val="none"/>
              </w:rPr>
            </w:pPr>
          </w:p>
        </w:tc>
      </w:tr>
      <w:tr w14:paraId="5A6E48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3DF57AC7">
            <w:pPr>
              <w:spacing w:before="287" w:line="183" w:lineRule="auto"/>
              <w:ind w:left="30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5304" w:type="dxa"/>
            <w:gridSpan w:val="4"/>
            <w:vAlign w:val="top"/>
          </w:tcPr>
          <w:p w14:paraId="54C3FBF3">
            <w:pPr>
              <w:pStyle w:val="21"/>
              <w:rPr>
                <w:rFonts w:hint="eastAsia" w:ascii="宋体" w:hAnsi="宋体" w:eastAsia="宋体" w:cs="宋体"/>
                <w:color w:val="auto"/>
                <w:sz w:val="24"/>
                <w:szCs w:val="24"/>
                <w:highlight w:val="none"/>
              </w:rPr>
            </w:pPr>
          </w:p>
        </w:tc>
        <w:tc>
          <w:tcPr>
            <w:tcW w:w="1771" w:type="dxa"/>
            <w:gridSpan w:val="2"/>
            <w:vAlign w:val="top"/>
          </w:tcPr>
          <w:p w14:paraId="40E0E057">
            <w:pPr>
              <w:pStyle w:val="21"/>
              <w:rPr>
                <w:rFonts w:hint="eastAsia" w:ascii="宋体" w:hAnsi="宋体" w:eastAsia="宋体" w:cs="宋体"/>
                <w:color w:val="auto"/>
                <w:sz w:val="24"/>
                <w:szCs w:val="24"/>
                <w:highlight w:val="none"/>
              </w:rPr>
            </w:pPr>
          </w:p>
        </w:tc>
        <w:tc>
          <w:tcPr>
            <w:tcW w:w="1637" w:type="dxa"/>
            <w:vAlign w:val="top"/>
          </w:tcPr>
          <w:p w14:paraId="28B42581">
            <w:pPr>
              <w:pStyle w:val="21"/>
              <w:rPr>
                <w:rFonts w:hint="eastAsia" w:ascii="宋体" w:hAnsi="宋体" w:eastAsia="宋体" w:cs="宋体"/>
                <w:color w:val="auto"/>
                <w:sz w:val="24"/>
                <w:szCs w:val="24"/>
                <w:highlight w:val="none"/>
              </w:rPr>
            </w:pPr>
          </w:p>
        </w:tc>
      </w:tr>
      <w:tr w14:paraId="582BAE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3C0A2F9F">
            <w:pPr>
              <w:pStyle w:val="21"/>
              <w:spacing w:line="348" w:lineRule="auto"/>
              <w:rPr>
                <w:rFonts w:hint="eastAsia" w:ascii="宋体" w:hAnsi="宋体" w:eastAsia="宋体" w:cs="宋体"/>
                <w:color w:val="auto"/>
                <w:sz w:val="24"/>
                <w:szCs w:val="24"/>
                <w:highlight w:val="none"/>
              </w:rPr>
            </w:pPr>
          </w:p>
          <w:p w14:paraId="4F527954">
            <w:pPr>
              <w:spacing w:before="78" w:line="99" w:lineRule="exact"/>
              <w:ind w:left="186"/>
              <w:rPr>
                <w:rFonts w:hint="eastAsia" w:ascii="宋体" w:hAnsi="宋体" w:eastAsia="宋体" w:cs="宋体"/>
                <w:color w:val="auto"/>
                <w:sz w:val="24"/>
                <w:szCs w:val="24"/>
                <w:highlight w:val="none"/>
              </w:rPr>
            </w:pPr>
            <w:r>
              <w:rPr>
                <w:rFonts w:hint="eastAsia" w:ascii="宋体" w:hAnsi="宋体" w:eastAsia="宋体" w:cs="宋体"/>
                <w:color w:val="auto"/>
                <w:position w:val="1"/>
                <w:sz w:val="24"/>
                <w:szCs w:val="24"/>
                <w:highlight w:val="none"/>
              </w:rPr>
              <w:t>...</w:t>
            </w:r>
          </w:p>
        </w:tc>
        <w:tc>
          <w:tcPr>
            <w:tcW w:w="5304" w:type="dxa"/>
            <w:gridSpan w:val="4"/>
            <w:vAlign w:val="top"/>
          </w:tcPr>
          <w:p w14:paraId="47EB6644">
            <w:pPr>
              <w:pStyle w:val="21"/>
              <w:rPr>
                <w:rFonts w:hint="eastAsia" w:ascii="宋体" w:hAnsi="宋体" w:eastAsia="宋体" w:cs="宋体"/>
                <w:color w:val="auto"/>
                <w:sz w:val="24"/>
                <w:szCs w:val="24"/>
                <w:highlight w:val="none"/>
              </w:rPr>
            </w:pPr>
          </w:p>
        </w:tc>
        <w:tc>
          <w:tcPr>
            <w:tcW w:w="1771" w:type="dxa"/>
            <w:gridSpan w:val="2"/>
            <w:vAlign w:val="top"/>
          </w:tcPr>
          <w:p w14:paraId="6D54D719">
            <w:pPr>
              <w:pStyle w:val="21"/>
              <w:rPr>
                <w:rFonts w:hint="eastAsia" w:ascii="宋体" w:hAnsi="宋体" w:eastAsia="宋体" w:cs="宋体"/>
                <w:color w:val="auto"/>
                <w:sz w:val="24"/>
                <w:szCs w:val="24"/>
                <w:highlight w:val="none"/>
              </w:rPr>
            </w:pPr>
          </w:p>
        </w:tc>
        <w:tc>
          <w:tcPr>
            <w:tcW w:w="1637" w:type="dxa"/>
            <w:vAlign w:val="top"/>
          </w:tcPr>
          <w:p w14:paraId="75E6A05C">
            <w:pPr>
              <w:pStyle w:val="21"/>
              <w:rPr>
                <w:rFonts w:hint="eastAsia" w:ascii="宋体" w:hAnsi="宋体" w:eastAsia="宋体" w:cs="宋体"/>
                <w:color w:val="auto"/>
                <w:sz w:val="24"/>
                <w:szCs w:val="24"/>
                <w:highlight w:val="none"/>
              </w:rPr>
            </w:pPr>
          </w:p>
        </w:tc>
      </w:tr>
      <w:tr w14:paraId="3E5430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7" w:hRule="atLeast"/>
        </w:trPr>
        <w:tc>
          <w:tcPr>
            <w:tcW w:w="728" w:type="dxa"/>
            <w:vAlign w:val="top"/>
          </w:tcPr>
          <w:p w14:paraId="6D36533C">
            <w:pPr>
              <w:pStyle w:val="21"/>
              <w:spacing w:line="274" w:lineRule="auto"/>
              <w:rPr>
                <w:rFonts w:hint="eastAsia" w:ascii="宋体" w:hAnsi="宋体" w:eastAsia="宋体" w:cs="宋体"/>
                <w:color w:val="auto"/>
                <w:sz w:val="24"/>
                <w:szCs w:val="24"/>
                <w:highlight w:val="none"/>
              </w:rPr>
            </w:pPr>
          </w:p>
          <w:p w14:paraId="198C1B4E">
            <w:pPr>
              <w:pStyle w:val="21"/>
              <w:spacing w:line="275" w:lineRule="auto"/>
              <w:rPr>
                <w:rFonts w:hint="eastAsia" w:ascii="宋体" w:hAnsi="宋体" w:eastAsia="宋体" w:cs="宋体"/>
                <w:color w:val="auto"/>
                <w:sz w:val="24"/>
                <w:szCs w:val="24"/>
                <w:highlight w:val="none"/>
              </w:rPr>
            </w:pPr>
          </w:p>
          <w:p w14:paraId="161C02DA">
            <w:pPr>
              <w:pStyle w:val="21"/>
              <w:spacing w:line="275" w:lineRule="auto"/>
              <w:rPr>
                <w:rFonts w:hint="eastAsia" w:ascii="宋体" w:hAnsi="宋体" w:eastAsia="宋体" w:cs="宋体"/>
                <w:color w:val="auto"/>
                <w:sz w:val="24"/>
                <w:szCs w:val="24"/>
                <w:highlight w:val="none"/>
              </w:rPr>
            </w:pPr>
          </w:p>
          <w:p w14:paraId="57AB557F">
            <w:pPr>
              <w:spacing w:before="62" w:line="233" w:lineRule="auto"/>
              <w:ind w:left="2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注意：</w:t>
            </w:r>
          </w:p>
        </w:tc>
        <w:tc>
          <w:tcPr>
            <w:tcW w:w="8712" w:type="dxa"/>
            <w:gridSpan w:val="7"/>
            <w:vAlign w:val="top"/>
          </w:tcPr>
          <w:p w14:paraId="57B0800F">
            <w:pPr>
              <w:spacing w:before="148"/>
              <w:ind w:left="111" w:right="107" w:firstLine="483"/>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该表一式两份，两份表格投标人均需如实填写各项内容，两份表格的填写内容应一致。一</w:t>
            </w:r>
            <w:r>
              <w:rPr>
                <w:rFonts w:hint="eastAsia" w:ascii="宋体" w:hAnsi="宋体" w:eastAsia="宋体" w:cs="宋体"/>
                <w:color w:val="auto"/>
                <w:spacing w:val="9"/>
                <w:sz w:val="24"/>
                <w:szCs w:val="24"/>
                <w:highlight w:val="none"/>
              </w:rPr>
              <w:t>份贴于装纳原件的文件袋（箱</w:t>
            </w:r>
            <w:r>
              <w:rPr>
                <w:rFonts w:hint="eastAsia" w:ascii="宋体" w:hAnsi="宋体" w:eastAsia="宋体" w:cs="宋体"/>
                <w:color w:val="auto"/>
                <w:spacing w:val="20"/>
                <w:sz w:val="24"/>
                <w:szCs w:val="24"/>
                <w:highlight w:val="none"/>
              </w:rPr>
              <w:t>），</w:t>
            </w:r>
            <w:r>
              <w:rPr>
                <w:rFonts w:hint="eastAsia" w:ascii="宋体" w:hAnsi="宋体" w:eastAsia="宋体" w:cs="宋体"/>
                <w:color w:val="auto"/>
                <w:spacing w:val="9"/>
                <w:sz w:val="24"/>
                <w:szCs w:val="24"/>
                <w:highlight w:val="none"/>
              </w:rPr>
              <w:t>一份在递交文件袋（箱）时由招标代理机构、投标人签字后交招标代理机构。招标代理机构仅代签收装纳原件的文件袋（箱</w:t>
            </w:r>
            <w:r>
              <w:rPr>
                <w:rFonts w:hint="eastAsia" w:ascii="宋体" w:hAnsi="宋体" w:eastAsia="宋体" w:cs="宋体"/>
                <w:color w:val="auto"/>
                <w:spacing w:val="19"/>
                <w:sz w:val="24"/>
                <w:szCs w:val="24"/>
                <w:highlight w:val="none"/>
              </w:rPr>
              <w:t>），</w:t>
            </w:r>
            <w:r>
              <w:rPr>
                <w:rFonts w:hint="eastAsia" w:ascii="宋体" w:hAnsi="宋体" w:eastAsia="宋体" w:cs="宋体"/>
                <w:color w:val="auto"/>
                <w:spacing w:val="9"/>
                <w:sz w:val="24"/>
                <w:szCs w:val="24"/>
                <w:highlight w:val="none"/>
              </w:rPr>
              <w:t>而不对文件袋（箱）中资</w:t>
            </w:r>
            <w:r>
              <w:rPr>
                <w:rFonts w:hint="eastAsia" w:ascii="宋体" w:hAnsi="宋体" w:eastAsia="宋体" w:cs="宋体"/>
                <w:color w:val="auto"/>
                <w:spacing w:val="5"/>
                <w:sz w:val="24"/>
                <w:szCs w:val="24"/>
                <w:highlight w:val="none"/>
              </w:rPr>
              <w:t>料的数量、</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内容及真实性负责。</w:t>
            </w:r>
          </w:p>
        </w:tc>
      </w:tr>
      <w:tr w14:paraId="016EDA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6" w:hRule="atLeast"/>
        </w:trPr>
        <w:tc>
          <w:tcPr>
            <w:tcW w:w="2624" w:type="dxa"/>
            <w:gridSpan w:val="2"/>
            <w:vAlign w:val="top"/>
          </w:tcPr>
          <w:p w14:paraId="0440D7A1">
            <w:pPr>
              <w:pStyle w:val="21"/>
              <w:spacing w:line="240" w:lineRule="auto"/>
              <w:rPr>
                <w:rFonts w:hint="eastAsia" w:ascii="宋体" w:hAnsi="宋体" w:eastAsia="宋体" w:cs="宋体"/>
                <w:color w:val="auto"/>
                <w:sz w:val="24"/>
                <w:szCs w:val="24"/>
                <w:highlight w:val="none"/>
              </w:rPr>
            </w:pPr>
          </w:p>
          <w:p w14:paraId="107CC9BB">
            <w:pPr>
              <w:spacing w:before="61" w:line="240" w:lineRule="auto"/>
              <w:ind w:left="760" w:right="153" w:hanging="600"/>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接收原件经办人</w:t>
            </w:r>
          </w:p>
          <w:p w14:paraId="6D1AB722">
            <w:pPr>
              <w:spacing w:before="61" w:line="240" w:lineRule="auto"/>
              <w:ind w:left="760" w:right="153" w:hanging="6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(招标</w:t>
            </w:r>
            <w:r>
              <w:rPr>
                <w:rFonts w:hint="eastAsia" w:ascii="宋体" w:hAnsi="宋体" w:eastAsia="宋体" w:cs="宋体"/>
                <w:color w:val="auto"/>
                <w:spacing w:val="3"/>
                <w:sz w:val="24"/>
                <w:szCs w:val="24"/>
                <w:highlight w:val="none"/>
              </w:rPr>
              <w:t>代理)：</w:t>
            </w:r>
          </w:p>
        </w:tc>
        <w:tc>
          <w:tcPr>
            <w:tcW w:w="1725" w:type="dxa"/>
            <w:vAlign w:val="top"/>
          </w:tcPr>
          <w:p w14:paraId="396C35BA">
            <w:pPr>
              <w:pStyle w:val="21"/>
              <w:rPr>
                <w:rFonts w:hint="eastAsia" w:ascii="宋体" w:hAnsi="宋体" w:eastAsia="宋体" w:cs="宋体"/>
                <w:color w:val="auto"/>
                <w:sz w:val="24"/>
                <w:szCs w:val="24"/>
                <w:highlight w:val="none"/>
              </w:rPr>
            </w:pPr>
          </w:p>
        </w:tc>
        <w:tc>
          <w:tcPr>
            <w:tcW w:w="1683" w:type="dxa"/>
            <w:gridSpan w:val="2"/>
            <w:vAlign w:val="top"/>
          </w:tcPr>
          <w:p w14:paraId="5328A3CB">
            <w:pPr>
              <w:pStyle w:val="21"/>
              <w:spacing w:line="288" w:lineRule="auto"/>
              <w:rPr>
                <w:rFonts w:hint="eastAsia" w:ascii="宋体" w:hAnsi="宋体" w:eastAsia="宋体" w:cs="宋体"/>
                <w:color w:val="auto"/>
                <w:sz w:val="24"/>
                <w:szCs w:val="24"/>
                <w:highlight w:val="none"/>
              </w:rPr>
            </w:pPr>
          </w:p>
          <w:p w14:paraId="0C2B5A86">
            <w:pPr>
              <w:pStyle w:val="21"/>
              <w:spacing w:line="289" w:lineRule="auto"/>
              <w:rPr>
                <w:rFonts w:hint="eastAsia" w:ascii="宋体" w:hAnsi="宋体" w:eastAsia="宋体" w:cs="宋体"/>
                <w:color w:val="auto"/>
                <w:sz w:val="24"/>
                <w:szCs w:val="24"/>
                <w:highlight w:val="none"/>
              </w:rPr>
            </w:pPr>
          </w:p>
          <w:p w14:paraId="06A559B5">
            <w:pPr>
              <w:spacing w:before="62" w:line="229" w:lineRule="auto"/>
              <w:ind w:left="315"/>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接收时间：</w:t>
            </w:r>
          </w:p>
        </w:tc>
        <w:tc>
          <w:tcPr>
            <w:tcW w:w="3408" w:type="dxa"/>
            <w:gridSpan w:val="3"/>
            <w:vAlign w:val="top"/>
          </w:tcPr>
          <w:p w14:paraId="655901F3">
            <w:pPr>
              <w:pStyle w:val="21"/>
              <w:spacing w:line="288" w:lineRule="auto"/>
              <w:rPr>
                <w:rFonts w:hint="eastAsia" w:ascii="宋体" w:hAnsi="宋体" w:eastAsia="宋体" w:cs="宋体"/>
                <w:color w:val="auto"/>
                <w:sz w:val="24"/>
                <w:szCs w:val="24"/>
                <w:highlight w:val="none"/>
              </w:rPr>
            </w:pPr>
          </w:p>
          <w:p w14:paraId="0F1E1751">
            <w:pPr>
              <w:pStyle w:val="21"/>
              <w:spacing w:line="289" w:lineRule="auto"/>
              <w:rPr>
                <w:rFonts w:hint="eastAsia" w:ascii="宋体" w:hAnsi="宋体" w:eastAsia="宋体" w:cs="宋体"/>
                <w:color w:val="auto"/>
                <w:sz w:val="24"/>
                <w:szCs w:val="24"/>
                <w:highlight w:val="none"/>
              </w:rPr>
            </w:pPr>
          </w:p>
          <w:p w14:paraId="3ABE9DD0">
            <w:pPr>
              <w:spacing w:before="62" w:line="229" w:lineRule="auto"/>
              <w:ind w:firstLine="444"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年</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9"/>
                <w:sz w:val="24"/>
                <w:szCs w:val="24"/>
                <w:highlight w:val="none"/>
              </w:rPr>
              <w:t>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时</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9"/>
                <w:sz w:val="24"/>
                <w:szCs w:val="24"/>
                <w:highlight w:val="none"/>
              </w:rPr>
              <w:t>分</w:t>
            </w:r>
          </w:p>
        </w:tc>
      </w:tr>
      <w:tr w14:paraId="765347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2624" w:type="dxa"/>
            <w:gridSpan w:val="2"/>
            <w:vAlign w:val="top"/>
          </w:tcPr>
          <w:p w14:paraId="453382FD">
            <w:pPr>
              <w:spacing w:before="155" w:line="240" w:lineRule="auto"/>
              <w:ind w:left="861" w:right="153" w:hanging="699"/>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退还原件接收人</w:t>
            </w:r>
          </w:p>
          <w:p w14:paraId="4CBD4052">
            <w:pPr>
              <w:spacing w:before="155" w:line="240" w:lineRule="auto"/>
              <w:ind w:left="861" w:right="153" w:hanging="69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w:t>
            </w:r>
            <w:r>
              <w:rPr>
                <w:rFonts w:hint="eastAsia" w:ascii="宋体" w:hAnsi="宋体" w:eastAsia="宋体" w:cs="宋体"/>
                <w:color w:val="auto"/>
                <w:spacing w:val="2"/>
                <w:sz w:val="24"/>
                <w:szCs w:val="24"/>
                <w:highlight w:val="none"/>
              </w:rPr>
              <w:t>人)：</w:t>
            </w:r>
          </w:p>
        </w:tc>
        <w:tc>
          <w:tcPr>
            <w:tcW w:w="1725" w:type="dxa"/>
            <w:vAlign w:val="top"/>
          </w:tcPr>
          <w:p w14:paraId="2C206521">
            <w:pPr>
              <w:pStyle w:val="21"/>
              <w:rPr>
                <w:rFonts w:hint="eastAsia" w:ascii="宋体" w:hAnsi="宋体" w:eastAsia="宋体" w:cs="宋体"/>
                <w:color w:val="auto"/>
                <w:sz w:val="24"/>
                <w:szCs w:val="24"/>
                <w:highlight w:val="none"/>
              </w:rPr>
            </w:pPr>
          </w:p>
        </w:tc>
        <w:tc>
          <w:tcPr>
            <w:tcW w:w="1683" w:type="dxa"/>
            <w:gridSpan w:val="2"/>
            <w:vAlign w:val="top"/>
          </w:tcPr>
          <w:p w14:paraId="7AC1377A">
            <w:pPr>
              <w:pStyle w:val="21"/>
              <w:spacing w:line="336" w:lineRule="auto"/>
              <w:rPr>
                <w:rFonts w:hint="eastAsia" w:ascii="宋体" w:hAnsi="宋体" w:eastAsia="宋体" w:cs="宋体"/>
                <w:color w:val="auto"/>
                <w:sz w:val="24"/>
                <w:szCs w:val="24"/>
                <w:highlight w:val="none"/>
              </w:rPr>
            </w:pPr>
          </w:p>
          <w:p w14:paraId="1E023FA8">
            <w:pPr>
              <w:spacing w:before="61" w:line="231" w:lineRule="auto"/>
              <w:ind w:left="31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退还时间：</w:t>
            </w:r>
          </w:p>
        </w:tc>
        <w:tc>
          <w:tcPr>
            <w:tcW w:w="3408" w:type="dxa"/>
            <w:gridSpan w:val="3"/>
            <w:vAlign w:val="top"/>
          </w:tcPr>
          <w:p w14:paraId="209D4A82">
            <w:pPr>
              <w:pStyle w:val="21"/>
              <w:spacing w:line="335" w:lineRule="auto"/>
              <w:rPr>
                <w:rFonts w:hint="eastAsia" w:ascii="宋体" w:hAnsi="宋体" w:eastAsia="宋体" w:cs="宋体"/>
                <w:color w:val="auto"/>
                <w:sz w:val="24"/>
                <w:szCs w:val="24"/>
                <w:highlight w:val="none"/>
              </w:rPr>
            </w:pPr>
          </w:p>
          <w:p w14:paraId="459BFBAC">
            <w:pPr>
              <w:spacing w:before="62" w:line="229" w:lineRule="auto"/>
              <w:ind w:firstLine="444"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年</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9"/>
                <w:sz w:val="24"/>
                <w:szCs w:val="24"/>
                <w:highlight w:val="none"/>
              </w:rPr>
              <w:t>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时</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分</w:t>
            </w:r>
          </w:p>
        </w:tc>
      </w:tr>
    </w:tbl>
    <w:p w14:paraId="5303C8CD">
      <w:pPr>
        <w:rPr>
          <w:rFonts w:hint="eastAsia" w:ascii="宋体" w:hAnsi="宋体" w:eastAsia="宋体" w:cs="宋体"/>
          <w:b/>
          <w:bCs/>
          <w:color w:val="auto"/>
          <w:spacing w:val="-3"/>
          <w:sz w:val="24"/>
          <w:szCs w:val="24"/>
          <w:highlight w:val="none"/>
        </w:rPr>
      </w:pPr>
      <w:bookmarkStart w:id="274" w:name="bookmark107"/>
      <w:bookmarkEnd w:id="274"/>
      <w:r>
        <w:rPr>
          <w:rFonts w:hint="eastAsia" w:ascii="宋体" w:hAnsi="宋体" w:eastAsia="宋体" w:cs="宋体"/>
          <w:b/>
          <w:bCs/>
          <w:color w:val="auto"/>
          <w:spacing w:val="-3"/>
          <w:sz w:val="24"/>
          <w:szCs w:val="24"/>
          <w:highlight w:val="none"/>
        </w:rPr>
        <w:br w:type="page"/>
      </w:r>
    </w:p>
    <w:p w14:paraId="03CDC3FA">
      <w:pPr>
        <w:keepNext w:val="0"/>
        <w:keepLines w:val="0"/>
        <w:pageBreakBefore w:val="0"/>
        <w:widowControl w:val="0"/>
        <w:kinsoku/>
        <w:wordWrap/>
        <w:overflowPunct/>
        <w:topLinePunct w:val="0"/>
        <w:autoSpaceDE/>
        <w:autoSpaceDN/>
        <w:bidi w:val="0"/>
        <w:adjustRightInd/>
        <w:snapToGrid/>
        <w:spacing w:line="380" w:lineRule="exact"/>
        <w:jc w:val="left"/>
        <w:textAlignment w:val="auto"/>
        <w:outlineLvl w:val="1"/>
        <w:rPr>
          <w:rFonts w:hint="eastAsia" w:ascii="宋体" w:hAnsi="宋体" w:eastAsia="宋体" w:cs="宋体"/>
          <w:b/>
          <w:bCs w:val="0"/>
          <w:color w:val="auto"/>
          <w:highlight w:val="none"/>
          <w:lang w:val="en-US" w:eastAsia="zh-CN"/>
        </w:rPr>
      </w:pPr>
      <w:bookmarkStart w:id="275" w:name="_Toc3970"/>
      <w:bookmarkStart w:id="276" w:name="_Toc7940"/>
      <w:r>
        <w:rPr>
          <w:rStyle w:val="20"/>
          <w:rFonts w:hint="eastAsia" w:ascii="Times New Roman" w:hAnsi="宋体" w:eastAsia="宋体" w:cs="Times New Roman"/>
          <w:b/>
          <w:bCs/>
          <w:color w:val="auto"/>
          <w:kern w:val="0"/>
          <w:sz w:val="21"/>
          <w:szCs w:val="21"/>
          <w:highlight w:val="none"/>
          <w:lang w:val="en-US" w:eastAsia="zh-CN" w:bidi="ar-SA"/>
        </w:rPr>
        <w:t>格式十六 助力项目承诺书</w:t>
      </w:r>
      <w:bookmarkEnd w:id="275"/>
      <w:bookmarkEnd w:id="276"/>
    </w:p>
    <w:p w14:paraId="2E72D9B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助力项目承诺书</w:t>
      </w:r>
    </w:p>
    <w:p w14:paraId="779F35DF">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color w:val="auto"/>
          <w:sz w:val="24"/>
          <w:szCs w:val="24"/>
          <w:highlight w:val="none"/>
        </w:rPr>
      </w:pPr>
    </w:p>
    <w:p w14:paraId="7FFEEAF0">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致招标人：</w:t>
      </w:r>
      <w:r>
        <w:rPr>
          <w:rFonts w:hint="eastAsia" w:ascii="宋体" w:hAnsi="宋体" w:eastAsia="宋体" w:cs="宋体"/>
          <w:color w:val="auto"/>
          <w:sz w:val="21"/>
          <w:szCs w:val="21"/>
          <w:highlight w:val="none"/>
          <w:u w:val="single"/>
        </w:rPr>
        <w:t xml:space="preserve">                      </w:t>
      </w:r>
    </w:p>
    <w:p w14:paraId="237769D0">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kern w:val="2"/>
          <w:sz w:val="21"/>
          <w:szCs w:val="21"/>
          <w:highlight w:val="none"/>
          <w:vertAlign w:val="baseline"/>
          <w:lang w:val="en-US" w:eastAsia="zh-CN" w:bidi="ar-SA"/>
        </w:rPr>
        <w:t>为落实省委、省政府关于实施“百县千镇万村高质量发展工程”（以下简称“百千</w:t>
      </w:r>
      <w:r>
        <w:rPr>
          <w:rFonts w:hint="eastAsia" w:ascii="宋体" w:hAnsi="宋体" w:eastAsia="宋体" w:cs="宋体"/>
          <w:color w:val="auto"/>
          <w:sz w:val="21"/>
          <w:szCs w:val="21"/>
          <w:highlight w:val="none"/>
          <w:u w:val="none"/>
          <w:lang w:val="en-US" w:eastAsia="zh-CN"/>
        </w:rPr>
        <w:t>万工程”）工作部署以及</w:t>
      </w:r>
      <w:r>
        <w:rPr>
          <w:rFonts w:hint="eastAsia" w:ascii="宋体" w:hAnsi="宋体" w:eastAsia="宋体" w:cs="宋体"/>
          <w:b w:val="0"/>
          <w:bCs w:val="0"/>
          <w:i w:val="0"/>
          <w:iCs w:val="0"/>
          <w:color w:val="auto"/>
          <w:kern w:val="2"/>
          <w:sz w:val="21"/>
          <w:szCs w:val="21"/>
          <w:highlight w:val="none"/>
          <w:vertAlign w:val="baseline"/>
          <w:lang w:val="en-US" w:eastAsia="zh-CN" w:bidi="ar-SA"/>
        </w:rPr>
        <w:t>省“百千万工程”指挥部关于建筑业企业“微利＋公益”参与“百千万工程”建设方式和《广东省“百县千镇万村高质量发展工程”指挥部城镇建设专班办公室印发关于推动建筑业央企助力“百千万工程”工作指引的通知》（粤城镇建设</w:t>
      </w:r>
      <w:r>
        <w:rPr>
          <w:rFonts w:hint="eastAsia" w:ascii="宋体" w:hAnsi="宋体" w:eastAsia="宋体" w:cs="宋体"/>
          <w:b w:val="0"/>
          <w:bCs w:val="0"/>
          <w:i w:val="0"/>
          <w:iCs w:val="0"/>
          <w:color w:val="auto"/>
          <w:kern w:val="0"/>
          <w:sz w:val="21"/>
          <w:szCs w:val="21"/>
          <w:highlight w:val="none"/>
          <w:vertAlign w:val="baseline"/>
          <w:lang w:val="en-US" w:eastAsia="zh-CN" w:bidi="ar-SA"/>
        </w:rPr>
        <w:t>〔2024〕11号</w:t>
      </w:r>
      <w:r>
        <w:rPr>
          <w:rFonts w:hint="eastAsia" w:ascii="宋体" w:hAnsi="宋体" w:eastAsia="宋体" w:cs="宋体"/>
          <w:b w:val="0"/>
          <w:bCs w:val="0"/>
          <w:i w:val="0"/>
          <w:iCs w:val="0"/>
          <w:color w:val="auto"/>
          <w:kern w:val="2"/>
          <w:sz w:val="21"/>
          <w:szCs w:val="21"/>
          <w:highlight w:val="none"/>
          <w:vertAlign w:val="baseline"/>
          <w:lang w:val="en-US" w:eastAsia="zh-CN" w:bidi="ar-SA"/>
        </w:rPr>
        <w:t>）等工作要求，我公司将按要求完成中标项目的同时，自愿利用</w:t>
      </w:r>
      <w:r>
        <w:rPr>
          <w:rFonts w:hint="eastAsia" w:ascii="宋体" w:hAnsi="宋体" w:eastAsia="宋体" w:cs="宋体"/>
          <w:color w:val="auto"/>
          <w:sz w:val="21"/>
          <w:szCs w:val="21"/>
          <w:highlight w:val="none"/>
          <w:lang w:val="en-US" w:eastAsia="zh-CN"/>
        </w:rPr>
        <w:t>本企业的合理利润，积极做好</w:t>
      </w:r>
      <w:r>
        <w:rPr>
          <w:rFonts w:hint="eastAsia" w:ascii="宋体" w:hAnsi="宋体" w:eastAsia="宋体" w:cs="宋体"/>
          <w:color w:val="auto"/>
          <w:sz w:val="21"/>
          <w:szCs w:val="21"/>
          <w:highlight w:val="none"/>
          <w:u w:val="none"/>
          <w:lang w:val="en-US" w:eastAsia="zh-CN"/>
        </w:rPr>
        <w:t>助力项目建设，就此</w:t>
      </w:r>
      <w:r>
        <w:rPr>
          <w:rFonts w:hint="eastAsia" w:ascii="宋体" w:hAnsi="宋体" w:eastAsia="宋体" w:cs="宋体"/>
          <w:color w:val="auto"/>
          <w:sz w:val="21"/>
          <w:szCs w:val="21"/>
          <w:highlight w:val="none"/>
        </w:rPr>
        <w:t>我方承诺如下：</w:t>
      </w:r>
    </w:p>
    <w:p w14:paraId="160D487A">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b w:val="0"/>
          <w:bCs w:val="0"/>
          <w:color w:val="auto"/>
          <w:sz w:val="21"/>
          <w:szCs w:val="21"/>
          <w:highlight w:val="none"/>
          <w:lang w:val="en-US" w:eastAsia="zh-CN"/>
        </w:rPr>
        <w:t>1、</w:t>
      </w:r>
      <w:r>
        <w:rPr>
          <w:rFonts w:hint="eastAsia" w:ascii="宋体" w:hAnsi="宋体" w:eastAsia="宋体" w:cs="宋体"/>
          <w:color w:val="auto"/>
          <w:sz w:val="21"/>
          <w:szCs w:val="21"/>
          <w:highlight w:val="none"/>
        </w:rPr>
        <w:t>我方愿以</w:t>
      </w:r>
      <w:r>
        <w:rPr>
          <w:rFonts w:hint="eastAsia" w:ascii="宋体" w:hAnsi="宋体" w:eastAsia="宋体" w:cs="宋体"/>
          <w:b w:val="0"/>
          <w:bCs w:val="0"/>
          <w:i w:val="0"/>
          <w:iCs w:val="0"/>
          <w:color w:val="auto"/>
          <w:kern w:val="2"/>
          <w:sz w:val="21"/>
          <w:szCs w:val="21"/>
          <w:highlight w:val="none"/>
          <w:vertAlign w:val="baseline"/>
          <w:lang w:val="en-US" w:eastAsia="zh-CN" w:bidi="ar-SA"/>
        </w:rPr>
        <w:t>本项</w:t>
      </w:r>
      <w:r>
        <w:rPr>
          <w:rFonts w:hint="eastAsia" w:ascii="宋体" w:hAnsi="宋体" w:eastAsia="宋体" w:cs="宋体"/>
          <w:color w:val="auto"/>
          <w:sz w:val="21"/>
          <w:szCs w:val="21"/>
          <w:highlight w:val="none"/>
          <w:u w:val="none"/>
          <w:lang w:val="en-US" w:eastAsia="zh-CN"/>
        </w:rPr>
        <w:t>目施工最高投标限价</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%的资金，用于助力“百千万工程”中的公益性项目建设，具体实施助力项目从各级“百千万工程”指挥部提供的项目建设清单（项目库）中选取。</w:t>
      </w:r>
    </w:p>
    <w:p w14:paraId="6D4BD435">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2、如我方中标，承诺完成助力项目建设所用的资金是本企业的自有资金，不使用中标项目内的资金作为助力项目建设资金。</w:t>
      </w:r>
    </w:p>
    <w:p w14:paraId="5F5CD34F">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3、如我方中标，在中标项目发出中标通知书之日起至签订中标项目承包合同前，我方将按要求与助力项目业主单位按招标文件要求签订助力协议书，确定具体助力项目、投资额度、工期进度和质量标准等内容（含折算助力项目投资金额中的预扣减或扣减额处理办法）。</w:t>
      </w:r>
    </w:p>
    <w:p w14:paraId="7593AE19">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4、如我方中标，我方将按照协议书要求做好助力项目建设工作，按时保质保量完成“百千万工程”助力任务并移交整个工程，确保助力项目质量达到合格标准，并承诺本工程的保修期按有关规定及双方签署的协议要求执行。同时，按规定做好助力项目结算工作。</w:t>
      </w:r>
    </w:p>
    <w:p w14:paraId="3C429EAE">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5、如我方中标，将严格履行助力协议。招标人或助力项目业主单位发现我方有未按协议书履行投标助力承诺行为的，愿接受有关部门对我方进行诚信扣分及将有关失信行为上传信用广东和信用中国等诚信平台；对于有严重违反投标承诺，影响助力项目建设质量、进度或损害公共利益的，我方将接受依法依规作出的处理。</w:t>
      </w:r>
    </w:p>
    <w:p w14:paraId="0837154E">
      <w:pPr>
        <w:pStyle w:val="5"/>
        <w:keepNext w:val="0"/>
        <w:keepLines w:val="0"/>
        <w:pageBreakBefore w:val="0"/>
        <w:widowControl w:val="0"/>
        <w:kinsoku/>
        <w:wordWrap/>
        <w:overflowPunct/>
        <w:topLinePunct w:val="0"/>
        <w:autoSpaceDE/>
        <w:autoSpaceDN/>
        <w:bidi w:val="0"/>
        <w:adjustRightInd/>
        <w:snapToGrid/>
        <w:spacing w:after="0" w:afterLines="0" w:line="36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color w:val="auto"/>
          <w:sz w:val="21"/>
          <w:szCs w:val="21"/>
          <w:highlight w:val="none"/>
        </w:rPr>
        <w:t>我方同意在投标人须知规定的投标有效期内严格遵守本企业投标文件的各项承诺，如有违约，愿承担相应违约责任。</w:t>
      </w:r>
    </w:p>
    <w:p w14:paraId="7F0EB558">
      <w:pPr>
        <w:pStyle w:val="5"/>
        <w:keepNext w:val="0"/>
        <w:keepLines w:val="0"/>
        <w:pageBreakBefore w:val="0"/>
        <w:widowControl w:val="0"/>
        <w:kinsoku/>
        <w:wordWrap/>
        <w:overflowPunct/>
        <w:topLinePunct w:val="0"/>
        <w:autoSpaceDE/>
        <w:autoSpaceDN/>
        <w:bidi w:val="0"/>
        <w:adjustRightInd/>
        <w:snapToGrid/>
        <w:spacing w:after="0" w:afterLines="0" w:line="36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p>
    <w:p w14:paraId="34D07D34">
      <w:pPr>
        <w:pStyle w:val="5"/>
        <w:keepNext w:val="0"/>
        <w:keepLines w:val="0"/>
        <w:pageBreakBefore w:val="0"/>
        <w:widowControl w:val="0"/>
        <w:kinsoku/>
        <w:wordWrap/>
        <w:overflowPunct/>
        <w:topLinePunct w:val="0"/>
        <w:autoSpaceDE/>
        <w:autoSpaceDN/>
        <w:bidi w:val="0"/>
        <w:adjustRightInd/>
        <w:snapToGrid/>
        <w:spacing w:after="0" w:afterLines="0" w:line="36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p>
    <w:p w14:paraId="2FBF64B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(盖电子印章）</w:t>
      </w:r>
    </w:p>
    <w:p w14:paraId="67F748B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p>
    <w:p w14:paraId="1B3E4D6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（电子签名</w:t>
      </w:r>
      <w:r>
        <w:rPr>
          <w:rFonts w:hint="eastAsia" w:ascii="宋体" w:hAnsi="宋体" w:eastAsia="宋体" w:cs="宋体"/>
          <w:color w:val="auto"/>
          <w:sz w:val="21"/>
          <w:szCs w:val="21"/>
          <w:highlight w:val="none"/>
          <w:lang w:eastAsia="zh-CN"/>
        </w:rPr>
        <w:t>或</w:t>
      </w:r>
      <w:r>
        <w:rPr>
          <w:rFonts w:hint="eastAsia" w:ascii="宋体" w:hAnsi="宋体" w:eastAsia="宋体" w:cs="宋体"/>
          <w:color w:val="auto"/>
          <w:sz w:val="21"/>
          <w:szCs w:val="21"/>
          <w:highlight w:val="none"/>
        </w:rPr>
        <w:t>盖电子印章）</w:t>
      </w:r>
    </w:p>
    <w:p w14:paraId="5D83872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p>
    <w:p w14:paraId="5272D2C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3074528A">
      <w:pPr>
        <w:keepNext w:val="0"/>
        <w:keepLines w:val="0"/>
        <w:pageBreakBefore w:val="0"/>
        <w:widowControl w:val="0"/>
        <w:kinsoku/>
        <w:wordWrap/>
        <w:overflowPunct/>
        <w:topLinePunct w:val="0"/>
        <w:autoSpaceDE/>
        <w:autoSpaceDN/>
        <w:bidi w:val="0"/>
        <w:adjustRightInd/>
        <w:snapToGrid/>
        <w:spacing w:line="300" w:lineRule="exact"/>
        <w:textAlignment w:val="auto"/>
        <w:outlineLvl w:val="9"/>
        <w:rPr>
          <w:rFonts w:hint="eastAsia" w:ascii="宋体" w:hAnsi="宋体" w:eastAsia="宋体" w:cs="宋体"/>
          <w:color w:val="auto"/>
          <w:sz w:val="21"/>
          <w:szCs w:val="21"/>
          <w:highlight w:val="none"/>
          <w:lang w:eastAsia="zh-CN"/>
        </w:rPr>
      </w:pPr>
    </w:p>
    <w:p w14:paraId="2BF39472">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注：上述承诺书中的</w:t>
      </w:r>
      <w:r>
        <w:rPr>
          <w:rFonts w:hint="eastAsia" w:ascii="宋体" w:hAnsi="宋体" w:eastAsia="宋体" w:cs="宋体"/>
          <w:b w:val="0"/>
          <w:bCs w:val="0"/>
          <w:i w:val="0"/>
          <w:iCs w:val="0"/>
          <w:color w:val="auto"/>
          <w:kern w:val="2"/>
          <w:sz w:val="21"/>
          <w:szCs w:val="21"/>
          <w:highlight w:val="none"/>
          <w:u w:val="none" w:color="auto"/>
          <w:vertAlign w:val="baseline"/>
          <w:lang w:val="en-US" w:eastAsia="zh-CN" w:bidi="ar-SA"/>
        </w:rPr>
        <w:t>企业社会贡献下浮率要使用阿拉伯数字填报，不得填报负值，企业社会贡献下浮率没有填报任何数字或填报负值的按无企业社会贡献处理，但不作无效投标处理。</w:t>
      </w:r>
    </w:p>
    <w:p w14:paraId="56BC3E48">
      <w:pPr>
        <w:pStyle w:val="39"/>
        <w:ind w:left="0" w:leftChars="0" w:firstLine="0" w:firstLineChars="0"/>
        <w:rPr>
          <w:rStyle w:val="43"/>
          <w:rFonts w:hint="eastAsia" w:ascii="宋体" w:hAnsi="宋体" w:eastAsia="宋体" w:cs="宋体"/>
          <w:bCs/>
          <w:color w:val="auto"/>
          <w:kern w:val="2"/>
          <w:sz w:val="21"/>
          <w:szCs w:val="21"/>
          <w:highlight w:val="none"/>
        </w:rPr>
      </w:pPr>
    </w:p>
    <w:p w14:paraId="09B15C70">
      <w:pPr>
        <w:pStyle w:val="45"/>
        <w:snapToGrid w:val="0"/>
        <w:spacing w:line="440" w:lineRule="exact"/>
        <w:outlineLvl w:val="1"/>
        <w:rPr>
          <w:rStyle w:val="20"/>
          <w:rFonts w:hint="eastAsia" w:ascii="Times New Roman" w:hAnsi="宋体" w:eastAsia="宋体" w:cs="Times New Roman"/>
          <w:b/>
          <w:bCs/>
          <w:color w:val="auto"/>
          <w:sz w:val="21"/>
          <w:szCs w:val="21"/>
          <w:highlight w:val="none"/>
          <w:lang w:val="en-US" w:eastAsia="zh-CN"/>
        </w:rPr>
      </w:pPr>
      <w:r>
        <w:rPr>
          <w:rStyle w:val="43"/>
          <w:rFonts w:hint="eastAsia" w:ascii="宋体" w:hAnsi="宋体" w:eastAsia="宋体" w:cs="宋体"/>
          <w:bCs/>
          <w:color w:val="auto"/>
          <w:kern w:val="2"/>
          <w:sz w:val="21"/>
          <w:szCs w:val="21"/>
          <w:highlight w:val="none"/>
        </w:rPr>
        <w:br w:type="page"/>
      </w:r>
      <w:bookmarkStart w:id="277" w:name="_Toc26911"/>
      <w:bookmarkStart w:id="278" w:name="_Toc26323"/>
      <w:r>
        <w:rPr>
          <w:rStyle w:val="20"/>
          <w:rFonts w:hint="eastAsia" w:ascii="Times New Roman" w:hAnsi="宋体" w:eastAsia="宋体" w:cs="Times New Roman"/>
          <w:b/>
          <w:bCs/>
          <w:color w:val="auto"/>
          <w:sz w:val="21"/>
          <w:szCs w:val="21"/>
          <w:highlight w:val="none"/>
          <w:lang w:eastAsia="zh-CN"/>
        </w:rPr>
        <w:t>格式十</w:t>
      </w:r>
      <w:r>
        <w:rPr>
          <w:rStyle w:val="20"/>
          <w:rFonts w:hint="eastAsia" w:ascii="Times New Roman" w:hAnsi="宋体" w:cs="Times New Roman"/>
          <w:b/>
          <w:bCs/>
          <w:color w:val="auto"/>
          <w:sz w:val="21"/>
          <w:szCs w:val="21"/>
          <w:highlight w:val="none"/>
          <w:lang w:val="en-US" w:eastAsia="zh-CN"/>
        </w:rPr>
        <w:t xml:space="preserve">七  </w:t>
      </w:r>
      <w:r>
        <w:rPr>
          <w:rStyle w:val="20"/>
          <w:rFonts w:hint="eastAsia" w:ascii="Times New Roman" w:hAnsi="宋体" w:eastAsia="宋体" w:cs="Times New Roman"/>
          <w:b/>
          <w:bCs/>
          <w:color w:val="auto"/>
          <w:sz w:val="21"/>
          <w:szCs w:val="21"/>
          <w:highlight w:val="none"/>
          <w:lang w:val="en-US" w:eastAsia="zh-CN"/>
        </w:rPr>
        <w:t>定标因素评审资料</w:t>
      </w:r>
      <w:bookmarkEnd w:id="277"/>
      <w:bookmarkEnd w:id="278"/>
    </w:p>
    <w:p w14:paraId="1FBABC69">
      <w:pPr>
        <w:spacing w:line="500" w:lineRule="exact"/>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24"/>
          <w:szCs w:val="24"/>
          <w:highlight w:val="none"/>
          <w:lang w:eastAsia="zh-CN"/>
        </w:rPr>
        <w:t>定标因素评审资料</w:t>
      </w:r>
    </w:p>
    <w:p w14:paraId="6109F8B3">
      <w:pPr>
        <w:jc w:val="left"/>
        <w:rPr>
          <w:rFonts w:hint="eastAsia" w:ascii="宋体" w:hAnsi="宋体" w:eastAsia="宋体" w:cs="宋体"/>
          <w:color w:val="auto"/>
          <w:sz w:val="24"/>
          <w:highlight w:val="none"/>
          <w:lang w:eastAsia="zh-CN"/>
        </w:rPr>
      </w:pPr>
    </w:p>
    <w:p w14:paraId="53BC4F7B">
      <w:pPr>
        <w:pStyle w:val="39"/>
        <w:ind w:left="0" w:leftChars="0" w:firstLine="0" w:firstLineChars="0"/>
        <w:rPr>
          <w:rStyle w:val="43"/>
          <w:rFonts w:hint="eastAsia" w:ascii="宋体" w:hAnsi="宋体" w:eastAsia="宋体" w:cs="宋体"/>
          <w:b/>
          <w:bCs/>
          <w:color w:val="auto"/>
          <w:kern w:val="2"/>
          <w:sz w:val="24"/>
          <w:szCs w:val="24"/>
          <w:highlight w:val="none"/>
        </w:rPr>
      </w:pPr>
      <w:r>
        <w:rPr>
          <w:rFonts w:hint="eastAsia" w:ascii="宋体" w:hAnsi="宋体" w:eastAsia="宋体" w:cs="宋体"/>
          <w:b/>
          <w:bCs/>
          <w:color w:val="auto"/>
          <w:sz w:val="24"/>
          <w:szCs w:val="24"/>
          <w:highlight w:val="none"/>
          <w:lang w:val="en-US" w:eastAsia="zh-CN"/>
        </w:rPr>
        <w:t>投标人根据“</w:t>
      </w:r>
      <w:r>
        <w:rPr>
          <w:rFonts w:hint="eastAsia" w:ascii="宋体" w:hAnsi="宋体" w:eastAsia="宋体" w:cs="宋体"/>
          <w:b/>
          <w:bCs/>
          <w:color w:val="auto"/>
          <w:sz w:val="24"/>
          <w:szCs w:val="24"/>
          <w:highlight w:val="none"/>
        </w:rPr>
        <w:t>第</w:t>
      </w: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章 第</w:t>
      </w:r>
      <w:r>
        <w:rPr>
          <w:rFonts w:hint="eastAsia" w:ascii="宋体" w:hAnsi="宋体" w:eastAsia="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节 定标</w:t>
      </w:r>
      <w:r>
        <w:rPr>
          <w:rFonts w:hint="eastAsia" w:ascii="宋体" w:hAnsi="宋体" w:eastAsia="宋体" w:cs="宋体"/>
          <w:b/>
          <w:bCs/>
          <w:color w:val="auto"/>
          <w:sz w:val="24"/>
          <w:szCs w:val="24"/>
          <w:highlight w:val="none"/>
          <w:lang w:eastAsia="zh-CN"/>
        </w:rPr>
        <w:t>规定</w:t>
      </w:r>
      <w:r>
        <w:rPr>
          <w:rFonts w:hint="eastAsia" w:ascii="宋体" w:hAnsi="宋体" w:eastAsia="宋体" w:cs="宋体"/>
          <w:b/>
          <w:bCs/>
          <w:color w:val="auto"/>
          <w:sz w:val="24"/>
          <w:szCs w:val="24"/>
          <w:highlight w:val="none"/>
          <w:lang w:val="en-US" w:eastAsia="zh-CN"/>
        </w:rPr>
        <w:t>及细则”载明的</w:t>
      </w:r>
      <w:r>
        <w:rPr>
          <w:rFonts w:hint="eastAsia" w:ascii="宋体" w:hAnsi="宋体" w:eastAsia="宋体" w:cs="宋体"/>
          <w:b/>
          <w:bCs/>
          <w:color w:val="auto"/>
          <w:sz w:val="24"/>
          <w:szCs w:val="24"/>
          <w:highlight w:val="none"/>
          <w:lang w:eastAsia="zh-CN"/>
        </w:rPr>
        <w:t>定标因素，</w:t>
      </w:r>
      <w:r>
        <w:rPr>
          <w:rFonts w:hint="eastAsia" w:ascii="宋体" w:hAnsi="宋体" w:eastAsia="宋体" w:cs="宋体"/>
          <w:b/>
          <w:bCs/>
          <w:color w:val="auto"/>
          <w:sz w:val="24"/>
          <w:szCs w:val="24"/>
          <w:highlight w:val="none"/>
          <w:lang w:val="en-US" w:eastAsia="zh-CN"/>
        </w:rPr>
        <w:t>提交</w:t>
      </w:r>
      <w:r>
        <w:rPr>
          <w:rFonts w:hint="eastAsia" w:ascii="宋体" w:hAnsi="宋体" w:eastAsia="宋体" w:cs="宋体"/>
          <w:b/>
          <w:bCs/>
          <w:color w:val="auto"/>
          <w:sz w:val="24"/>
          <w:szCs w:val="24"/>
          <w:highlight w:val="none"/>
          <w:lang w:eastAsia="zh-CN"/>
        </w:rPr>
        <w:t>评审资料。</w:t>
      </w:r>
    </w:p>
    <w:p w14:paraId="14C25B53">
      <w:pPr>
        <w:spacing w:before="78" w:line="219" w:lineRule="auto"/>
        <w:jc w:val="center"/>
        <w:outlineLvl w:val="1"/>
        <w:rPr>
          <w:rFonts w:hint="eastAsia" w:ascii="宋体" w:hAnsi="宋体" w:eastAsia="宋体" w:cs="宋体"/>
          <w:b/>
          <w:bCs/>
          <w:color w:val="auto"/>
          <w:spacing w:val="-3"/>
          <w:sz w:val="24"/>
          <w:szCs w:val="24"/>
          <w:highlight w:val="none"/>
        </w:rPr>
      </w:pPr>
    </w:p>
    <w:p w14:paraId="7A6AD313">
      <w:pPr>
        <w:spacing w:before="78" w:line="219" w:lineRule="auto"/>
        <w:jc w:val="center"/>
        <w:outlineLvl w:val="1"/>
        <w:rPr>
          <w:rFonts w:hint="eastAsia" w:ascii="宋体" w:hAnsi="宋体" w:eastAsia="宋体" w:cs="宋体"/>
          <w:b/>
          <w:bCs/>
          <w:color w:val="auto"/>
          <w:spacing w:val="-3"/>
          <w:sz w:val="24"/>
          <w:szCs w:val="24"/>
          <w:highlight w:val="none"/>
        </w:rPr>
      </w:pPr>
    </w:p>
    <w:p w14:paraId="2495B873">
      <w:pPr>
        <w:spacing w:before="78" w:line="219" w:lineRule="auto"/>
        <w:jc w:val="center"/>
        <w:outlineLvl w:val="1"/>
        <w:rPr>
          <w:rFonts w:hint="eastAsia" w:ascii="宋体" w:hAnsi="宋体" w:eastAsia="宋体" w:cs="宋体"/>
          <w:b/>
          <w:bCs/>
          <w:color w:val="auto"/>
          <w:spacing w:val="-3"/>
          <w:sz w:val="24"/>
          <w:szCs w:val="24"/>
          <w:highlight w:val="none"/>
        </w:rPr>
      </w:pPr>
    </w:p>
    <w:p w14:paraId="7F14BE6C">
      <w:pPr>
        <w:spacing w:before="78" w:line="219" w:lineRule="auto"/>
        <w:jc w:val="center"/>
        <w:outlineLvl w:val="1"/>
        <w:rPr>
          <w:rFonts w:hint="eastAsia" w:ascii="宋体" w:hAnsi="宋体" w:eastAsia="宋体" w:cs="宋体"/>
          <w:b/>
          <w:bCs/>
          <w:color w:val="auto"/>
          <w:spacing w:val="-3"/>
          <w:sz w:val="24"/>
          <w:szCs w:val="24"/>
          <w:highlight w:val="none"/>
        </w:rPr>
      </w:pPr>
    </w:p>
    <w:p w14:paraId="48FF3C2F">
      <w:pPr>
        <w:spacing w:before="78" w:line="219" w:lineRule="auto"/>
        <w:jc w:val="center"/>
        <w:outlineLvl w:val="1"/>
        <w:rPr>
          <w:rFonts w:hint="eastAsia" w:ascii="宋体" w:hAnsi="宋体" w:eastAsia="宋体" w:cs="宋体"/>
          <w:b/>
          <w:bCs/>
          <w:color w:val="auto"/>
          <w:spacing w:val="-3"/>
          <w:sz w:val="24"/>
          <w:szCs w:val="24"/>
          <w:highlight w:val="none"/>
        </w:rPr>
      </w:pPr>
    </w:p>
    <w:p w14:paraId="2290D916">
      <w:pPr>
        <w:spacing w:before="78" w:line="219" w:lineRule="auto"/>
        <w:jc w:val="center"/>
        <w:outlineLvl w:val="1"/>
        <w:rPr>
          <w:rFonts w:hint="eastAsia" w:ascii="宋体" w:hAnsi="宋体" w:eastAsia="宋体" w:cs="宋体"/>
          <w:b/>
          <w:bCs/>
          <w:color w:val="auto"/>
          <w:spacing w:val="-3"/>
          <w:sz w:val="24"/>
          <w:szCs w:val="24"/>
          <w:highlight w:val="none"/>
        </w:rPr>
      </w:pPr>
    </w:p>
    <w:p w14:paraId="391FCD36">
      <w:pPr>
        <w:spacing w:before="78" w:line="219" w:lineRule="auto"/>
        <w:jc w:val="center"/>
        <w:outlineLvl w:val="1"/>
        <w:rPr>
          <w:rFonts w:hint="eastAsia" w:ascii="宋体" w:hAnsi="宋体" w:eastAsia="宋体" w:cs="宋体"/>
          <w:b/>
          <w:bCs/>
          <w:color w:val="auto"/>
          <w:spacing w:val="-3"/>
          <w:sz w:val="24"/>
          <w:szCs w:val="24"/>
          <w:highlight w:val="none"/>
        </w:rPr>
      </w:pPr>
    </w:p>
    <w:p w14:paraId="3C6BB66F">
      <w:pPr>
        <w:spacing w:before="78" w:line="219" w:lineRule="auto"/>
        <w:jc w:val="center"/>
        <w:outlineLvl w:val="1"/>
        <w:rPr>
          <w:rFonts w:hint="eastAsia" w:ascii="宋体" w:hAnsi="宋体" w:eastAsia="宋体" w:cs="宋体"/>
          <w:b/>
          <w:bCs/>
          <w:color w:val="auto"/>
          <w:spacing w:val="-3"/>
          <w:sz w:val="24"/>
          <w:szCs w:val="24"/>
          <w:highlight w:val="none"/>
        </w:rPr>
      </w:pPr>
    </w:p>
    <w:p w14:paraId="2E4A244E">
      <w:pPr>
        <w:spacing w:before="78" w:line="219" w:lineRule="auto"/>
        <w:jc w:val="center"/>
        <w:outlineLvl w:val="1"/>
        <w:rPr>
          <w:rFonts w:hint="eastAsia" w:ascii="宋体" w:hAnsi="宋体" w:eastAsia="宋体" w:cs="宋体"/>
          <w:b/>
          <w:bCs/>
          <w:color w:val="auto"/>
          <w:spacing w:val="-3"/>
          <w:sz w:val="24"/>
          <w:szCs w:val="24"/>
          <w:highlight w:val="none"/>
        </w:rPr>
      </w:pPr>
    </w:p>
    <w:p w14:paraId="765F7C6C">
      <w:pPr>
        <w:spacing w:before="78" w:line="219" w:lineRule="auto"/>
        <w:jc w:val="center"/>
        <w:outlineLvl w:val="1"/>
        <w:rPr>
          <w:rFonts w:hint="eastAsia" w:ascii="宋体" w:hAnsi="宋体" w:eastAsia="宋体" w:cs="宋体"/>
          <w:b/>
          <w:bCs/>
          <w:color w:val="auto"/>
          <w:spacing w:val="-3"/>
          <w:sz w:val="24"/>
          <w:szCs w:val="24"/>
          <w:highlight w:val="none"/>
        </w:rPr>
      </w:pPr>
    </w:p>
    <w:p w14:paraId="23EB9E71">
      <w:pPr>
        <w:spacing w:before="78" w:line="219" w:lineRule="auto"/>
        <w:jc w:val="center"/>
        <w:outlineLvl w:val="1"/>
        <w:rPr>
          <w:rFonts w:hint="eastAsia" w:ascii="宋体" w:hAnsi="宋体" w:eastAsia="宋体" w:cs="宋体"/>
          <w:b/>
          <w:bCs/>
          <w:color w:val="auto"/>
          <w:spacing w:val="-3"/>
          <w:sz w:val="24"/>
          <w:szCs w:val="24"/>
          <w:highlight w:val="none"/>
        </w:rPr>
      </w:pPr>
    </w:p>
    <w:p w14:paraId="15AA33D0">
      <w:pPr>
        <w:spacing w:before="78" w:line="219" w:lineRule="auto"/>
        <w:jc w:val="center"/>
        <w:outlineLvl w:val="1"/>
        <w:rPr>
          <w:rFonts w:hint="eastAsia" w:ascii="宋体" w:hAnsi="宋体" w:eastAsia="宋体" w:cs="宋体"/>
          <w:b/>
          <w:bCs/>
          <w:color w:val="auto"/>
          <w:spacing w:val="-3"/>
          <w:sz w:val="24"/>
          <w:szCs w:val="24"/>
          <w:highlight w:val="none"/>
        </w:rPr>
      </w:pPr>
    </w:p>
    <w:p w14:paraId="7B279407">
      <w:pPr>
        <w:spacing w:before="78" w:line="219" w:lineRule="auto"/>
        <w:jc w:val="center"/>
        <w:outlineLvl w:val="1"/>
        <w:rPr>
          <w:rFonts w:hint="eastAsia" w:ascii="宋体" w:hAnsi="宋体" w:eastAsia="宋体" w:cs="宋体"/>
          <w:b/>
          <w:bCs/>
          <w:color w:val="auto"/>
          <w:spacing w:val="-3"/>
          <w:sz w:val="24"/>
          <w:szCs w:val="24"/>
          <w:highlight w:val="none"/>
        </w:rPr>
      </w:pPr>
    </w:p>
    <w:p w14:paraId="2574C13D">
      <w:pPr>
        <w:spacing w:before="78" w:line="219" w:lineRule="auto"/>
        <w:jc w:val="center"/>
        <w:outlineLvl w:val="1"/>
        <w:rPr>
          <w:rFonts w:hint="eastAsia" w:ascii="宋体" w:hAnsi="宋体" w:eastAsia="宋体" w:cs="宋体"/>
          <w:b/>
          <w:bCs/>
          <w:color w:val="auto"/>
          <w:spacing w:val="-3"/>
          <w:sz w:val="24"/>
          <w:szCs w:val="24"/>
          <w:highlight w:val="none"/>
        </w:rPr>
      </w:pPr>
    </w:p>
    <w:p w14:paraId="7BC7ADD0">
      <w:pPr>
        <w:spacing w:before="78" w:line="219" w:lineRule="auto"/>
        <w:jc w:val="center"/>
        <w:outlineLvl w:val="1"/>
        <w:rPr>
          <w:rFonts w:hint="eastAsia" w:ascii="宋体" w:hAnsi="宋体" w:eastAsia="宋体" w:cs="宋体"/>
          <w:b/>
          <w:bCs/>
          <w:color w:val="auto"/>
          <w:spacing w:val="-3"/>
          <w:sz w:val="24"/>
          <w:szCs w:val="24"/>
          <w:highlight w:val="none"/>
        </w:rPr>
      </w:pPr>
    </w:p>
    <w:p w14:paraId="2E2C18EC">
      <w:pPr>
        <w:spacing w:before="78" w:line="219" w:lineRule="auto"/>
        <w:jc w:val="center"/>
        <w:outlineLvl w:val="1"/>
        <w:rPr>
          <w:rFonts w:hint="eastAsia" w:ascii="宋体" w:hAnsi="宋体" w:eastAsia="宋体" w:cs="宋体"/>
          <w:b/>
          <w:bCs/>
          <w:color w:val="auto"/>
          <w:spacing w:val="-3"/>
          <w:sz w:val="24"/>
          <w:szCs w:val="24"/>
          <w:highlight w:val="none"/>
        </w:rPr>
      </w:pPr>
    </w:p>
    <w:p w14:paraId="4B756AD1">
      <w:pPr>
        <w:spacing w:before="78" w:line="219" w:lineRule="auto"/>
        <w:jc w:val="center"/>
        <w:outlineLvl w:val="1"/>
        <w:rPr>
          <w:rFonts w:hint="eastAsia" w:ascii="宋体" w:hAnsi="宋体" w:eastAsia="宋体" w:cs="宋体"/>
          <w:b/>
          <w:bCs/>
          <w:color w:val="auto"/>
          <w:spacing w:val="-3"/>
          <w:sz w:val="24"/>
          <w:szCs w:val="24"/>
          <w:highlight w:val="none"/>
        </w:rPr>
      </w:pPr>
    </w:p>
    <w:p w14:paraId="053E6982">
      <w:pPr>
        <w:spacing w:before="78" w:line="219" w:lineRule="auto"/>
        <w:jc w:val="center"/>
        <w:outlineLvl w:val="1"/>
        <w:rPr>
          <w:rFonts w:hint="eastAsia" w:ascii="宋体" w:hAnsi="宋体" w:eastAsia="宋体" w:cs="宋体"/>
          <w:b/>
          <w:bCs/>
          <w:color w:val="auto"/>
          <w:spacing w:val="-3"/>
          <w:sz w:val="24"/>
          <w:szCs w:val="24"/>
          <w:highlight w:val="none"/>
        </w:rPr>
      </w:pPr>
    </w:p>
    <w:p w14:paraId="7870DAE2">
      <w:pPr>
        <w:spacing w:before="78" w:line="219" w:lineRule="auto"/>
        <w:jc w:val="center"/>
        <w:outlineLvl w:val="1"/>
        <w:rPr>
          <w:rFonts w:hint="eastAsia" w:ascii="宋体" w:hAnsi="宋体" w:eastAsia="宋体" w:cs="宋体"/>
          <w:b/>
          <w:bCs/>
          <w:color w:val="auto"/>
          <w:spacing w:val="-3"/>
          <w:sz w:val="24"/>
          <w:szCs w:val="24"/>
          <w:highlight w:val="none"/>
        </w:rPr>
      </w:pPr>
    </w:p>
    <w:p w14:paraId="4F14D8C4">
      <w:pPr>
        <w:spacing w:before="78" w:line="219" w:lineRule="auto"/>
        <w:jc w:val="center"/>
        <w:outlineLvl w:val="1"/>
        <w:rPr>
          <w:rFonts w:hint="eastAsia" w:ascii="宋体" w:hAnsi="宋体" w:eastAsia="宋体" w:cs="宋体"/>
          <w:b/>
          <w:bCs/>
          <w:color w:val="auto"/>
          <w:spacing w:val="-3"/>
          <w:sz w:val="24"/>
          <w:szCs w:val="24"/>
          <w:highlight w:val="none"/>
        </w:rPr>
      </w:pPr>
    </w:p>
    <w:p w14:paraId="35A8BC8A">
      <w:pPr>
        <w:spacing w:before="78" w:line="219" w:lineRule="auto"/>
        <w:jc w:val="center"/>
        <w:outlineLvl w:val="1"/>
        <w:rPr>
          <w:rFonts w:hint="eastAsia" w:ascii="宋体" w:hAnsi="宋体" w:eastAsia="宋体" w:cs="宋体"/>
          <w:b/>
          <w:bCs/>
          <w:color w:val="auto"/>
          <w:spacing w:val="-3"/>
          <w:sz w:val="24"/>
          <w:szCs w:val="24"/>
          <w:highlight w:val="none"/>
        </w:rPr>
      </w:pPr>
    </w:p>
    <w:p w14:paraId="27FBC262">
      <w:pPr>
        <w:spacing w:before="78" w:line="219" w:lineRule="auto"/>
        <w:jc w:val="center"/>
        <w:outlineLvl w:val="1"/>
        <w:rPr>
          <w:rFonts w:hint="eastAsia" w:ascii="宋体" w:hAnsi="宋体" w:eastAsia="宋体" w:cs="宋体"/>
          <w:b/>
          <w:bCs/>
          <w:color w:val="auto"/>
          <w:spacing w:val="-3"/>
          <w:sz w:val="24"/>
          <w:szCs w:val="24"/>
          <w:highlight w:val="none"/>
        </w:rPr>
      </w:pPr>
    </w:p>
    <w:p w14:paraId="6CBE51BC">
      <w:pPr>
        <w:spacing w:before="78" w:line="219" w:lineRule="auto"/>
        <w:jc w:val="center"/>
        <w:outlineLvl w:val="1"/>
        <w:rPr>
          <w:rFonts w:hint="eastAsia" w:ascii="宋体" w:hAnsi="宋体" w:eastAsia="宋体" w:cs="宋体"/>
          <w:b/>
          <w:bCs/>
          <w:color w:val="auto"/>
          <w:spacing w:val="-3"/>
          <w:sz w:val="24"/>
          <w:szCs w:val="24"/>
          <w:highlight w:val="none"/>
        </w:rPr>
      </w:pPr>
    </w:p>
    <w:p w14:paraId="360EE02A">
      <w:pPr>
        <w:spacing w:before="78" w:line="219" w:lineRule="auto"/>
        <w:jc w:val="center"/>
        <w:outlineLvl w:val="1"/>
        <w:rPr>
          <w:rFonts w:hint="eastAsia" w:ascii="宋体" w:hAnsi="宋体" w:eastAsia="宋体" w:cs="宋体"/>
          <w:b/>
          <w:bCs/>
          <w:color w:val="auto"/>
          <w:spacing w:val="-3"/>
          <w:sz w:val="24"/>
          <w:szCs w:val="24"/>
          <w:highlight w:val="none"/>
        </w:rPr>
      </w:pPr>
    </w:p>
    <w:p w14:paraId="76926CBB">
      <w:pPr>
        <w:spacing w:before="78" w:line="219" w:lineRule="auto"/>
        <w:jc w:val="center"/>
        <w:outlineLvl w:val="1"/>
        <w:rPr>
          <w:rFonts w:hint="eastAsia" w:ascii="宋体" w:hAnsi="宋体" w:eastAsia="宋体" w:cs="宋体"/>
          <w:b/>
          <w:bCs/>
          <w:color w:val="auto"/>
          <w:spacing w:val="-3"/>
          <w:sz w:val="24"/>
          <w:szCs w:val="24"/>
          <w:highlight w:val="none"/>
        </w:rPr>
      </w:pPr>
    </w:p>
    <w:p w14:paraId="750F22B2">
      <w:pPr>
        <w:spacing w:before="78" w:line="219" w:lineRule="auto"/>
        <w:jc w:val="center"/>
        <w:outlineLvl w:val="1"/>
        <w:rPr>
          <w:rFonts w:hint="eastAsia" w:ascii="宋体" w:hAnsi="宋体" w:eastAsia="宋体" w:cs="宋体"/>
          <w:b/>
          <w:bCs/>
          <w:color w:val="auto"/>
          <w:spacing w:val="-3"/>
          <w:sz w:val="24"/>
          <w:szCs w:val="24"/>
          <w:highlight w:val="none"/>
        </w:rPr>
      </w:pPr>
    </w:p>
    <w:p w14:paraId="0E614BAE">
      <w:pPr>
        <w:spacing w:before="78" w:line="219" w:lineRule="auto"/>
        <w:jc w:val="center"/>
        <w:outlineLvl w:val="1"/>
        <w:rPr>
          <w:rFonts w:hint="eastAsia" w:ascii="宋体" w:hAnsi="宋体" w:eastAsia="宋体" w:cs="宋体"/>
          <w:b/>
          <w:bCs/>
          <w:color w:val="auto"/>
          <w:spacing w:val="-3"/>
          <w:sz w:val="24"/>
          <w:szCs w:val="24"/>
          <w:highlight w:val="none"/>
        </w:rPr>
      </w:pPr>
    </w:p>
    <w:p w14:paraId="657A2391">
      <w:pPr>
        <w:spacing w:before="78" w:line="219" w:lineRule="auto"/>
        <w:jc w:val="center"/>
        <w:outlineLvl w:val="1"/>
        <w:rPr>
          <w:rFonts w:hint="eastAsia" w:ascii="宋体" w:hAnsi="宋体" w:eastAsia="宋体" w:cs="宋体"/>
          <w:b/>
          <w:bCs/>
          <w:color w:val="auto"/>
          <w:spacing w:val="-3"/>
          <w:sz w:val="24"/>
          <w:szCs w:val="24"/>
          <w:highlight w:val="none"/>
        </w:rPr>
      </w:pPr>
    </w:p>
    <w:p w14:paraId="20392549">
      <w:pPr>
        <w:spacing w:before="78" w:line="219" w:lineRule="auto"/>
        <w:jc w:val="center"/>
        <w:outlineLvl w:val="1"/>
        <w:rPr>
          <w:rFonts w:hint="eastAsia" w:ascii="宋体" w:hAnsi="宋体" w:eastAsia="宋体" w:cs="宋体"/>
          <w:b/>
          <w:bCs/>
          <w:color w:val="auto"/>
          <w:spacing w:val="-3"/>
          <w:sz w:val="24"/>
          <w:szCs w:val="24"/>
          <w:highlight w:val="none"/>
        </w:rPr>
      </w:pPr>
    </w:p>
    <w:p w14:paraId="3E85AE23">
      <w:pPr>
        <w:spacing w:before="78" w:line="219" w:lineRule="auto"/>
        <w:jc w:val="center"/>
        <w:outlineLvl w:val="1"/>
        <w:rPr>
          <w:rFonts w:hint="eastAsia" w:ascii="宋体" w:hAnsi="宋体" w:eastAsia="宋体" w:cs="宋体"/>
          <w:b/>
          <w:bCs/>
          <w:color w:val="auto"/>
          <w:spacing w:val="-3"/>
          <w:sz w:val="24"/>
          <w:szCs w:val="24"/>
          <w:highlight w:val="none"/>
        </w:rPr>
      </w:pPr>
    </w:p>
    <w:p w14:paraId="3E68A076">
      <w:pPr>
        <w:spacing w:before="78" w:line="219" w:lineRule="auto"/>
        <w:jc w:val="center"/>
        <w:outlineLvl w:val="1"/>
        <w:rPr>
          <w:rFonts w:hint="eastAsia" w:ascii="宋体" w:hAnsi="宋体" w:eastAsia="宋体" w:cs="宋体"/>
          <w:b/>
          <w:bCs/>
          <w:color w:val="auto"/>
          <w:spacing w:val="-3"/>
          <w:sz w:val="24"/>
          <w:szCs w:val="24"/>
          <w:highlight w:val="none"/>
        </w:rPr>
      </w:pPr>
    </w:p>
    <w:p w14:paraId="6F5EA10B">
      <w:pPr>
        <w:spacing w:before="78" w:line="219" w:lineRule="auto"/>
        <w:jc w:val="center"/>
        <w:outlineLvl w:val="1"/>
        <w:rPr>
          <w:rFonts w:hint="eastAsia" w:ascii="宋体" w:hAnsi="宋体" w:eastAsia="宋体" w:cs="宋体"/>
          <w:b/>
          <w:bCs/>
          <w:color w:val="auto"/>
          <w:spacing w:val="-3"/>
          <w:sz w:val="24"/>
          <w:szCs w:val="24"/>
          <w:highlight w:val="none"/>
        </w:rPr>
      </w:pPr>
    </w:p>
    <w:p w14:paraId="0C629BAA">
      <w:pPr>
        <w:spacing w:before="78" w:line="219" w:lineRule="auto"/>
        <w:jc w:val="center"/>
        <w:outlineLvl w:val="1"/>
        <w:rPr>
          <w:rFonts w:hint="eastAsia" w:ascii="宋体" w:hAnsi="宋体" w:eastAsia="宋体" w:cs="宋体"/>
          <w:b/>
          <w:bCs/>
          <w:color w:val="auto"/>
          <w:spacing w:val="-3"/>
          <w:sz w:val="24"/>
          <w:szCs w:val="24"/>
          <w:highlight w:val="none"/>
        </w:rPr>
      </w:pPr>
    </w:p>
    <w:p w14:paraId="3C9DA96F">
      <w:pPr>
        <w:spacing w:before="78" w:line="219" w:lineRule="auto"/>
        <w:jc w:val="center"/>
        <w:outlineLvl w:val="1"/>
        <w:rPr>
          <w:rFonts w:hint="eastAsia" w:ascii="宋体" w:hAnsi="宋体" w:eastAsia="宋体" w:cs="宋体"/>
          <w:color w:val="auto"/>
          <w:highlight w:val="none"/>
        </w:rPr>
      </w:pPr>
      <w:bookmarkStart w:id="279" w:name="_Toc10482"/>
      <w:r>
        <w:rPr>
          <w:rFonts w:hint="eastAsia" w:ascii="宋体" w:hAnsi="宋体" w:eastAsia="宋体" w:cs="宋体"/>
          <w:b/>
          <w:bCs/>
          <w:color w:val="auto"/>
          <w:spacing w:val="-3"/>
          <w:sz w:val="24"/>
          <w:szCs w:val="24"/>
          <w:highlight w:val="none"/>
        </w:rPr>
        <w:t>第七章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建设工程施工合同</w:t>
      </w:r>
      <w:bookmarkEnd w:id="279"/>
    </w:p>
    <w:p w14:paraId="179363DD">
      <w:pPr>
        <w:pStyle w:val="5"/>
        <w:spacing w:line="257" w:lineRule="auto"/>
        <w:rPr>
          <w:rFonts w:hint="eastAsia" w:ascii="宋体" w:hAnsi="宋体" w:eastAsia="宋体" w:cs="宋体"/>
          <w:color w:val="auto"/>
          <w:highlight w:val="none"/>
        </w:rPr>
      </w:pPr>
    </w:p>
    <w:p w14:paraId="6DEC5D22">
      <w:pPr>
        <w:spacing w:before="78" w:line="324"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（略</w:t>
      </w:r>
      <w:r>
        <w:rPr>
          <w:rFonts w:hint="eastAsia" w:ascii="宋体" w:hAnsi="宋体" w:eastAsia="宋体" w:cs="宋体"/>
          <w:color w:val="auto"/>
          <w:spacing w:val="-10"/>
          <w:sz w:val="24"/>
          <w:szCs w:val="24"/>
          <w:highlight w:val="none"/>
        </w:rPr>
        <w:t>），</w:t>
      </w:r>
      <w:r>
        <w:rPr>
          <w:rFonts w:hint="eastAsia" w:ascii="宋体" w:hAnsi="宋体" w:eastAsia="宋体" w:cs="宋体"/>
          <w:color w:val="auto"/>
          <w:spacing w:val="-3"/>
          <w:sz w:val="24"/>
          <w:szCs w:val="24"/>
          <w:highlight w:val="none"/>
        </w:rPr>
        <w:t>按《广东省建设工程标准施工合同》（2009 年版）或《建设工程施工合同</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
          <w:sz w:val="24"/>
          <w:szCs w:val="24"/>
          <w:highlight w:val="none"/>
        </w:rPr>
        <w:t>（示范文本）》（GF—2017—0201）执行。</w:t>
      </w:r>
    </w:p>
    <w:p w14:paraId="4BB447BE">
      <w:pPr>
        <w:rPr>
          <w:rFonts w:hint="eastAsia" w:ascii="宋体" w:hAnsi="宋体" w:eastAsia="宋体" w:cs="宋体"/>
          <w:color w:val="auto"/>
          <w:highlight w:val="none"/>
        </w:rPr>
      </w:pPr>
    </w:p>
    <w:sectPr>
      <w:footerReference r:id="rId25"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7F"/>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auto"/>
    <w:pitch w:val="default"/>
    <w:sig w:usb0="FFFFFFFF" w:usb1="E9FFFFFF" w:usb2="0000003F" w:usb3="00000000" w:csb0="603F01FF" w:csb1="FFFF0000"/>
  </w:font>
  <w:font w:name="楷体_GB2312">
    <w:panose1 w:val="02010609030101010101"/>
    <w:charset w:val="86"/>
    <w:family w:val="modern"/>
    <w:pitch w:val="default"/>
    <w:sig w:usb0="00000001" w:usb1="080E0000" w:usb2="00000000" w:usb3="00000000" w:csb0="00040000"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303BF">
    <w:pPr>
      <w:pStyle w:val="8"/>
    </w:pPr>
    <w:r>
      <w:rPr>
        <w:sz w:val="18"/>
      </w:rPr>
      <mc:AlternateContent>
        <mc:Choice Requires="wps">
          <w:drawing>
            <wp:anchor distT="0" distB="0" distL="114300" distR="114300" simplePos="0" relativeHeight="251680768" behindDoc="0" locked="0" layoutInCell="1" allowOverlap="1">
              <wp:simplePos x="0" y="0"/>
              <wp:positionH relativeFrom="margin">
                <wp:posOffset>3024505</wp:posOffset>
              </wp:positionH>
              <wp:positionV relativeFrom="paragraph">
                <wp:posOffset>-589280</wp:posOffset>
              </wp:positionV>
              <wp:extent cx="133350" cy="339725"/>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33350" cy="339725"/>
                      </a:xfrm>
                      <a:prstGeom prst="rect">
                        <a:avLst/>
                      </a:prstGeom>
                      <a:noFill/>
                      <a:ln>
                        <a:noFill/>
                      </a:ln>
                    </wps:spPr>
                    <wps:txbx>
                      <w:txbxContent>
                        <w:p w14:paraId="3C8990D1">
                          <w:pPr>
                            <w:pStyle w:val="8"/>
                          </w:pPr>
                          <w:r>
                            <w:fldChar w:fldCharType="begin"/>
                          </w:r>
                          <w:r>
                            <w:instrText xml:space="preserve"> PAGE  \* MERGEFORMAT </w:instrText>
                          </w:r>
                          <w:r>
                            <w:fldChar w:fldCharType="separate"/>
                          </w:r>
                          <w:r>
                            <w:t>1</w:t>
                          </w:r>
                          <w:r>
                            <w:fldChar w:fldCharType="end"/>
                          </w:r>
                        </w:p>
                      </w:txbxContent>
                    </wps:txbx>
                    <wps:bodyPr lIns="0" tIns="0" rIns="0" bIns="0" upright="0"/>
                  </wps:wsp>
                </a:graphicData>
              </a:graphic>
            </wp:anchor>
          </w:drawing>
        </mc:Choice>
        <mc:Fallback>
          <w:pict>
            <v:shape id="_x0000_s1026" o:spid="_x0000_s1026" o:spt="202" type="#_x0000_t202" style="position:absolute;left:0pt;margin-left:238.15pt;margin-top:-46.4pt;height:26.75pt;width:10.5pt;mso-position-horizontal-relative:margin;z-index:251680768;mso-width-relative:page;mso-height-relative:page;" filled="f" stroked="f" coordsize="21600,21600" o:gfxdata="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we/Q19kAAAALAQAADwAAAAAAAAABACAAAAAiAAAAZHJzL2Rvd25yZXYueG1sUEsB&#10;AhQAFAAAAAgAh07iQPACNNW7AQAAcwMAAA4AAAAAAAAAAQAgAAAAKAEAAGRycy9lMm9Eb2MueG1s&#10;UEsFBgAAAAAGAAYAWQEAAFUFAAAAAA==&#10;">
              <v:fill on="f" focussize="0,0"/>
              <v:stroke on="f"/>
              <v:imagedata o:title=""/>
              <o:lock v:ext="edit" aspectratio="f"/>
              <v:textbox inset="0mm,0mm,0mm,0mm">
                <w:txbxContent>
                  <w:p w14:paraId="3C8990D1">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A5013">
    <w:pPr>
      <w:pStyle w:val="8"/>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E5E7166">
                          <w:pPr>
                            <w:pStyle w:val="8"/>
                          </w:pPr>
                          <w:r>
                            <w:fldChar w:fldCharType="begin"/>
                          </w:r>
                          <w:r>
                            <w:instrText xml:space="preserve"> PAGE  \* MERGEFORMAT </w:instrText>
                          </w:r>
                          <w:r>
                            <w:fldChar w:fldCharType="separate"/>
                          </w:r>
                          <w:r>
                            <w:t>83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fnvsskBAACb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e+yyQEAAJsDAAAOAAAAAAAAAAEAIAAAAB4BAABkcnMvZTJvRG9j&#10;LnhtbFBLBQYAAAAABgAGAFkBAABZBQAAAAA=&#10;">
              <v:fill on="f" focussize="0,0"/>
              <v:stroke on="f"/>
              <v:imagedata o:title=""/>
              <o:lock v:ext="edit" aspectratio="f"/>
              <v:textbox inset="0mm,0mm,0mm,0mm" style="mso-fit-shape-to-text:t;">
                <w:txbxContent>
                  <w:p w14:paraId="6E5E7166">
                    <w:pPr>
                      <w:pStyle w:val="8"/>
                    </w:pPr>
                    <w:r>
                      <w:fldChar w:fldCharType="begin"/>
                    </w:r>
                    <w:r>
                      <w:instrText xml:space="preserve"> PAGE  \* MERGEFORMAT </w:instrText>
                    </w:r>
                    <w:r>
                      <w:fldChar w:fldCharType="separate"/>
                    </w:r>
                    <w:r>
                      <w:t>83</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E90E9">
    <w:pPr>
      <w:pStyle w:val="8"/>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BEFCB23">
                          <w:pPr>
                            <w:pStyle w:val="8"/>
                          </w:pPr>
                          <w:r>
                            <w:fldChar w:fldCharType="begin"/>
                          </w:r>
                          <w:r>
                            <w:instrText xml:space="preserve"> PAGE  \* MERGEFORMAT </w:instrText>
                          </w:r>
                          <w:r>
                            <w:fldChar w:fldCharType="separate"/>
                          </w:r>
                          <w:r>
                            <w:t>84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14:paraId="6BEFCB23">
                    <w:pPr>
                      <w:pStyle w:val="8"/>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73186">
    <w:pPr>
      <w:pStyle w:val="8"/>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5B5328D">
                          <w:pPr>
                            <w:pStyle w:val="8"/>
                          </w:pPr>
                          <w:r>
                            <w:fldChar w:fldCharType="begin"/>
                          </w:r>
                          <w:r>
                            <w:instrText xml:space="preserve"> PAGE  \* MERGEFORMAT </w:instrText>
                          </w:r>
                          <w:r>
                            <w:fldChar w:fldCharType="separate"/>
                          </w:r>
                          <w:r>
                            <w:t>85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ZM0qcgBAACZAwAADgAAAGRycy9lMm9Eb2MueG1srVPNjtMwEL4j8Q6W&#10;79TZHlA3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WTNKnIAQAAmQMAAA4AAAAAAAAAAQAgAAAAHgEAAGRycy9lMm9Eb2Mu&#10;eG1sUEsFBgAAAAAGAAYAWQEAAFgFAAAAAA==&#10;">
              <v:fill on="f" focussize="0,0"/>
              <v:stroke on="f"/>
              <v:imagedata o:title=""/>
              <o:lock v:ext="edit" aspectratio="f"/>
              <v:textbox inset="0mm,0mm,0mm,0mm" style="mso-fit-shape-to-text:t;">
                <w:txbxContent>
                  <w:p w14:paraId="05B5328D">
                    <w:pPr>
                      <w:pStyle w:val="8"/>
                    </w:pPr>
                    <w:r>
                      <w:fldChar w:fldCharType="begin"/>
                    </w:r>
                    <w:r>
                      <w:instrText xml:space="preserve"> PAGE  \* MERGEFORMAT </w:instrText>
                    </w:r>
                    <w:r>
                      <w:fldChar w:fldCharType="separate"/>
                    </w:r>
                    <w:r>
                      <w:t>85</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79E83">
    <w:pPr>
      <w:pStyle w:val="8"/>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8DD399">
                          <w:pPr>
                            <w:pStyle w:val="8"/>
                          </w:pPr>
                          <w:r>
                            <w:fldChar w:fldCharType="begin"/>
                          </w:r>
                          <w:r>
                            <w:instrText xml:space="preserve"> PAGE  \* MERGEFORMAT </w:instrText>
                          </w:r>
                          <w:r>
                            <w:fldChar w:fldCharType="separate"/>
                          </w:r>
                          <w:r>
                            <w:t>86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I/3icgBAACb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teUOG5x4pcf3y8/f19+fSPo&#10;Q4GGAA3m3QfMTONbP+LaLH5AZ+Y9qmjzFxkRjKO856u8ckxE5Efrer2uMCQwtlwQnz08DxHSO+kt&#10;yUZLI86vyMpPHyBNqUtKrub8nTamzNC4vxyImT0s9z71mK007seZ0N53Z+Qz4Ohb6nDTKTHvHSqb&#10;t2Qx4mLsF+MYoj70ZY1yPQhvjgmbKL3lChPsXBhnVtjN+5WX4vG9ZD38U9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SP94nIAQAAmwMAAA4AAAAAAAAAAQAgAAAAHgEAAGRycy9lMm9Eb2Mu&#10;eG1sUEsFBgAAAAAGAAYAWQEAAFgFAAAAAA==&#10;">
              <v:fill on="f" focussize="0,0"/>
              <v:stroke on="f"/>
              <v:imagedata o:title=""/>
              <o:lock v:ext="edit" aspectratio="f"/>
              <v:textbox inset="0mm,0mm,0mm,0mm" style="mso-fit-shape-to-text:t;">
                <w:txbxContent>
                  <w:p w14:paraId="7B8DD399">
                    <w:pPr>
                      <w:pStyle w:val="8"/>
                    </w:pPr>
                    <w:r>
                      <w:fldChar w:fldCharType="begin"/>
                    </w:r>
                    <w:r>
                      <w:instrText xml:space="preserve"> PAGE  \* MERGEFORMAT </w:instrText>
                    </w:r>
                    <w:r>
                      <w:fldChar w:fldCharType="separate"/>
                    </w:r>
                    <w:r>
                      <w:t>86</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10808">
    <w:pPr>
      <w:pStyle w:val="8"/>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382479">
                          <w:pPr>
                            <w:pStyle w:val="8"/>
                          </w:pPr>
                          <w:r>
                            <w:fldChar w:fldCharType="begin"/>
                          </w:r>
                          <w:r>
                            <w:instrText xml:space="preserve"> PAGE  \* MERGEFORMAT </w:instrText>
                          </w:r>
                          <w:r>
                            <w:fldChar w:fldCharType="separate"/>
                          </w:r>
                          <w:r>
                            <w:t>89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14:paraId="41382479">
                    <w:pPr>
                      <w:pStyle w:val="8"/>
                    </w:pPr>
                    <w:r>
                      <w:fldChar w:fldCharType="begin"/>
                    </w:r>
                    <w:r>
                      <w:instrText xml:space="preserve"> PAGE  \* MERGEFORMAT </w:instrText>
                    </w:r>
                    <w:r>
                      <w:fldChar w:fldCharType="separate"/>
                    </w:r>
                    <w:r>
                      <w:t>89</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0FA81">
    <w:pPr>
      <w:pStyle w:val="8"/>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92879A">
                          <w:pPr>
                            <w:pStyle w:val="8"/>
                          </w:pPr>
                          <w:r>
                            <w:fldChar w:fldCharType="begin"/>
                          </w:r>
                          <w:r>
                            <w:instrText xml:space="preserve"> PAGE  \* MERGEFORMAT </w:instrText>
                          </w:r>
                          <w:r>
                            <w:fldChar w:fldCharType="separate"/>
                          </w:r>
                          <w:r>
                            <w:t>90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2692879A">
                    <w:pPr>
                      <w:pStyle w:val="8"/>
                    </w:pPr>
                    <w:r>
                      <w:fldChar w:fldCharType="begin"/>
                    </w:r>
                    <w:r>
                      <w:instrText xml:space="preserve"> PAGE  \* MERGEFORMAT </w:instrText>
                    </w:r>
                    <w:r>
                      <w:fldChar w:fldCharType="separate"/>
                    </w:r>
                    <w:r>
                      <w:t>90</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1A343">
    <w:pPr>
      <w:pStyle w:val="8"/>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B21017">
                          <w:pPr>
                            <w:pStyle w:val="8"/>
                          </w:pPr>
                          <w:r>
                            <w:fldChar w:fldCharType="begin"/>
                          </w:r>
                          <w:r>
                            <w:instrText xml:space="preserve"> PAGE  \* MERGEFORMAT </w:instrText>
                          </w:r>
                          <w:r>
                            <w:fldChar w:fldCharType="separate"/>
                          </w:r>
                          <w:r>
                            <w:t>91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4BB21017">
                    <w:pPr>
                      <w:pStyle w:val="8"/>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DCA71">
    <w:pPr>
      <w:pStyle w:val="8"/>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953BFF6">
                          <w:pPr>
                            <w:pStyle w:val="8"/>
                          </w:pPr>
                          <w:r>
                            <w:fldChar w:fldCharType="begin"/>
                          </w:r>
                          <w:r>
                            <w:instrText xml:space="preserve"> PAGE  \* MERGEFORMAT </w:instrText>
                          </w:r>
                          <w:r>
                            <w:fldChar w:fldCharType="separate"/>
                          </w:r>
                          <w:r>
                            <w:t>93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3953BFF6">
                    <w:pPr>
                      <w:pStyle w:val="8"/>
                    </w:pPr>
                    <w:r>
                      <w:fldChar w:fldCharType="begin"/>
                    </w:r>
                    <w:r>
                      <w:instrText xml:space="preserve"> PAGE  \* MERGEFORMAT </w:instrText>
                    </w:r>
                    <w:r>
                      <w:fldChar w:fldCharType="separate"/>
                    </w:r>
                    <w:r>
                      <w:t>93</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DDC36">
    <w:pPr>
      <w:pStyle w:val="8"/>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12D34B">
                          <w:pPr>
                            <w:pStyle w:val="8"/>
                          </w:pPr>
                          <w:r>
                            <w:fldChar w:fldCharType="begin"/>
                          </w:r>
                          <w:r>
                            <w:instrText xml:space="preserve"> PAGE  \* MERGEFORMAT </w:instrText>
                          </w:r>
                          <w:r>
                            <w:fldChar w:fldCharType="separate"/>
                          </w:r>
                          <w:r>
                            <w:t>94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5A12D34B">
                    <w:pPr>
                      <w:pStyle w:val="8"/>
                    </w:pPr>
                    <w:r>
                      <w:fldChar w:fldCharType="begin"/>
                    </w:r>
                    <w:r>
                      <w:instrText xml:space="preserve"> PAGE  \* MERGEFORMAT </w:instrText>
                    </w:r>
                    <w:r>
                      <w:fldChar w:fldCharType="separate"/>
                    </w:r>
                    <w:r>
                      <w:t>94</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5BB37">
    <w:pPr>
      <w:pStyle w:val="8"/>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7DDC229">
                          <w:pPr>
                            <w:pStyle w:val="8"/>
                          </w:pPr>
                          <w:r>
                            <w:fldChar w:fldCharType="begin"/>
                          </w:r>
                          <w:r>
                            <w:instrText xml:space="preserve"> PAGE  \* MERGEFORMAT </w:instrText>
                          </w:r>
                          <w:r>
                            <w:fldChar w:fldCharType="separate"/>
                          </w:r>
                          <w:r>
                            <w:t>102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47DDC229">
                    <w:pPr>
                      <w:pStyle w:val="8"/>
                    </w:pPr>
                    <w:r>
                      <w:fldChar w:fldCharType="begin"/>
                    </w:r>
                    <w:r>
                      <w:instrText xml:space="preserve"> PAGE  \* MERGEFORMAT </w:instrText>
                    </w:r>
                    <w:r>
                      <w:fldChar w:fldCharType="separate"/>
                    </w:r>
                    <w:r>
                      <w:t>102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D0199">
    <w:pPr>
      <w:spacing w:line="179" w:lineRule="auto"/>
      <w:ind w:left="4353"/>
      <w:rPr>
        <w:rFonts w:ascii="宋体" w:hAnsi="宋体" w:eastAsia="宋体" w:cs="宋体"/>
        <w:sz w:val="19"/>
        <w:szCs w:val="19"/>
      </w:rPr>
    </w:pPr>
    <w:r>
      <w:rPr>
        <w:sz w:val="19"/>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6448F3">
                          <w:pPr>
                            <w:pStyle w:val="8"/>
                          </w:pPr>
                          <w:r>
                            <w:fldChar w:fldCharType="begin"/>
                          </w:r>
                          <w:r>
                            <w:instrText xml:space="preserve"> PAGE  \* MERGEFORMAT </w:instrText>
                          </w:r>
                          <w:r>
                            <w:fldChar w:fldCharType="separate"/>
                          </w:r>
                          <w:r>
                            <w:t>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WErUco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2zpM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WErUcoBAACbAwAADgAAAAAAAAABACAAAAAeAQAAZHJzL2Uyb0Rv&#10;Yy54bWxQSwUGAAAAAAYABgBZAQAAWgUAAAAA&#10;">
              <v:fill on="f" focussize="0,0"/>
              <v:stroke on="f"/>
              <v:imagedata o:title=""/>
              <o:lock v:ext="edit" aspectratio="f"/>
              <v:textbox inset="0mm,0mm,0mm,0mm" style="mso-fit-shape-to-text:t;">
                <w:txbxContent>
                  <w:p w14:paraId="676448F3">
                    <w:pPr>
                      <w:pStyle w:val="8"/>
                    </w:pPr>
                    <w:r>
                      <w:fldChar w:fldCharType="begin"/>
                    </w:r>
                    <w:r>
                      <w:instrText xml:space="preserve"> PAGE  \* MERGEFORMAT </w:instrText>
                    </w:r>
                    <w:r>
                      <w:fldChar w:fldCharType="separate"/>
                    </w:r>
                    <w:r>
                      <w:t>5</w:t>
                    </w:r>
                    <w:r>
                      <w:fldChar w:fldCharType="end"/>
                    </w:r>
                  </w:p>
                </w:txbxContent>
              </v:textbox>
            </v:shape>
          </w:pict>
        </mc:Fallback>
      </mc:AlternateContent>
    </w:r>
    <w:r>
      <w:rPr>
        <w:rFonts w:hint="eastAsia" w:ascii="宋体" w:hAnsi="宋体" w:eastAsia="宋体" w:cs="宋体"/>
        <w:sz w:val="19"/>
        <w:szCs w:val="19"/>
        <w:lang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7FF26">
    <w:pPr>
      <w:pStyle w:val="8"/>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119CC0">
                          <w:pPr>
                            <w:pStyle w:val="8"/>
                          </w:pPr>
                          <w:r>
                            <w:fldChar w:fldCharType="begin"/>
                          </w:r>
                          <w:r>
                            <w:instrText xml:space="preserve"> PAGE  \* MERGEFORMAT </w:instrText>
                          </w:r>
                          <w:r>
                            <w:fldChar w:fldCharType="separate"/>
                          </w:r>
                          <w:r>
                            <w:t>44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kHiCcoBAACbAwAADgAAAGRycy9lMm9Eb2MueG1srVPNjtMwEL4j8Q6W&#10;79TZI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NdvKHHc4sTPP3+cf/05//5O&#10;0IcC9QFqzLsNmJmG937AtZn9gM7Me1DR5i8yIhhHeU8XeeWQiMiPVsvVqsKQwNh8QXx2/zxESB+k&#10;tyQbDY04vyIrP36CNKbOKbma8zfamDJD4/5zIGb2sNz72GO20rAbJkI7356QT4+jb6jDTafEfHSo&#10;bN6S2YizsZuNQ4h635U1yvUgvDskbKL0liuMsFNhnFlhN+1XXop/7yXr/p/a/A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BkHiCcoBAACbAwAADgAAAAAAAAABACAAAAAeAQAAZHJzL2Uyb0Rv&#10;Yy54bWxQSwUGAAAAAAYABgBZAQAAWgUAAAAA&#10;">
              <v:fill on="f" focussize="0,0"/>
              <v:stroke on="f"/>
              <v:imagedata o:title=""/>
              <o:lock v:ext="edit" aspectratio="f"/>
              <v:textbox inset="0mm,0mm,0mm,0mm" style="mso-fit-shape-to-text:t;">
                <w:txbxContent>
                  <w:p w14:paraId="1F119CC0">
                    <w:pPr>
                      <w:pStyle w:val="8"/>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59332">
    <w:pPr>
      <w:pStyle w:val="8"/>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BD5F1FB">
                          <w:pPr>
                            <w:pStyle w:val="8"/>
                          </w:pPr>
                          <w:r>
                            <w:fldChar w:fldCharType="begin"/>
                          </w:r>
                          <w:r>
                            <w:instrText xml:space="preserve"> PAGE  \* MERGEFORMAT </w:instrText>
                          </w:r>
                          <w:r>
                            <w:fldChar w:fldCharType="separate"/>
                          </w:r>
                          <w:r>
                            <w:t>47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S3JIMkBAACb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GpJieMWJ375+ePy68/l93eC&#10;PhSoD1Bj3n3AzDS88wOuzewHdGbeg4o2f5ERwTjKe77KK4dERH60Xq3XFYYExuYL4rOH5yFCei+9&#10;JdloaMT5FVn56SOkMXVOydWcv9PGlBka948DMbOH5d7HHrOVhv0wEdr79ox8ehx9Qx1uOiXmg0Nl&#10;85bMRpyN/WwcQ9SHrqxRrgfh9piwidJbrjDCToVxZoXdtF95KR7fS9bDP7X9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LckgyQEAAJsDAAAOAAAAAAAAAAEAIAAAAB4BAABkcnMvZTJvRG9j&#10;LnhtbFBLBQYAAAAABgAGAFkBAABZBQAAAAA=&#10;">
              <v:fill on="f" focussize="0,0"/>
              <v:stroke on="f"/>
              <v:imagedata o:title=""/>
              <o:lock v:ext="edit" aspectratio="f"/>
              <v:textbox inset="0mm,0mm,0mm,0mm" style="mso-fit-shape-to-text:t;">
                <w:txbxContent>
                  <w:p w14:paraId="3BD5F1FB">
                    <w:pPr>
                      <w:pStyle w:val="8"/>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4C173">
    <w:pPr>
      <w:pStyle w:val="8"/>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AED13CE">
                          <w:pPr>
                            <w:pStyle w:val="8"/>
                          </w:pPr>
                          <w:r>
                            <w:fldChar w:fldCharType="begin"/>
                          </w:r>
                          <w:r>
                            <w:instrText xml:space="preserve"> PAGE  \* MERGEFORMAT </w:instrText>
                          </w:r>
                          <w:r>
                            <w:fldChar w:fldCharType="separate"/>
                          </w:r>
                          <w:r>
                            <w:t>50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4M8c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DV2iJI5bnPj5x/fzz9/nX98I&#10;+lCgPkCNeY8BM9Nw4wdcm9kP6My8BxVt/iIjgnHEOl3klUMiIj9aLVerCkMCY/MF8dnT8xAh3Ulv&#10;STYaGnF+RVZ+vIc0ps4puZrzt9qYMkPj/nIgZvaw3PvYY7bSsBsmQjvfnpBPj6NvqMNNp8R8dKgs&#10;9pdmI87GbjYOIep9V9Yo14Pw4ZCwidJbrjDCToVxZoXdtF95KZ7fS9bTP7X5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TgzxyQEAAJsDAAAOAAAAAAAAAAEAIAAAAB4BAABkcnMvZTJvRG9j&#10;LnhtbFBLBQYAAAAABgAGAFkBAABZBQAAAAA=&#10;">
              <v:fill on="f" focussize="0,0"/>
              <v:stroke on="f"/>
              <v:imagedata o:title=""/>
              <o:lock v:ext="edit" aspectratio="f"/>
              <v:textbox inset="0mm,0mm,0mm,0mm" style="mso-fit-shape-to-text:t;">
                <w:txbxContent>
                  <w:p w14:paraId="0AED13CE">
                    <w:pPr>
                      <w:pStyle w:val="8"/>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DCA5A">
    <w:pPr>
      <w:pStyle w:val="8"/>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319613">
                          <w:pPr>
                            <w:pStyle w:val="8"/>
                          </w:pPr>
                          <w:r>
                            <w:fldChar w:fldCharType="begin"/>
                          </w:r>
                          <w:r>
                            <w:instrText xml:space="preserve"> PAGE  \* MERGEFORMAT </w:instrText>
                          </w:r>
                          <w:r>
                            <w:fldChar w:fldCharType="separate"/>
                          </w:r>
                          <w:r>
                            <w:t>78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0AeMkBAACb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i2octrShy3OPHzzx/nX3/Ov78T&#10;9KFAfYAa8x4CZqbhgx9wbWY/oDPzHlS0+YuMCMZR3tNFXjkkIvKj1XK1qjAkMDZfEJ89Pg8R0kfp&#10;LclGQyPOr8jKj3eQxtQ5JVdz/lYbU2Zo3H8OxMwelnsfe8xWGnbDRGjn2xPy6XH0DXW46ZSYTw6V&#10;zVsyG3E2drNxCFHvu7JGuR6E94eETZTecoURdiqMMyvspv3KS/HvvWQ9/lOb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GDQB4yQEAAJsDAAAOAAAAAAAAAAEAIAAAAB4BAABkcnMvZTJvRG9j&#10;LnhtbFBLBQYAAAAABgAGAFkBAABZBQAAAAA=&#10;">
              <v:fill on="f" focussize="0,0"/>
              <v:stroke on="f"/>
              <v:imagedata o:title=""/>
              <o:lock v:ext="edit" aspectratio="f"/>
              <v:textbox inset="0mm,0mm,0mm,0mm" style="mso-fit-shape-to-text:t;">
                <w:txbxContent>
                  <w:p w14:paraId="78319613">
                    <w:pPr>
                      <w:pStyle w:val="8"/>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FDE00">
    <w:pPr>
      <w:pStyle w:val="8"/>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4DAE0F">
                          <w:pPr>
                            <w:pStyle w:val="8"/>
                          </w:pPr>
                          <w:r>
                            <w:fldChar w:fldCharType="begin"/>
                          </w:r>
                          <w:r>
                            <w:instrText xml:space="preserve"> PAGE  \* MERGEFORMAT </w:instrText>
                          </w:r>
                          <w:r>
                            <w:fldChar w:fldCharType="separate"/>
                          </w:r>
                          <w:r>
                            <w:t>79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ZoqY8kBAACb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mipjyQEAAJsDAAAOAAAAAAAAAAEAIAAAAB4BAABkcnMvZTJvRG9j&#10;LnhtbFBLBQYAAAAABgAGAFkBAABZBQAAAAA=&#10;">
              <v:fill on="f" focussize="0,0"/>
              <v:stroke on="f"/>
              <v:imagedata o:title=""/>
              <o:lock v:ext="edit" aspectratio="f"/>
              <v:textbox inset="0mm,0mm,0mm,0mm" style="mso-fit-shape-to-text:t;">
                <w:txbxContent>
                  <w:p w14:paraId="214DAE0F">
                    <w:pPr>
                      <w:pStyle w:val="8"/>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3E019">
    <w:pPr>
      <w:pStyle w:val="8"/>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9567FB9">
                          <w:pPr>
                            <w:pStyle w:val="8"/>
                          </w:pPr>
                          <w:r>
                            <w:fldChar w:fldCharType="begin"/>
                          </w:r>
                          <w:r>
                            <w:instrText xml:space="preserve"> PAGE  \* MERGEFORMAT </w:instrText>
                          </w:r>
                          <w:r>
                            <w:fldChar w:fldCharType="separate"/>
                          </w:r>
                          <w:r>
                            <w:t>80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FvRG8kBAACb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EtbsJbShy3OPHzzx/nX4/nh+8E&#10;fShQH6DGvLuAmWl47wdMnv2Azsx7UNHmLzIiGEd5Txd55ZCIyI9Wy9WqwpDA2HxBfPb0PERIH6S3&#10;JBsNjTi/Iis/foI0ps4puZrzt9qYMkPj/nIgZvaw3PvYY7bSsBsmQjvfnpBPj6NvqMNNp8R8dKhs&#10;3pLZiLOxm41DiHrflTXK9SC8OyRsovSWK4ywU2GcWWE37Vdeij/vJevpn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W9EbyQEAAJsDAAAOAAAAAAAAAAEAIAAAAB4BAABkcnMvZTJvRG9j&#10;LnhtbFBLBQYAAAAABgAGAFkBAABZBQAAAAA=&#10;">
              <v:fill on="f" focussize="0,0"/>
              <v:stroke on="f"/>
              <v:imagedata o:title=""/>
              <o:lock v:ext="edit" aspectratio="f"/>
              <v:textbox inset="0mm,0mm,0mm,0mm" style="mso-fit-shape-to-text:t;">
                <w:txbxContent>
                  <w:p w14:paraId="29567FB9">
                    <w:pPr>
                      <w:pStyle w:val="8"/>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34BA4">
    <w:pPr>
      <w:pStyle w:val="8"/>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6616AD">
                          <w:pPr>
                            <w:pStyle w:val="8"/>
                          </w:pPr>
                          <w:r>
                            <w:fldChar w:fldCharType="begin"/>
                          </w:r>
                          <w:r>
                            <w:instrText xml:space="preserve"> PAGE  \* MERGEFORMAT </w:instrText>
                          </w:r>
                          <w:r>
                            <w:fldChar w:fldCharType="separate"/>
                          </w:r>
                          <w:r>
                            <w:t>81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nmGe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4d8ctTvz84/v55+/zr28E&#10;fShQH6DGvMeAmWm48QMmz35AZ+Y9qGjzFxkRjKO8p4u8ckhE5Eer5WpVYUhgbL4gPnt6HiKkO+kt&#10;yUZDI86vyMqP95DG1DklV3P+VhtTZmjcXw7EzB6Wex97zFYadsNEaOfbE/LpcfQNdbjplJiPDpXN&#10;WzIbcTZ2s3EIUe+7ska5HoQPh4RNlN5yhRF2KowzK+ym/cpL8fxesp7+qc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p5hnvIAQAAmwMAAA4AAAAAAAAAAQAgAAAAHgEAAGRycy9lMm9Eb2Mu&#10;eG1sUEsFBgAAAAAGAAYAWQEAAFgFAAAAAA==&#10;">
              <v:fill on="f" focussize="0,0"/>
              <v:stroke on="f"/>
              <v:imagedata o:title=""/>
              <o:lock v:ext="edit" aspectratio="f"/>
              <v:textbox inset="0mm,0mm,0mm,0mm" style="mso-fit-shape-to-text:t;">
                <w:txbxContent>
                  <w:p w14:paraId="5B6616AD">
                    <w:pPr>
                      <w:pStyle w:val="8"/>
                    </w:pPr>
                    <w:r>
                      <w:fldChar w:fldCharType="begin"/>
                    </w:r>
                    <w:r>
                      <w:instrText xml:space="preserve"> PAGE  \* MERGEFORMAT </w:instrText>
                    </w:r>
                    <w:r>
                      <w:fldChar w:fldCharType="separate"/>
                    </w:r>
                    <w:r>
                      <w:t>81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BD73E">
    <w:pPr>
      <w:pStyle w:val="5"/>
      <w:spacing w:line="50"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60057">
    <w:pPr>
      <w:pStyle w:val="5"/>
      <w:spacing w:line="50"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01CC2">
    <w:pPr>
      <w:pStyle w:val="5"/>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88046">
    <w:pPr>
      <w:pStyle w:val="5"/>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C9BDCA"/>
    <w:multiLevelType w:val="singleLevel"/>
    <w:tmpl w:val="E6C9BDCA"/>
    <w:lvl w:ilvl="0" w:tentative="0">
      <w:start w:val="1"/>
      <w:numFmt w:val="decimal"/>
      <w:suff w:val="nothing"/>
      <w:lvlText w:val="（%1）"/>
      <w:lvlJc w:val="left"/>
    </w:lvl>
  </w:abstractNum>
  <w:abstractNum w:abstractNumId="1">
    <w:nsid w:val="00000003"/>
    <w:multiLevelType w:val="singleLevel"/>
    <w:tmpl w:val="00000003"/>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kZmUxYzUwZTk0YWQ4OWIxZDY5YjRhZmIwMjUzNzMifQ=="/>
  </w:docVars>
  <w:rsids>
    <w:rsidRoot w:val="4F582EF7"/>
    <w:rsid w:val="00072C34"/>
    <w:rsid w:val="00473031"/>
    <w:rsid w:val="00824069"/>
    <w:rsid w:val="00D61DC8"/>
    <w:rsid w:val="01276505"/>
    <w:rsid w:val="013F232E"/>
    <w:rsid w:val="014C6B51"/>
    <w:rsid w:val="018B7D8A"/>
    <w:rsid w:val="01B6213A"/>
    <w:rsid w:val="01BE1198"/>
    <w:rsid w:val="01E25ABE"/>
    <w:rsid w:val="01EE7C08"/>
    <w:rsid w:val="01FD63CC"/>
    <w:rsid w:val="02337D11"/>
    <w:rsid w:val="023B3D55"/>
    <w:rsid w:val="024F6BF1"/>
    <w:rsid w:val="02BF0C55"/>
    <w:rsid w:val="02F13018"/>
    <w:rsid w:val="031418F0"/>
    <w:rsid w:val="0358304C"/>
    <w:rsid w:val="03661A20"/>
    <w:rsid w:val="039E06FB"/>
    <w:rsid w:val="04021749"/>
    <w:rsid w:val="04B67F25"/>
    <w:rsid w:val="04BF763A"/>
    <w:rsid w:val="04E2157A"/>
    <w:rsid w:val="04EF43C3"/>
    <w:rsid w:val="055E6E53"/>
    <w:rsid w:val="056C5F91"/>
    <w:rsid w:val="05D4768F"/>
    <w:rsid w:val="05E67124"/>
    <w:rsid w:val="05E732EC"/>
    <w:rsid w:val="05EC614B"/>
    <w:rsid w:val="062235DD"/>
    <w:rsid w:val="063C112F"/>
    <w:rsid w:val="06856661"/>
    <w:rsid w:val="069B537E"/>
    <w:rsid w:val="06C70A28"/>
    <w:rsid w:val="06C929F2"/>
    <w:rsid w:val="06CA23DC"/>
    <w:rsid w:val="06D05B2E"/>
    <w:rsid w:val="06DD024B"/>
    <w:rsid w:val="07001B9F"/>
    <w:rsid w:val="07133987"/>
    <w:rsid w:val="07520C39"/>
    <w:rsid w:val="07A1396F"/>
    <w:rsid w:val="07A71DAB"/>
    <w:rsid w:val="07DE24CD"/>
    <w:rsid w:val="086230FE"/>
    <w:rsid w:val="088C763C"/>
    <w:rsid w:val="08CD7283"/>
    <w:rsid w:val="08E41D65"/>
    <w:rsid w:val="08EB6C4F"/>
    <w:rsid w:val="092D5890"/>
    <w:rsid w:val="0963211F"/>
    <w:rsid w:val="09C807D3"/>
    <w:rsid w:val="09F06AB0"/>
    <w:rsid w:val="09FA34EB"/>
    <w:rsid w:val="09FF4A68"/>
    <w:rsid w:val="0A62467A"/>
    <w:rsid w:val="0A7D4664"/>
    <w:rsid w:val="0A87732E"/>
    <w:rsid w:val="0AD33307"/>
    <w:rsid w:val="0AE05E8C"/>
    <w:rsid w:val="0AF3628F"/>
    <w:rsid w:val="0B3866B7"/>
    <w:rsid w:val="0B9E41C6"/>
    <w:rsid w:val="0BC6217A"/>
    <w:rsid w:val="0BD240F7"/>
    <w:rsid w:val="0C120997"/>
    <w:rsid w:val="0C2A7A8F"/>
    <w:rsid w:val="0C2B1A59"/>
    <w:rsid w:val="0C4153D2"/>
    <w:rsid w:val="0C49746F"/>
    <w:rsid w:val="0C597D15"/>
    <w:rsid w:val="0CA07D76"/>
    <w:rsid w:val="0CA27F6D"/>
    <w:rsid w:val="0CF14A50"/>
    <w:rsid w:val="0D03679A"/>
    <w:rsid w:val="0D3B3F1D"/>
    <w:rsid w:val="0DCB0DFD"/>
    <w:rsid w:val="0DCE22AF"/>
    <w:rsid w:val="0DF525DE"/>
    <w:rsid w:val="0DF61CE0"/>
    <w:rsid w:val="0DF86616"/>
    <w:rsid w:val="0E1E1875"/>
    <w:rsid w:val="0E460DCC"/>
    <w:rsid w:val="0E684952"/>
    <w:rsid w:val="0E86353F"/>
    <w:rsid w:val="0E8E37ED"/>
    <w:rsid w:val="0EAF2E14"/>
    <w:rsid w:val="0EDB59B8"/>
    <w:rsid w:val="0F1C2D99"/>
    <w:rsid w:val="0F6F04DC"/>
    <w:rsid w:val="105858FC"/>
    <w:rsid w:val="106C3AC2"/>
    <w:rsid w:val="108403E2"/>
    <w:rsid w:val="109275A9"/>
    <w:rsid w:val="10C15734"/>
    <w:rsid w:val="10C44237"/>
    <w:rsid w:val="1122342A"/>
    <w:rsid w:val="11533574"/>
    <w:rsid w:val="11785740"/>
    <w:rsid w:val="117A3266"/>
    <w:rsid w:val="11862732"/>
    <w:rsid w:val="118F278E"/>
    <w:rsid w:val="119D4F21"/>
    <w:rsid w:val="11A47985"/>
    <w:rsid w:val="11C67A56"/>
    <w:rsid w:val="11D80D88"/>
    <w:rsid w:val="12474DCB"/>
    <w:rsid w:val="12527641"/>
    <w:rsid w:val="126805E3"/>
    <w:rsid w:val="12E7492B"/>
    <w:rsid w:val="12E74FC1"/>
    <w:rsid w:val="12F27F6E"/>
    <w:rsid w:val="14141B79"/>
    <w:rsid w:val="1457788F"/>
    <w:rsid w:val="14760C96"/>
    <w:rsid w:val="14882C02"/>
    <w:rsid w:val="14D013EF"/>
    <w:rsid w:val="150D2643"/>
    <w:rsid w:val="15115C90"/>
    <w:rsid w:val="15763D45"/>
    <w:rsid w:val="15853F88"/>
    <w:rsid w:val="15A45AE5"/>
    <w:rsid w:val="15D97B34"/>
    <w:rsid w:val="15DC13FE"/>
    <w:rsid w:val="15E038B4"/>
    <w:rsid w:val="16005D04"/>
    <w:rsid w:val="160E0085"/>
    <w:rsid w:val="162E6E4D"/>
    <w:rsid w:val="16443E43"/>
    <w:rsid w:val="16737FC1"/>
    <w:rsid w:val="16C17241"/>
    <w:rsid w:val="16CB4A2F"/>
    <w:rsid w:val="1722468F"/>
    <w:rsid w:val="173C4B1A"/>
    <w:rsid w:val="17726DD2"/>
    <w:rsid w:val="17C50FB3"/>
    <w:rsid w:val="18226406"/>
    <w:rsid w:val="182A472E"/>
    <w:rsid w:val="18602A8A"/>
    <w:rsid w:val="190B3062"/>
    <w:rsid w:val="1963464B"/>
    <w:rsid w:val="197764F6"/>
    <w:rsid w:val="19BC1F42"/>
    <w:rsid w:val="1A3A6836"/>
    <w:rsid w:val="1A584D7E"/>
    <w:rsid w:val="1A5B5BFF"/>
    <w:rsid w:val="1A5D1977"/>
    <w:rsid w:val="1AC50DC4"/>
    <w:rsid w:val="1AE57555"/>
    <w:rsid w:val="1B0A266C"/>
    <w:rsid w:val="1B656D35"/>
    <w:rsid w:val="1B6A170F"/>
    <w:rsid w:val="1B745FC1"/>
    <w:rsid w:val="1BEC4D61"/>
    <w:rsid w:val="1C2A3ADB"/>
    <w:rsid w:val="1C324211"/>
    <w:rsid w:val="1C512E14"/>
    <w:rsid w:val="1C7F3E27"/>
    <w:rsid w:val="1D880AB9"/>
    <w:rsid w:val="1DA27862"/>
    <w:rsid w:val="1DE11B57"/>
    <w:rsid w:val="1E206F43"/>
    <w:rsid w:val="1E3B5B2B"/>
    <w:rsid w:val="1E491296"/>
    <w:rsid w:val="1E4F7829"/>
    <w:rsid w:val="1E5D49E3"/>
    <w:rsid w:val="1E994221"/>
    <w:rsid w:val="1EDA5344"/>
    <w:rsid w:val="1EE13915"/>
    <w:rsid w:val="1EE461C3"/>
    <w:rsid w:val="1F487665"/>
    <w:rsid w:val="1F683A66"/>
    <w:rsid w:val="1F875754"/>
    <w:rsid w:val="1FFE32B4"/>
    <w:rsid w:val="2020237A"/>
    <w:rsid w:val="20515ADA"/>
    <w:rsid w:val="20801F1B"/>
    <w:rsid w:val="208A4B48"/>
    <w:rsid w:val="209669C5"/>
    <w:rsid w:val="20B16579"/>
    <w:rsid w:val="20C37337"/>
    <w:rsid w:val="20CB1F07"/>
    <w:rsid w:val="20F6072B"/>
    <w:rsid w:val="21090925"/>
    <w:rsid w:val="21244F9D"/>
    <w:rsid w:val="213D3171"/>
    <w:rsid w:val="222C2B90"/>
    <w:rsid w:val="22457E73"/>
    <w:rsid w:val="22837AA1"/>
    <w:rsid w:val="22884FD6"/>
    <w:rsid w:val="22F866E1"/>
    <w:rsid w:val="23213C5D"/>
    <w:rsid w:val="232C2DD6"/>
    <w:rsid w:val="2331574F"/>
    <w:rsid w:val="233953DA"/>
    <w:rsid w:val="235B72E4"/>
    <w:rsid w:val="23931F66"/>
    <w:rsid w:val="23C465C3"/>
    <w:rsid w:val="24262DDA"/>
    <w:rsid w:val="2446643F"/>
    <w:rsid w:val="246102B6"/>
    <w:rsid w:val="24782AD4"/>
    <w:rsid w:val="248726E0"/>
    <w:rsid w:val="249C3951"/>
    <w:rsid w:val="24DB3BC4"/>
    <w:rsid w:val="24FA6740"/>
    <w:rsid w:val="25004979"/>
    <w:rsid w:val="25243F0A"/>
    <w:rsid w:val="253A7C36"/>
    <w:rsid w:val="254C2D14"/>
    <w:rsid w:val="256D06AE"/>
    <w:rsid w:val="2582242A"/>
    <w:rsid w:val="259D2ECD"/>
    <w:rsid w:val="25A55F80"/>
    <w:rsid w:val="25B20381"/>
    <w:rsid w:val="25E62821"/>
    <w:rsid w:val="25F25669"/>
    <w:rsid w:val="260B04D9"/>
    <w:rsid w:val="264763B7"/>
    <w:rsid w:val="2672726E"/>
    <w:rsid w:val="26734FA1"/>
    <w:rsid w:val="26881A92"/>
    <w:rsid w:val="268B2A3A"/>
    <w:rsid w:val="268B3DAD"/>
    <w:rsid w:val="26962499"/>
    <w:rsid w:val="26A61FB0"/>
    <w:rsid w:val="27035E88"/>
    <w:rsid w:val="27415C62"/>
    <w:rsid w:val="27B65EBB"/>
    <w:rsid w:val="27CA47C6"/>
    <w:rsid w:val="282B4E63"/>
    <w:rsid w:val="28884FF7"/>
    <w:rsid w:val="289F315B"/>
    <w:rsid w:val="28D472A8"/>
    <w:rsid w:val="29017971"/>
    <w:rsid w:val="290F389D"/>
    <w:rsid w:val="2962542C"/>
    <w:rsid w:val="299E36C0"/>
    <w:rsid w:val="2B367172"/>
    <w:rsid w:val="2B7314CC"/>
    <w:rsid w:val="2B784A6E"/>
    <w:rsid w:val="2B9A7B07"/>
    <w:rsid w:val="2BA07916"/>
    <w:rsid w:val="2BAE2033"/>
    <w:rsid w:val="2BB37649"/>
    <w:rsid w:val="2BC9037C"/>
    <w:rsid w:val="2BFD3113"/>
    <w:rsid w:val="2C0003B4"/>
    <w:rsid w:val="2C1005F7"/>
    <w:rsid w:val="2C15160E"/>
    <w:rsid w:val="2C44430E"/>
    <w:rsid w:val="2C4F172C"/>
    <w:rsid w:val="2C9C00DD"/>
    <w:rsid w:val="2CA156F3"/>
    <w:rsid w:val="2D906B09"/>
    <w:rsid w:val="2D9C5EBB"/>
    <w:rsid w:val="2DD973AC"/>
    <w:rsid w:val="2DFB1659"/>
    <w:rsid w:val="2E0221C2"/>
    <w:rsid w:val="2E611B70"/>
    <w:rsid w:val="2E9A689E"/>
    <w:rsid w:val="2ECB6A58"/>
    <w:rsid w:val="2EDD4BB1"/>
    <w:rsid w:val="2F01185F"/>
    <w:rsid w:val="2F2729AC"/>
    <w:rsid w:val="2F3C0F4C"/>
    <w:rsid w:val="2FB82F9F"/>
    <w:rsid w:val="2FE418AC"/>
    <w:rsid w:val="2FE5383E"/>
    <w:rsid w:val="2FEA4C7F"/>
    <w:rsid w:val="30330D58"/>
    <w:rsid w:val="3037089D"/>
    <w:rsid w:val="30EA3353"/>
    <w:rsid w:val="31013C49"/>
    <w:rsid w:val="312319EF"/>
    <w:rsid w:val="313C778B"/>
    <w:rsid w:val="318F6462"/>
    <w:rsid w:val="321A2D0F"/>
    <w:rsid w:val="32382656"/>
    <w:rsid w:val="324D664C"/>
    <w:rsid w:val="3267118D"/>
    <w:rsid w:val="32870EE7"/>
    <w:rsid w:val="32BE6EB2"/>
    <w:rsid w:val="32C7154E"/>
    <w:rsid w:val="33156D5E"/>
    <w:rsid w:val="3317207A"/>
    <w:rsid w:val="331A6B7B"/>
    <w:rsid w:val="331F2052"/>
    <w:rsid w:val="333554DB"/>
    <w:rsid w:val="33396D39"/>
    <w:rsid w:val="33643EF5"/>
    <w:rsid w:val="33D80BF4"/>
    <w:rsid w:val="33F77F81"/>
    <w:rsid w:val="34254482"/>
    <w:rsid w:val="346F257B"/>
    <w:rsid w:val="348C4EDB"/>
    <w:rsid w:val="348F605A"/>
    <w:rsid w:val="34E716B6"/>
    <w:rsid w:val="3505113E"/>
    <w:rsid w:val="35233259"/>
    <w:rsid w:val="35357321"/>
    <w:rsid w:val="355115AF"/>
    <w:rsid w:val="359F2BE0"/>
    <w:rsid w:val="35AE6CC5"/>
    <w:rsid w:val="35FC399A"/>
    <w:rsid w:val="362A675A"/>
    <w:rsid w:val="36B60605"/>
    <w:rsid w:val="36DB3EF8"/>
    <w:rsid w:val="36DB7A54"/>
    <w:rsid w:val="36EC39E0"/>
    <w:rsid w:val="37647A49"/>
    <w:rsid w:val="37704A11"/>
    <w:rsid w:val="37C45ACE"/>
    <w:rsid w:val="37DF2D89"/>
    <w:rsid w:val="37E335F2"/>
    <w:rsid w:val="3835053A"/>
    <w:rsid w:val="386B727B"/>
    <w:rsid w:val="38BE1535"/>
    <w:rsid w:val="39194863"/>
    <w:rsid w:val="391D7376"/>
    <w:rsid w:val="39403E21"/>
    <w:rsid w:val="397A7B42"/>
    <w:rsid w:val="399A1E48"/>
    <w:rsid w:val="39B4157B"/>
    <w:rsid w:val="39D55A01"/>
    <w:rsid w:val="3A104D75"/>
    <w:rsid w:val="3A4C2C68"/>
    <w:rsid w:val="3A4D1A2B"/>
    <w:rsid w:val="3A5E69D2"/>
    <w:rsid w:val="3B2C2F74"/>
    <w:rsid w:val="3B3415C4"/>
    <w:rsid w:val="3B345984"/>
    <w:rsid w:val="3B351E28"/>
    <w:rsid w:val="3B4F53C1"/>
    <w:rsid w:val="3B626996"/>
    <w:rsid w:val="3B6C6BA3"/>
    <w:rsid w:val="3B78218B"/>
    <w:rsid w:val="3BAE3989"/>
    <w:rsid w:val="3BB15227"/>
    <w:rsid w:val="3BF02721"/>
    <w:rsid w:val="3BFA0A8A"/>
    <w:rsid w:val="3C242530"/>
    <w:rsid w:val="3C4165AB"/>
    <w:rsid w:val="3CCA02B2"/>
    <w:rsid w:val="3CD613E9"/>
    <w:rsid w:val="3CE62383"/>
    <w:rsid w:val="3CEC7A2A"/>
    <w:rsid w:val="3D0433A8"/>
    <w:rsid w:val="3D0F69B6"/>
    <w:rsid w:val="3D2959BD"/>
    <w:rsid w:val="3D3219D3"/>
    <w:rsid w:val="3D3474F8"/>
    <w:rsid w:val="3DCE35B6"/>
    <w:rsid w:val="3DD136B5"/>
    <w:rsid w:val="3DD5344F"/>
    <w:rsid w:val="3E0F3EB7"/>
    <w:rsid w:val="3E2609B2"/>
    <w:rsid w:val="3E76426F"/>
    <w:rsid w:val="3E7F6463"/>
    <w:rsid w:val="3E962D65"/>
    <w:rsid w:val="3ECB4852"/>
    <w:rsid w:val="3EEB0292"/>
    <w:rsid w:val="3F281B00"/>
    <w:rsid w:val="3F6A7BC7"/>
    <w:rsid w:val="3F930BE9"/>
    <w:rsid w:val="3F952DC8"/>
    <w:rsid w:val="3FE15005"/>
    <w:rsid w:val="3FE77469"/>
    <w:rsid w:val="400E2C48"/>
    <w:rsid w:val="40ED6D01"/>
    <w:rsid w:val="41216845"/>
    <w:rsid w:val="413A36FE"/>
    <w:rsid w:val="4213220D"/>
    <w:rsid w:val="4235270E"/>
    <w:rsid w:val="423F17DF"/>
    <w:rsid w:val="42461BF0"/>
    <w:rsid w:val="424C7A58"/>
    <w:rsid w:val="427179B7"/>
    <w:rsid w:val="428D039F"/>
    <w:rsid w:val="429E2362"/>
    <w:rsid w:val="42FC0E58"/>
    <w:rsid w:val="43077F25"/>
    <w:rsid w:val="4310792B"/>
    <w:rsid w:val="43621354"/>
    <w:rsid w:val="436D5ED7"/>
    <w:rsid w:val="437454B8"/>
    <w:rsid w:val="43947908"/>
    <w:rsid w:val="43AA0EDA"/>
    <w:rsid w:val="43D25E53"/>
    <w:rsid w:val="43E25FC1"/>
    <w:rsid w:val="440138A0"/>
    <w:rsid w:val="44246EDE"/>
    <w:rsid w:val="44692B43"/>
    <w:rsid w:val="447C65C0"/>
    <w:rsid w:val="448742A8"/>
    <w:rsid w:val="44983428"/>
    <w:rsid w:val="44C47D79"/>
    <w:rsid w:val="451A208F"/>
    <w:rsid w:val="45433394"/>
    <w:rsid w:val="45877724"/>
    <w:rsid w:val="458A0FC3"/>
    <w:rsid w:val="458D2861"/>
    <w:rsid w:val="45BB3260"/>
    <w:rsid w:val="46092999"/>
    <w:rsid w:val="4612476D"/>
    <w:rsid w:val="468F5CB4"/>
    <w:rsid w:val="46957C1F"/>
    <w:rsid w:val="46C027C2"/>
    <w:rsid w:val="4743767B"/>
    <w:rsid w:val="474820C5"/>
    <w:rsid w:val="475B13E7"/>
    <w:rsid w:val="47777325"/>
    <w:rsid w:val="47DD7AD0"/>
    <w:rsid w:val="47E70FBB"/>
    <w:rsid w:val="481D611E"/>
    <w:rsid w:val="48221986"/>
    <w:rsid w:val="48B545A9"/>
    <w:rsid w:val="48D34790"/>
    <w:rsid w:val="48ED18F0"/>
    <w:rsid w:val="48F826E7"/>
    <w:rsid w:val="4929464F"/>
    <w:rsid w:val="494C6C0E"/>
    <w:rsid w:val="4955379A"/>
    <w:rsid w:val="498C348F"/>
    <w:rsid w:val="49C34AA3"/>
    <w:rsid w:val="49DA3B9B"/>
    <w:rsid w:val="49DA528B"/>
    <w:rsid w:val="49FA4012"/>
    <w:rsid w:val="49FA5FEB"/>
    <w:rsid w:val="4A4F4589"/>
    <w:rsid w:val="4A5573E4"/>
    <w:rsid w:val="4A62606A"/>
    <w:rsid w:val="4A712751"/>
    <w:rsid w:val="4B380D6F"/>
    <w:rsid w:val="4B3A1029"/>
    <w:rsid w:val="4B555BCF"/>
    <w:rsid w:val="4B6E0A3F"/>
    <w:rsid w:val="4B771FE9"/>
    <w:rsid w:val="4BBC29D4"/>
    <w:rsid w:val="4C443C2D"/>
    <w:rsid w:val="4C560DCF"/>
    <w:rsid w:val="4C723258"/>
    <w:rsid w:val="4CB608EF"/>
    <w:rsid w:val="4D0E072B"/>
    <w:rsid w:val="4D0F1621"/>
    <w:rsid w:val="4D24354A"/>
    <w:rsid w:val="4D4E6D7A"/>
    <w:rsid w:val="4D9A1FBF"/>
    <w:rsid w:val="4DCE1F8B"/>
    <w:rsid w:val="4DF94F37"/>
    <w:rsid w:val="4E0D2791"/>
    <w:rsid w:val="4E2A6045"/>
    <w:rsid w:val="4E437F61"/>
    <w:rsid w:val="4E4E19C6"/>
    <w:rsid w:val="4EB40E5E"/>
    <w:rsid w:val="4F1A33B7"/>
    <w:rsid w:val="4F411EB6"/>
    <w:rsid w:val="4F582EF7"/>
    <w:rsid w:val="4FBA24A4"/>
    <w:rsid w:val="4FBB7FCB"/>
    <w:rsid w:val="50100316"/>
    <w:rsid w:val="502A41CA"/>
    <w:rsid w:val="50983373"/>
    <w:rsid w:val="50AB5953"/>
    <w:rsid w:val="50D60C20"/>
    <w:rsid w:val="51183927"/>
    <w:rsid w:val="5135755A"/>
    <w:rsid w:val="51574F11"/>
    <w:rsid w:val="517B73AD"/>
    <w:rsid w:val="518A5306"/>
    <w:rsid w:val="51983548"/>
    <w:rsid w:val="51AB3D3B"/>
    <w:rsid w:val="51D04201"/>
    <w:rsid w:val="51DA0BDC"/>
    <w:rsid w:val="51DC4954"/>
    <w:rsid w:val="521A27DD"/>
    <w:rsid w:val="52534816"/>
    <w:rsid w:val="52634928"/>
    <w:rsid w:val="52A0414F"/>
    <w:rsid w:val="53277999"/>
    <w:rsid w:val="53987EBC"/>
    <w:rsid w:val="53A35FB7"/>
    <w:rsid w:val="53E24E44"/>
    <w:rsid w:val="53F94527"/>
    <w:rsid w:val="54014B46"/>
    <w:rsid w:val="5472334E"/>
    <w:rsid w:val="54DB5397"/>
    <w:rsid w:val="550348EE"/>
    <w:rsid w:val="5563097D"/>
    <w:rsid w:val="556F4EE2"/>
    <w:rsid w:val="55D21BD3"/>
    <w:rsid w:val="56312D95"/>
    <w:rsid w:val="564725B8"/>
    <w:rsid w:val="56652099"/>
    <w:rsid w:val="56680EAC"/>
    <w:rsid w:val="56843C9F"/>
    <w:rsid w:val="569B3338"/>
    <w:rsid w:val="56F5281F"/>
    <w:rsid w:val="573E766F"/>
    <w:rsid w:val="5765355C"/>
    <w:rsid w:val="57690BD0"/>
    <w:rsid w:val="576F0018"/>
    <w:rsid w:val="57C15E41"/>
    <w:rsid w:val="57CA1153"/>
    <w:rsid w:val="57E46E53"/>
    <w:rsid w:val="580118E9"/>
    <w:rsid w:val="580E253F"/>
    <w:rsid w:val="58254B7B"/>
    <w:rsid w:val="584A495B"/>
    <w:rsid w:val="5892758E"/>
    <w:rsid w:val="58947716"/>
    <w:rsid w:val="58A65CBC"/>
    <w:rsid w:val="58B66C06"/>
    <w:rsid w:val="58C779E0"/>
    <w:rsid w:val="5909228A"/>
    <w:rsid w:val="59154BEF"/>
    <w:rsid w:val="59CA7788"/>
    <w:rsid w:val="5A1B6236"/>
    <w:rsid w:val="5A2E712E"/>
    <w:rsid w:val="5A2F2D66"/>
    <w:rsid w:val="5A6D6164"/>
    <w:rsid w:val="5A86004F"/>
    <w:rsid w:val="5A8938AD"/>
    <w:rsid w:val="5AAE69DB"/>
    <w:rsid w:val="5AF0582F"/>
    <w:rsid w:val="5AF947C9"/>
    <w:rsid w:val="5B1B6AA6"/>
    <w:rsid w:val="5B224E28"/>
    <w:rsid w:val="5B7D7A78"/>
    <w:rsid w:val="5BAF7B56"/>
    <w:rsid w:val="5BD91F04"/>
    <w:rsid w:val="5BDB5C7C"/>
    <w:rsid w:val="5BF611E3"/>
    <w:rsid w:val="5C0E6052"/>
    <w:rsid w:val="5C313AEE"/>
    <w:rsid w:val="5C86208C"/>
    <w:rsid w:val="5CAC7619"/>
    <w:rsid w:val="5D131446"/>
    <w:rsid w:val="5D7C18C6"/>
    <w:rsid w:val="5DA14CA4"/>
    <w:rsid w:val="5DA779D9"/>
    <w:rsid w:val="5DC84953"/>
    <w:rsid w:val="5DDC3F2E"/>
    <w:rsid w:val="5EAC56AE"/>
    <w:rsid w:val="5EDA0A8B"/>
    <w:rsid w:val="5F0537AA"/>
    <w:rsid w:val="5F162912"/>
    <w:rsid w:val="5F20072A"/>
    <w:rsid w:val="5F2117F1"/>
    <w:rsid w:val="5F27754A"/>
    <w:rsid w:val="5F2B3E04"/>
    <w:rsid w:val="5F760F40"/>
    <w:rsid w:val="5FF3691B"/>
    <w:rsid w:val="5FFF5CB2"/>
    <w:rsid w:val="60161979"/>
    <w:rsid w:val="60673F83"/>
    <w:rsid w:val="606E1F64"/>
    <w:rsid w:val="609E5FA7"/>
    <w:rsid w:val="60C253E7"/>
    <w:rsid w:val="60CE0B25"/>
    <w:rsid w:val="61555832"/>
    <w:rsid w:val="61A30FEA"/>
    <w:rsid w:val="61D5316E"/>
    <w:rsid w:val="61D67CE4"/>
    <w:rsid w:val="61DB6D9C"/>
    <w:rsid w:val="61EF4230"/>
    <w:rsid w:val="6200643D"/>
    <w:rsid w:val="623C3CCB"/>
    <w:rsid w:val="6277131B"/>
    <w:rsid w:val="62894736"/>
    <w:rsid w:val="62EC69C1"/>
    <w:rsid w:val="63520F1A"/>
    <w:rsid w:val="636E0BBA"/>
    <w:rsid w:val="63964B41"/>
    <w:rsid w:val="63994A58"/>
    <w:rsid w:val="646C600B"/>
    <w:rsid w:val="647C3D75"/>
    <w:rsid w:val="64CC5E52"/>
    <w:rsid w:val="64DA0DFC"/>
    <w:rsid w:val="64FD5E87"/>
    <w:rsid w:val="65785BCE"/>
    <w:rsid w:val="658C3A08"/>
    <w:rsid w:val="658D4138"/>
    <w:rsid w:val="65B768E4"/>
    <w:rsid w:val="66043DF1"/>
    <w:rsid w:val="661D46CA"/>
    <w:rsid w:val="66887A48"/>
    <w:rsid w:val="66B94E0C"/>
    <w:rsid w:val="66BB1AFB"/>
    <w:rsid w:val="66CF7EED"/>
    <w:rsid w:val="66E83943"/>
    <w:rsid w:val="670F317A"/>
    <w:rsid w:val="673D6A15"/>
    <w:rsid w:val="67960780"/>
    <w:rsid w:val="682E5386"/>
    <w:rsid w:val="683726A5"/>
    <w:rsid w:val="684B23DC"/>
    <w:rsid w:val="68576EF7"/>
    <w:rsid w:val="6874548F"/>
    <w:rsid w:val="68817FE2"/>
    <w:rsid w:val="688D47A2"/>
    <w:rsid w:val="68CD623B"/>
    <w:rsid w:val="68DB72BC"/>
    <w:rsid w:val="68FD36D6"/>
    <w:rsid w:val="69562DE6"/>
    <w:rsid w:val="695E105C"/>
    <w:rsid w:val="696012B6"/>
    <w:rsid w:val="69642093"/>
    <w:rsid w:val="69C02956"/>
    <w:rsid w:val="69CA6B08"/>
    <w:rsid w:val="6A042666"/>
    <w:rsid w:val="6A9736F0"/>
    <w:rsid w:val="6AF830B1"/>
    <w:rsid w:val="6B1715B7"/>
    <w:rsid w:val="6B2C2051"/>
    <w:rsid w:val="6B3233DF"/>
    <w:rsid w:val="6B680BAF"/>
    <w:rsid w:val="6B6C68F1"/>
    <w:rsid w:val="6BA17D14"/>
    <w:rsid w:val="6BBB33D4"/>
    <w:rsid w:val="6BCC55E2"/>
    <w:rsid w:val="6BEA8026"/>
    <w:rsid w:val="6C0C5BDB"/>
    <w:rsid w:val="6C6770B8"/>
    <w:rsid w:val="6C845EBC"/>
    <w:rsid w:val="6CA41CC8"/>
    <w:rsid w:val="6CC20E82"/>
    <w:rsid w:val="6CD26C28"/>
    <w:rsid w:val="6CF3436B"/>
    <w:rsid w:val="6D056FFD"/>
    <w:rsid w:val="6D443964"/>
    <w:rsid w:val="6D5B6316"/>
    <w:rsid w:val="6D9143ED"/>
    <w:rsid w:val="6DC74A88"/>
    <w:rsid w:val="6DD724DA"/>
    <w:rsid w:val="6DDC0B81"/>
    <w:rsid w:val="6DEA2117"/>
    <w:rsid w:val="6E041063"/>
    <w:rsid w:val="6E0C6BA8"/>
    <w:rsid w:val="6E4C538F"/>
    <w:rsid w:val="6E8C1058"/>
    <w:rsid w:val="6EBF142E"/>
    <w:rsid w:val="6ED722D3"/>
    <w:rsid w:val="6EE175F6"/>
    <w:rsid w:val="6F7C2E7B"/>
    <w:rsid w:val="6FC36D9E"/>
    <w:rsid w:val="6FE70C3C"/>
    <w:rsid w:val="70076BE8"/>
    <w:rsid w:val="70852D97"/>
    <w:rsid w:val="70A47AAD"/>
    <w:rsid w:val="70AE40C7"/>
    <w:rsid w:val="70C25205"/>
    <w:rsid w:val="70DA254F"/>
    <w:rsid w:val="70E51DA8"/>
    <w:rsid w:val="70F20FE3"/>
    <w:rsid w:val="71174B27"/>
    <w:rsid w:val="71946BA2"/>
    <w:rsid w:val="71A843FB"/>
    <w:rsid w:val="71C97895"/>
    <w:rsid w:val="721E450C"/>
    <w:rsid w:val="7256750B"/>
    <w:rsid w:val="7262278F"/>
    <w:rsid w:val="72D73D3D"/>
    <w:rsid w:val="73394BB6"/>
    <w:rsid w:val="73397A01"/>
    <w:rsid w:val="736A253A"/>
    <w:rsid w:val="73A429A0"/>
    <w:rsid w:val="73AC2D59"/>
    <w:rsid w:val="73BE1CB4"/>
    <w:rsid w:val="73EC5B91"/>
    <w:rsid w:val="73FC458A"/>
    <w:rsid w:val="742E7E7F"/>
    <w:rsid w:val="747B5DF7"/>
    <w:rsid w:val="74C002E8"/>
    <w:rsid w:val="74CF1255"/>
    <w:rsid w:val="74E7523A"/>
    <w:rsid w:val="74FB54A4"/>
    <w:rsid w:val="751A7B05"/>
    <w:rsid w:val="75220020"/>
    <w:rsid w:val="755522F8"/>
    <w:rsid w:val="755E2DEF"/>
    <w:rsid w:val="75611CC1"/>
    <w:rsid w:val="75A03D67"/>
    <w:rsid w:val="75DD731F"/>
    <w:rsid w:val="7621652A"/>
    <w:rsid w:val="76265AC6"/>
    <w:rsid w:val="763A2EF5"/>
    <w:rsid w:val="76642085"/>
    <w:rsid w:val="768014A2"/>
    <w:rsid w:val="7682438C"/>
    <w:rsid w:val="768857E3"/>
    <w:rsid w:val="768D4B1F"/>
    <w:rsid w:val="769D2054"/>
    <w:rsid w:val="76C31EDD"/>
    <w:rsid w:val="76EC2FDC"/>
    <w:rsid w:val="77060EB2"/>
    <w:rsid w:val="77120FDD"/>
    <w:rsid w:val="775C2950"/>
    <w:rsid w:val="77610F13"/>
    <w:rsid w:val="778C37F8"/>
    <w:rsid w:val="779D7E32"/>
    <w:rsid w:val="77B12E34"/>
    <w:rsid w:val="77D46CD2"/>
    <w:rsid w:val="77D83D50"/>
    <w:rsid w:val="781D0CC1"/>
    <w:rsid w:val="7823193A"/>
    <w:rsid w:val="782E61C7"/>
    <w:rsid w:val="783B33E4"/>
    <w:rsid w:val="7844130F"/>
    <w:rsid w:val="78534B66"/>
    <w:rsid w:val="785B3F75"/>
    <w:rsid w:val="787B0197"/>
    <w:rsid w:val="787E1A12"/>
    <w:rsid w:val="78BE10F6"/>
    <w:rsid w:val="78CA4C57"/>
    <w:rsid w:val="78D43D28"/>
    <w:rsid w:val="78DD2BDC"/>
    <w:rsid w:val="79435553"/>
    <w:rsid w:val="794672BF"/>
    <w:rsid w:val="79E263BE"/>
    <w:rsid w:val="7A064282"/>
    <w:rsid w:val="7A3C1D44"/>
    <w:rsid w:val="7A9E283F"/>
    <w:rsid w:val="7ACB4CB6"/>
    <w:rsid w:val="7ADD5362"/>
    <w:rsid w:val="7B036E36"/>
    <w:rsid w:val="7B0E3521"/>
    <w:rsid w:val="7B1A0118"/>
    <w:rsid w:val="7B31160A"/>
    <w:rsid w:val="7B62386D"/>
    <w:rsid w:val="7B6E2211"/>
    <w:rsid w:val="7BAD0A4E"/>
    <w:rsid w:val="7BB00E61"/>
    <w:rsid w:val="7BD227A0"/>
    <w:rsid w:val="7C1822AA"/>
    <w:rsid w:val="7C85264B"/>
    <w:rsid w:val="7CA06753"/>
    <w:rsid w:val="7CB43242"/>
    <w:rsid w:val="7CB61824"/>
    <w:rsid w:val="7CBD69D7"/>
    <w:rsid w:val="7CC76395"/>
    <w:rsid w:val="7CEF2EDE"/>
    <w:rsid w:val="7D1961AD"/>
    <w:rsid w:val="7D4F7E21"/>
    <w:rsid w:val="7D7A30EF"/>
    <w:rsid w:val="7D9D293A"/>
    <w:rsid w:val="7DA51A4B"/>
    <w:rsid w:val="7E0B01EB"/>
    <w:rsid w:val="7E1E7F1F"/>
    <w:rsid w:val="7E321E60"/>
    <w:rsid w:val="7E390B0F"/>
    <w:rsid w:val="7E493D4F"/>
    <w:rsid w:val="7E5356EF"/>
    <w:rsid w:val="7E881DA7"/>
    <w:rsid w:val="7E9B65C0"/>
    <w:rsid w:val="7F060C17"/>
    <w:rsid w:val="7F0C421B"/>
    <w:rsid w:val="7F2F766E"/>
    <w:rsid w:val="7F3D58B7"/>
    <w:rsid w:val="7F6B3277"/>
    <w:rsid w:val="7F7C3A97"/>
    <w:rsid w:val="7F9051D5"/>
    <w:rsid w:val="7F9C372F"/>
    <w:rsid w:val="7FE01204"/>
    <w:rsid w:val="7FFA67D9"/>
    <w:rsid w:val="7FFB9374"/>
    <w:rsid w:val="7FFC4290"/>
    <w:rsid w:val="DFBBF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3">
    <w:name w:val="heading 2"/>
    <w:basedOn w:val="1"/>
    <w:next w:val="1"/>
    <w:link w:val="43"/>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2">
    <w:name w:val="heading 4"/>
    <w:basedOn w:val="1"/>
    <w:next w:val="1"/>
    <w:qFormat/>
    <w:uiPriority w:val="0"/>
    <w:pPr>
      <w:keepNext/>
      <w:keepLines/>
      <w:spacing w:line="374" w:lineRule="auto"/>
      <w:outlineLvl w:val="3"/>
    </w:pPr>
    <w:rPr>
      <w:rFonts w:ascii="Arial" w:hAnsi="Arial"/>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4">
    <w:name w:val="annotation text"/>
    <w:basedOn w:val="1"/>
    <w:next w:val="1"/>
    <w:qFormat/>
    <w:uiPriority w:val="0"/>
    <w:pPr>
      <w:adjustRightInd w:val="0"/>
      <w:spacing w:line="360" w:lineRule="atLeast"/>
      <w:jc w:val="left"/>
      <w:textAlignment w:val="baseline"/>
    </w:pPr>
    <w:rPr>
      <w:kern w:val="0"/>
    </w:rPr>
  </w:style>
  <w:style w:type="paragraph" w:styleId="5">
    <w:name w:val="Body Text"/>
    <w:basedOn w:val="1"/>
    <w:semiHidden/>
    <w:qFormat/>
    <w:uiPriority w:val="0"/>
    <w:rPr>
      <w:rFonts w:ascii="Arial" w:hAnsi="Arial" w:eastAsia="Arial" w:cs="Arial"/>
      <w:sz w:val="21"/>
      <w:szCs w:val="21"/>
      <w:lang w:val="en-US" w:eastAsia="en-US" w:bidi="ar-SA"/>
    </w:rPr>
  </w:style>
  <w:style w:type="paragraph" w:styleId="6">
    <w:name w:val="toc 3"/>
    <w:basedOn w:val="1"/>
    <w:next w:val="1"/>
    <w:qFormat/>
    <w:uiPriority w:val="0"/>
    <w:pPr>
      <w:ind w:left="840" w:leftChars="400"/>
    </w:pPr>
  </w:style>
  <w:style w:type="paragraph" w:styleId="7">
    <w:name w:val="Plain Text"/>
    <w:basedOn w:val="1"/>
    <w:qFormat/>
    <w:uiPriority w:val="0"/>
    <w:rPr>
      <w:rFonts w:ascii="宋体" w:hAnsi="Courier New"/>
      <w:szCs w:val="20"/>
    </w:rPr>
  </w:style>
  <w:style w:type="paragraph" w:styleId="8">
    <w:name w:val="footer"/>
    <w:basedOn w:val="1"/>
    <w:qFormat/>
    <w:uiPriority w:val="0"/>
    <w:pPr>
      <w:tabs>
        <w:tab w:val="center" w:pos="4153"/>
        <w:tab w:val="right" w:pos="8306"/>
      </w:tabs>
      <w:snapToGrid w:val="0"/>
      <w:jc w:val="left"/>
    </w:pPr>
    <w:rPr>
      <w:sz w:val="18"/>
    </w:rPr>
  </w:style>
  <w:style w:type="paragraph" w:styleId="9">
    <w:name w:val="toc 1"/>
    <w:basedOn w:val="1"/>
    <w:next w:val="1"/>
    <w:qFormat/>
    <w:uiPriority w:val="0"/>
  </w:style>
  <w:style w:type="paragraph" w:styleId="10">
    <w:name w:val="toc 2"/>
    <w:basedOn w:val="1"/>
    <w:next w:val="1"/>
    <w:qFormat/>
    <w:uiPriority w:val="0"/>
    <w:pPr>
      <w:ind w:left="420" w:leftChars="200"/>
    </w:pPr>
  </w:style>
  <w:style w:type="paragraph" w:styleId="11">
    <w:name w:val="Body Text 2"/>
    <w:basedOn w:val="1"/>
    <w:qFormat/>
    <w:uiPriority w:val="0"/>
    <w:pPr>
      <w:spacing w:line="500" w:lineRule="exact"/>
    </w:pPr>
    <w:rPr>
      <w:rFonts w:ascii="宋体" w:hAnsi="Times New Roman" w:eastAsia="宋体" w:cs="Times New Roman"/>
      <w:sz w:val="24"/>
    </w:rPr>
  </w:style>
  <w:style w:type="paragraph" w:styleId="12">
    <w:name w:val="Normal (Web)"/>
    <w:basedOn w:val="1"/>
    <w:qFormat/>
    <w:uiPriority w:val="0"/>
    <w:pPr>
      <w:spacing w:beforeAutospacing="1" w:afterAutospacing="1"/>
      <w:jc w:val="left"/>
    </w:pPr>
    <w:rPr>
      <w:rFonts w:cs="Times New Roman"/>
      <w:kern w:val="0"/>
      <w:sz w:val="24"/>
    </w:rPr>
  </w:style>
  <w:style w:type="paragraph" w:styleId="13">
    <w:name w:val="Body Text First Indent"/>
    <w:basedOn w:val="5"/>
    <w:qFormat/>
    <w:uiPriority w:val="99"/>
    <w:pPr>
      <w:spacing w:line="240" w:lineRule="auto"/>
      <w:ind w:firstLine="420" w:firstLineChars="100"/>
    </w:pPr>
    <w:rPr>
      <w:rFonts w:ascii="Times New Roman" w:cs="Times New Roman"/>
      <w:sz w:val="20"/>
      <w:szCs w:val="20"/>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Emphasis"/>
    <w:basedOn w:val="16"/>
    <w:qFormat/>
    <w:uiPriority w:val="0"/>
    <w:rPr>
      <w:i/>
    </w:rPr>
  </w:style>
  <w:style w:type="paragraph" w:customStyle="1" w:styleId="18">
    <w:name w:val="Default"/>
    <w:unhideWhenUsed/>
    <w:qFormat/>
    <w:uiPriority w:val="99"/>
    <w:pPr>
      <w:widowControl w:val="0"/>
      <w:autoSpaceDE w:val="0"/>
      <w:autoSpaceDN w:val="0"/>
      <w:adjustRightInd w:val="0"/>
    </w:pPr>
    <w:rPr>
      <w:rFonts w:hint="eastAsia" w:ascii="Arial Unicode MS" w:hAnsi="Arial Unicode MS" w:eastAsia="Arial Unicode MS" w:cs="Times New Roman"/>
      <w:color w:val="000000"/>
      <w:sz w:val="24"/>
      <w:lang w:val="en-US" w:eastAsia="zh-CN" w:bidi="ar-SA"/>
    </w:rPr>
  </w:style>
  <w:style w:type="paragraph" w:customStyle="1" w:styleId="19">
    <w:name w:val="UserStyle_43"/>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character" w:customStyle="1" w:styleId="20">
    <w:name w:val="NormalCharacter"/>
    <w:qFormat/>
    <w:uiPriority w:val="99"/>
  </w:style>
  <w:style w:type="paragraph" w:customStyle="1" w:styleId="21">
    <w:name w:val="Table Text"/>
    <w:basedOn w:val="1"/>
    <w:semiHidden/>
    <w:qFormat/>
    <w:uiPriority w:val="0"/>
    <w:rPr>
      <w:rFonts w:ascii="Arial" w:hAnsi="Arial" w:eastAsia="Arial" w:cs="Arial"/>
      <w:sz w:val="21"/>
      <w:szCs w:val="21"/>
      <w:lang w:val="en-US" w:eastAsia="en-US" w:bidi="ar-SA"/>
    </w:rPr>
  </w:style>
  <w:style w:type="paragraph" w:customStyle="1" w:styleId="22">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
    <w:name w:val="正文缩进1"/>
    <w:basedOn w:val="1"/>
    <w:qFormat/>
    <w:uiPriority w:val="0"/>
    <w:pPr>
      <w:widowControl/>
      <w:ind w:firstLine="420"/>
      <w:jc w:val="left"/>
    </w:pPr>
    <w:rPr>
      <w:kern w:val="0"/>
    </w:rPr>
  </w:style>
  <w:style w:type="paragraph" w:customStyle="1" w:styleId="24">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25">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6">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7">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8">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9">
    <w:name w:val="Heading2"/>
    <w:basedOn w:val="1"/>
    <w:next w:val="1"/>
    <w:qFormat/>
    <w:uiPriority w:val="99"/>
    <w:pPr>
      <w:jc w:val="left"/>
    </w:pPr>
    <w:rPr>
      <w:kern w:val="0"/>
    </w:rPr>
  </w:style>
  <w:style w:type="paragraph" w:customStyle="1" w:styleId="30">
    <w:name w:val="AnnotationText"/>
    <w:basedOn w:val="1"/>
    <w:qFormat/>
    <w:uiPriority w:val="99"/>
    <w:pPr>
      <w:spacing w:line="360" w:lineRule="atLeast"/>
      <w:jc w:val="left"/>
    </w:pPr>
    <w:rPr>
      <w:kern w:val="0"/>
    </w:rPr>
  </w:style>
  <w:style w:type="paragraph" w:customStyle="1" w:styleId="31">
    <w:name w:val="UserStyle_44"/>
    <w:basedOn w:val="32"/>
    <w:qFormat/>
    <w:uiPriority w:val="99"/>
    <w:rPr>
      <w:sz w:val="24"/>
      <w:szCs w:val="24"/>
    </w:rPr>
  </w:style>
  <w:style w:type="paragraph" w:customStyle="1" w:styleId="32">
    <w:name w:val="UserStyle_33"/>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33">
    <w:name w:val="UserStyle_4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34">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35">
    <w:name w:val="文一"/>
    <w:basedOn w:val="1"/>
    <w:qFormat/>
    <w:uiPriority w:val="0"/>
    <w:pPr>
      <w:topLinePunct/>
      <w:adjustRightInd w:val="0"/>
      <w:snapToGrid w:val="0"/>
      <w:ind w:firstLine="200" w:firstLineChars="200"/>
    </w:pPr>
    <w:rPr>
      <w:rFonts w:ascii="Calibri" w:hAnsi="Calibri"/>
      <w:snapToGrid w:val="0"/>
      <w:spacing w:val="4"/>
      <w:kern w:val="0"/>
      <w:szCs w:val="22"/>
    </w:rPr>
  </w:style>
  <w:style w:type="paragraph" w:customStyle="1" w:styleId="36">
    <w:name w:val="BodyText"/>
    <w:basedOn w:val="1"/>
    <w:next w:val="37"/>
    <w:qFormat/>
    <w:uiPriority w:val="99"/>
    <w:pPr>
      <w:spacing w:after="120"/>
    </w:pPr>
  </w:style>
  <w:style w:type="paragraph" w:customStyle="1" w:styleId="37">
    <w:name w:val="BodyText2"/>
    <w:basedOn w:val="1"/>
    <w:qFormat/>
    <w:uiPriority w:val="99"/>
    <w:pPr>
      <w:spacing w:line="500" w:lineRule="exact"/>
    </w:pPr>
  </w:style>
  <w:style w:type="paragraph" w:customStyle="1" w:styleId="38">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9">
    <w:name w:val="正文缩进 New"/>
    <w:basedOn w:val="40"/>
    <w:qFormat/>
    <w:uiPriority w:val="0"/>
    <w:pPr>
      <w:widowControl/>
      <w:ind w:firstLine="420"/>
      <w:jc w:val="left"/>
    </w:pPr>
    <w:rPr>
      <w:kern w:val="0"/>
      <w:sz w:val="20"/>
    </w:rPr>
  </w:style>
  <w:style w:type="paragraph" w:customStyle="1" w:styleId="40">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41">
    <w:name w:val="正文文本 New"/>
    <w:basedOn w:val="1"/>
    <w:qFormat/>
    <w:uiPriority w:val="0"/>
    <w:pPr>
      <w:spacing w:after="120" w:line="360" w:lineRule="auto"/>
    </w:pPr>
    <w:rPr>
      <w:rFonts w:ascii="宋体" w:hAnsi="Times New Roman" w:eastAsia="宋体" w:cs="Times New Roman"/>
      <w:sz w:val="24"/>
      <w:szCs w:val="20"/>
    </w:rPr>
  </w:style>
  <w:style w:type="character" w:customStyle="1" w:styleId="42">
    <w:name w:val="正文文本 (2) + 间距 0 pt3"/>
    <w:basedOn w:val="16"/>
    <w:qFormat/>
    <w:uiPriority w:val="0"/>
    <w:rPr>
      <w:rFonts w:ascii="MingLiU" w:hAnsi="Times New Roman" w:eastAsia="MingLiU" w:cs="MingLiU"/>
      <w:spacing w:val="0"/>
      <w:sz w:val="22"/>
      <w:szCs w:val="22"/>
      <w:u w:val="none"/>
    </w:rPr>
  </w:style>
  <w:style w:type="character" w:customStyle="1" w:styleId="43">
    <w:name w:val="标题 2 字符"/>
    <w:link w:val="3"/>
    <w:qFormat/>
    <w:uiPriority w:val="0"/>
    <w:rPr>
      <w:rFonts w:hint="eastAsia" w:ascii="宋体" w:hAnsi="宋体" w:eastAsia="宋体" w:cs="宋体"/>
      <w:b/>
      <w:bCs/>
      <w:kern w:val="0"/>
      <w:sz w:val="36"/>
      <w:szCs w:val="36"/>
      <w:lang w:val="en-US" w:eastAsia="zh-CN" w:bidi="ar"/>
    </w:rPr>
  </w:style>
  <w:style w:type="paragraph" w:customStyle="1" w:styleId="44">
    <w:name w:val="标题 3 New New"/>
    <w:basedOn w:val="39"/>
    <w:next w:val="39"/>
    <w:qFormat/>
    <w:uiPriority w:val="0"/>
    <w:pPr>
      <w:keepNext/>
      <w:keepLines/>
      <w:spacing w:before="120" w:beforeLines="0" w:beforeAutospacing="0" w:after="120" w:afterLines="0" w:afterAutospacing="0"/>
      <w:jc w:val="center"/>
      <w:outlineLvl w:val="2"/>
    </w:pPr>
    <w:rPr>
      <w:rFonts w:ascii="Times New Roman" w:hAnsi="Times New Roman" w:eastAsia="宋体" w:cs="Times New Roman"/>
      <w:sz w:val="24"/>
    </w:rPr>
  </w:style>
  <w:style w:type="paragraph" w:customStyle="1" w:styleId="45">
    <w:name w:val="UserStyle_76"/>
    <w:basedOn w:val="46"/>
    <w:qFormat/>
    <w:uiPriority w:val="99"/>
    <w:pPr>
      <w:ind w:firstLine="420"/>
      <w:jc w:val="left"/>
    </w:pPr>
    <w:rPr>
      <w:kern w:val="0"/>
      <w:sz w:val="20"/>
      <w:szCs w:val="20"/>
    </w:rPr>
  </w:style>
  <w:style w:type="paragraph" w:customStyle="1" w:styleId="46">
    <w:name w:val="UserStyle_1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9" Type="http://schemas.openxmlformats.org/officeDocument/2006/relationships/fontTable" Target="fontTable.xml"/><Relationship Id="rId58" Type="http://schemas.openxmlformats.org/officeDocument/2006/relationships/numbering" Target="numbering.xml"/><Relationship Id="rId57" Type="http://schemas.openxmlformats.org/officeDocument/2006/relationships/customXml" Target="../customXml/item1.xml"/><Relationship Id="rId56" Type="http://schemas.openxmlformats.org/officeDocument/2006/relationships/image" Target="media/image18.png"/><Relationship Id="rId55" Type="http://schemas.openxmlformats.org/officeDocument/2006/relationships/image" Target="media/image17.jpeg"/><Relationship Id="rId54" Type="http://schemas.openxmlformats.org/officeDocument/2006/relationships/image" Target="media/image16.png"/><Relationship Id="rId53" Type="http://schemas.openxmlformats.org/officeDocument/2006/relationships/image" Target="media/image15.png"/><Relationship Id="rId52" Type="http://schemas.openxmlformats.org/officeDocument/2006/relationships/image" Target="media/image14.wmf"/><Relationship Id="rId51" Type="http://schemas.openxmlformats.org/officeDocument/2006/relationships/oleObject" Target="embeddings/oleObject12.bin"/><Relationship Id="rId50" Type="http://schemas.openxmlformats.org/officeDocument/2006/relationships/image" Target="media/image13.wmf"/><Relationship Id="rId5" Type="http://schemas.openxmlformats.org/officeDocument/2006/relationships/footer" Target="footer1.xml"/><Relationship Id="rId49" Type="http://schemas.openxmlformats.org/officeDocument/2006/relationships/oleObject" Target="embeddings/oleObject11.bin"/><Relationship Id="rId48" Type="http://schemas.openxmlformats.org/officeDocument/2006/relationships/image" Target="media/image12.wmf"/><Relationship Id="rId47" Type="http://schemas.openxmlformats.org/officeDocument/2006/relationships/oleObject" Target="embeddings/oleObject10.bin"/><Relationship Id="rId46" Type="http://schemas.openxmlformats.org/officeDocument/2006/relationships/image" Target="media/image11.wmf"/><Relationship Id="rId45" Type="http://schemas.openxmlformats.org/officeDocument/2006/relationships/oleObject" Target="embeddings/oleObject9.bin"/><Relationship Id="rId44" Type="http://schemas.openxmlformats.org/officeDocument/2006/relationships/image" Target="media/image10.wmf"/><Relationship Id="rId43" Type="http://schemas.openxmlformats.org/officeDocument/2006/relationships/oleObject" Target="embeddings/oleObject8.bin"/><Relationship Id="rId42" Type="http://schemas.openxmlformats.org/officeDocument/2006/relationships/image" Target="media/image9.wmf"/><Relationship Id="rId41" Type="http://schemas.openxmlformats.org/officeDocument/2006/relationships/oleObject" Target="embeddings/oleObject7.bin"/><Relationship Id="rId40" Type="http://schemas.openxmlformats.org/officeDocument/2006/relationships/image" Target="media/image8.wmf"/><Relationship Id="rId4" Type="http://schemas.openxmlformats.org/officeDocument/2006/relationships/header" Target="header2.xml"/><Relationship Id="rId39" Type="http://schemas.openxmlformats.org/officeDocument/2006/relationships/oleObject" Target="embeddings/oleObject6.bin"/><Relationship Id="rId38" Type="http://schemas.openxmlformats.org/officeDocument/2006/relationships/image" Target="media/image7.wmf"/><Relationship Id="rId37" Type="http://schemas.openxmlformats.org/officeDocument/2006/relationships/oleObject" Target="embeddings/oleObject5.bin"/><Relationship Id="rId36" Type="http://schemas.openxmlformats.org/officeDocument/2006/relationships/image" Target="media/image6.wmf"/><Relationship Id="rId35" Type="http://schemas.openxmlformats.org/officeDocument/2006/relationships/oleObject" Target="embeddings/oleObject4.bin"/><Relationship Id="rId34" Type="http://schemas.openxmlformats.org/officeDocument/2006/relationships/image" Target="media/image5.wmf"/><Relationship Id="rId33" Type="http://schemas.openxmlformats.org/officeDocument/2006/relationships/oleObject" Target="embeddings/oleObject3.bin"/><Relationship Id="rId32" Type="http://schemas.openxmlformats.org/officeDocument/2006/relationships/image" Target="media/image4.wmf"/><Relationship Id="rId31" Type="http://schemas.openxmlformats.org/officeDocument/2006/relationships/oleObject" Target="embeddings/oleObject2.bin"/><Relationship Id="rId30" Type="http://schemas.openxmlformats.org/officeDocument/2006/relationships/image" Target="media/image3.wmf"/><Relationship Id="rId3" Type="http://schemas.openxmlformats.org/officeDocument/2006/relationships/header" Target="header1.xml"/><Relationship Id="rId29" Type="http://schemas.openxmlformats.org/officeDocument/2006/relationships/oleObject" Target="embeddings/oleObject1.bin"/><Relationship Id="rId28" Type="http://schemas.openxmlformats.org/officeDocument/2006/relationships/image" Target="media/image2.png"/><Relationship Id="rId27" Type="http://schemas.openxmlformats.org/officeDocument/2006/relationships/image" Target="media/image1.png"/><Relationship Id="rId26" Type="http://schemas.openxmlformats.org/officeDocument/2006/relationships/theme" Target="theme/theme1.xml"/><Relationship Id="rId25" Type="http://schemas.openxmlformats.org/officeDocument/2006/relationships/footer" Target="footer19.xml"/><Relationship Id="rId24" Type="http://schemas.openxmlformats.org/officeDocument/2006/relationships/footer" Target="footer18.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92</Pages>
  <Words>1465</Words>
  <Characters>1624</Characters>
  <Lines>0</Lines>
  <Paragraphs>0</Paragraphs>
  <TotalTime>0</TotalTime>
  <ScaleCrop>false</ScaleCrop>
  <LinksUpToDate>false</LinksUpToDate>
  <CharactersWithSpaces>1817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2024-09-28T20:36:00Z</dcterms:created>
  <dc:creator>Administrator</dc:creator>
  <cp:lastModifiedBy>晨曦</cp:lastModifiedBy>
  <cp:lastPrinted>2026-03-09T06:21:00Z</cp:lastPrinted>
  <dcterms:modified xsi:type="dcterms:W3CDTF">2026-03-09T08:36:22Z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A327EB87874948D7A033D563F40FD605_13</vt:lpwstr>
  </property>
  <property fmtid="{D5CDD505-2E9C-101B-9397-08002B2CF9AE}" pid="4" name="KSOTemplateDocerSaveRecord">
    <vt:lpwstr>eyJoZGlkIjoiOGJmMDA2NGQyMzZlNjM5MzA0YmFjNTc5NjdkZmMxODQiLCJ1c2VySWQiOiIyNTU5NTE0NjEifQ==</vt:lpwstr>
  </property>
</Properties>
</file>