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6"/>
        <w:ind w:left="0" w:leftChars="0" w:firstLine="0" w:firstLineChars="0"/>
        <w:rPr>
          <w:rFonts w:hint="eastAsia" w:ascii="仿宋_GB2312" w:hAnsi="仿宋_GB2312" w:eastAsia="仿宋_GB2312" w:cs="仿宋_GB2312"/>
          <w:color w:val="auto"/>
          <w:sz w:val="32"/>
          <w:szCs w:val="32"/>
          <w:lang w:val="en-US" w:eastAsia="zh-CN"/>
        </w:rPr>
      </w:pPr>
    </w:p>
    <w:p>
      <w:pPr>
        <w:spacing w:line="360" w:lineRule="auto"/>
        <w:jc w:val="center"/>
        <w:rPr>
          <w:rFonts w:hint="default" w:ascii="微软雅黑" w:hAnsi="微软雅黑" w:eastAsia="微软雅黑"/>
          <w:b/>
          <w:color w:val="auto"/>
          <w:sz w:val="44"/>
          <w:szCs w:val="44"/>
          <w:lang w:val="en-US" w:eastAsia="zh-CN"/>
        </w:rPr>
      </w:pPr>
      <w:r>
        <w:rPr>
          <w:rFonts w:hint="eastAsia" w:ascii="微软雅黑" w:hAnsi="微软雅黑" w:eastAsia="微软雅黑"/>
          <w:b/>
          <w:color w:val="auto"/>
          <w:sz w:val="44"/>
          <w:szCs w:val="44"/>
        </w:rPr>
        <w:t>丹霞街道综合养老服务中心</w:t>
      </w:r>
      <w:r>
        <w:rPr>
          <w:rFonts w:hint="eastAsia" w:ascii="微软雅黑" w:hAnsi="微软雅黑" w:eastAsia="微软雅黑"/>
          <w:b/>
          <w:color w:val="auto"/>
          <w:sz w:val="44"/>
          <w:szCs w:val="44"/>
          <w:lang w:val="en-US" w:eastAsia="zh-CN"/>
        </w:rPr>
        <w:t>建设项目</w:t>
      </w:r>
    </w:p>
    <w:p>
      <w:pPr>
        <w:spacing w:line="360" w:lineRule="auto"/>
        <w:jc w:val="center"/>
        <w:rPr>
          <w:rFonts w:hint="default" w:ascii="微软雅黑" w:hAnsi="微软雅黑" w:eastAsia="微软雅黑"/>
          <w:b/>
          <w:color w:val="auto"/>
          <w:sz w:val="44"/>
          <w:szCs w:val="44"/>
          <w:lang w:val="en-US"/>
        </w:rPr>
      </w:pPr>
    </w:p>
    <w:p>
      <w:pPr>
        <w:spacing w:line="360" w:lineRule="auto"/>
        <w:jc w:val="center"/>
        <w:rPr>
          <w:rFonts w:hint="eastAsia" w:ascii="微软雅黑" w:hAnsi="微软雅黑" w:eastAsia="微软雅黑"/>
          <w:b/>
          <w:color w:val="auto"/>
          <w:sz w:val="44"/>
          <w:szCs w:val="44"/>
        </w:rPr>
      </w:pPr>
      <w:r>
        <w:rPr>
          <w:rFonts w:hint="eastAsia" w:ascii="微软雅黑" w:hAnsi="微软雅黑" w:eastAsia="微软雅黑"/>
          <w:b/>
          <w:color w:val="auto"/>
          <w:sz w:val="44"/>
          <w:szCs w:val="44"/>
        </w:rPr>
        <w:t>公</w:t>
      </w:r>
    </w:p>
    <w:p>
      <w:pPr>
        <w:spacing w:line="360" w:lineRule="auto"/>
        <w:jc w:val="center"/>
        <w:rPr>
          <w:rFonts w:hint="eastAsia" w:ascii="微软雅黑" w:hAnsi="微软雅黑" w:eastAsia="微软雅黑"/>
          <w:b/>
          <w:color w:val="auto"/>
          <w:sz w:val="44"/>
          <w:szCs w:val="44"/>
        </w:rPr>
      </w:pPr>
      <w:r>
        <w:rPr>
          <w:rFonts w:hint="eastAsia" w:ascii="微软雅黑" w:hAnsi="微软雅黑" w:eastAsia="微软雅黑"/>
          <w:b/>
          <w:color w:val="auto"/>
          <w:sz w:val="44"/>
          <w:szCs w:val="44"/>
        </w:rPr>
        <w:t>建</w:t>
      </w:r>
    </w:p>
    <w:p>
      <w:pPr>
        <w:spacing w:line="360" w:lineRule="auto"/>
        <w:jc w:val="center"/>
        <w:rPr>
          <w:rFonts w:hint="eastAsia" w:ascii="微软雅黑" w:hAnsi="微软雅黑" w:eastAsia="微软雅黑"/>
          <w:b/>
          <w:color w:val="auto"/>
          <w:sz w:val="44"/>
          <w:szCs w:val="44"/>
        </w:rPr>
      </w:pPr>
      <w:r>
        <w:rPr>
          <w:rFonts w:hint="eastAsia" w:ascii="微软雅黑" w:hAnsi="微软雅黑" w:eastAsia="微软雅黑"/>
          <w:b/>
          <w:color w:val="auto"/>
          <w:sz w:val="44"/>
          <w:szCs w:val="44"/>
        </w:rPr>
        <w:t>民</w:t>
      </w:r>
    </w:p>
    <w:p>
      <w:pPr>
        <w:spacing w:line="360" w:lineRule="auto"/>
        <w:jc w:val="center"/>
        <w:rPr>
          <w:rFonts w:hint="eastAsia" w:ascii="微软雅黑" w:hAnsi="微软雅黑" w:eastAsia="微软雅黑"/>
          <w:b/>
          <w:color w:val="auto"/>
          <w:sz w:val="44"/>
          <w:szCs w:val="44"/>
        </w:rPr>
      </w:pPr>
      <w:r>
        <w:rPr>
          <w:rFonts w:hint="eastAsia" w:ascii="微软雅黑" w:hAnsi="微软雅黑" w:eastAsia="微软雅黑"/>
          <w:b/>
          <w:color w:val="auto"/>
          <w:sz w:val="44"/>
          <w:szCs w:val="44"/>
        </w:rPr>
        <w:t>营</w:t>
      </w:r>
    </w:p>
    <w:p>
      <w:pPr>
        <w:spacing w:line="360" w:lineRule="auto"/>
        <w:jc w:val="center"/>
        <w:rPr>
          <w:rFonts w:hint="eastAsia" w:ascii="微软雅黑" w:hAnsi="微软雅黑" w:eastAsia="微软雅黑"/>
          <w:b/>
          <w:color w:val="auto"/>
          <w:sz w:val="44"/>
          <w:szCs w:val="44"/>
        </w:rPr>
      </w:pPr>
      <w:r>
        <w:rPr>
          <w:rFonts w:hint="eastAsia" w:ascii="微软雅黑" w:hAnsi="微软雅黑" w:eastAsia="微软雅黑"/>
          <w:b/>
          <w:color w:val="auto"/>
          <w:sz w:val="44"/>
          <w:szCs w:val="44"/>
        </w:rPr>
        <w:t>实</w:t>
      </w:r>
    </w:p>
    <w:p>
      <w:pPr>
        <w:spacing w:line="360" w:lineRule="auto"/>
        <w:jc w:val="center"/>
        <w:rPr>
          <w:rFonts w:hint="eastAsia" w:ascii="微软雅黑" w:hAnsi="微软雅黑" w:eastAsia="微软雅黑"/>
          <w:b/>
          <w:color w:val="auto"/>
          <w:sz w:val="44"/>
          <w:szCs w:val="44"/>
        </w:rPr>
      </w:pPr>
      <w:r>
        <w:rPr>
          <w:rFonts w:hint="eastAsia" w:ascii="微软雅黑" w:hAnsi="微软雅黑" w:eastAsia="微软雅黑"/>
          <w:b/>
          <w:color w:val="auto"/>
          <w:sz w:val="44"/>
          <w:szCs w:val="44"/>
        </w:rPr>
        <w:t>施</w:t>
      </w:r>
    </w:p>
    <w:p>
      <w:pPr>
        <w:spacing w:line="360" w:lineRule="auto"/>
        <w:jc w:val="center"/>
        <w:rPr>
          <w:rFonts w:hint="eastAsia" w:ascii="微软雅黑" w:hAnsi="微软雅黑" w:eastAsia="微软雅黑"/>
          <w:b/>
          <w:color w:val="auto"/>
          <w:sz w:val="44"/>
          <w:szCs w:val="44"/>
        </w:rPr>
      </w:pPr>
      <w:r>
        <w:rPr>
          <w:rFonts w:hint="eastAsia" w:ascii="微软雅黑" w:hAnsi="微软雅黑" w:eastAsia="微软雅黑"/>
          <w:b/>
          <w:color w:val="auto"/>
          <w:sz w:val="44"/>
          <w:szCs w:val="44"/>
        </w:rPr>
        <w:t>方</w:t>
      </w:r>
    </w:p>
    <w:p>
      <w:pPr>
        <w:spacing w:line="360" w:lineRule="auto"/>
        <w:jc w:val="center"/>
        <w:rPr>
          <w:rFonts w:hint="eastAsia" w:ascii="微软雅黑" w:hAnsi="微软雅黑" w:eastAsia="微软雅黑"/>
          <w:b/>
          <w:color w:val="auto"/>
          <w:sz w:val="44"/>
          <w:szCs w:val="44"/>
        </w:rPr>
      </w:pPr>
      <w:r>
        <w:rPr>
          <w:rFonts w:hint="eastAsia" w:ascii="微软雅黑" w:hAnsi="微软雅黑" w:eastAsia="微软雅黑"/>
          <w:b/>
          <w:color w:val="auto"/>
          <w:sz w:val="44"/>
          <w:szCs w:val="44"/>
        </w:rPr>
        <w:t>案</w:t>
      </w:r>
    </w:p>
    <w:p>
      <w:pPr>
        <w:pStyle w:val="18"/>
        <w:spacing w:line="360" w:lineRule="auto"/>
        <w:ind w:left="0" w:leftChars="0" w:firstLine="0" w:firstLineChars="0"/>
        <w:rPr>
          <w:rFonts w:hint="eastAsia" w:ascii="仿宋" w:hAnsi="仿宋" w:eastAsia="仿宋_GB2312"/>
          <w:b w:val="0"/>
          <w:i w:val="0"/>
          <w:color w:val="auto"/>
          <w:sz w:val="32"/>
          <w:szCs w:val="28"/>
        </w:rPr>
      </w:pPr>
    </w:p>
    <w:p>
      <w:pPr>
        <w:pStyle w:val="18"/>
        <w:spacing w:line="360" w:lineRule="auto"/>
        <w:ind w:left="0" w:leftChars="0" w:firstLine="0" w:firstLineChars="0"/>
        <w:rPr>
          <w:rFonts w:hint="eastAsia" w:ascii="仿宋" w:hAnsi="仿宋" w:eastAsia="仿宋_GB2312"/>
          <w:b w:val="0"/>
          <w:i w:val="0"/>
          <w:color w:val="auto"/>
          <w:sz w:val="32"/>
          <w:szCs w:val="28"/>
        </w:rPr>
      </w:pPr>
      <w:bookmarkStart w:id="184" w:name="_GoBack"/>
      <w:bookmarkEnd w:id="184"/>
    </w:p>
    <w:p>
      <w:pPr>
        <w:spacing w:line="360" w:lineRule="auto"/>
        <w:jc w:val="center"/>
        <w:rPr>
          <w:rFonts w:hint="eastAsia" w:ascii="仿宋" w:hAnsi="仿宋" w:eastAsia="仿宋_GB2312"/>
          <w:b w:val="0"/>
          <w:i w:val="0"/>
          <w:color w:val="auto"/>
          <w:sz w:val="32"/>
          <w:szCs w:val="28"/>
        </w:rPr>
      </w:pPr>
      <w:r>
        <w:rPr>
          <w:rFonts w:hint="eastAsia" w:ascii="仿宋" w:hAnsi="仿宋" w:eastAsia="仿宋_GB2312"/>
          <w:b w:val="0"/>
          <w:i w:val="0"/>
          <w:color w:val="auto"/>
          <w:sz w:val="32"/>
          <w:szCs w:val="28"/>
        </w:rPr>
        <w:t>实施机构：</w:t>
      </w:r>
      <w:r>
        <w:rPr>
          <w:rFonts w:hint="eastAsia" w:ascii="仿宋" w:hAnsi="仿宋" w:eastAsia="仿宋_GB2312"/>
          <w:b w:val="0"/>
          <w:i w:val="0"/>
          <w:color w:val="auto"/>
          <w:sz w:val="32"/>
          <w:szCs w:val="28"/>
          <w:lang w:eastAsia="zh-CN"/>
        </w:rPr>
        <w:t>仁化县民政和退役军人事务局</w:t>
      </w:r>
    </w:p>
    <w:p>
      <w:pPr>
        <w:pStyle w:val="18"/>
        <w:spacing w:line="360" w:lineRule="auto"/>
        <w:ind w:firstLine="0"/>
        <w:jc w:val="center"/>
        <w:rPr>
          <w:rFonts w:hint="eastAsia" w:ascii="仿宋" w:hAnsi="仿宋" w:eastAsia="仿宋_GB2312"/>
          <w:b w:val="0"/>
          <w:i w:val="0"/>
          <w:color w:val="auto"/>
          <w:sz w:val="32"/>
          <w:szCs w:val="28"/>
        </w:rPr>
      </w:pPr>
      <w:r>
        <w:rPr>
          <w:rFonts w:hint="eastAsia" w:ascii="仿宋" w:hAnsi="仿宋" w:eastAsia="仿宋_GB2312"/>
          <w:b w:val="0"/>
          <w:i w:val="0"/>
          <w:color w:val="auto"/>
          <w:sz w:val="32"/>
          <w:szCs w:val="28"/>
        </w:rPr>
        <w:t>编制单位：</w:t>
      </w:r>
      <w:r>
        <w:rPr>
          <w:rFonts w:hint="eastAsia" w:ascii="仿宋" w:hAnsi="仿宋" w:eastAsia="仿宋_GB2312"/>
          <w:b w:val="0"/>
          <w:i w:val="0"/>
          <w:color w:val="auto"/>
          <w:sz w:val="32"/>
          <w:szCs w:val="28"/>
          <w:lang w:val="en-US" w:eastAsia="zh-CN"/>
        </w:rPr>
        <w:t>中宏源建设管理有限公司</w:t>
      </w:r>
    </w:p>
    <w:p>
      <w:pPr>
        <w:pStyle w:val="18"/>
        <w:spacing w:line="360" w:lineRule="auto"/>
        <w:ind w:firstLine="0"/>
        <w:jc w:val="center"/>
        <w:rPr>
          <w:rFonts w:hint="eastAsia" w:ascii="仿宋" w:hAnsi="仿宋" w:eastAsia="仿宋_GB2312"/>
          <w:b w:val="0"/>
          <w:i w:val="0"/>
          <w:color w:val="auto"/>
          <w:sz w:val="32"/>
          <w:szCs w:val="28"/>
        </w:rPr>
      </w:pPr>
      <w:r>
        <w:rPr>
          <w:rFonts w:hint="eastAsia" w:ascii="仿宋" w:hAnsi="仿宋" w:eastAsia="仿宋_GB2312"/>
          <w:b w:val="0"/>
          <w:i w:val="0"/>
          <w:color w:val="auto"/>
          <w:sz w:val="32"/>
          <w:szCs w:val="28"/>
        </w:rPr>
        <w:t>编制日期：二〇二</w:t>
      </w:r>
      <w:r>
        <w:rPr>
          <w:rFonts w:hint="eastAsia" w:ascii="仿宋" w:hAnsi="仿宋" w:eastAsia="仿宋_GB2312"/>
          <w:b w:val="0"/>
          <w:i w:val="0"/>
          <w:color w:val="auto"/>
          <w:sz w:val="32"/>
          <w:szCs w:val="28"/>
          <w:lang w:val="en-US" w:eastAsia="zh-CN"/>
        </w:rPr>
        <w:t>五</w:t>
      </w:r>
      <w:r>
        <w:rPr>
          <w:rFonts w:hint="eastAsia" w:ascii="仿宋" w:hAnsi="仿宋" w:eastAsia="仿宋_GB2312"/>
          <w:b w:val="0"/>
          <w:i w:val="0"/>
          <w:color w:val="auto"/>
          <w:sz w:val="32"/>
          <w:szCs w:val="28"/>
        </w:rPr>
        <w:t>年</w:t>
      </w:r>
      <w:r>
        <w:rPr>
          <w:rFonts w:hint="eastAsia" w:ascii="仿宋" w:hAnsi="仿宋" w:eastAsia="仿宋_GB2312"/>
          <w:b w:val="0"/>
          <w:i w:val="0"/>
          <w:color w:val="auto"/>
          <w:sz w:val="32"/>
          <w:szCs w:val="28"/>
          <w:lang w:val="en-US" w:eastAsia="zh-CN"/>
        </w:rPr>
        <w:t>八</w:t>
      </w:r>
      <w:r>
        <w:rPr>
          <w:rFonts w:hint="eastAsia" w:ascii="仿宋" w:hAnsi="仿宋" w:eastAsia="仿宋_GB2312"/>
          <w:b w:val="0"/>
          <w:i w:val="0"/>
          <w:color w:val="auto"/>
          <w:sz w:val="32"/>
          <w:szCs w:val="28"/>
        </w:rPr>
        <w:t>月</w:t>
      </w:r>
    </w:p>
    <w:p>
      <w:pPr>
        <w:pStyle w:val="18"/>
        <w:tabs>
          <w:tab w:val="center" w:pos="4156"/>
        </w:tabs>
        <w:spacing w:line="360" w:lineRule="auto"/>
        <w:ind w:left="0" w:leftChars="0" w:firstLine="0" w:firstLineChars="0"/>
        <w:rPr>
          <w:rFonts w:ascii="仿宋" w:hAnsi="仿宋" w:eastAsia="仿宋_GB2312"/>
          <w:b w:val="0"/>
          <w:i w:val="0"/>
          <w:color w:val="auto"/>
          <w:sz w:val="32"/>
          <w:szCs w:val="28"/>
        </w:rPr>
        <w:sectPr>
          <w:headerReference r:id="rId4" w:type="first"/>
          <w:footerReference r:id="rId6" w:type="first"/>
          <w:headerReference r:id="rId3" w:type="default"/>
          <w:footerReference r:id="rId5" w:type="default"/>
          <w:endnotePr>
            <w:numFmt w:val="decimal"/>
          </w:endnotePr>
          <w:pgSz w:w="11907" w:h="16840"/>
          <w:pgMar w:top="1418" w:right="1797" w:bottom="1418" w:left="1797" w:header="851" w:footer="992" w:gutter="0"/>
          <w:pgBorders>
            <w:top w:val="none" w:sz="0" w:space="0"/>
            <w:left w:val="none" w:sz="0" w:space="0"/>
            <w:bottom w:val="none" w:sz="0" w:space="0"/>
            <w:right w:val="none" w:sz="0" w:space="0"/>
          </w:pgBorders>
          <w:pgNumType w:fmt="numberInDash"/>
          <w:cols w:space="720" w:num="1"/>
          <w:docGrid w:type="linesAndChars" w:linePitch="312" w:charSpace="0"/>
        </w:sect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r>
        <w:rPr>
          <w:rFonts w:hint="default"/>
          <w:color w:val="auto"/>
          <w:sz w:val="28"/>
          <w:szCs w:val="28"/>
          <w:u w:val="none"/>
          <w:lang w:val="en-US" w:eastAsia="zh-CN"/>
        </w:rPr>
        <w:drawing>
          <wp:inline distT="0" distB="0" distL="114300" distR="114300">
            <wp:extent cx="3664585" cy="5297170"/>
            <wp:effectExtent l="0" t="0" r="17780" b="12065"/>
            <wp:docPr id="4" name="图片 4" descr="9e84ac7172cf119e0612a57dfe5c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9e84ac7172cf119e0612a57dfe5c792"/>
                    <pic:cNvPicPr>
                      <a:picLocks noChangeAspect="1"/>
                    </pic:cNvPicPr>
                  </pic:nvPicPr>
                  <pic:blipFill>
                    <a:blip r:embed="rId21"/>
                    <a:stretch>
                      <a:fillRect/>
                    </a:stretch>
                  </pic:blipFill>
                  <pic:spPr>
                    <a:xfrm rot="5400000">
                      <a:off x="0" y="0"/>
                      <a:ext cx="3664585" cy="5297170"/>
                    </a:xfrm>
                    <a:prstGeom prst="rect">
                      <a:avLst/>
                    </a:prstGeom>
                  </pic:spPr>
                </pic:pic>
              </a:graphicData>
            </a:graphic>
          </wp:inline>
        </w:drawing>
      </w: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r>
        <w:rPr>
          <w:rFonts w:hint="default"/>
          <w:color w:val="auto"/>
          <w:sz w:val="28"/>
          <w:szCs w:val="28"/>
          <w:u w:val="none"/>
          <w:lang w:val="en-US" w:eastAsia="zh-CN"/>
        </w:rPr>
        <w:drawing>
          <wp:inline distT="0" distB="0" distL="114300" distR="114300">
            <wp:extent cx="5263515" cy="7444105"/>
            <wp:effectExtent l="0" t="0" r="13335" b="4445"/>
            <wp:docPr id="2" name="图片 2" descr="工程咨询证书正本(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工程咨询证书正本(1)"/>
                    <pic:cNvPicPr>
                      <a:picLocks noChangeAspect="1"/>
                    </pic:cNvPicPr>
                  </pic:nvPicPr>
                  <pic:blipFill>
                    <a:blip r:embed="rId22"/>
                    <a:stretch>
                      <a:fillRect/>
                    </a:stretch>
                  </pic:blipFill>
                  <pic:spPr>
                    <a:xfrm>
                      <a:off x="0" y="0"/>
                      <a:ext cx="5263515" cy="7444105"/>
                    </a:xfrm>
                    <a:prstGeom prst="rect">
                      <a:avLst/>
                    </a:prstGeom>
                  </pic:spPr>
                </pic:pic>
              </a:graphicData>
            </a:graphic>
          </wp:inline>
        </w:drawing>
      </w: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center"/>
        <w:rPr>
          <w:rFonts w:hint="default" w:ascii="微软雅黑" w:hAnsi="微软雅黑" w:eastAsia="微软雅黑"/>
          <w:b/>
          <w:color w:val="auto"/>
          <w:sz w:val="28"/>
          <w:szCs w:val="28"/>
          <w:lang w:val="en-US" w:eastAsia="zh-CN"/>
        </w:rPr>
      </w:pPr>
      <w:r>
        <w:rPr>
          <w:rFonts w:hint="eastAsia" w:ascii="微软雅黑" w:hAnsi="微软雅黑" w:eastAsia="微软雅黑"/>
          <w:b/>
          <w:color w:val="auto"/>
          <w:sz w:val="28"/>
          <w:szCs w:val="28"/>
          <w:lang w:val="en-US" w:eastAsia="zh-CN"/>
        </w:rPr>
        <w:t>扉  页</w:t>
      </w:r>
    </w:p>
    <w:p>
      <w:pPr>
        <w:tabs>
          <w:tab w:val="center" w:pos="4213"/>
          <w:tab w:val="left" w:pos="5372"/>
        </w:tabs>
        <w:spacing w:line="360" w:lineRule="auto"/>
        <w:jc w:val="left"/>
        <w:rPr>
          <w:rFonts w:hint="eastAsia" w:ascii="微软雅黑" w:hAnsi="微软雅黑" w:eastAsia="微软雅黑"/>
          <w:b/>
          <w:color w:val="auto"/>
          <w:sz w:val="28"/>
          <w:szCs w:val="28"/>
          <w:lang w:val="en-US" w:eastAsia="zh-CN"/>
        </w:rPr>
      </w:pPr>
      <w:r>
        <w:rPr>
          <w:rFonts w:hint="eastAsia" w:ascii="微软雅黑" w:hAnsi="微软雅黑" w:eastAsia="微软雅黑"/>
          <w:b/>
          <w:color w:val="auto"/>
          <w:sz w:val="28"/>
          <w:szCs w:val="28"/>
          <w:lang w:val="en-US" w:eastAsia="zh-CN"/>
        </w:rPr>
        <w:t>资质证书：91350111M0001D9M98-21ZYY(Y)21</w:t>
      </w:r>
    </w:p>
    <w:p>
      <w:pPr>
        <w:tabs>
          <w:tab w:val="center" w:pos="4213"/>
          <w:tab w:val="left" w:pos="5372"/>
        </w:tabs>
        <w:spacing w:line="360" w:lineRule="auto"/>
        <w:jc w:val="left"/>
        <w:rPr>
          <w:rFonts w:hint="eastAsia" w:ascii="微软雅黑" w:hAnsi="微软雅黑" w:eastAsia="微软雅黑"/>
          <w:b/>
          <w:color w:val="auto"/>
          <w:sz w:val="28"/>
          <w:szCs w:val="28"/>
          <w:lang w:val="en-US" w:eastAsia="zh-CN"/>
        </w:rPr>
      </w:pPr>
    </w:p>
    <w:p>
      <w:pPr>
        <w:tabs>
          <w:tab w:val="center" w:pos="4213"/>
          <w:tab w:val="left" w:pos="5372"/>
        </w:tabs>
        <w:spacing w:line="360" w:lineRule="auto"/>
        <w:jc w:val="left"/>
        <w:rPr>
          <w:rFonts w:hint="eastAsia" w:ascii="微软雅黑" w:hAnsi="微软雅黑" w:eastAsia="微软雅黑"/>
          <w:b/>
          <w:color w:val="auto"/>
          <w:sz w:val="28"/>
          <w:szCs w:val="28"/>
          <w:lang w:val="en-US" w:eastAsia="zh-CN"/>
        </w:rPr>
      </w:pPr>
      <w:r>
        <w:rPr>
          <w:rFonts w:hint="eastAsia" w:ascii="微软雅黑" w:hAnsi="微软雅黑" w:eastAsia="微软雅黑"/>
          <w:b/>
          <w:color w:val="auto"/>
          <w:sz w:val="28"/>
          <w:szCs w:val="28"/>
          <w:lang w:val="en-US" w:eastAsia="zh-CN"/>
        </w:rPr>
        <w:t>项目负责：孟  洁    咨询咨询工程师(投资)</w:t>
      </w:r>
    </w:p>
    <w:p>
      <w:pPr>
        <w:tabs>
          <w:tab w:val="center" w:pos="4213"/>
          <w:tab w:val="left" w:pos="5372"/>
        </w:tabs>
        <w:spacing w:line="360" w:lineRule="auto"/>
        <w:jc w:val="left"/>
        <w:rPr>
          <w:rFonts w:hint="eastAsia" w:ascii="微软雅黑" w:hAnsi="微软雅黑" w:eastAsia="微软雅黑"/>
          <w:b/>
          <w:color w:val="auto"/>
          <w:sz w:val="28"/>
          <w:szCs w:val="28"/>
          <w:lang w:val="en-US" w:eastAsia="zh-CN"/>
        </w:rPr>
      </w:pPr>
    </w:p>
    <w:p>
      <w:pPr>
        <w:tabs>
          <w:tab w:val="center" w:pos="4213"/>
          <w:tab w:val="left" w:pos="5372"/>
        </w:tabs>
        <w:spacing w:line="360" w:lineRule="auto"/>
        <w:jc w:val="left"/>
        <w:rPr>
          <w:rFonts w:hint="eastAsia" w:ascii="微软雅黑" w:hAnsi="微软雅黑" w:eastAsia="微软雅黑"/>
          <w:b/>
          <w:color w:val="auto"/>
          <w:sz w:val="28"/>
          <w:szCs w:val="28"/>
          <w:lang w:val="en-US" w:eastAsia="zh-CN"/>
        </w:rPr>
      </w:pPr>
      <w:r>
        <w:rPr>
          <w:rFonts w:hint="eastAsia" w:ascii="微软雅黑" w:hAnsi="微软雅黑" w:eastAsia="微软雅黑"/>
          <w:b/>
          <w:color w:val="auto"/>
          <w:sz w:val="28"/>
          <w:szCs w:val="28"/>
          <w:lang w:val="en-US" w:eastAsia="zh-CN"/>
        </w:rPr>
        <w:t>编制人员：雷  瀛    咨询咨询工程师(投资)</w:t>
      </w:r>
    </w:p>
    <w:p>
      <w:pPr>
        <w:tabs>
          <w:tab w:val="center" w:pos="4213"/>
          <w:tab w:val="left" w:pos="5372"/>
        </w:tabs>
        <w:spacing w:line="360" w:lineRule="auto"/>
        <w:jc w:val="left"/>
        <w:rPr>
          <w:rFonts w:hint="eastAsia" w:ascii="微软雅黑" w:hAnsi="微软雅黑" w:eastAsia="微软雅黑"/>
          <w:b/>
          <w:color w:val="auto"/>
          <w:sz w:val="28"/>
          <w:szCs w:val="28"/>
          <w:lang w:val="en-US" w:eastAsia="zh-CN"/>
        </w:rPr>
      </w:pPr>
    </w:p>
    <w:p>
      <w:pPr>
        <w:tabs>
          <w:tab w:val="center" w:pos="4213"/>
          <w:tab w:val="left" w:pos="5372"/>
        </w:tabs>
        <w:spacing w:line="360" w:lineRule="auto"/>
        <w:jc w:val="left"/>
        <w:rPr>
          <w:rFonts w:hint="default" w:ascii="微软雅黑" w:hAnsi="微软雅黑" w:eastAsia="微软雅黑"/>
          <w:b/>
          <w:color w:val="auto"/>
          <w:sz w:val="28"/>
          <w:szCs w:val="28"/>
          <w:lang w:val="en-US" w:eastAsia="zh-CN"/>
        </w:rPr>
      </w:pPr>
      <w:r>
        <w:rPr>
          <w:rFonts w:hint="eastAsia" w:ascii="微软雅黑" w:hAnsi="微软雅黑" w:eastAsia="微软雅黑"/>
          <w:b/>
          <w:color w:val="auto"/>
          <w:sz w:val="28"/>
          <w:szCs w:val="28"/>
          <w:lang w:val="en-US" w:eastAsia="zh-CN"/>
        </w:rPr>
        <w:t>审    定：孟  洁    咨询咨询工程师(投资)</w:t>
      </w: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p>
    <w:p>
      <w:pPr>
        <w:tabs>
          <w:tab w:val="center" w:pos="4213"/>
          <w:tab w:val="left" w:pos="5372"/>
        </w:tabs>
        <w:spacing w:line="360" w:lineRule="auto"/>
        <w:jc w:val="left"/>
        <w:rPr>
          <w:rFonts w:hint="eastAsia" w:ascii="微软雅黑" w:hAnsi="微软雅黑" w:eastAsia="微软雅黑"/>
          <w:b/>
          <w:color w:val="auto"/>
          <w:sz w:val="28"/>
          <w:szCs w:val="28"/>
          <w:lang w:eastAsia="zh-CN"/>
        </w:rPr>
      </w:pPr>
      <w:r>
        <w:rPr>
          <w:rFonts w:hint="eastAsia" w:ascii="微软雅黑" w:hAnsi="微软雅黑" w:eastAsia="微软雅黑"/>
          <w:b/>
          <w:color w:val="auto"/>
          <w:sz w:val="28"/>
          <w:szCs w:val="28"/>
          <w:lang w:eastAsia="zh-CN"/>
        </w:rPr>
        <w:tab/>
      </w:r>
      <w:r>
        <w:rPr>
          <w:rFonts w:hint="eastAsia" w:ascii="微软雅黑" w:hAnsi="微软雅黑" w:eastAsia="微软雅黑"/>
          <w:b/>
          <w:color w:val="auto"/>
          <w:sz w:val="28"/>
          <w:szCs w:val="28"/>
        </w:rPr>
        <w:t>目  录</w:t>
      </w:r>
      <w:r>
        <w:rPr>
          <w:rFonts w:hint="eastAsia" w:ascii="微软雅黑" w:hAnsi="微软雅黑" w:eastAsia="微软雅黑"/>
          <w:b/>
          <w:color w:val="auto"/>
          <w:sz w:val="28"/>
          <w:szCs w:val="28"/>
          <w:lang w:eastAsia="zh-CN"/>
        </w:rPr>
        <w:tab/>
      </w:r>
    </w:p>
    <w:p>
      <w:pPr>
        <w:pStyle w:val="9"/>
        <w:tabs>
          <w:tab w:val="right" w:leader="dot" w:pos="8306"/>
        </w:tabs>
        <w:rPr>
          <w:color w:val="auto"/>
        </w:rPr>
      </w:pPr>
      <w:r>
        <w:rPr>
          <w:rFonts w:ascii="仿宋" w:hAnsi="仿宋" w:eastAsia="仿宋_GB2312"/>
          <w:b w:val="0"/>
          <w:i w:val="0"/>
          <w:color w:val="auto"/>
          <w:sz w:val="32"/>
          <w:szCs w:val="28"/>
        </w:rPr>
        <w:fldChar w:fldCharType="begin"/>
      </w:r>
      <w:r>
        <w:rPr>
          <w:rFonts w:ascii="仿宋" w:hAnsi="仿宋" w:eastAsia="仿宋_GB2312"/>
          <w:b w:val="0"/>
          <w:i w:val="0"/>
          <w:color w:val="auto"/>
          <w:sz w:val="32"/>
          <w:szCs w:val="28"/>
        </w:rPr>
        <w:instrText xml:space="preserve"> </w:instrText>
      </w:r>
      <w:r>
        <w:rPr>
          <w:rFonts w:hint="eastAsia" w:ascii="仿宋" w:hAnsi="仿宋" w:eastAsia="仿宋_GB2312"/>
          <w:b w:val="0"/>
          <w:i w:val="0"/>
          <w:color w:val="auto"/>
          <w:sz w:val="32"/>
          <w:szCs w:val="28"/>
        </w:rPr>
        <w:instrText xml:space="preserve">TOC \o "1-3" \h \z \u</w:instrText>
      </w:r>
      <w:r>
        <w:rPr>
          <w:rFonts w:ascii="仿宋" w:hAnsi="仿宋" w:eastAsia="仿宋_GB2312"/>
          <w:b w:val="0"/>
          <w:i w:val="0"/>
          <w:color w:val="auto"/>
          <w:sz w:val="32"/>
          <w:szCs w:val="28"/>
        </w:rPr>
        <w:instrText xml:space="preserve"> </w:instrText>
      </w:r>
      <w:r>
        <w:rPr>
          <w:rFonts w:ascii="仿宋" w:hAnsi="仿宋" w:eastAsia="仿宋_GB2312"/>
          <w:b w:val="0"/>
          <w:i w:val="0"/>
          <w:color w:val="auto"/>
          <w:sz w:val="32"/>
          <w:szCs w:val="28"/>
        </w:rPr>
        <w:fldChar w:fldCharType="separate"/>
      </w:r>
      <w:r>
        <w:rPr>
          <w:rFonts w:ascii="仿宋" w:hAnsi="仿宋" w:eastAsia="仿宋"/>
          <w:color w:val="auto"/>
          <w:szCs w:val="28"/>
        </w:rPr>
        <w:fldChar w:fldCharType="begin"/>
      </w:r>
      <w:r>
        <w:rPr>
          <w:rFonts w:ascii="仿宋" w:hAnsi="仿宋" w:eastAsia="仿宋"/>
          <w:color w:val="auto"/>
          <w:szCs w:val="28"/>
        </w:rPr>
        <w:instrText xml:space="preserve"> HYPERLINK \l _Toc14045 </w:instrText>
      </w:r>
      <w:r>
        <w:rPr>
          <w:rFonts w:ascii="仿宋" w:hAnsi="仿宋" w:eastAsia="仿宋"/>
          <w:color w:val="auto"/>
          <w:szCs w:val="28"/>
        </w:rPr>
        <w:fldChar w:fldCharType="separate"/>
      </w:r>
      <w:r>
        <w:rPr>
          <w:rFonts w:hint="eastAsia" w:ascii="微软雅黑" w:hAnsi="微软雅黑" w:eastAsia="微软雅黑"/>
          <w:color w:val="auto"/>
          <w:szCs w:val="32"/>
        </w:rPr>
        <w:t>第一章 概况</w:t>
      </w:r>
      <w:r>
        <w:rPr>
          <w:color w:val="auto"/>
        </w:rPr>
        <w:tab/>
      </w:r>
      <w:r>
        <w:rPr>
          <w:color w:val="auto"/>
        </w:rPr>
        <w:fldChar w:fldCharType="begin"/>
      </w:r>
      <w:r>
        <w:rPr>
          <w:color w:val="auto"/>
        </w:rPr>
        <w:instrText xml:space="preserve"> PAGEREF _Toc14045 \h </w:instrText>
      </w:r>
      <w:r>
        <w:rPr>
          <w:color w:val="auto"/>
        </w:rPr>
        <w:fldChar w:fldCharType="separate"/>
      </w:r>
      <w:r>
        <w:rPr>
          <w:color w:val="auto"/>
        </w:rPr>
        <w:t>9</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_Toc19684 </w:instrText>
      </w:r>
      <w:r>
        <w:rPr>
          <w:rFonts w:ascii="仿宋" w:hAnsi="仿宋" w:eastAsia="仿宋"/>
          <w:color w:val="auto"/>
          <w:szCs w:val="28"/>
        </w:rPr>
        <w:fldChar w:fldCharType="separate"/>
      </w:r>
      <w:r>
        <w:rPr>
          <w:rFonts w:hint="eastAsia" w:ascii="仿宋" w:hAnsi="仿宋" w:eastAsia="仿宋"/>
          <w:color w:val="auto"/>
          <w:szCs w:val="28"/>
        </w:rPr>
        <w:t>1.1项目</w:t>
      </w:r>
      <w:r>
        <w:rPr>
          <w:rFonts w:hint="eastAsia" w:ascii="仿宋" w:hAnsi="仿宋" w:eastAsia="仿宋"/>
          <w:color w:val="auto"/>
          <w:szCs w:val="28"/>
          <w:lang w:val="en-US" w:eastAsia="zh-CN"/>
        </w:rPr>
        <w:t>基本情况</w:t>
      </w:r>
      <w:r>
        <w:rPr>
          <w:color w:val="auto"/>
        </w:rPr>
        <w:tab/>
      </w:r>
      <w:r>
        <w:rPr>
          <w:color w:val="auto"/>
        </w:rPr>
        <w:fldChar w:fldCharType="begin"/>
      </w:r>
      <w:r>
        <w:rPr>
          <w:color w:val="auto"/>
        </w:rPr>
        <w:instrText xml:space="preserve"> PAGEREF _Toc19684 \h </w:instrText>
      </w:r>
      <w:r>
        <w:rPr>
          <w:color w:val="auto"/>
        </w:rPr>
        <w:fldChar w:fldCharType="separate"/>
      </w:r>
      <w:r>
        <w:rPr>
          <w:color w:val="auto"/>
        </w:rPr>
        <w:t>9</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_Toc24686 </w:instrText>
      </w:r>
      <w:r>
        <w:rPr>
          <w:rFonts w:ascii="仿宋" w:hAnsi="仿宋" w:eastAsia="仿宋"/>
          <w:color w:val="auto"/>
          <w:szCs w:val="28"/>
        </w:rPr>
        <w:fldChar w:fldCharType="separate"/>
      </w:r>
      <w:r>
        <w:rPr>
          <w:rFonts w:hint="eastAsia" w:ascii="仿宋" w:hAnsi="仿宋" w:eastAsia="仿宋" w:cs="Times New Roman"/>
          <w:color w:val="auto"/>
          <w:szCs w:val="28"/>
        </w:rPr>
        <w:t>1.1.1项目名称</w:t>
      </w:r>
      <w:r>
        <w:rPr>
          <w:color w:val="auto"/>
        </w:rPr>
        <w:tab/>
      </w:r>
      <w:r>
        <w:rPr>
          <w:color w:val="auto"/>
        </w:rPr>
        <w:fldChar w:fldCharType="begin"/>
      </w:r>
      <w:r>
        <w:rPr>
          <w:color w:val="auto"/>
        </w:rPr>
        <w:instrText xml:space="preserve"> PAGEREF _Toc24686 \h </w:instrText>
      </w:r>
      <w:r>
        <w:rPr>
          <w:color w:val="auto"/>
        </w:rPr>
        <w:fldChar w:fldCharType="separate"/>
      </w:r>
      <w:r>
        <w:rPr>
          <w:color w:val="auto"/>
        </w:rPr>
        <w:t>9</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_Toc7455 </w:instrText>
      </w:r>
      <w:r>
        <w:rPr>
          <w:rFonts w:ascii="仿宋" w:hAnsi="仿宋" w:eastAsia="仿宋"/>
          <w:color w:val="auto"/>
          <w:szCs w:val="28"/>
        </w:rPr>
        <w:fldChar w:fldCharType="separate"/>
      </w:r>
      <w:r>
        <w:rPr>
          <w:rFonts w:hint="eastAsia" w:ascii="仿宋" w:hAnsi="仿宋" w:eastAsia="仿宋" w:cs="Times New Roman"/>
          <w:color w:val="auto"/>
          <w:szCs w:val="28"/>
        </w:rPr>
        <w:t>1.1.</w:t>
      </w:r>
      <w:r>
        <w:rPr>
          <w:rFonts w:hint="eastAsia" w:ascii="仿宋" w:hAnsi="仿宋" w:eastAsia="仿宋" w:cs="Times New Roman"/>
          <w:color w:val="auto"/>
          <w:szCs w:val="28"/>
          <w:lang w:val="en-US" w:eastAsia="zh-CN"/>
        </w:rPr>
        <w:t>2项目规模</w:t>
      </w:r>
      <w:r>
        <w:rPr>
          <w:color w:val="auto"/>
        </w:rPr>
        <w:tab/>
      </w:r>
      <w:r>
        <w:rPr>
          <w:color w:val="auto"/>
        </w:rPr>
        <w:fldChar w:fldCharType="begin"/>
      </w:r>
      <w:r>
        <w:rPr>
          <w:color w:val="auto"/>
        </w:rPr>
        <w:instrText xml:space="preserve"> PAGEREF _Toc7455 \h </w:instrText>
      </w:r>
      <w:r>
        <w:rPr>
          <w:color w:val="auto"/>
        </w:rPr>
        <w:fldChar w:fldCharType="separate"/>
      </w:r>
      <w:r>
        <w:rPr>
          <w:color w:val="auto"/>
        </w:rPr>
        <w:t>9</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_Toc22670 </w:instrText>
      </w:r>
      <w:r>
        <w:rPr>
          <w:rFonts w:ascii="仿宋" w:hAnsi="仿宋" w:eastAsia="仿宋"/>
          <w:color w:val="auto"/>
          <w:szCs w:val="28"/>
        </w:rPr>
        <w:fldChar w:fldCharType="separate"/>
      </w:r>
      <w:r>
        <w:rPr>
          <w:rFonts w:hint="eastAsia" w:ascii="仿宋" w:hAnsi="仿宋" w:eastAsia="仿宋" w:cs="Times New Roman"/>
          <w:color w:val="auto"/>
          <w:szCs w:val="28"/>
        </w:rPr>
        <w:t>1.1.</w:t>
      </w:r>
      <w:r>
        <w:rPr>
          <w:rFonts w:hint="eastAsia" w:ascii="仿宋" w:hAnsi="仿宋" w:eastAsia="仿宋" w:cs="Times New Roman"/>
          <w:color w:val="auto"/>
          <w:szCs w:val="28"/>
          <w:lang w:val="en-US" w:eastAsia="zh-CN"/>
        </w:rPr>
        <w:t>3项目总投资</w:t>
      </w:r>
      <w:r>
        <w:rPr>
          <w:color w:val="auto"/>
        </w:rPr>
        <w:tab/>
      </w:r>
      <w:r>
        <w:rPr>
          <w:color w:val="auto"/>
        </w:rPr>
        <w:fldChar w:fldCharType="begin"/>
      </w:r>
      <w:r>
        <w:rPr>
          <w:color w:val="auto"/>
        </w:rPr>
        <w:instrText xml:space="preserve"> PAGEREF _Toc22670 \h </w:instrText>
      </w:r>
      <w:r>
        <w:rPr>
          <w:color w:val="auto"/>
        </w:rPr>
        <w:fldChar w:fldCharType="separate"/>
      </w:r>
      <w:r>
        <w:rPr>
          <w:color w:val="auto"/>
        </w:rPr>
        <w:t>9</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_Toc2922 </w:instrText>
      </w:r>
      <w:r>
        <w:rPr>
          <w:rFonts w:ascii="仿宋" w:hAnsi="仿宋" w:eastAsia="仿宋"/>
          <w:color w:val="auto"/>
          <w:szCs w:val="28"/>
        </w:rPr>
        <w:fldChar w:fldCharType="separate"/>
      </w:r>
      <w:r>
        <w:rPr>
          <w:rFonts w:hint="eastAsia" w:ascii="仿宋" w:hAnsi="仿宋" w:eastAsia="仿宋" w:cs="Times New Roman"/>
          <w:color w:val="auto"/>
          <w:szCs w:val="28"/>
        </w:rPr>
        <w:t>1.1.</w:t>
      </w:r>
      <w:r>
        <w:rPr>
          <w:rFonts w:hint="eastAsia" w:ascii="仿宋" w:hAnsi="仿宋" w:eastAsia="仿宋" w:cs="Times New Roman"/>
          <w:color w:val="auto"/>
          <w:szCs w:val="28"/>
          <w:lang w:val="en-US" w:eastAsia="zh-CN"/>
        </w:rPr>
        <w:t>4项目建设相关情况</w:t>
      </w:r>
      <w:r>
        <w:rPr>
          <w:color w:val="auto"/>
        </w:rPr>
        <w:tab/>
      </w:r>
      <w:r>
        <w:rPr>
          <w:color w:val="auto"/>
        </w:rPr>
        <w:fldChar w:fldCharType="begin"/>
      </w:r>
      <w:r>
        <w:rPr>
          <w:color w:val="auto"/>
        </w:rPr>
        <w:instrText xml:space="preserve"> PAGEREF _Toc2922 \h </w:instrText>
      </w:r>
      <w:r>
        <w:rPr>
          <w:color w:val="auto"/>
        </w:rPr>
        <w:fldChar w:fldCharType="separate"/>
      </w:r>
      <w:r>
        <w:rPr>
          <w:color w:val="auto"/>
        </w:rPr>
        <w:t>9</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_Toc22095 </w:instrText>
      </w:r>
      <w:r>
        <w:rPr>
          <w:rFonts w:ascii="仿宋" w:hAnsi="仿宋" w:eastAsia="仿宋"/>
          <w:color w:val="auto"/>
          <w:szCs w:val="28"/>
        </w:rPr>
        <w:fldChar w:fldCharType="separate"/>
      </w:r>
      <w:r>
        <w:rPr>
          <w:rFonts w:hint="eastAsia" w:ascii="仿宋" w:hAnsi="仿宋" w:eastAsia="仿宋"/>
          <w:color w:val="auto"/>
          <w:szCs w:val="28"/>
        </w:rPr>
        <w:t>1.</w:t>
      </w:r>
      <w:r>
        <w:rPr>
          <w:rFonts w:hint="eastAsia" w:ascii="仿宋" w:hAnsi="仿宋" w:eastAsia="仿宋"/>
          <w:color w:val="auto"/>
          <w:szCs w:val="28"/>
          <w:lang w:val="en-US" w:eastAsia="zh-CN"/>
        </w:rPr>
        <w:t>2</w:t>
      </w:r>
      <w:r>
        <w:rPr>
          <w:rFonts w:hint="eastAsia" w:ascii="仿宋" w:hAnsi="仿宋" w:eastAsia="仿宋"/>
          <w:color w:val="auto"/>
          <w:szCs w:val="28"/>
        </w:rPr>
        <w:t>项目</w:t>
      </w:r>
      <w:r>
        <w:rPr>
          <w:rFonts w:hint="eastAsia" w:ascii="仿宋" w:hAnsi="仿宋" w:eastAsia="仿宋"/>
          <w:color w:val="auto"/>
          <w:szCs w:val="28"/>
          <w:lang w:val="en-US" w:eastAsia="zh-CN"/>
        </w:rPr>
        <w:t>提出背景</w:t>
      </w:r>
      <w:r>
        <w:rPr>
          <w:color w:val="auto"/>
        </w:rPr>
        <w:tab/>
      </w:r>
      <w:r>
        <w:rPr>
          <w:color w:val="auto"/>
        </w:rPr>
        <w:fldChar w:fldCharType="begin"/>
      </w:r>
      <w:r>
        <w:rPr>
          <w:color w:val="auto"/>
        </w:rPr>
        <w:instrText xml:space="preserve"> PAGEREF _Toc22095 \h </w:instrText>
      </w:r>
      <w:r>
        <w:rPr>
          <w:color w:val="auto"/>
        </w:rPr>
        <w:fldChar w:fldCharType="separate"/>
      </w:r>
      <w:r>
        <w:rPr>
          <w:color w:val="auto"/>
        </w:rPr>
        <w:t>10</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_Toc21095 </w:instrText>
      </w:r>
      <w:r>
        <w:rPr>
          <w:rFonts w:ascii="仿宋" w:hAnsi="仿宋" w:eastAsia="仿宋"/>
          <w:color w:val="auto"/>
          <w:szCs w:val="28"/>
        </w:rPr>
        <w:fldChar w:fldCharType="separate"/>
      </w:r>
      <w:r>
        <w:rPr>
          <w:rFonts w:hint="eastAsia" w:ascii="仿宋" w:hAnsi="仿宋" w:eastAsia="仿宋" w:cs="Times New Roman"/>
          <w:color w:val="auto"/>
          <w:szCs w:val="28"/>
        </w:rPr>
        <w:t>1.</w:t>
      </w:r>
      <w:r>
        <w:rPr>
          <w:rFonts w:hint="eastAsia" w:ascii="仿宋" w:hAnsi="仿宋" w:eastAsia="仿宋" w:cs="Times New Roman"/>
          <w:color w:val="auto"/>
          <w:szCs w:val="28"/>
          <w:lang w:val="en-US" w:eastAsia="zh-CN"/>
        </w:rPr>
        <w:t>2</w:t>
      </w:r>
      <w:r>
        <w:rPr>
          <w:rFonts w:hint="eastAsia" w:ascii="仿宋" w:hAnsi="仿宋" w:eastAsia="仿宋" w:cs="Times New Roman"/>
          <w:color w:val="auto"/>
          <w:szCs w:val="28"/>
        </w:rPr>
        <w:t>.</w:t>
      </w:r>
      <w:r>
        <w:rPr>
          <w:rFonts w:hint="eastAsia" w:ascii="仿宋" w:hAnsi="仿宋" w:eastAsia="仿宋" w:cs="Times New Roman"/>
          <w:color w:val="auto"/>
          <w:szCs w:val="28"/>
          <w:lang w:val="en-US" w:eastAsia="zh-CN"/>
        </w:rPr>
        <w:t>1政策背景</w:t>
      </w:r>
      <w:r>
        <w:rPr>
          <w:color w:val="auto"/>
        </w:rPr>
        <w:tab/>
      </w:r>
      <w:r>
        <w:rPr>
          <w:color w:val="auto"/>
        </w:rPr>
        <w:fldChar w:fldCharType="begin"/>
      </w:r>
      <w:r>
        <w:rPr>
          <w:color w:val="auto"/>
        </w:rPr>
        <w:instrText xml:space="preserve"> PAGEREF _Toc21095 \h </w:instrText>
      </w:r>
      <w:r>
        <w:rPr>
          <w:color w:val="auto"/>
        </w:rPr>
        <w:fldChar w:fldCharType="separate"/>
      </w:r>
      <w:r>
        <w:rPr>
          <w:color w:val="auto"/>
        </w:rPr>
        <w:t>10</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_Toc29241 </w:instrText>
      </w:r>
      <w:r>
        <w:rPr>
          <w:rFonts w:ascii="仿宋" w:hAnsi="仿宋" w:eastAsia="仿宋"/>
          <w:color w:val="auto"/>
          <w:szCs w:val="28"/>
        </w:rPr>
        <w:fldChar w:fldCharType="separate"/>
      </w:r>
      <w:r>
        <w:rPr>
          <w:rFonts w:hint="eastAsia" w:ascii="仿宋" w:hAnsi="仿宋" w:eastAsia="仿宋" w:cs="Times New Roman"/>
          <w:color w:val="auto"/>
          <w:szCs w:val="28"/>
        </w:rPr>
        <w:t>1.</w:t>
      </w:r>
      <w:r>
        <w:rPr>
          <w:rFonts w:hint="eastAsia" w:ascii="仿宋" w:hAnsi="仿宋" w:eastAsia="仿宋" w:cs="Times New Roman"/>
          <w:color w:val="auto"/>
          <w:szCs w:val="28"/>
          <w:lang w:val="en-US" w:eastAsia="zh-CN"/>
        </w:rPr>
        <w:t>2</w:t>
      </w:r>
      <w:r>
        <w:rPr>
          <w:rFonts w:hint="eastAsia" w:ascii="仿宋" w:hAnsi="仿宋" w:eastAsia="仿宋" w:cs="Times New Roman"/>
          <w:color w:val="auto"/>
          <w:szCs w:val="28"/>
        </w:rPr>
        <w:t>.</w:t>
      </w:r>
      <w:r>
        <w:rPr>
          <w:rFonts w:hint="eastAsia" w:ascii="仿宋" w:hAnsi="仿宋" w:eastAsia="仿宋" w:cs="Times New Roman"/>
          <w:color w:val="auto"/>
          <w:szCs w:val="28"/>
          <w:lang w:val="en-US" w:eastAsia="zh-CN"/>
        </w:rPr>
        <w:t>2人口及养老机构现状</w:t>
      </w:r>
      <w:r>
        <w:rPr>
          <w:color w:val="auto"/>
        </w:rPr>
        <w:tab/>
      </w:r>
      <w:r>
        <w:rPr>
          <w:color w:val="auto"/>
        </w:rPr>
        <w:fldChar w:fldCharType="begin"/>
      </w:r>
      <w:r>
        <w:rPr>
          <w:color w:val="auto"/>
        </w:rPr>
        <w:instrText xml:space="preserve"> PAGEREF _Toc29241 \h </w:instrText>
      </w:r>
      <w:r>
        <w:rPr>
          <w:color w:val="auto"/>
        </w:rPr>
        <w:fldChar w:fldCharType="separate"/>
      </w:r>
      <w:r>
        <w:rPr>
          <w:color w:val="auto"/>
        </w:rPr>
        <w:t>17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_Toc5929 </w:instrText>
      </w:r>
      <w:r>
        <w:rPr>
          <w:rFonts w:ascii="仿宋" w:hAnsi="仿宋" w:eastAsia="仿宋"/>
          <w:color w:val="auto"/>
          <w:szCs w:val="28"/>
        </w:rPr>
        <w:fldChar w:fldCharType="separate"/>
      </w:r>
      <w:r>
        <w:rPr>
          <w:rFonts w:hint="eastAsia" w:ascii="仿宋" w:hAnsi="仿宋" w:eastAsia="仿宋" w:cs="Times New Roman"/>
          <w:color w:val="auto"/>
          <w:szCs w:val="28"/>
        </w:rPr>
        <w:t>1.</w:t>
      </w:r>
      <w:r>
        <w:rPr>
          <w:rFonts w:hint="eastAsia" w:ascii="仿宋" w:hAnsi="仿宋" w:eastAsia="仿宋" w:cs="Times New Roman"/>
          <w:color w:val="auto"/>
          <w:szCs w:val="28"/>
          <w:lang w:val="en-US" w:eastAsia="zh-CN"/>
        </w:rPr>
        <w:t>2</w:t>
      </w:r>
      <w:r>
        <w:rPr>
          <w:rFonts w:hint="eastAsia" w:ascii="仿宋" w:hAnsi="仿宋" w:eastAsia="仿宋" w:cs="Times New Roman"/>
          <w:color w:val="auto"/>
          <w:szCs w:val="28"/>
        </w:rPr>
        <w:t>.</w:t>
      </w:r>
      <w:r>
        <w:rPr>
          <w:rFonts w:hint="eastAsia" w:ascii="仿宋" w:hAnsi="仿宋" w:eastAsia="仿宋" w:cs="Times New Roman"/>
          <w:color w:val="auto"/>
          <w:szCs w:val="28"/>
          <w:lang w:val="en-US" w:eastAsia="zh-CN"/>
        </w:rPr>
        <w:t>3</w:t>
      </w:r>
      <w:r>
        <w:rPr>
          <w:rFonts w:hint="eastAsia" w:ascii="仿宋" w:hAnsi="仿宋" w:eastAsia="仿宋" w:cs="Times New Roman"/>
          <w:color w:val="auto"/>
          <w:szCs w:val="28"/>
        </w:rPr>
        <w:t>养老床位需求及缺口分析</w:t>
      </w:r>
      <w:r>
        <w:rPr>
          <w:color w:val="auto"/>
        </w:rPr>
        <w:tab/>
      </w:r>
      <w:r>
        <w:rPr>
          <w:color w:val="auto"/>
        </w:rPr>
        <w:fldChar w:fldCharType="begin"/>
      </w:r>
      <w:r>
        <w:rPr>
          <w:color w:val="auto"/>
        </w:rPr>
        <w:instrText xml:space="preserve"> PAGEREF _Toc5929 \h </w:instrText>
      </w:r>
      <w:r>
        <w:rPr>
          <w:color w:val="auto"/>
        </w:rPr>
        <w:fldChar w:fldCharType="separate"/>
      </w:r>
      <w:r>
        <w:rPr>
          <w:color w:val="auto"/>
        </w:rPr>
        <w:t>18</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_Toc6419 </w:instrText>
      </w:r>
      <w:r>
        <w:rPr>
          <w:rFonts w:ascii="仿宋" w:hAnsi="仿宋" w:eastAsia="仿宋"/>
          <w:color w:val="auto"/>
          <w:szCs w:val="28"/>
        </w:rPr>
        <w:fldChar w:fldCharType="separate"/>
      </w:r>
      <w:r>
        <w:rPr>
          <w:rFonts w:hint="eastAsia" w:ascii="仿宋" w:hAnsi="仿宋" w:eastAsia="仿宋" w:cs="Times New Roman"/>
          <w:color w:val="auto"/>
          <w:szCs w:val="28"/>
        </w:rPr>
        <w:t>1.</w:t>
      </w:r>
      <w:r>
        <w:rPr>
          <w:rFonts w:hint="eastAsia" w:ascii="仿宋" w:hAnsi="仿宋" w:eastAsia="仿宋" w:cs="Times New Roman"/>
          <w:color w:val="auto"/>
          <w:szCs w:val="28"/>
          <w:lang w:val="en-US" w:eastAsia="zh-CN"/>
        </w:rPr>
        <w:t>2</w:t>
      </w:r>
      <w:r>
        <w:rPr>
          <w:rFonts w:hint="eastAsia" w:ascii="仿宋" w:hAnsi="仿宋" w:eastAsia="仿宋" w:cs="Times New Roman"/>
          <w:color w:val="auto"/>
          <w:szCs w:val="28"/>
        </w:rPr>
        <w:t>.</w:t>
      </w:r>
      <w:r>
        <w:rPr>
          <w:rFonts w:hint="eastAsia" w:ascii="仿宋" w:hAnsi="仿宋" w:eastAsia="仿宋" w:cs="Times New Roman"/>
          <w:color w:val="auto"/>
          <w:szCs w:val="28"/>
          <w:lang w:val="en-US" w:eastAsia="zh-CN"/>
        </w:rPr>
        <w:t>4项目的提出</w:t>
      </w:r>
      <w:r>
        <w:rPr>
          <w:color w:val="auto"/>
        </w:rPr>
        <w:tab/>
      </w:r>
      <w:r>
        <w:rPr>
          <w:color w:val="auto"/>
        </w:rPr>
        <w:fldChar w:fldCharType="begin"/>
      </w:r>
      <w:r>
        <w:rPr>
          <w:color w:val="auto"/>
        </w:rPr>
        <w:instrText xml:space="preserve"> PAGEREF _Toc6419 \h </w:instrText>
      </w:r>
      <w:r>
        <w:rPr>
          <w:color w:val="auto"/>
        </w:rPr>
        <w:fldChar w:fldCharType="separate"/>
      </w:r>
      <w:r>
        <w:rPr>
          <w:color w:val="auto"/>
        </w:rPr>
        <w:t>19</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_Toc1873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1.3项目建设内容</w:t>
      </w:r>
      <w:r>
        <w:rPr>
          <w:color w:val="auto"/>
        </w:rPr>
        <w:tab/>
      </w:r>
      <w:r>
        <w:rPr>
          <w:color w:val="auto"/>
        </w:rPr>
        <w:fldChar w:fldCharType="begin"/>
      </w:r>
      <w:r>
        <w:rPr>
          <w:color w:val="auto"/>
        </w:rPr>
        <w:instrText xml:space="preserve"> PAGEREF _Toc1873 \h </w:instrText>
      </w:r>
      <w:r>
        <w:rPr>
          <w:color w:val="auto"/>
        </w:rPr>
        <w:fldChar w:fldCharType="separate"/>
      </w:r>
      <w:r>
        <w:rPr>
          <w:color w:val="auto"/>
        </w:rPr>
        <w:t>20</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_Toc19986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1.3.1项目区域人口及经济概况</w:t>
      </w:r>
      <w:r>
        <w:rPr>
          <w:color w:val="auto"/>
        </w:rPr>
        <w:tab/>
      </w:r>
      <w:r>
        <w:rPr>
          <w:color w:val="auto"/>
        </w:rPr>
        <w:fldChar w:fldCharType="begin"/>
      </w:r>
      <w:r>
        <w:rPr>
          <w:color w:val="auto"/>
        </w:rPr>
        <w:instrText xml:space="preserve"> PAGEREF _Toc19986 \h </w:instrText>
      </w:r>
      <w:r>
        <w:rPr>
          <w:color w:val="auto"/>
        </w:rPr>
        <w:fldChar w:fldCharType="separate"/>
      </w:r>
      <w:r>
        <w:rPr>
          <w:color w:val="auto"/>
        </w:rPr>
        <w:t>20</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_Toc15634 </w:instrText>
      </w:r>
      <w:r>
        <w:rPr>
          <w:rFonts w:ascii="仿宋" w:hAnsi="仿宋" w:eastAsia="仿宋"/>
          <w:color w:val="auto"/>
          <w:szCs w:val="28"/>
        </w:rPr>
        <w:fldChar w:fldCharType="separate"/>
      </w:r>
      <w:r>
        <w:rPr>
          <w:rFonts w:hint="eastAsia" w:ascii="仿宋" w:hAnsi="仿宋" w:eastAsia="仿宋" w:cs="Times New Roman"/>
          <w:color w:val="auto"/>
          <w:szCs w:val="28"/>
        </w:rPr>
        <w:t>1.</w:t>
      </w:r>
      <w:r>
        <w:rPr>
          <w:rFonts w:hint="eastAsia" w:ascii="仿宋" w:hAnsi="仿宋" w:eastAsia="仿宋" w:cs="Times New Roman"/>
          <w:color w:val="auto"/>
          <w:szCs w:val="28"/>
          <w:lang w:val="en-US" w:eastAsia="zh-CN"/>
        </w:rPr>
        <w:t>3</w:t>
      </w:r>
      <w:r>
        <w:rPr>
          <w:rFonts w:hint="eastAsia" w:ascii="仿宋" w:hAnsi="仿宋" w:eastAsia="仿宋" w:cs="Times New Roman"/>
          <w:color w:val="auto"/>
          <w:szCs w:val="28"/>
        </w:rPr>
        <w:t>.</w:t>
      </w:r>
      <w:r>
        <w:rPr>
          <w:rFonts w:hint="eastAsia" w:ascii="仿宋" w:hAnsi="仿宋" w:eastAsia="仿宋" w:cs="Times New Roman"/>
          <w:color w:val="auto"/>
          <w:szCs w:val="28"/>
          <w:lang w:val="en-US" w:eastAsia="zh-CN"/>
        </w:rPr>
        <w:t>2项目地理位置</w:t>
      </w:r>
      <w:r>
        <w:rPr>
          <w:color w:val="auto"/>
        </w:rPr>
        <w:tab/>
      </w:r>
      <w:r>
        <w:rPr>
          <w:color w:val="auto"/>
        </w:rPr>
        <w:fldChar w:fldCharType="begin"/>
      </w:r>
      <w:r>
        <w:rPr>
          <w:color w:val="auto"/>
        </w:rPr>
        <w:instrText xml:space="preserve"> PAGEREF _Toc15634 \h </w:instrText>
      </w:r>
      <w:r>
        <w:rPr>
          <w:color w:val="auto"/>
        </w:rPr>
        <w:fldChar w:fldCharType="separate"/>
      </w:r>
      <w:r>
        <w:rPr>
          <w:color w:val="auto"/>
        </w:rPr>
        <w:t>21</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_Toc32574 </w:instrText>
      </w:r>
      <w:r>
        <w:rPr>
          <w:rFonts w:ascii="仿宋" w:hAnsi="仿宋" w:eastAsia="仿宋"/>
          <w:color w:val="auto"/>
          <w:szCs w:val="28"/>
        </w:rPr>
        <w:fldChar w:fldCharType="separate"/>
      </w:r>
      <w:r>
        <w:rPr>
          <w:rFonts w:hint="eastAsia" w:ascii="仿宋" w:hAnsi="仿宋" w:eastAsia="仿宋" w:cs="Times New Roman"/>
          <w:color w:val="auto"/>
          <w:szCs w:val="28"/>
        </w:rPr>
        <w:t>1.</w:t>
      </w:r>
      <w:r>
        <w:rPr>
          <w:rFonts w:hint="eastAsia" w:ascii="仿宋" w:hAnsi="仿宋" w:eastAsia="仿宋" w:cs="Times New Roman"/>
          <w:color w:val="auto"/>
          <w:szCs w:val="28"/>
          <w:lang w:val="en-US" w:eastAsia="zh-CN"/>
        </w:rPr>
        <w:t>3</w:t>
      </w:r>
      <w:r>
        <w:rPr>
          <w:rFonts w:hint="eastAsia" w:ascii="仿宋" w:hAnsi="仿宋" w:eastAsia="仿宋" w:cs="Times New Roman"/>
          <w:color w:val="auto"/>
          <w:szCs w:val="28"/>
        </w:rPr>
        <w:t>.</w:t>
      </w:r>
      <w:r>
        <w:rPr>
          <w:rFonts w:hint="eastAsia" w:ascii="仿宋" w:hAnsi="仿宋" w:eastAsia="仿宋" w:cs="Times New Roman"/>
          <w:color w:val="auto"/>
          <w:szCs w:val="28"/>
          <w:lang w:val="en-US" w:eastAsia="zh-CN"/>
        </w:rPr>
        <w:t>3项目规模</w:t>
      </w:r>
      <w:r>
        <w:rPr>
          <w:color w:val="auto"/>
        </w:rPr>
        <w:tab/>
      </w:r>
      <w:r>
        <w:rPr>
          <w:color w:val="auto"/>
        </w:rPr>
        <w:fldChar w:fldCharType="begin"/>
      </w:r>
      <w:r>
        <w:rPr>
          <w:color w:val="auto"/>
        </w:rPr>
        <w:instrText xml:space="preserve"> PAGEREF _Toc32574 \h </w:instrText>
      </w:r>
      <w:r>
        <w:rPr>
          <w:color w:val="auto"/>
        </w:rPr>
        <w:fldChar w:fldCharType="separate"/>
      </w:r>
      <w:r>
        <w:rPr>
          <w:color w:val="auto"/>
        </w:rPr>
        <w:t>23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_Toc16487 </w:instrText>
      </w:r>
      <w:r>
        <w:rPr>
          <w:rFonts w:ascii="仿宋" w:hAnsi="仿宋" w:eastAsia="仿宋"/>
          <w:color w:val="auto"/>
          <w:szCs w:val="28"/>
        </w:rPr>
        <w:fldChar w:fldCharType="separate"/>
      </w:r>
      <w:r>
        <w:rPr>
          <w:rFonts w:hint="eastAsia" w:ascii="仿宋" w:hAnsi="仿宋" w:eastAsia="仿宋" w:cs="Times New Roman"/>
          <w:color w:val="auto"/>
          <w:szCs w:val="28"/>
        </w:rPr>
        <w:t>1.</w:t>
      </w:r>
      <w:r>
        <w:rPr>
          <w:rFonts w:hint="eastAsia" w:ascii="仿宋" w:hAnsi="仿宋" w:eastAsia="仿宋" w:cs="Times New Roman"/>
          <w:color w:val="auto"/>
          <w:szCs w:val="28"/>
          <w:lang w:val="en-US" w:eastAsia="zh-CN"/>
        </w:rPr>
        <w:t>3</w:t>
      </w:r>
      <w:r>
        <w:rPr>
          <w:rFonts w:hint="eastAsia" w:ascii="仿宋" w:hAnsi="仿宋" w:eastAsia="仿宋" w:cs="Times New Roman"/>
          <w:color w:val="auto"/>
          <w:szCs w:val="28"/>
        </w:rPr>
        <w:t>.</w:t>
      </w:r>
      <w:r>
        <w:rPr>
          <w:rFonts w:hint="eastAsia" w:ascii="仿宋" w:hAnsi="仿宋" w:eastAsia="仿宋" w:cs="Times New Roman"/>
          <w:color w:val="auto"/>
          <w:szCs w:val="28"/>
          <w:lang w:val="en-US" w:eastAsia="zh-CN"/>
        </w:rPr>
        <w:t>4项目效果图</w:t>
      </w:r>
      <w:r>
        <w:rPr>
          <w:color w:val="auto"/>
        </w:rPr>
        <w:tab/>
      </w:r>
      <w:r>
        <w:rPr>
          <w:color w:val="auto"/>
        </w:rPr>
        <w:fldChar w:fldCharType="begin"/>
      </w:r>
      <w:r>
        <w:rPr>
          <w:color w:val="auto"/>
        </w:rPr>
        <w:instrText xml:space="preserve"> PAGEREF _Toc16487 \h </w:instrText>
      </w:r>
      <w:r>
        <w:rPr>
          <w:color w:val="auto"/>
        </w:rPr>
        <w:fldChar w:fldCharType="separate"/>
      </w:r>
      <w:r>
        <w:rPr>
          <w:color w:val="auto"/>
        </w:rPr>
        <w:t>23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_Toc1618 </w:instrText>
      </w:r>
      <w:r>
        <w:rPr>
          <w:rFonts w:ascii="仿宋" w:hAnsi="仿宋" w:eastAsia="仿宋"/>
          <w:color w:val="auto"/>
          <w:szCs w:val="28"/>
        </w:rPr>
        <w:fldChar w:fldCharType="separate"/>
      </w:r>
      <w:r>
        <w:rPr>
          <w:rFonts w:hint="eastAsia" w:ascii="仿宋" w:hAnsi="仿宋" w:eastAsia="仿宋" w:cs="Times New Roman"/>
          <w:color w:val="auto"/>
          <w:szCs w:val="28"/>
        </w:rPr>
        <w:t>1.</w:t>
      </w:r>
      <w:r>
        <w:rPr>
          <w:rFonts w:hint="eastAsia" w:ascii="仿宋" w:hAnsi="仿宋" w:eastAsia="仿宋" w:cs="Times New Roman"/>
          <w:color w:val="auto"/>
          <w:szCs w:val="28"/>
          <w:lang w:val="en-US" w:eastAsia="zh-CN"/>
        </w:rPr>
        <w:t>3</w:t>
      </w:r>
      <w:r>
        <w:rPr>
          <w:rFonts w:hint="eastAsia" w:ascii="仿宋" w:hAnsi="仿宋" w:eastAsia="仿宋" w:cs="Times New Roman"/>
          <w:color w:val="auto"/>
          <w:szCs w:val="28"/>
        </w:rPr>
        <w:t>.</w:t>
      </w:r>
      <w:r>
        <w:rPr>
          <w:rFonts w:hint="eastAsia" w:ascii="仿宋" w:hAnsi="仿宋" w:eastAsia="仿宋" w:cs="Times New Roman"/>
          <w:color w:val="auto"/>
          <w:szCs w:val="28"/>
          <w:lang w:val="en-US" w:eastAsia="zh-CN"/>
        </w:rPr>
        <w:t>5项目总平面图</w:t>
      </w:r>
      <w:r>
        <w:rPr>
          <w:color w:val="auto"/>
        </w:rPr>
        <w:tab/>
      </w:r>
      <w:r>
        <w:rPr>
          <w:color w:val="auto"/>
        </w:rPr>
        <w:fldChar w:fldCharType="begin"/>
      </w:r>
      <w:r>
        <w:rPr>
          <w:color w:val="auto"/>
        </w:rPr>
        <w:instrText xml:space="preserve"> PAGEREF _Toc1618 \h </w:instrText>
      </w:r>
      <w:r>
        <w:rPr>
          <w:color w:val="auto"/>
        </w:rPr>
        <w:fldChar w:fldCharType="separate"/>
      </w:r>
      <w:r>
        <w:rPr>
          <w:color w:val="auto"/>
        </w:rPr>
        <w:t>24</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_Toc30473 </w:instrText>
      </w:r>
      <w:r>
        <w:rPr>
          <w:rFonts w:ascii="仿宋" w:hAnsi="仿宋" w:eastAsia="仿宋"/>
          <w:color w:val="auto"/>
          <w:szCs w:val="28"/>
        </w:rPr>
        <w:fldChar w:fldCharType="separate"/>
      </w:r>
      <w:r>
        <w:rPr>
          <w:rFonts w:hint="eastAsia" w:ascii="仿宋" w:hAnsi="仿宋" w:eastAsia="仿宋" w:cs="Times New Roman"/>
          <w:color w:val="auto"/>
          <w:szCs w:val="28"/>
        </w:rPr>
        <w:t>1.</w:t>
      </w:r>
      <w:r>
        <w:rPr>
          <w:rFonts w:hint="eastAsia" w:ascii="仿宋" w:hAnsi="仿宋" w:eastAsia="仿宋" w:cs="Times New Roman"/>
          <w:color w:val="auto"/>
          <w:szCs w:val="28"/>
          <w:lang w:val="en-US" w:eastAsia="zh-CN"/>
        </w:rPr>
        <w:t>3</w:t>
      </w:r>
      <w:r>
        <w:rPr>
          <w:rFonts w:hint="eastAsia" w:ascii="仿宋" w:hAnsi="仿宋" w:eastAsia="仿宋" w:cs="Times New Roman"/>
          <w:color w:val="auto"/>
          <w:szCs w:val="28"/>
        </w:rPr>
        <w:t>.</w:t>
      </w:r>
      <w:r>
        <w:rPr>
          <w:rFonts w:hint="eastAsia" w:ascii="仿宋" w:hAnsi="仿宋" w:eastAsia="仿宋" w:cs="Times New Roman"/>
          <w:color w:val="auto"/>
          <w:szCs w:val="28"/>
          <w:lang w:val="en-US" w:eastAsia="zh-CN"/>
        </w:rPr>
        <w:t>6各楼层功能说明</w:t>
      </w:r>
      <w:r>
        <w:rPr>
          <w:color w:val="auto"/>
        </w:rPr>
        <w:tab/>
      </w:r>
      <w:r>
        <w:rPr>
          <w:color w:val="auto"/>
        </w:rPr>
        <w:fldChar w:fldCharType="begin"/>
      </w:r>
      <w:r>
        <w:rPr>
          <w:color w:val="auto"/>
        </w:rPr>
        <w:instrText xml:space="preserve"> PAGEREF _Toc30473 \h </w:instrText>
      </w:r>
      <w:r>
        <w:rPr>
          <w:color w:val="auto"/>
        </w:rPr>
        <w:fldChar w:fldCharType="separate"/>
      </w:r>
      <w:r>
        <w:rPr>
          <w:color w:val="auto"/>
        </w:rPr>
        <w:t>25</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_Toc366 </w:instrText>
      </w:r>
      <w:r>
        <w:rPr>
          <w:rFonts w:ascii="仿宋" w:hAnsi="仿宋" w:eastAsia="仿宋"/>
          <w:color w:val="auto"/>
          <w:szCs w:val="28"/>
        </w:rPr>
        <w:fldChar w:fldCharType="separate"/>
      </w:r>
      <w:r>
        <w:rPr>
          <w:rFonts w:hint="eastAsia" w:ascii="仿宋" w:hAnsi="仿宋" w:eastAsia="仿宋" w:cs="Times New Roman"/>
          <w:color w:val="auto"/>
          <w:szCs w:val="28"/>
        </w:rPr>
        <w:t>1.</w:t>
      </w:r>
      <w:r>
        <w:rPr>
          <w:rFonts w:hint="eastAsia" w:ascii="仿宋" w:hAnsi="仿宋" w:eastAsia="仿宋" w:cs="Times New Roman"/>
          <w:color w:val="auto"/>
          <w:szCs w:val="28"/>
          <w:lang w:val="en-US" w:eastAsia="zh-CN"/>
        </w:rPr>
        <w:t>3</w:t>
      </w:r>
      <w:r>
        <w:rPr>
          <w:rFonts w:hint="eastAsia" w:ascii="仿宋" w:hAnsi="仿宋" w:eastAsia="仿宋" w:cs="Times New Roman"/>
          <w:color w:val="auto"/>
          <w:szCs w:val="28"/>
        </w:rPr>
        <w:t>.</w:t>
      </w:r>
      <w:r>
        <w:rPr>
          <w:rFonts w:hint="eastAsia" w:ascii="仿宋" w:hAnsi="仿宋" w:eastAsia="仿宋" w:cs="Times New Roman"/>
          <w:color w:val="auto"/>
          <w:szCs w:val="28"/>
          <w:lang w:val="en-US" w:eastAsia="zh-CN"/>
        </w:rPr>
        <w:t>7室内装修、家具、设备配置</w:t>
      </w:r>
      <w:r>
        <w:rPr>
          <w:color w:val="auto"/>
        </w:rPr>
        <w:tab/>
      </w:r>
      <w:r>
        <w:rPr>
          <w:color w:val="auto"/>
        </w:rPr>
        <w:fldChar w:fldCharType="begin"/>
      </w:r>
      <w:r>
        <w:rPr>
          <w:color w:val="auto"/>
        </w:rPr>
        <w:instrText xml:space="preserve"> PAGEREF _Toc366 \h </w:instrText>
      </w:r>
      <w:r>
        <w:rPr>
          <w:color w:val="auto"/>
        </w:rPr>
        <w:fldChar w:fldCharType="separate"/>
      </w:r>
      <w:r>
        <w:rPr>
          <w:color w:val="auto"/>
        </w:rPr>
        <w:t>25</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_Toc8408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1.4项目实施模式</w:t>
      </w:r>
      <w:r>
        <w:rPr>
          <w:color w:val="auto"/>
        </w:rPr>
        <w:tab/>
      </w:r>
      <w:r>
        <w:rPr>
          <w:color w:val="auto"/>
        </w:rPr>
        <w:fldChar w:fldCharType="begin"/>
      </w:r>
      <w:r>
        <w:rPr>
          <w:color w:val="auto"/>
        </w:rPr>
        <w:instrText xml:space="preserve"> PAGEREF _Toc8408 \h </w:instrText>
      </w:r>
      <w:r>
        <w:rPr>
          <w:color w:val="auto"/>
        </w:rPr>
        <w:fldChar w:fldCharType="separate"/>
      </w:r>
      <w:r>
        <w:rPr>
          <w:color w:val="auto"/>
        </w:rPr>
        <w:t>27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_Toc19003 </w:instrText>
      </w:r>
      <w:r>
        <w:rPr>
          <w:rFonts w:ascii="仿宋" w:hAnsi="仿宋" w:eastAsia="仿宋"/>
          <w:color w:val="auto"/>
          <w:szCs w:val="28"/>
        </w:rPr>
        <w:fldChar w:fldCharType="separate"/>
      </w:r>
      <w:r>
        <w:rPr>
          <w:rFonts w:hint="eastAsia" w:ascii="仿宋" w:hAnsi="仿宋" w:eastAsia="仿宋"/>
          <w:color w:val="auto"/>
          <w:szCs w:val="28"/>
          <w:lang w:val="en-US" w:eastAsia="zh-CN"/>
        </w:rPr>
        <w:t>1</w:t>
      </w:r>
      <w:r>
        <w:rPr>
          <w:rFonts w:hint="eastAsia" w:ascii="仿宋" w:hAnsi="仿宋" w:eastAsia="仿宋"/>
          <w:color w:val="auto"/>
          <w:szCs w:val="28"/>
        </w:rPr>
        <w:t>.</w:t>
      </w:r>
      <w:r>
        <w:rPr>
          <w:rFonts w:hint="eastAsia" w:ascii="仿宋" w:hAnsi="仿宋" w:eastAsia="仿宋"/>
          <w:color w:val="auto"/>
          <w:szCs w:val="28"/>
          <w:lang w:val="en-US" w:eastAsia="zh-CN"/>
        </w:rPr>
        <w:t>4</w:t>
      </w:r>
      <w:r>
        <w:rPr>
          <w:rFonts w:hint="eastAsia" w:ascii="仿宋" w:hAnsi="仿宋" w:eastAsia="仿宋"/>
          <w:color w:val="auto"/>
          <w:szCs w:val="28"/>
        </w:rPr>
        <w:t>.1</w:t>
      </w:r>
      <w:r>
        <w:rPr>
          <w:rFonts w:hint="eastAsia" w:ascii="仿宋" w:hAnsi="仿宋" w:eastAsia="仿宋"/>
          <w:color w:val="auto"/>
          <w:szCs w:val="28"/>
          <w:lang w:val="en-US" w:eastAsia="zh-CN"/>
        </w:rPr>
        <w:t>租赁期限</w:t>
      </w:r>
      <w:r>
        <w:rPr>
          <w:color w:val="auto"/>
        </w:rPr>
        <w:tab/>
      </w:r>
      <w:r>
        <w:rPr>
          <w:color w:val="auto"/>
        </w:rPr>
        <w:fldChar w:fldCharType="begin"/>
      </w:r>
      <w:r>
        <w:rPr>
          <w:color w:val="auto"/>
        </w:rPr>
        <w:instrText xml:space="preserve"> PAGEREF _Toc19003 \h </w:instrText>
      </w:r>
      <w:r>
        <w:rPr>
          <w:color w:val="auto"/>
        </w:rPr>
        <w:fldChar w:fldCharType="separate"/>
      </w:r>
      <w:r>
        <w:rPr>
          <w:color w:val="auto"/>
        </w:rPr>
        <w:t>27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_Toc11485 </w:instrText>
      </w:r>
      <w:r>
        <w:rPr>
          <w:rFonts w:ascii="仿宋" w:hAnsi="仿宋" w:eastAsia="仿宋"/>
          <w:color w:val="auto"/>
          <w:szCs w:val="28"/>
        </w:rPr>
        <w:fldChar w:fldCharType="separate"/>
      </w:r>
      <w:r>
        <w:rPr>
          <w:rFonts w:hint="eastAsia" w:ascii="仿宋" w:hAnsi="仿宋" w:eastAsia="仿宋"/>
          <w:color w:val="auto"/>
          <w:szCs w:val="28"/>
          <w:lang w:val="en-US" w:eastAsia="zh-CN"/>
        </w:rPr>
        <w:t>1</w:t>
      </w:r>
      <w:r>
        <w:rPr>
          <w:rFonts w:hint="eastAsia" w:ascii="仿宋" w:hAnsi="仿宋" w:eastAsia="仿宋"/>
          <w:color w:val="auto"/>
          <w:szCs w:val="28"/>
        </w:rPr>
        <w:t>.</w:t>
      </w:r>
      <w:r>
        <w:rPr>
          <w:rFonts w:hint="eastAsia" w:ascii="仿宋" w:hAnsi="仿宋" w:eastAsia="仿宋"/>
          <w:color w:val="auto"/>
          <w:szCs w:val="28"/>
          <w:lang w:val="en-US" w:eastAsia="zh-CN"/>
        </w:rPr>
        <w:t>4</w:t>
      </w:r>
      <w:r>
        <w:rPr>
          <w:rFonts w:hint="eastAsia" w:ascii="仿宋" w:hAnsi="仿宋" w:eastAsia="仿宋"/>
          <w:color w:val="auto"/>
          <w:szCs w:val="28"/>
        </w:rPr>
        <w:t>.</w:t>
      </w:r>
      <w:r>
        <w:rPr>
          <w:rFonts w:hint="eastAsia" w:ascii="仿宋" w:hAnsi="仿宋" w:eastAsia="仿宋"/>
          <w:color w:val="auto"/>
          <w:szCs w:val="28"/>
          <w:lang w:val="en-US" w:eastAsia="zh-CN"/>
        </w:rPr>
        <w:t>2租金情况</w:t>
      </w:r>
      <w:r>
        <w:rPr>
          <w:color w:val="auto"/>
        </w:rPr>
        <w:tab/>
      </w:r>
      <w:r>
        <w:rPr>
          <w:color w:val="auto"/>
        </w:rPr>
        <w:fldChar w:fldCharType="begin"/>
      </w:r>
      <w:r>
        <w:rPr>
          <w:color w:val="auto"/>
        </w:rPr>
        <w:instrText xml:space="preserve"> PAGEREF _Toc11485 \h </w:instrText>
      </w:r>
      <w:r>
        <w:rPr>
          <w:color w:val="auto"/>
        </w:rPr>
        <w:fldChar w:fldCharType="separate"/>
      </w:r>
      <w:r>
        <w:rPr>
          <w:color w:val="auto"/>
        </w:rPr>
        <w:t>27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_Toc18309 </w:instrText>
      </w:r>
      <w:r>
        <w:rPr>
          <w:rFonts w:ascii="仿宋" w:hAnsi="仿宋" w:eastAsia="仿宋"/>
          <w:color w:val="auto"/>
          <w:szCs w:val="28"/>
        </w:rPr>
        <w:fldChar w:fldCharType="separate"/>
      </w:r>
      <w:r>
        <w:rPr>
          <w:rFonts w:hint="eastAsia" w:ascii="仿宋" w:hAnsi="仿宋" w:eastAsia="仿宋"/>
          <w:color w:val="auto"/>
          <w:szCs w:val="28"/>
          <w:lang w:val="en-US" w:eastAsia="zh-CN"/>
        </w:rPr>
        <w:t>1</w:t>
      </w:r>
      <w:r>
        <w:rPr>
          <w:rFonts w:hint="eastAsia" w:ascii="仿宋" w:hAnsi="仿宋" w:eastAsia="仿宋"/>
          <w:color w:val="auto"/>
          <w:szCs w:val="28"/>
        </w:rPr>
        <w:t>.</w:t>
      </w:r>
      <w:r>
        <w:rPr>
          <w:rFonts w:hint="eastAsia" w:ascii="仿宋" w:hAnsi="仿宋" w:eastAsia="仿宋"/>
          <w:color w:val="auto"/>
          <w:szCs w:val="28"/>
          <w:lang w:val="en-US" w:eastAsia="zh-CN"/>
        </w:rPr>
        <w:t>4</w:t>
      </w:r>
      <w:r>
        <w:rPr>
          <w:rFonts w:hint="eastAsia" w:ascii="仿宋" w:hAnsi="仿宋" w:eastAsia="仿宋"/>
          <w:color w:val="auto"/>
          <w:szCs w:val="28"/>
        </w:rPr>
        <w:t>.</w:t>
      </w:r>
      <w:r>
        <w:rPr>
          <w:rFonts w:hint="eastAsia" w:ascii="仿宋" w:hAnsi="仿宋" w:eastAsia="仿宋"/>
          <w:color w:val="auto"/>
          <w:szCs w:val="28"/>
          <w:lang w:val="en-US" w:eastAsia="zh-CN"/>
        </w:rPr>
        <w:t>3收费暂定价及社会化运营单位盈利情况</w:t>
      </w:r>
      <w:r>
        <w:rPr>
          <w:color w:val="auto"/>
        </w:rPr>
        <w:tab/>
      </w:r>
      <w:r>
        <w:rPr>
          <w:color w:val="auto"/>
        </w:rPr>
        <w:fldChar w:fldCharType="begin"/>
      </w:r>
      <w:r>
        <w:rPr>
          <w:color w:val="auto"/>
        </w:rPr>
        <w:instrText xml:space="preserve"> PAGEREF _Toc18309 \h </w:instrText>
      </w:r>
      <w:r>
        <w:rPr>
          <w:color w:val="auto"/>
        </w:rPr>
        <w:fldChar w:fldCharType="separate"/>
      </w:r>
      <w:r>
        <w:rPr>
          <w:color w:val="auto"/>
        </w:rPr>
        <w:t>27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_Toc21264 </w:instrText>
      </w:r>
      <w:r>
        <w:rPr>
          <w:rFonts w:ascii="仿宋" w:hAnsi="仿宋" w:eastAsia="仿宋"/>
          <w:color w:val="auto"/>
          <w:szCs w:val="28"/>
        </w:rPr>
        <w:fldChar w:fldCharType="separate"/>
      </w:r>
      <w:r>
        <w:rPr>
          <w:rFonts w:hint="eastAsia" w:ascii="仿宋" w:hAnsi="仿宋" w:eastAsia="仿宋"/>
          <w:color w:val="auto"/>
          <w:szCs w:val="28"/>
          <w:lang w:val="en-US" w:eastAsia="zh-CN"/>
        </w:rPr>
        <w:t>1</w:t>
      </w:r>
      <w:r>
        <w:rPr>
          <w:rFonts w:hint="eastAsia" w:ascii="仿宋" w:hAnsi="仿宋" w:eastAsia="仿宋"/>
          <w:color w:val="auto"/>
          <w:szCs w:val="28"/>
        </w:rPr>
        <w:t>.</w:t>
      </w:r>
      <w:r>
        <w:rPr>
          <w:rFonts w:hint="eastAsia" w:ascii="仿宋" w:hAnsi="仿宋" w:eastAsia="仿宋"/>
          <w:color w:val="auto"/>
          <w:szCs w:val="28"/>
          <w:lang w:val="en-US" w:eastAsia="zh-CN"/>
        </w:rPr>
        <w:t>4</w:t>
      </w:r>
      <w:r>
        <w:rPr>
          <w:rFonts w:hint="eastAsia" w:ascii="仿宋" w:hAnsi="仿宋" w:eastAsia="仿宋"/>
          <w:color w:val="auto"/>
          <w:szCs w:val="28"/>
        </w:rPr>
        <w:t>.</w:t>
      </w:r>
      <w:r>
        <w:rPr>
          <w:rFonts w:hint="eastAsia" w:ascii="仿宋" w:hAnsi="仿宋" w:eastAsia="仿宋"/>
          <w:color w:val="auto"/>
          <w:szCs w:val="28"/>
          <w:lang w:val="en-US" w:eastAsia="zh-CN"/>
        </w:rPr>
        <w:t>4其他重要的结论</w:t>
      </w:r>
      <w:r>
        <w:rPr>
          <w:color w:val="auto"/>
        </w:rPr>
        <w:tab/>
      </w:r>
      <w:r>
        <w:rPr>
          <w:color w:val="auto"/>
        </w:rPr>
        <w:fldChar w:fldCharType="begin"/>
      </w:r>
      <w:r>
        <w:rPr>
          <w:color w:val="auto"/>
        </w:rPr>
        <w:instrText xml:space="preserve"> PAGEREF _Toc21264 \h </w:instrText>
      </w:r>
      <w:r>
        <w:rPr>
          <w:color w:val="auto"/>
        </w:rPr>
        <w:fldChar w:fldCharType="separate"/>
      </w:r>
      <w:r>
        <w:rPr>
          <w:color w:val="auto"/>
        </w:rPr>
        <w:t>28</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_Toc29782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1.5项目相关</w:t>
      </w:r>
      <w:r>
        <w:rPr>
          <w:color w:val="auto"/>
        </w:rPr>
        <w:tab/>
      </w:r>
      <w:r>
        <w:rPr>
          <w:color w:val="auto"/>
        </w:rPr>
        <w:fldChar w:fldCharType="begin"/>
      </w:r>
      <w:r>
        <w:rPr>
          <w:color w:val="auto"/>
        </w:rPr>
        <w:instrText xml:space="preserve"> PAGEREF _Toc29782 \h </w:instrText>
      </w:r>
      <w:r>
        <w:rPr>
          <w:color w:val="auto"/>
        </w:rPr>
        <w:fldChar w:fldCharType="separate"/>
      </w:r>
      <w:r>
        <w:rPr>
          <w:color w:val="auto"/>
        </w:rPr>
        <w:t>29</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_Toc382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1.5.1实施机构</w:t>
      </w:r>
      <w:r>
        <w:rPr>
          <w:color w:val="auto"/>
        </w:rPr>
        <w:tab/>
      </w:r>
      <w:r>
        <w:rPr>
          <w:color w:val="auto"/>
        </w:rPr>
        <w:fldChar w:fldCharType="begin"/>
      </w:r>
      <w:r>
        <w:rPr>
          <w:color w:val="auto"/>
        </w:rPr>
        <w:instrText xml:space="preserve"> PAGEREF _Toc382 \h </w:instrText>
      </w:r>
      <w:r>
        <w:rPr>
          <w:color w:val="auto"/>
        </w:rPr>
        <w:fldChar w:fldCharType="separate"/>
      </w:r>
      <w:r>
        <w:rPr>
          <w:color w:val="auto"/>
        </w:rPr>
        <w:t>29</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_Toc4362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1.5.2社会化运营单位</w:t>
      </w:r>
      <w:r>
        <w:rPr>
          <w:color w:val="auto"/>
        </w:rPr>
        <w:tab/>
      </w:r>
      <w:r>
        <w:rPr>
          <w:color w:val="auto"/>
        </w:rPr>
        <w:fldChar w:fldCharType="begin"/>
      </w:r>
      <w:r>
        <w:rPr>
          <w:color w:val="auto"/>
        </w:rPr>
        <w:instrText xml:space="preserve"> PAGEREF _Toc4362 \h </w:instrText>
      </w:r>
      <w:r>
        <w:rPr>
          <w:color w:val="auto"/>
        </w:rPr>
        <w:fldChar w:fldCharType="separate"/>
      </w:r>
      <w:r>
        <w:rPr>
          <w:color w:val="auto"/>
        </w:rPr>
        <w:t>29</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_Toc24460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1.6项目运维产出</w:t>
      </w:r>
      <w:r>
        <w:rPr>
          <w:color w:val="auto"/>
        </w:rPr>
        <w:tab/>
      </w:r>
      <w:r>
        <w:rPr>
          <w:color w:val="auto"/>
        </w:rPr>
        <w:fldChar w:fldCharType="begin"/>
      </w:r>
      <w:r>
        <w:rPr>
          <w:color w:val="auto"/>
        </w:rPr>
        <w:instrText xml:space="preserve"> PAGEREF _Toc24460 \h </w:instrText>
      </w:r>
      <w:r>
        <w:rPr>
          <w:color w:val="auto"/>
        </w:rPr>
        <w:fldChar w:fldCharType="separate"/>
      </w:r>
      <w:r>
        <w:rPr>
          <w:color w:val="auto"/>
        </w:rPr>
        <w:t>29</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_Toc22016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1.6.1运维目标</w:t>
      </w:r>
      <w:r>
        <w:rPr>
          <w:color w:val="auto"/>
        </w:rPr>
        <w:tab/>
      </w:r>
      <w:r>
        <w:rPr>
          <w:color w:val="auto"/>
        </w:rPr>
        <w:fldChar w:fldCharType="begin"/>
      </w:r>
      <w:r>
        <w:rPr>
          <w:color w:val="auto"/>
        </w:rPr>
        <w:instrText xml:space="preserve"> PAGEREF _Toc22016 \h </w:instrText>
      </w:r>
      <w:r>
        <w:rPr>
          <w:color w:val="auto"/>
        </w:rPr>
        <w:fldChar w:fldCharType="separate"/>
      </w:r>
      <w:r>
        <w:rPr>
          <w:color w:val="auto"/>
        </w:rPr>
        <w:t>29</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_Toc106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1.6.2项目运维范围</w:t>
      </w:r>
      <w:r>
        <w:rPr>
          <w:color w:val="auto"/>
        </w:rPr>
        <w:tab/>
      </w:r>
      <w:r>
        <w:rPr>
          <w:color w:val="auto"/>
        </w:rPr>
        <w:fldChar w:fldCharType="begin"/>
      </w:r>
      <w:r>
        <w:rPr>
          <w:color w:val="auto"/>
        </w:rPr>
        <w:instrText xml:space="preserve"> PAGEREF _Toc106 \h </w:instrText>
      </w:r>
      <w:r>
        <w:rPr>
          <w:color w:val="auto"/>
        </w:rPr>
        <w:fldChar w:fldCharType="separate"/>
      </w:r>
      <w:r>
        <w:rPr>
          <w:color w:val="auto"/>
        </w:rPr>
        <w:t>29</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_Toc31949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1.6.3项目运营要求</w:t>
      </w:r>
      <w:r>
        <w:rPr>
          <w:color w:val="auto"/>
        </w:rPr>
        <w:tab/>
      </w:r>
      <w:r>
        <w:rPr>
          <w:color w:val="auto"/>
        </w:rPr>
        <w:fldChar w:fldCharType="begin"/>
      </w:r>
      <w:r>
        <w:rPr>
          <w:color w:val="auto"/>
        </w:rPr>
        <w:instrText xml:space="preserve"> PAGEREF _Toc31949 \h </w:instrText>
      </w:r>
      <w:r>
        <w:rPr>
          <w:color w:val="auto"/>
        </w:rPr>
        <w:fldChar w:fldCharType="separate"/>
      </w:r>
      <w:r>
        <w:rPr>
          <w:color w:val="auto"/>
        </w:rPr>
        <w:t>30</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_Toc26093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1.7实施方案编制依据</w:t>
      </w:r>
      <w:r>
        <w:rPr>
          <w:color w:val="auto"/>
        </w:rPr>
        <w:tab/>
      </w:r>
      <w:r>
        <w:rPr>
          <w:color w:val="auto"/>
        </w:rPr>
        <w:fldChar w:fldCharType="begin"/>
      </w:r>
      <w:r>
        <w:rPr>
          <w:color w:val="auto"/>
        </w:rPr>
        <w:instrText xml:space="preserve"> PAGEREF _Toc26093 \h </w:instrText>
      </w:r>
      <w:r>
        <w:rPr>
          <w:color w:val="auto"/>
        </w:rPr>
        <w:fldChar w:fldCharType="separate"/>
      </w:r>
      <w:r>
        <w:rPr>
          <w:color w:val="auto"/>
        </w:rPr>
        <w:t>38</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_Toc23588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1.7.1政策法规</w:t>
      </w:r>
      <w:r>
        <w:rPr>
          <w:color w:val="auto"/>
        </w:rPr>
        <w:tab/>
      </w:r>
      <w:r>
        <w:rPr>
          <w:color w:val="auto"/>
        </w:rPr>
        <w:fldChar w:fldCharType="begin"/>
      </w:r>
      <w:r>
        <w:rPr>
          <w:color w:val="auto"/>
        </w:rPr>
        <w:instrText xml:space="preserve"> PAGEREF _Toc23588 \h </w:instrText>
      </w:r>
      <w:r>
        <w:rPr>
          <w:color w:val="auto"/>
        </w:rPr>
        <w:fldChar w:fldCharType="separate"/>
      </w:r>
      <w:r>
        <w:rPr>
          <w:color w:val="auto"/>
        </w:rPr>
        <w:t>38</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_Toc16233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1.7.2技术规范</w:t>
      </w:r>
      <w:r>
        <w:rPr>
          <w:color w:val="auto"/>
        </w:rPr>
        <w:tab/>
      </w:r>
      <w:r>
        <w:rPr>
          <w:color w:val="auto"/>
        </w:rPr>
        <w:fldChar w:fldCharType="begin"/>
      </w:r>
      <w:r>
        <w:rPr>
          <w:color w:val="auto"/>
        </w:rPr>
        <w:instrText xml:space="preserve"> PAGEREF _Toc16233 \h </w:instrText>
      </w:r>
      <w:r>
        <w:rPr>
          <w:color w:val="auto"/>
        </w:rPr>
        <w:fldChar w:fldCharType="separate"/>
      </w:r>
      <w:r>
        <w:rPr>
          <w:color w:val="auto"/>
        </w:rPr>
        <w:t>40</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_Toc29642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1.7.3其他资料</w:t>
      </w:r>
      <w:r>
        <w:rPr>
          <w:color w:val="auto"/>
        </w:rPr>
        <w:tab/>
      </w:r>
      <w:r>
        <w:rPr>
          <w:color w:val="auto"/>
        </w:rPr>
        <w:fldChar w:fldCharType="begin"/>
      </w:r>
      <w:r>
        <w:rPr>
          <w:color w:val="auto"/>
        </w:rPr>
        <w:instrText xml:space="preserve"> PAGEREF _Toc29642 \h </w:instrText>
      </w:r>
      <w:r>
        <w:rPr>
          <w:color w:val="auto"/>
        </w:rPr>
        <w:fldChar w:fldCharType="separate"/>
      </w:r>
      <w:r>
        <w:rPr>
          <w:color w:val="auto"/>
        </w:rPr>
        <w:t>41</w:t>
      </w:r>
      <w:r>
        <w:rPr>
          <w:color w:val="auto"/>
        </w:rPr>
        <w:fldChar w:fldCharType="end"/>
      </w:r>
      <w:r>
        <w:rPr>
          <w:rFonts w:ascii="仿宋" w:hAnsi="仿宋" w:eastAsia="仿宋"/>
          <w:color w:val="auto"/>
          <w:szCs w:val="28"/>
        </w:rPr>
        <w:fldChar w:fldCharType="end"/>
      </w:r>
    </w:p>
    <w:p>
      <w:pPr>
        <w:pStyle w:val="9"/>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_Toc27723 </w:instrText>
      </w:r>
      <w:r>
        <w:rPr>
          <w:rFonts w:ascii="仿宋" w:hAnsi="仿宋" w:eastAsia="仿宋"/>
          <w:color w:val="auto"/>
          <w:szCs w:val="28"/>
        </w:rPr>
        <w:fldChar w:fldCharType="separate"/>
      </w:r>
      <w:r>
        <w:rPr>
          <w:rFonts w:hint="eastAsia" w:ascii="微软雅黑" w:hAnsi="微软雅黑" w:eastAsia="微软雅黑" w:cs="Times New Roman"/>
          <w:color w:val="auto"/>
          <w:kern w:val="44"/>
          <w:szCs w:val="32"/>
          <w:lang w:val="en-US" w:eastAsia="zh-CN" w:bidi="ar-SA"/>
        </w:rPr>
        <w:t xml:space="preserve">第二章 </w:t>
      </w:r>
      <w:r>
        <w:rPr>
          <w:rFonts w:hint="default" w:ascii="微软雅黑" w:hAnsi="微软雅黑" w:eastAsia="微软雅黑" w:cs="Times New Roman"/>
          <w:color w:val="auto"/>
          <w:szCs w:val="32"/>
          <w:lang w:val="en-US" w:eastAsia="zh-CN"/>
        </w:rPr>
        <w:t>采用公建民营实施本项目的必要性和可行性</w:t>
      </w:r>
      <w:r>
        <w:rPr>
          <w:color w:val="auto"/>
        </w:rPr>
        <w:tab/>
      </w:r>
      <w:r>
        <w:rPr>
          <w:color w:val="auto"/>
        </w:rPr>
        <w:fldChar w:fldCharType="begin"/>
      </w:r>
      <w:r>
        <w:rPr>
          <w:color w:val="auto"/>
        </w:rPr>
        <w:instrText xml:space="preserve"> PAGEREF _Toc27723 \h </w:instrText>
      </w:r>
      <w:r>
        <w:rPr>
          <w:color w:val="auto"/>
        </w:rPr>
        <w:fldChar w:fldCharType="separate"/>
      </w:r>
      <w:r>
        <w:rPr>
          <w:color w:val="auto"/>
        </w:rPr>
        <w:t>41</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_Toc29002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2.1必要性</w:t>
      </w:r>
      <w:r>
        <w:rPr>
          <w:color w:val="auto"/>
        </w:rPr>
        <w:tab/>
      </w:r>
      <w:r>
        <w:rPr>
          <w:color w:val="auto"/>
        </w:rPr>
        <w:fldChar w:fldCharType="begin"/>
      </w:r>
      <w:r>
        <w:rPr>
          <w:color w:val="auto"/>
        </w:rPr>
        <w:instrText xml:space="preserve"> PAGEREF _Toc29002 \h </w:instrText>
      </w:r>
      <w:r>
        <w:rPr>
          <w:color w:val="auto"/>
        </w:rPr>
        <w:fldChar w:fldCharType="separate"/>
      </w:r>
      <w:r>
        <w:rPr>
          <w:color w:val="auto"/>
        </w:rPr>
        <w:t>41</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_Toc18554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2.1.1符合国家近期政策要求</w:t>
      </w:r>
      <w:r>
        <w:rPr>
          <w:color w:val="auto"/>
        </w:rPr>
        <w:tab/>
      </w:r>
      <w:r>
        <w:rPr>
          <w:color w:val="auto"/>
        </w:rPr>
        <w:fldChar w:fldCharType="begin"/>
      </w:r>
      <w:r>
        <w:rPr>
          <w:color w:val="auto"/>
        </w:rPr>
        <w:instrText xml:space="preserve"> PAGEREF _Toc18554 \h </w:instrText>
      </w:r>
      <w:r>
        <w:rPr>
          <w:color w:val="auto"/>
        </w:rPr>
        <w:fldChar w:fldCharType="separate"/>
      </w:r>
      <w:r>
        <w:rPr>
          <w:color w:val="auto"/>
        </w:rPr>
        <w:t>41</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_Toc15184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2.1.2有助于转变政府职能、提高管理水平</w:t>
      </w:r>
      <w:r>
        <w:rPr>
          <w:color w:val="auto"/>
        </w:rPr>
        <w:tab/>
      </w:r>
      <w:r>
        <w:rPr>
          <w:color w:val="auto"/>
        </w:rPr>
        <w:fldChar w:fldCharType="begin"/>
      </w:r>
      <w:r>
        <w:rPr>
          <w:color w:val="auto"/>
        </w:rPr>
        <w:instrText xml:space="preserve"> PAGEREF _Toc15184 \h </w:instrText>
      </w:r>
      <w:r>
        <w:rPr>
          <w:color w:val="auto"/>
        </w:rPr>
        <w:fldChar w:fldCharType="separate"/>
      </w:r>
      <w:r>
        <w:rPr>
          <w:color w:val="auto"/>
        </w:rPr>
        <w:t>44</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_Toc14539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2.1.3调动社会资本的积极性，充分利用社会资金和社会力量。</w:t>
      </w:r>
      <w:r>
        <w:rPr>
          <w:color w:val="auto"/>
        </w:rPr>
        <w:tab/>
      </w:r>
      <w:r>
        <w:rPr>
          <w:color w:val="auto"/>
        </w:rPr>
        <w:fldChar w:fldCharType="begin"/>
      </w:r>
      <w:r>
        <w:rPr>
          <w:color w:val="auto"/>
        </w:rPr>
        <w:instrText xml:space="preserve"> PAGEREF _Toc14539 \h </w:instrText>
      </w:r>
      <w:r>
        <w:rPr>
          <w:color w:val="auto"/>
        </w:rPr>
        <w:fldChar w:fldCharType="separate"/>
      </w:r>
      <w:r>
        <w:rPr>
          <w:color w:val="auto"/>
        </w:rPr>
        <w:t>44</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_Toc16593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2.1.4让专业的人做专业的事，提高养老资源的使用效率和管理效率</w:t>
      </w:r>
      <w:r>
        <w:rPr>
          <w:color w:val="auto"/>
        </w:rPr>
        <w:tab/>
      </w:r>
      <w:r>
        <w:rPr>
          <w:color w:val="auto"/>
        </w:rPr>
        <w:fldChar w:fldCharType="begin"/>
      </w:r>
      <w:r>
        <w:rPr>
          <w:color w:val="auto"/>
        </w:rPr>
        <w:instrText xml:space="preserve"> PAGEREF _Toc16593 \h </w:instrText>
      </w:r>
      <w:r>
        <w:rPr>
          <w:color w:val="auto"/>
        </w:rPr>
        <w:fldChar w:fldCharType="separate"/>
      </w:r>
      <w:r>
        <w:rPr>
          <w:color w:val="auto"/>
        </w:rPr>
        <w:t>45</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_Toc24589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2.1.5有助于</w:t>
      </w:r>
      <w:r>
        <w:rPr>
          <w:rFonts w:hint="eastAsia" w:ascii="仿宋" w:hAnsi="仿宋" w:eastAsia="仿宋" w:cs="Times New Roman"/>
          <w:color w:val="auto"/>
          <w:szCs w:val="28"/>
          <w:lang w:val="en-US" w:eastAsia="zh-CN"/>
        </w:rPr>
        <w:t>减轻</w:t>
      </w:r>
      <w:r>
        <w:rPr>
          <w:rFonts w:hint="default" w:ascii="仿宋" w:hAnsi="仿宋" w:eastAsia="仿宋" w:cs="Times New Roman"/>
          <w:color w:val="auto"/>
          <w:szCs w:val="28"/>
          <w:lang w:val="en-US" w:eastAsia="zh-CN"/>
        </w:rPr>
        <w:t>政府财政压力，为政府带来稳定收益</w:t>
      </w:r>
      <w:r>
        <w:rPr>
          <w:color w:val="auto"/>
        </w:rPr>
        <w:tab/>
      </w:r>
      <w:r>
        <w:rPr>
          <w:color w:val="auto"/>
        </w:rPr>
        <w:fldChar w:fldCharType="begin"/>
      </w:r>
      <w:r>
        <w:rPr>
          <w:color w:val="auto"/>
        </w:rPr>
        <w:instrText xml:space="preserve"> PAGEREF _Toc24589 \h </w:instrText>
      </w:r>
      <w:r>
        <w:rPr>
          <w:color w:val="auto"/>
        </w:rPr>
        <w:fldChar w:fldCharType="separate"/>
      </w:r>
      <w:r>
        <w:rPr>
          <w:color w:val="auto"/>
        </w:rPr>
        <w:t>46</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_Toc29283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2.1.6能满足更多群体的养老需求</w:t>
      </w:r>
      <w:r>
        <w:rPr>
          <w:color w:val="auto"/>
        </w:rPr>
        <w:tab/>
      </w:r>
      <w:r>
        <w:rPr>
          <w:color w:val="auto"/>
        </w:rPr>
        <w:fldChar w:fldCharType="begin"/>
      </w:r>
      <w:r>
        <w:rPr>
          <w:color w:val="auto"/>
        </w:rPr>
        <w:instrText xml:space="preserve"> PAGEREF _Toc29283 \h </w:instrText>
      </w:r>
      <w:r>
        <w:rPr>
          <w:color w:val="auto"/>
        </w:rPr>
        <w:fldChar w:fldCharType="separate"/>
      </w:r>
      <w:r>
        <w:rPr>
          <w:color w:val="auto"/>
        </w:rPr>
        <w:t>46</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_Toc26996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2.2可行性</w:t>
      </w:r>
      <w:r>
        <w:rPr>
          <w:color w:val="auto"/>
        </w:rPr>
        <w:tab/>
      </w:r>
      <w:r>
        <w:rPr>
          <w:color w:val="auto"/>
        </w:rPr>
        <w:fldChar w:fldCharType="begin"/>
      </w:r>
      <w:r>
        <w:rPr>
          <w:color w:val="auto"/>
        </w:rPr>
        <w:instrText xml:space="preserve"> PAGEREF _Toc26996 \h </w:instrText>
      </w:r>
      <w:r>
        <w:rPr>
          <w:color w:val="auto"/>
        </w:rPr>
        <w:fldChar w:fldCharType="separate"/>
      </w:r>
      <w:r>
        <w:rPr>
          <w:color w:val="auto"/>
        </w:rPr>
        <w:t>47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_Toc16248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2.2.1国家近期政策</w:t>
      </w:r>
      <w:r>
        <w:rPr>
          <w:rFonts w:hint="eastAsia" w:ascii="仿宋" w:hAnsi="仿宋" w:eastAsia="仿宋" w:cs="Times New Roman"/>
          <w:color w:val="auto"/>
          <w:szCs w:val="28"/>
          <w:lang w:val="en-US" w:eastAsia="zh-CN"/>
        </w:rPr>
        <w:t>推诿行为</w:t>
      </w:r>
      <w:r>
        <w:rPr>
          <w:rFonts w:hint="default" w:ascii="仿宋" w:hAnsi="仿宋" w:eastAsia="仿宋" w:cs="Times New Roman"/>
          <w:color w:val="auto"/>
          <w:szCs w:val="28"/>
          <w:lang w:val="en-US" w:eastAsia="zh-CN"/>
        </w:rPr>
        <w:t>公建民营模式的应用奠定了坚实基础</w:t>
      </w:r>
      <w:r>
        <w:rPr>
          <w:color w:val="auto"/>
        </w:rPr>
        <w:tab/>
      </w:r>
      <w:r>
        <w:rPr>
          <w:color w:val="auto"/>
        </w:rPr>
        <w:fldChar w:fldCharType="begin"/>
      </w:r>
      <w:r>
        <w:rPr>
          <w:color w:val="auto"/>
        </w:rPr>
        <w:instrText xml:space="preserve"> PAGEREF _Toc16248 \h </w:instrText>
      </w:r>
      <w:r>
        <w:rPr>
          <w:color w:val="auto"/>
        </w:rPr>
        <w:fldChar w:fldCharType="separate"/>
      </w:r>
      <w:r>
        <w:rPr>
          <w:color w:val="auto"/>
        </w:rPr>
        <w:t>47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_Toc31602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2.2.2当地推行公建民营模式具有良好的经济环境和实施条件</w:t>
      </w:r>
      <w:r>
        <w:rPr>
          <w:color w:val="auto"/>
        </w:rPr>
        <w:tab/>
      </w:r>
      <w:r>
        <w:rPr>
          <w:color w:val="auto"/>
        </w:rPr>
        <w:fldChar w:fldCharType="begin"/>
      </w:r>
      <w:r>
        <w:rPr>
          <w:color w:val="auto"/>
        </w:rPr>
        <w:instrText xml:space="preserve"> PAGEREF _Toc31602 \h </w:instrText>
      </w:r>
      <w:r>
        <w:rPr>
          <w:color w:val="auto"/>
        </w:rPr>
        <w:fldChar w:fldCharType="separate"/>
      </w:r>
      <w:r>
        <w:rPr>
          <w:color w:val="auto"/>
        </w:rPr>
        <w:t>49</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_Toc32350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2.2.3当地相关政策鼓励公建民营模式发展</w:t>
      </w:r>
      <w:r>
        <w:rPr>
          <w:color w:val="auto"/>
        </w:rPr>
        <w:tab/>
      </w:r>
      <w:r>
        <w:rPr>
          <w:color w:val="auto"/>
        </w:rPr>
        <w:fldChar w:fldCharType="begin"/>
      </w:r>
      <w:r>
        <w:rPr>
          <w:color w:val="auto"/>
        </w:rPr>
        <w:instrText xml:space="preserve"> PAGEREF _Toc32350 \h </w:instrText>
      </w:r>
      <w:r>
        <w:rPr>
          <w:color w:val="auto"/>
        </w:rPr>
        <w:fldChar w:fldCharType="separate"/>
      </w:r>
      <w:r>
        <w:rPr>
          <w:color w:val="auto"/>
        </w:rPr>
        <w:t>49</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_Toc15934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2.3公建民营养老机构案例</w:t>
      </w:r>
      <w:r>
        <w:rPr>
          <w:color w:val="auto"/>
        </w:rPr>
        <w:tab/>
      </w:r>
      <w:r>
        <w:rPr>
          <w:color w:val="auto"/>
        </w:rPr>
        <w:fldChar w:fldCharType="begin"/>
      </w:r>
      <w:r>
        <w:rPr>
          <w:color w:val="auto"/>
        </w:rPr>
        <w:instrText xml:space="preserve"> PAGEREF _Toc15934 \h </w:instrText>
      </w:r>
      <w:r>
        <w:rPr>
          <w:color w:val="auto"/>
        </w:rPr>
        <w:fldChar w:fldCharType="separate"/>
      </w:r>
      <w:r>
        <w:rPr>
          <w:color w:val="auto"/>
        </w:rPr>
        <w:t>50</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_Toc7460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2.4公建民营运作方式比选</w:t>
      </w:r>
      <w:r>
        <w:rPr>
          <w:color w:val="auto"/>
        </w:rPr>
        <w:tab/>
      </w:r>
      <w:r>
        <w:rPr>
          <w:color w:val="auto"/>
        </w:rPr>
        <w:fldChar w:fldCharType="begin"/>
      </w:r>
      <w:r>
        <w:rPr>
          <w:color w:val="auto"/>
        </w:rPr>
        <w:instrText xml:space="preserve"> PAGEREF _Toc7460 \h </w:instrText>
      </w:r>
      <w:r>
        <w:rPr>
          <w:color w:val="auto"/>
        </w:rPr>
        <w:fldChar w:fldCharType="separate"/>
      </w:r>
      <w:r>
        <w:rPr>
          <w:color w:val="auto"/>
        </w:rPr>
        <w:t>53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_Toc31634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2.4.1常见公建民营项目运作方式</w:t>
      </w:r>
      <w:r>
        <w:rPr>
          <w:color w:val="auto"/>
        </w:rPr>
        <w:tab/>
      </w:r>
      <w:r>
        <w:rPr>
          <w:color w:val="auto"/>
        </w:rPr>
        <w:fldChar w:fldCharType="begin"/>
      </w:r>
      <w:r>
        <w:rPr>
          <w:color w:val="auto"/>
        </w:rPr>
        <w:instrText xml:space="preserve"> PAGEREF _Toc31634 \h </w:instrText>
      </w:r>
      <w:r>
        <w:rPr>
          <w:color w:val="auto"/>
        </w:rPr>
        <w:fldChar w:fldCharType="separate"/>
      </w:r>
      <w:r>
        <w:rPr>
          <w:color w:val="auto"/>
        </w:rPr>
        <w:t>53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_Toc10973 </w:instrText>
      </w:r>
      <w:r>
        <w:rPr>
          <w:rFonts w:ascii="仿宋" w:hAnsi="仿宋" w:eastAsia="仿宋"/>
          <w:color w:val="auto"/>
          <w:szCs w:val="28"/>
        </w:rPr>
        <w:fldChar w:fldCharType="separate"/>
      </w:r>
      <w:r>
        <w:rPr>
          <w:rFonts w:hint="default" w:ascii="仿宋" w:hAnsi="仿宋" w:eastAsia="仿宋" w:cs="Times New Roman"/>
          <w:color w:val="auto"/>
          <w:szCs w:val="28"/>
          <w:lang w:val="en-US" w:eastAsia="zh-CN"/>
        </w:rPr>
        <w:t>2.4.2本项目公建民营运作方式的选择</w:t>
      </w:r>
      <w:r>
        <w:rPr>
          <w:color w:val="auto"/>
        </w:rPr>
        <w:tab/>
      </w:r>
      <w:r>
        <w:rPr>
          <w:color w:val="auto"/>
        </w:rPr>
        <w:fldChar w:fldCharType="begin"/>
      </w:r>
      <w:r>
        <w:rPr>
          <w:color w:val="auto"/>
        </w:rPr>
        <w:instrText xml:space="preserve"> PAGEREF _Toc10973 \h </w:instrText>
      </w:r>
      <w:r>
        <w:rPr>
          <w:color w:val="auto"/>
        </w:rPr>
        <w:fldChar w:fldCharType="separate"/>
      </w:r>
      <w:r>
        <w:rPr>
          <w:color w:val="auto"/>
        </w:rPr>
        <w:t>57</w:t>
      </w:r>
      <w:r>
        <w:rPr>
          <w:color w:val="auto"/>
        </w:rPr>
        <w:fldChar w:fldCharType="end"/>
      </w:r>
      <w:r>
        <w:rPr>
          <w:rFonts w:ascii="仿宋" w:hAnsi="仿宋" w:eastAsia="仿宋"/>
          <w:color w:val="auto"/>
          <w:szCs w:val="28"/>
        </w:rPr>
        <w:fldChar w:fldCharType="end"/>
      </w:r>
    </w:p>
    <w:p>
      <w:pPr>
        <w:pStyle w:val="9"/>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_Toc18796 </w:instrText>
      </w:r>
      <w:r>
        <w:rPr>
          <w:rFonts w:ascii="仿宋" w:hAnsi="仿宋" w:eastAsia="仿宋"/>
          <w:color w:val="auto"/>
          <w:szCs w:val="28"/>
        </w:rPr>
        <w:fldChar w:fldCharType="separate"/>
      </w:r>
      <w:r>
        <w:rPr>
          <w:rFonts w:hint="eastAsia" w:ascii="微软雅黑" w:hAnsi="微软雅黑" w:eastAsia="微软雅黑"/>
          <w:color w:val="auto"/>
          <w:kern w:val="44"/>
          <w:szCs w:val="32"/>
          <w:lang w:val="en-US" w:eastAsia="zh-CN" w:bidi="ar-SA"/>
        </w:rPr>
        <w:t xml:space="preserve">第三章 </w:t>
      </w:r>
      <w:r>
        <w:rPr>
          <w:rFonts w:hint="eastAsia" w:ascii="微软雅黑" w:hAnsi="微软雅黑" w:eastAsia="微软雅黑"/>
          <w:color w:val="auto"/>
          <w:szCs w:val="32"/>
          <w:lang w:val="en-US" w:eastAsia="zh-CN"/>
        </w:rPr>
        <w:t>公建民营主要内容</w:t>
      </w:r>
      <w:r>
        <w:rPr>
          <w:color w:val="auto"/>
        </w:rPr>
        <w:tab/>
      </w:r>
      <w:r>
        <w:rPr>
          <w:color w:val="auto"/>
        </w:rPr>
        <w:fldChar w:fldCharType="begin"/>
      </w:r>
      <w:r>
        <w:rPr>
          <w:color w:val="auto"/>
        </w:rPr>
        <w:instrText xml:space="preserve"> PAGEREF _Toc18796 \h </w:instrText>
      </w:r>
      <w:r>
        <w:rPr>
          <w:color w:val="auto"/>
        </w:rPr>
        <w:fldChar w:fldCharType="separate"/>
      </w:r>
      <w:r>
        <w:rPr>
          <w:color w:val="auto"/>
        </w:rPr>
        <w:t>58</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_Toc989 </w:instrText>
      </w:r>
      <w:r>
        <w:rPr>
          <w:rFonts w:ascii="仿宋" w:hAnsi="仿宋" w:eastAsia="仿宋"/>
          <w:color w:val="auto"/>
          <w:szCs w:val="28"/>
        </w:rPr>
        <w:fldChar w:fldCharType="separate"/>
      </w:r>
      <w:r>
        <w:rPr>
          <w:rFonts w:hint="eastAsia" w:ascii="仿宋" w:hAnsi="仿宋" w:eastAsia="仿宋"/>
          <w:color w:val="auto"/>
          <w:szCs w:val="28"/>
          <w:lang w:val="en-US" w:eastAsia="zh-CN"/>
        </w:rPr>
        <w:t>3</w:t>
      </w:r>
      <w:r>
        <w:rPr>
          <w:rFonts w:hint="eastAsia" w:ascii="仿宋" w:hAnsi="仿宋" w:eastAsia="仿宋"/>
          <w:color w:val="auto"/>
          <w:szCs w:val="28"/>
        </w:rPr>
        <w:t>.1项目运作方式</w:t>
      </w:r>
      <w:r>
        <w:rPr>
          <w:color w:val="auto"/>
        </w:rPr>
        <w:tab/>
      </w:r>
      <w:r>
        <w:rPr>
          <w:color w:val="auto"/>
        </w:rPr>
        <w:fldChar w:fldCharType="begin"/>
      </w:r>
      <w:r>
        <w:rPr>
          <w:color w:val="auto"/>
        </w:rPr>
        <w:instrText xml:space="preserve"> PAGEREF _Toc989 \h </w:instrText>
      </w:r>
      <w:r>
        <w:rPr>
          <w:color w:val="auto"/>
        </w:rPr>
        <w:fldChar w:fldCharType="separate"/>
      </w:r>
      <w:r>
        <w:rPr>
          <w:color w:val="auto"/>
        </w:rPr>
        <w:t>58</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_Toc32733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3.2相关主体及责权</w:t>
      </w:r>
      <w:r>
        <w:rPr>
          <w:color w:val="auto"/>
        </w:rPr>
        <w:tab/>
      </w:r>
      <w:r>
        <w:rPr>
          <w:color w:val="auto"/>
        </w:rPr>
        <w:fldChar w:fldCharType="begin"/>
      </w:r>
      <w:r>
        <w:rPr>
          <w:color w:val="auto"/>
        </w:rPr>
        <w:instrText xml:space="preserve"> PAGEREF _Toc32733 \h </w:instrText>
      </w:r>
      <w:r>
        <w:rPr>
          <w:color w:val="auto"/>
        </w:rPr>
        <w:fldChar w:fldCharType="separate"/>
      </w:r>
      <w:r>
        <w:rPr>
          <w:color w:val="auto"/>
        </w:rPr>
        <w:t>59</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_Toc217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3.3资产权属</w:t>
      </w:r>
      <w:r>
        <w:rPr>
          <w:color w:val="auto"/>
        </w:rPr>
        <w:tab/>
      </w:r>
      <w:r>
        <w:rPr>
          <w:color w:val="auto"/>
        </w:rPr>
        <w:fldChar w:fldCharType="begin"/>
      </w:r>
      <w:r>
        <w:rPr>
          <w:color w:val="auto"/>
        </w:rPr>
        <w:instrText xml:space="preserve"> PAGEREF _Toc217 \h </w:instrText>
      </w:r>
      <w:r>
        <w:rPr>
          <w:color w:val="auto"/>
        </w:rPr>
        <w:fldChar w:fldCharType="separate"/>
      </w:r>
      <w:r>
        <w:rPr>
          <w:color w:val="auto"/>
        </w:rPr>
        <w:t>60</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_Toc31260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3.3.1土地权属</w:t>
      </w:r>
      <w:r>
        <w:rPr>
          <w:color w:val="auto"/>
        </w:rPr>
        <w:tab/>
      </w:r>
      <w:r>
        <w:rPr>
          <w:color w:val="auto"/>
        </w:rPr>
        <w:fldChar w:fldCharType="begin"/>
      </w:r>
      <w:r>
        <w:rPr>
          <w:color w:val="auto"/>
        </w:rPr>
        <w:instrText xml:space="preserve"> PAGEREF _Toc31260 \h </w:instrText>
      </w:r>
      <w:r>
        <w:rPr>
          <w:color w:val="auto"/>
        </w:rPr>
        <w:fldChar w:fldCharType="separate"/>
      </w:r>
      <w:r>
        <w:rPr>
          <w:color w:val="auto"/>
        </w:rPr>
        <w:t>60</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_Toc18457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3.3.2场地设施</w:t>
      </w:r>
      <w:r>
        <w:rPr>
          <w:color w:val="auto"/>
        </w:rPr>
        <w:tab/>
      </w:r>
      <w:r>
        <w:rPr>
          <w:color w:val="auto"/>
        </w:rPr>
        <w:fldChar w:fldCharType="begin"/>
      </w:r>
      <w:r>
        <w:rPr>
          <w:color w:val="auto"/>
        </w:rPr>
        <w:instrText xml:space="preserve"> PAGEREF _Toc18457 \h </w:instrText>
      </w:r>
      <w:r>
        <w:rPr>
          <w:color w:val="auto"/>
        </w:rPr>
        <w:fldChar w:fldCharType="separate"/>
      </w:r>
      <w:r>
        <w:rPr>
          <w:color w:val="auto"/>
        </w:rPr>
        <w:t>60</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_Toc25987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3.4租赁期限</w:t>
      </w:r>
      <w:r>
        <w:rPr>
          <w:color w:val="auto"/>
        </w:rPr>
        <w:tab/>
      </w:r>
      <w:r>
        <w:rPr>
          <w:color w:val="auto"/>
        </w:rPr>
        <w:fldChar w:fldCharType="begin"/>
      </w:r>
      <w:r>
        <w:rPr>
          <w:color w:val="auto"/>
        </w:rPr>
        <w:instrText xml:space="preserve"> PAGEREF _Toc25987 \h </w:instrText>
      </w:r>
      <w:r>
        <w:rPr>
          <w:color w:val="auto"/>
        </w:rPr>
        <w:fldChar w:fldCharType="separate"/>
      </w:r>
      <w:r>
        <w:rPr>
          <w:color w:val="auto"/>
        </w:rPr>
        <w:t>61</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_Toc6421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3.5租金计取方式</w:t>
      </w:r>
      <w:r>
        <w:rPr>
          <w:color w:val="auto"/>
        </w:rPr>
        <w:tab/>
      </w:r>
      <w:r>
        <w:rPr>
          <w:color w:val="auto"/>
        </w:rPr>
        <w:fldChar w:fldCharType="begin"/>
      </w:r>
      <w:r>
        <w:rPr>
          <w:color w:val="auto"/>
        </w:rPr>
        <w:instrText xml:space="preserve"> PAGEREF _Toc6421 \h </w:instrText>
      </w:r>
      <w:r>
        <w:rPr>
          <w:color w:val="auto"/>
        </w:rPr>
        <w:fldChar w:fldCharType="separate"/>
      </w:r>
      <w:r>
        <w:rPr>
          <w:color w:val="auto"/>
        </w:rPr>
        <w:t>61</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_Toc13597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3.6服务定价机制</w:t>
      </w:r>
      <w:r>
        <w:rPr>
          <w:color w:val="auto"/>
        </w:rPr>
        <w:tab/>
      </w:r>
      <w:r>
        <w:rPr>
          <w:color w:val="auto"/>
        </w:rPr>
        <w:fldChar w:fldCharType="begin"/>
      </w:r>
      <w:r>
        <w:rPr>
          <w:color w:val="auto"/>
        </w:rPr>
        <w:instrText xml:space="preserve"> PAGEREF _Toc13597 \h </w:instrText>
      </w:r>
      <w:r>
        <w:rPr>
          <w:color w:val="auto"/>
        </w:rPr>
        <w:fldChar w:fldCharType="separate"/>
      </w:r>
      <w:r>
        <w:rPr>
          <w:color w:val="auto"/>
        </w:rPr>
        <w:t>61</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_Toc28221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3.6.1养老服务费</w:t>
      </w:r>
      <w:r>
        <w:rPr>
          <w:color w:val="auto"/>
        </w:rPr>
        <w:tab/>
      </w:r>
      <w:r>
        <w:rPr>
          <w:color w:val="auto"/>
        </w:rPr>
        <w:fldChar w:fldCharType="begin"/>
      </w:r>
      <w:r>
        <w:rPr>
          <w:color w:val="auto"/>
        </w:rPr>
        <w:instrText xml:space="preserve"> PAGEREF _Toc28221 \h </w:instrText>
      </w:r>
      <w:r>
        <w:rPr>
          <w:color w:val="auto"/>
        </w:rPr>
        <w:fldChar w:fldCharType="separate"/>
      </w:r>
      <w:r>
        <w:rPr>
          <w:color w:val="auto"/>
        </w:rPr>
        <w:t>61</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_Toc18151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3.6.2其他收费限制及调整</w:t>
      </w:r>
      <w:r>
        <w:rPr>
          <w:color w:val="auto"/>
        </w:rPr>
        <w:tab/>
      </w:r>
      <w:r>
        <w:rPr>
          <w:color w:val="auto"/>
        </w:rPr>
        <w:fldChar w:fldCharType="begin"/>
      </w:r>
      <w:r>
        <w:rPr>
          <w:color w:val="auto"/>
        </w:rPr>
        <w:instrText xml:space="preserve"> PAGEREF _Toc18151 \h </w:instrText>
      </w:r>
      <w:r>
        <w:rPr>
          <w:color w:val="auto"/>
        </w:rPr>
        <w:fldChar w:fldCharType="separate"/>
      </w:r>
      <w:r>
        <w:rPr>
          <w:color w:val="auto"/>
        </w:rPr>
        <w:t>62</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_Toc28089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3.6.3收费公示及备案</w:t>
      </w:r>
      <w:r>
        <w:rPr>
          <w:color w:val="auto"/>
        </w:rPr>
        <w:tab/>
      </w:r>
      <w:r>
        <w:rPr>
          <w:color w:val="auto"/>
        </w:rPr>
        <w:fldChar w:fldCharType="begin"/>
      </w:r>
      <w:r>
        <w:rPr>
          <w:color w:val="auto"/>
        </w:rPr>
        <w:instrText xml:space="preserve"> PAGEREF _Toc28089 \h </w:instrText>
      </w:r>
      <w:r>
        <w:rPr>
          <w:color w:val="auto"/>
        </w:rPr>
        <w:fldChar w:fldCharType="separate"/>
      </w:r>
      <w:r>
        <w:rPr>
          <w:color w:val="auto"/>
        </w:rPr>
        <w:t>62</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_Toc28672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3.7政府需要提供的保障条件</w:t>
      </w:r>
      <w:r>
        <w:rPr>
          <w:color w:val="auto"/>
        </w:rPr>
        <w:tab/>
      </w:r>
      <w:r>
        <w:rPr>
          <w:color w:val="auto"/>
        </w:rPr>
        <w:fldChar w:fldCharType="begin"/>
      </w:r>
      <w:r>
        <w:rPr>
          <w:color w:val="auto"/>
        </w:rPr>
        <w:instrText xml:space="preserve"> PAGEREF _Toc28672 \h </w:instrText>
      </w:r>
      <w:r>
        <w:rPr>
          <w:color w:val="auto"/>
        </w:rPr>
        <w:fldChar w:fldCharType="separate"/>
      </w:r>
      <w:r>
        <w:rPr>
          <w:color w:val="auto"/>
        </w:rPr>
        <w:t>62</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_Toc10593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3.8租赁期额外收益分配原则</w:t>
      </w:r>
      <w:r>
        <w:rPr>
          <w:color w:val="auto"/>
        </w:rPr>
        <w:tab/>
      </w:r>
      <w:r>
        <w:rPr>
          <w:color w:val="auto"/>
        </w:rPr>
        <w:fldChar w:fldCharType="begin"/>
      </w:r>
      <w:r>
        <w:rPr>
          <w:color w:val="auto"/>
        </w:rPr>
        <w:instrText xml:space="preserve"> PAGEREF _Toc10593 \h </w:instrText>
      </w:r>
      <w:r>
        <w:rPr>
          <w:color w:val="auto"/>
        </w:rPr>
        <w:fldChar w:fldCharType="separate"/>
      </w:r>
      <w:r>
        <w:rPr>
          <w:color w:val="auto"/>
        </w:rPr>
        <w:t>63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_Toc3921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3.8.1关于项目租赁期的补贴收入</w:t>
      </w:r>
      <w:r>
        <w:rPr>
          <w:color w:val="auto"/>
        </w:rPr>
        <w:tab/>
      </w:r>
      <w:r>
        <w:rPr>
          <w:color w:val="auto"/>
        </w:rPr>
        <w:fldChar w:fldCharType="begin"/>
      </w:r>
      <w:r>
        <w:rPr>
          <w:color w:val="auto"/>
        </w:rPr>
        <w:instrText xml:space="preserve"> PAGEREF _Toc3921 \h </w:instrText>
      </w:r>
      <w:r>
        <w:rPr>
          <w:color w:val="auto"/>
        </w:rPr>
        <w:fldChar w:fldCharType="separate"/>
      </w:r>
      <w:r>
        <w:rPr>
          <w:color w:val="auto"/>
        </w:rPr>
        <w:t>63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_Toc28477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3.8.2收益分配机制</w:t>
      </w:r>
      <w:r>
        <w:rPr>
          <w:color w:val="auto"/>
        </w:rPr>
        <w:tab/>
      </w:r>
      <w:r>
        <w:rPr>
          <w:color w:val="auto"/>
        </w:rPr>
        <w:fldChar w:fldCharType="begin"/>
      </w:r>
      <w:r>
        <w:rPr>
          <w:color w:val="auto"/>
        </w:rPr>
        <w:instrText xml:space="preserve"> PAGEREF _Toc28477 \h </w:instrText>
      </w:r>
      <w:r>
        <w:rPr>
          <w:color w:val="auto"/>
        </w:rPr>
        <w:fldChar w:fldCharType="separate"/>
      </w:r>
      <w:r>
        <w:rPr>
          <w:color w:val="auto"/>
        </w:rPr>
        <w:t>63</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_Toc626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3.9项目监管</w:t>
      </w:r>
      <w:r>
        <w:rPr>
          <w:color w:val="auto"/>
        </w:rPr>
        <w:tab/>
      </w:r>
      <w:r>
        <w:rPr>
          <w:color w:val="auto"/>
        </w:rPr>
        <w:fldChar w:fldCharType="begin"/>
      </w:r>
      <w:r>
        <w:rPr>
          <w:color w:val="auto"/>
        </w:rPr>
        <w:instrText xml:space="preserve"> PAGEREF _Toc626 \h </w:instrText>
      </w:r>
      <w:r>
        <w:rPr>
          <w:color w:val="auto"/>
        </w:rPr>
        <w:fldChar w:fldCharType="separate"/>
      </w:r>
      <w:r>
        <w:rPr>
          <w:color w:val="auto"/>
        </w:rPr>
        <w:t>64</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_Toc14163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3.10激励机制</w:t>
      </w:r>
      <w:r>
        <w:rPr>
          <w:color w:val="auto"/>
        </w:rPr>
        <w:tab/>
      </w:r>
      <w:r>
        <w:rPr>
          <w:color w:val="auto"/>
        </w:rPr>
        <w:fldChar w:fldCharType="begin"/>
      </w:r>
      <w:r>
        <w:rPr>
          <w:color w:val="auto"/>
        </w:rPr>
        <w:instrText xml:space="preserve"> PAGEREF _Toc14163 \h </w:instrText>
      </w:r>
      <w:r>
        <w:rPr>
          <w:color w:val="auto"/>
        </w:rPr>
        <w:fldChar w:fldCharType="separate"/>
      </w:r>
      <w:r>
        <w:rPr>
          <w:color w:val="auto"/>
        </w:rPr>
        <w:t>64</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_Toc30434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3.10.1激励相容原则</w:t>
      </w:r>
      <w:r>
        <w:rPr>
          <w:color w:val="auto"/>
        </w:rPr>
        <w:tab/>
      </w:r>
      <w:r>
        <w:rPr>
          <w:color w:val="auto"/>
        </w:rPr>
        <w:fldChar w:fldCharType="begin"/>
      </w:r>
      <w:r>
        <w:rPr>
          <w:color w:val="auto"/>
        </w:rPr>
        <w:instrText xml:space="preserve"> PAGEREF _Toc30434 \h </w:instrText>
      </w:r>
      <w:r>
        <w:rPr>
          <w:color w:val="auto"/>
        </w:rPr>
        <w:fldChar w:fldCharType="separate"/>
      </w:r>
      <w:r>
        <w:rPr>
          <w:color w:val="auto"/>
        </w:rPr>
        <w:t>64</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_Toc24713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3.10.2项目奖惩机制</w:t>
      </w:r>
      <w:r>
        <w:rPr>
          <w:color w:val="auto"/>
        </w:rPr>
        <w:tab/>
      </w:r>
      <w:r>
        <w:rPr>
          <w:color w:val="auto"/>
        </w:rPr>
        <w:fldChar w:fldCharType="begin"/>
      </w:r>
      <w:r>
        <w:rPr>
          <w:color w:val="auto"/>
        </w:rPr>
        <w:instrText xml:space="preserve"> PAGEREF _Toc24713 \h </w:instrText>
      </w:r>
      <w:r>
        <w:rPr>
          <w:color w:val="auto"/>
        </w:rPr>
        <w:fldChar w:fldCharType="separate"/>
      </w:r>
      <w:r>
        <w:rPr>
          <w:color w:val="auto"/>
        </w:rPr>
        <w:t>65</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_Toc8649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3.10.3免租期设定原则</w:t>
      </w:r>
      <w:r>
        <w:rPr>
          <w:color w:val="auto"/>
        </w:rPr>
        <w:tab/>
      </w:r>
      <w:r>
        <w:rPr>
          <w:color w:val="auto"/>
        </w:rPr>
        <w:fldChar w:fldCharType="begin"/>
      </w:r>
      <w:r>
        <w:rPr>
          <w:color w:val="auto"/>
        </w:rPr>
        <w:instrText xml:space="preserve"> PAGEREF _Toc8649 \h </w:instrText>
      </w:r>
      <w:r>
        <w:rPr>
          <w:color w:val="auto"/>
        </w:rPr>
        <w:fldChar w:fldCharType="separate"/>
      </w:r>
      <w:r>
        <w:rPr>
          <w:color w:val="auto"/>
        </w:rPr>
        <w:t>65</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_Toc15839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3.10.4租金减免原则</w:t>
      </w:r>
      <w:r>
        <w:rPr>
          <w:color w:val="auto"/>
        </w:rPr>
        <w:tab/>
      </w:r>
      <w:r>
        <w:rPr>
          <w:color w:val="auto"/>
        </w:rPr>
        <w:fldChar w:fldCharType="begin"/>
      </w:r>
      <w:r>
        <w:rPr>
          <w:color w:val="auto"/>
        </w:rPr>
        <w:instrText xml:space="preserve"> PAGEREF _Toc15839 \h </w:instrText>
      </w:r>
      <w:r>
        <w:rPr>
          <w:color w:val="auto"/>
        </w:rPr>
        <w:fldChar w:fldCharType="separate"/>
      </w:r>
      <w:r>
        <w:rPr>
          <w:color w:val="auto"/>
        </w:rPr>
        <w:t>66</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_Toc31438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3.11移交机制</w:t>
      </w:r>
      <w:r>
        <w:rPr>
          <w:color w:val="auto"/>
        </w:rPr>
        <w:tab/>
      </w:r>
      <w:r>
        <w:rPr>
          <w:color w:val="auto"/>
        </w:rPr>
        <w:fldChar w:fldCharType="begin"/>
      </w:r>
      <w:r>
        <w:rPr>
          <w:color w:val="auto"/>
        </w:rPr>
        <w:instrText xml:space="preserve"> PAGEREF _Toc31438 \h </w:instrText>
      </w:r>
      <w:r>
        <w:rPr>
          <w:color w:val="auto"/>
        </w:rPr>
        <w:fldChar w:fldCharType="separate"/>
      </w:r>
      <w:r>
        <w:rPr>
          <w:color w:val="auto"/>
        </w:rPr>
        <w:t>66</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_Toc15963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3.12.退出机制</w:t>
      </w:r>
      <w:r>
        <w:rPr>
          <w:color w:val="auto"/>
        </w:rPr>
        <w:tab/>
      </w:r>
      <w:r>
        <w:rPr>
          <w:color w:val="auto"/>
        </w:rPr>
        <w:fldChar w:fldCharType="begin"/>
      </w:r>
      <w:r>
        <w:rPr>
          <w:color w:val="auto"/>
        </w:rPr>
        <w:instrText xml:space="preserve"> PAGEREF _Toc15963 \h </w:instrText>
      </w:r>
      <w:r>
        <w:rPr>
          <w:color w:val="auto"/>
        </w:rPr>
        <w:fldChar w:fldCharType="separate"/>
      </w:r>
      <w:r>
        <w:rPr>
          <w:color w:val="auto"/>
        </w:rPr>
        <w:t>67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_Toc15068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3.12.1合同期满的退出</w:t>
      </w:r>
      <w:r>
        <w:rPr>
          <w:color w:val="auto"/>
        </w:rPr>
        <w:tab/>
      </w:r>
      <w:r>
        <w:rPr>
          <w:color w:val="auto"/>
        </w:rPr>
        <w:fldChar w:fldCharType="begin"/>
      </w:r>
      <w:r>
        <w:rPr>
          <w:color w:val="auto"/>
        </w:rPr>
        <w:instrText xml:space="preserve"> PAGEREF _Toc15068 \h </w:instrText>
      </w:r>
      <w:r>
        <w:rPr>
          <w:color w:val="auto"/>
        </w:rPr>
        <w:fldChar w:fldCharType="separate"/>
      </w:r>
      <w:r>
        <w:rPr>
          <w:color w:val="auto"/>
        </w:rPr>
        <w:t>67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_Toc3406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3.12.2合同提前终止的退出</w:t>
      </w:r>
      <w:r>
        <w:rPr>
          <w:color w:val="auto"/>
        </w:rPr>
        <w:tab/>
      </w:r>
      <w:r>
        <w:rPr>
          <w:color w:val="auto"/>
        </w:rPr>
        <w:fldChar w:fldCharType="begin"/>
      </w:r>
      <w:r>
        <w:rPr>
          <w:color w:val="auto"/>
        </w:rPr>
        <w:instrText xml:space="preserve"> PAGEREF _Toc3406 \h </w:instrText>
      </w:r>
      <w:r>
        <w:rPr>
          <w:color w:val="auto"/>
        </w:rPr>
        <w:fldChar w:fldCharType="separate"/>
      </w:r>
      <w:r>
        <w:rPr>
          <w:color w:val="auto"/>
        </w:rPr>
        <w:t>68</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_Toc9669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3.13租赁期届满后续管理</w:t>
      </w:r>
      <w:r>
        <w:rPr>
          <w:color w:val="auto"/>
        </w:rPr>
        <w:tab/>
      </w:r>
      <w:r>
        <w:rPr>
          <w:color w:val="auto"/>
        </w:rPr>
        <w:fldChar w:fldCharType="begin"/>
      </w:r>
      <w:r>
        <w:rPr>
          <w:color w:val="auto"/>
        </w:rPr>
        <w:instrText xml:space="preserve"> PAGEREF _Toc9669 \h </w:instrText>
      </w:r>
      <w:r>
        <w:rPr>
          <w:color w:val="auto"/>
        </w:rPr>
        <w:fldChar w:fldCharType="separate"/>
      </w:r>
      <w:r>
        <w:rPr>
          <w:color w:val="auto"/>
        </w:rPr>
        <w:t>70</w:t>
      </w:r>
      <w:r>
        <w:rPr>
          <w:color w:val="auto"/>
        </w:rPr>
        <w:fldChar w:fldCharType="end"/>
      </w:r>
      <w:r>
        <w:rPr>
          <w:rFonts w:ascii="仿宋" w:hAnsi="仿宋" w:eastAsia="仿宋"/>
          <w:color w:val="auto"/>
          <w:szCs w:val="28"/>
        </w:rPr>
        <w:fldChar w:fldCharType="end"/>
      </w:r>
    </w:p>
    <w:p>
      <w:pPr>
        <w:pStyle w:val="9"/>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_Toc13800 </w:instrText>
      </w:r>
      <w:r>
        <w:rPr>
          <w:rFonts w:ascii="仿宋" w:hAnsi="仿宋" w:eastAsia="仿宋"/>
          <w:color w:val="auto"/>
          <w:szCs w:val="28"/>
        </w:rPr>
        <w:fldChar w:fldCharType="separate"/>
      </w:r>
      <w:r>
        <w:rPr>
          <w:rFonts w:hint="eastAsia" w:ascii="微软雅黑" w:hAnsi="微软雅黑" w:eastAsia="微软雅黑"/>
          <w:color w:val="auto"/>
          <w:szCs w:val="32"/>
        </w:rPr>
        <w:t>第</w:t>
      </w:r>
      <w:r>
        <w:rPr>
          <w:rFonts w:hint="eastAsia" w:ascii="微软雅黑" w:hAnsi="微软雅黑" w:eastAsia="微软雅黑"/>
          <w:color w:val="auto"/>
          <w:szCs w:val="32"/>
          <w:lang w:val="en-US" w:eastAsia="zh-CN"/>
        </w:rPr>
        <w:t>四</w:t>
      </w:r>
      <w:r>
        <w:rPr>
          <w:rFonts w:hint="eastAsia" w:ascii="微软雅黑" w:hAnsi="微软雅黑" w:eastAsia="微软雅黑"/>
          <w:color w:val="auto"/>
          <w:szCs w:val="32"/>
        </w:rPr>
        <w:t>章 项目财务分析</w:t>
      </w:r>
      <w:r>
        <w:rPr>
          <w:color w:val="auto"/>
        </w:rPr>
        <w:tab/>
      </w:r>
      <w:r>
        <w:rPr>
          <w:color w:val="auto"/>
        </w:rPr>
        <w:fldChar w:fldCharType="begin"/>
      </w:r>
      <w:r>
        <w:rPr>
          <w:color w:val="auto"/>
        </w:rPr>
        <w:instrText xml:space="preserve"> PAGEREF _Toc13800 \h </w:instrText>
      </w:r>
      <w:r>
        <w:rPr>
          <w:color w:val="auto"/>
        </w:rPr>
        <w:fldChar w:fldCharType="separate"/>
      </w:r>
      <w:r>
        <w:rPr>
          <w:color w:val="auto"/>
        </w:rPr>
        <w:t>70</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_Toc7704 </w:instrText>
      </w:r>
      <w:r>
        <w:rPr>
          <w:rFonts w:ascii="仿宋" w:hAnsi="仿宋" w:eastAsia="仿宋"/>
          <w:color w:val="auto"/>
          <w:szCs w:val="28"/>
        </w:rPr>
        <w:fldChar w:fldCharType="separate"/>
      </w:r>
      <w:r>
        <w:rPr>
          <w:rFonts w:hint="eastAsia" w:ascii="仿宋" w:hAnsi="仿宋" w:eastAsia="仿宋"/>
          <w:color w:val="auto"/>
          <w:szCs w:val="28"/>
          <w:lang w:val="en-US" w:eastAsia="zh-CN"/>
        </w:rPr>
        <w:t>4</w:t>
      </w:r>
      <w:r>
        <w:rPr>
          <w:rFonts w:hint="eastAsia" w:ascii="仿宋" w:hAnsi="仿宋" w:eastAsia="仿宋"/>
          <w:color w:val="auto"/>
          <w:szCs w:val="28"/>
        </w:rPr>
        <w:t>.1财务测算范围</w:t>
      </w:r>
      <w:r>
        <w:rPr>
          <w:color w:val="auto"/>
        </w:rPr>
        <w:tab/>
      </w:r>
      <w:r>
        <w:rPr>
          <w:color w:val="auto"/>
        </w:rPr>
        <w:fldChar w:fldCharType="begin"/>
      </w:r>
      <w:r>
        <w:rPr>
          <w:color w:val="auto"/>
        </w:rPr>
        <w:instrText xml:space="preserve"> PAGEREF _Toc7704 \h </w:instrText>
      </w:r>
      <w:r>
        <w:rPr>
          <w:color w:val="auto"/>
        </w:rPr>
        <w:fldChar w:fldCharType="separate"/>
      </w:r>
      <w:r>
        <w:rPr>
          <w:color w:val="auto"/>
        </w:rPr>
        <w:t>70</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_Toc27693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4.2收入预测</w:t>
      </w:r>
      <w:r>
        <w:rPr>
          <w:color w:val="auto"/>
        </w:rPr>
        <w:tab/>
      </w:r>
      <w:r>
        <w:rPr>
          <w:color w:val="auto"/>
        </w:rPr>
        <w:fldChar w:fldCharType="begin"/>
      </w:r>
      <w:r>
        <w:rPr>
          <w:color w:val="auto"/>
        </w:rPr>
        <w:instrText xml:space="preserve"> PAGEREF _Toc27693 \h </w:instrText>
      </w:r>
      <w:r>
        <w:rPr>
          <w:color w:val="auto"/>
        </w:rPr>
        <w:fldChar w:fldCharType="separate"/>
      </w:r>
      <w:r>
        <w:rPr>
          <w:color w:val="auto"/>
        </w:rPr>
        <w:t>70</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_Toc15538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4.2.1社会资本方收入来源</w:t>
      </w:r>
      <w:r>
        <w:rPr>
          <w:color w:val="auto"/>
        </w:rPr>
        <w:tab/>
      </w:r>
      <w:r>
        <w:rPr>
          <w:color w:val="auto"/>
        </w:rPr>
        <w:fldChar w:fldCharType="begin"/>
      </w:r>
      <w:r>
        <w:rPr>
          <w:color w:val="auto"/>
        </w:rPr>
        <w:instrText xml:space="preserve"> PAGEREF _Toc15538 \h </w:instrText>
      </w:r>
      <w:r>
        <w:rPr>
          <w:color w:val="auto"/>
        </w:rPr>
        <w:fldChar w:fldCharType="separate"/>
      </w:r>
      <w:r>
        <w:rPr>
          <w:color w:val="auto"/>
        </w:rPr>
        <w:t>70</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_Toc28358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4.2.2政府补贴</w:t>
      </w:r>
      <w:r>
        <w:rPr>
          <w:color w:val="auto"/>
        </w:rPr>
        <w:tab/>
      </w:r>
      <w:r>
        <w:rPr>
          <w:color w:val="auto"/>
        </w:rPr>
        <w:fldChar w:fldCharType="begin"/>
      </w:r>
      <w:r>
        <w:rPr>
          <w:color w:val="auto"/>
        </w:rPr>
        <w:instrText xml:space="preserve"> PAGEREF _Toc28358 \h </w:instrText>
      </w:r>
      <w:r>
        <w:rPr>
          <w:color w:val="auto"/>
        </w:rPr>
        <w:fldChar w:fldCharType="separate"/>
      </w:r>
      <w:r>
        <w:rPr>
          <w:color w:val="auto"/>
        </w:rPr>
        <w:t>71</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_Toc12752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4.2.3政策性床位托养费</w:t>
      </w:r>
      <w:r>
        <w:rPr>
          <w:color w:val="auto"/>
        </w:rPr>
        <w:tab/>
      </w:r>
      <w:r>
        <w:rPr>
          <w:color w:val="auto"/>
        </w:rPr>
        <w:fldChar w:fldCharType="begin"/>
      </w:r>
      <w:r>
        <w:rPr>
          <w:color w:val="auto"/>
        </w:rPr>
        <w:instrText xml:space="preserve"> PAGEREF _Toc12752 \h </w:instrText>
      </w:r>
      <w:r>
        <w:rPr>
          <w:color w:val="auto"/>
        </w:rPr>
        <w:fldChar w:fldCharType="separate"/>
      </w:r>
      <w:r>
        <w:rPr>
          <w:color w:val="auto"/>
        </w:rPr>
        <w:t>73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_Toc20560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4.2.4普惠性床位服务费</w:t>
      </w:r>
      <w:r>
        <w:rPr>
          <w:color w:val="auto"/>
        </w:rPr>
        <w:tab/>
      </w:r>
      <w:r>
        <w:rPr>
          <w:color w:val="auto"/>
        </w:rPr>
        <w:fldChar w:fldCharType="begin"/>
      </w:r>
      <w:r>
        <w:rPr>
          <w:color w:val="auto"/>
        </w:rPr>
        <w:instrText xml:space="preserve"> PAGEREF _Toc20560 \h </w:instrText>
      </w:r>
      <w:r>
        <w:rPr>
          <w:color w:val="auto"/>
        </w:rPr>
        <w:fldChar w:fldCharType="separate"/>
      </w:r>
      <w:r>
        <w:rPr>
          <w:color w:val="auto"/>
        </w:rPr>
        <w:t>76</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_Toc9128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4.2.5居民消费价格增长率预估</w:t>
      </w:r>
      <w:r>
        <w:rPr>
          <w:color w:val="auto"/>
        </w:rPr>
        <w:tab/>
      </w:r>
      <w:r>
        <w:rPr>
          <w:color w:val="auto"/>
        </w:rPr>
        <w:fldChar w:fldCharType="begin"/>
      </w:r>
      <w:r>
        <w:rPr>
          <w:color w:val="auto"/>
        </w:rPr>
        <w:instrText xml:space="preserve"> PAGEREF _Toc9128 \h </w:instrText>
      </w:r>
      <w:r>
        <w:rPr>
          <w:color w:val="auto"/>
        </w:rPr>
        <w:fldChar w:fldCharType="separate"/>
      </w:r>
      <w:r>
        <w:rPr>
          <w:color w:val="auto"/>
        </w:rPr>
        <w:t>88</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_Toc11273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4.2.6政策性床位托养服务费预估</w:t>
      </w:r>
      <w:r>
        <w:rPr>
          <w:color w:val="auto"/>
        </w:rPr>
        <w:tab/>
      </w:r>
      <w:r>
        <w:rPr>
          <w:color w:val="auto"/>
        </w:rPr>
        <w:fldChar w:fldCharType="begin"/>
      </w:r>
      <w:r>
        <w:rPr>
          <w:color w:val="auto"/>
        </w:rPr>
        <w:instrText xml:space="preserve"> PAGEREF _Toc11273 \h </w:instrText>
      </w:r>
      <w:r>
        <w:rPr>
          <w:color w:val="auto"/>
        </w:rPr>
        <w:fldChar w:fldCharType="separate"/>
      </w:r>
      <w:r>
        <w:rPr>
          <w:color w:val="auto"/>
        </w:rPr>
        <w:t>90</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_Toc7893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4.2.7普惠性床位服务费预估</w:t>
      </w:r>
      <w:r>
        <w:rPr>
          <w:color w:val="auto"/>
        </w:rPr>
        <w:tab/>
      </w:r>
      <w:r>
        <w:rPr>
          <w:color w:val="auto"/>
        </w:rPr>
        <w:fldChar w:fldCharType="begin"/>
      </w:r>
      <w:r>
        <w:rPr>
          <w:color w:val="auto"/>
        </w:rPr>
        <w:instrText xml:space="preserve"> PAGEREF _Toc7893 \h </w:instrText>
      </w:r>
      <w:r>
        <w:rPr>
          <w:color w:val="auto"/>
        </w:rPr>
        <w:fldChar w:fldCharType="separate"/>
      </w:r>
      <w:r>
        <w:rPr>
          <w:color w:val="auto"/>
        </w:rPr>
        <w:t>91</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_Toc10518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4.3成本预测</w:t>
      </w:r>
      <w:r>
        <w:rPr>
          <w:color w:val="auto"/>
        </w:rPr>
        <w:tab/>
      </w:r>
      <w:r>
        <w:rPr>
          <w:color w:val="auto"/>
        </w:rPr>
        <w:fldChar w:fldCharType="begin"/>
      </w:r>
      <w:r>
        <w:rPr>
          <w:color w:val="auto"/>
        </w:rPr>
        <w:instrText xml:space="preserve"> PAGEREF _Toc10518 \h </w:instrText>
      </w:r>
      <w:r>
        <w:rPr>
          <w:color w:val="auto"/>
        </w:rPr>
        <w:fldChar w:fldCharType="separate"/>
      </w:r>
      <w:r>
        <w:rPr>
          <w:color w:val="auto"/>
        </w:rPr>
        <w:t>93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_Toc3865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4.3.1社会资本方总成本费用</w:t>
      </w:r>
      <w:r>
        <w:rPr>
          <w:color w:val="auto"/>
        </w:rPr>
        <w:tab/>
      </w:r>
      <w:r>
        <w:rPr>
          <w:color w:val="auto"/>
        </w:rPr>
        <w:fldChar w:fldCharType="begin"/>
      </w:r>
      <w:r>
        <w:rPr>
          <w:color w:val="auto"/>
        </w:rPr>
        <w:instrText xml:space="preserve"> PAGEREF _Toc3865 \h </w:instrText>
      </w:r>
      <w:r>
        <w:rPr>
          <w:color w:val="auto"/>
        </w:rPr>
        <w:fldChar w:fldCharType="separate"/>
      </w:r>
      <w:r>
        <w:rPr>
          <w:color w:val="auto"/>
        </w:rPr>
        <w:t>93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_Toc2221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4.3.2租金</w:t>
      </w:r>
      <w:r>
        <w:rPr>
          <w:color w:val="auto"/>
        </w:rPr>
        <w:tab/>
      </w:r>
      <w:r>
        <w:rPr>
          <w:color w:val="auto"/>
        </w:rPr>
        <w:fldChar w:fldCharType="begin"/>
      </w:r>
      <w:r>
        <w:rPr>
          <w:color w:val="auto"/>
        </w:rPr>
        <w:instrText xml:space="preserve"> PAGEREF _Toc2221 \h </w:instrText>
      </w:r>
      <w:r>
        <w:rPr>
          <w:color w:val="auto"/>
        </w:rPr>
        <w:fldChar w:fldCharType="separate"/>
      </w:r>
      <w:r>
        <w:rPr>
          <w:color w:val="auto"/>
        </w:rPr>
        <w:t>93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_Toc11079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4.3.3人工成本</w:t>
      </w:r>
      <w:r>
        <w:rPr>
          <w:color w:val="auto"/>
        </w:rPr>
        <w:tab/>
      </w:r>
      <w:r>
        <w:rPr>
          <w:color w:val="auto"/>
        </w:rPr>
        <w:fldChar w:fldCharType="begin"/>
      </w:r>
      <w:r>
        <w:rPr>
          <w:color w:val="auto"/>
        </w:rPr>
        <w:instrText xml:space="preserve"> PAGEREF _Toc11079 \h </w:instrText>
      </w:r>
      <w:r>
        <w:rPr>
          <w:color w:val="auto"/>
        </w:rPr>
        <w:fldChar w:fldCharType="separate"/>
      </w:r>
      <w:r>
        <w:rPr>
          <w:color w:val="auto"/>
        </w:rPr>
        <w:t>96</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_Toc7917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4.3.4配餐成本</w:t>
      </w:r>
      <w:r>
        <w:rPr>
          <w:color w:val="auto"/>
        </w:rPr>
        <w:tab/>
      </w:r>
      <w:r>
        <w:rPr>
          <w:color w:val="auto"/>
        </w:rPr>
        <w:fldChar w:fldCharType="begin"/>
      </w:r>
      <w:r>
        <w:rPr>
          <w:color w:val="auto"/>
        </w:rPr>
        <w:instrText xml:space="preserve"> PAGEREF _Toc7917 \h </w:instrText>
      </w:r>
      <w:r>
        <w:rPr>
          <w:color w:val="auto"/>
        </w:rPr>
        <w:fldChar w:fldCharType="separate"/>
      </w:r>
      <w:r>
        <w:rPr>
          <w:color w:val="auto"/>
        </w:rPr>
        <w:t>102</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_Toc21834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4.3.5外购燃动力成本</w:t>
      </w:r>
      <w:r>
        <w:rPr>
          <w:color w:val="auto"/>
        </w:rPr>
        <w:tab/>
      </w:r>
      <w:r>
        <w:rPr>
          <w:color w:val="auto"/>
        </w:rPr>
        <w:fldChar w:fldCharType="begin"/>
      </w:r>
      <w:r>
        <w:rPr>
          <w:color w:val="auto"/>
        </w:rPr>
        <w:instrText xml:space="preserve"> PAGEREF _Toc21834 \h </w:instrText>
      </w:r>
      <w:r>
        <w:rPr>
          <w:color w:val="auto"/>
        </w:rPr>
        <w:fldChar w:fldCharType="separate"/>
      </w:r>
      <w:r>
        <w:rPr>
          <w:color w:val="auto"/>
        </w:rPr>
        <w:t>103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_Toc21300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4.3.6维修费</w:t>
      </w:r>
      <w:r>
        <w:rPr>
          <w:color w:val="auto"/>
        </w:rPr>
        <w:tab/>
      </w:r>
      <w:r>
        <w:rPr>
          <w:color w:val="auto"/>
        </w:rPr>
        <w:fldChar w:fldCharType="begin"/>
      </w:r>
      <w:r>
        <w:rPr>
          <w:color w:val="auto"/>
        </w:rPr>
        <w:instrText xml:space="preserve"> PAGEREF _Toc21300 \h </w:instrText>
      </w:r>
      <w:r>
        <w:rPr>
          <w:color w:val="auto"/>
        </w:rPr>
        <w:fldChar w:fldCharType="separate"/>
      </w:r>
      <w:r>
        <w:rPr>
          <w:color w:val="auto"/>
        </w:rPr>
        <w:t>107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_Toc14250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4.3.7管理费及其他费用</w:t>
      </w:r>
      <w:r>
        <w:rPr>
          <w:color w:val="auto"/>
        </w:rPr>
        <w:tab/>
      </w:r>
      <w:r>
        <w:rPr>
          <w:color w:val="auto"/>
        </w:rPr>
        <w:fldChar w:fldCharType="begin"/>
      </w:r>
      <w:r>
        <w:rPr>
          <w:color w:val="auto"/>
        </w:rPr>
        <w:instrText xml:space="preserve"> PAGEREF _Toc14250 \h </w:instrText>
      </w:r>
      <w:r>
        <w:rPr>
          <w:color w:val="auto"/>
        </w:rPr>
        <w:fldChar w:fldCharType="separate"/>
      </w:r>
      <w:r>
        <w:rPr>
          <w:color w:val="auto"/>
        </w:rPr>
        <w:t>109</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_Toc27673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4.3.8税费</w:t>
      </w:r>
      <w:r>
        <w:rPr>
          <w:color w:val="auto"/>
        </w:rPr>
        <w:tab/>
      </w:r>
      <w:r>
        <w:rPr>
          <w:color w:val="auto"/>
        </w:rPr>
        <w:fldChar w:fldCharType="begin"/>
      </w:r>
      <w:r>
        <w:rPr>
          <w:color w:val="auto"/>
        </w:rPr>
        <w:instrText xml:space="preserve"> PAGEREF _Toc27673 \h </w:instrText>
      </w:r>
      <w:r>
        <w:rPr>
          <w:color w:val="auto"/>
        </w:rPr>
        <w:fldChar w:fldCharType="separate"/>
      </w:r>
      <w:r>
        <w:rPr>
          <w:color w:val="auto"/>
        </w:rPr>
        <w:t>110</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_Toc29699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4.4盈利能力分析</w:t>
      </w:r>
      <w:r>
        <w:rPr>
          <w:color w:val="auto"/>
        </w:rPr>
        <w:tab/>
      </w:r>
      <w:r>
        <w:rPr>
          <w:color w:val="auto"/>
        </w:rPr>
        <w:fldChar w:fldCharType="begin"/>
      </w:r>
      <w:r>
        <w:rPr>
          <w:color w:val="auto"/>
        </w:rPr>
        <w:instrText xml:space="preserve"> PAGEREF _Toc29699 \h </w:instrText>
      </w:r>
      <w:r>
        <w:rPr>
          <w:color w:val="auto"/>
        </w:rPr>
        <w:fldChar w:fldCharType="separate"/>
      </w:r>
      <w:r>
        <w:rPr>
          <w:color w:val="auto"/>
        </w:rPr>
        <w:t>112</w:t>
      </w:r>
      <w:r>
        <w:rPr>
          <w:color w:val="auto"/>
        </w:rPr>
        <w:fldChar w:fldCharType="end"/>
      </w:r>
      <w:r>
        <w:rPr>
          <w:rFonts w:ascii="仿宋" w:hAnsi="仿宋" w:eastAsia="仿宋"/>
          <w:color w:val="auto"/>
          <w:szCs w:val="28"/>
        </w:rPr>
        <w:fldChar w:fldCharType="end"/>
      </w:r>
    </w:p>
    <w:p>
      <w:pPr>
        <w:pStyle w:val="9"/>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_Toc19599 </w:instrText>
      </w:r>
      <w:r>
        <w:rPr>
          <w:rFonts w:ascii="仿宋" w:hAnsi="仿宋" w:eastAsia="仿宋"/>
          <w:color w:val="auto"/>
          <w:szCs w:val="28"/>
        </w:rPr>
        <w:fldChar w:fldCharType="separate"/>
      </w:r>
      <w:r>
        <w:rPr>
          <w:rFonts w:hint="eastAsia" w:ascii="微软雅黑" w:hAnsi="微软雅黑" w:eastAsia="微软雅黑" w:cs="Times New Roman"/>
          <w:color w:val="auto"/>
          <w:szCs w:val="32"/>
          <w:lang w:val="en-US" w:eastAsia="zh-CN"/>
        </w:rPr>
        <w:t>第五章 绩效考核机制</w:t>
      </w:r>
      <w:r>
        <w:rPr>
          <w:color w:val="auto"/>
        </w:rPr>
        <w:tab/>
      </w:r>
      <w:r>
        <w:rPr>
          <w:color w:val="auto"/>
        </w:rPr>
        <w:fldChar w:fldCharType="begin"/>
      </w:r>
      <w:r>
        <w:rPr>
          <w:color w:val="auto"/>
        </w:rPr>
        <w:instrText xml:space="preserve"> PAGEREF _Toc19599 \h </w:instrText>
      </w:r>
      <w:r>
        <w:rPr>
          <w:color w:val="auto"/>
        </w:rPr>
        <w:fldChar w:fldCharType="separate"/>
      </w:r>
      <w:r>
        <w:rPr>
          <w:color w:val="auto"/>
        </w:rPr>
        <w:t>115</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_Toc4668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5.1绩效考核机制</w:t>
      </w:r>
      <w:r>
        <w:rPr>
          <w:color w:val="auto"/>
        </w:rPr>
        <w:tab/>
      </w:r>
      <w:r>
        <w:rPr>
          <w:color w:val="auto"/>
        </w:rPr>
        <w:fldChar w:fldCharType="begin"/>
      </w:r>
      <w:r>
        <w:rPr>
          <w:color w:val="auto"/>
        </w:rPr>
        <w:instrText xml:space="preserve"> PAGEREF _Toc4668 \h </w:instrText>
      </w:r>
      <w:r>
        <w:rPr>
          <w:color w:val="auto"/>
        </w:rPr>
        <w:fldChar w:fldCharType="separate"/>
      </w:r>
      <w:r>
        <w:rPr>
          <w:color w:val="auto"/>
        </w:rPr>
        <w:t>115</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_Toc12978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5.2绩效考核方案</w:t>
      </w:r>
      <w:r>
        <w:rPr>
          <w:color w:val="auto"/>
        </w:rPr>
        <w:tab/>
      </w:r>
      <w:r>
        <w:rPr>
          <w:color w:val="auto"/>
        </w:rPr>
        <w:fldChar w:fldCharType="begin"/>
      </w:r>
      <w:r>
        <w:rPr>
          <w:color w:val="auto"/>
        </w:rPr>
        <w:instrText xml:space="preserve"> PAGEREF _Toc12978 \h </w:instrText>
      </w:r>
      <w:r>
        <w:rPr>
          <w:color w:val="auto"/>
        </w:rPr>
        <w:fldChar w:fldCharType="separate"/>
      </w:r>
      <w:r>
        <w:rPr>
          <w:color w:val="auto"/>
        </w:rPr>
        <w:t>115</w:t>
      </w:r>
      <w:r>
        <w:rPr>
          <w:color w:val="auto"/>
        </w:rPr>
        <w:fldChar w:fldCharType="end"/>
      </w:r>
      <w:r>
        <w:rPr>
          <w:rFonts w:ascii="仿宋" w:hAnsi="仿宋" w:eastAsia="仿宋"/>
          <w:color w:val="auto"/>
          <w:szCs w:val="28"/>
        </w:rPr>
        <w:fldChar w:fldCharType="end"/>
      </w:r>
    </w:p>
    <w:p>
      <w:pPr>
        <w:pStyle w:val="9"/>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_Toc7819 </w:instrText>
      </w:r>
      <w:r>
        <w:rPr>
          <w:rFonts w:ascii="仿宋" w:hAnsi="仿宋" w:eastAsia="仿宋"/>
          <w:color w:val="auto"/>
          <w:szCs w:val="28"/>
        </w:rPr>
        <w:fldChar w:fldCharType="separate"/>
      </w:r>
      <w:r>
        <w:rPr>
          <w:rFonts w:hint="eastAsia" w:ascii="微软雅黑" w:hAnsi="微软雅黑" w:eastAsia="微软雅黑" w:cs="Times New Roman"/>
          <w:color w:val="auto"/>
          <w:szCs w:val="32"/>
          <w:lang w:val="en-US" w:eastAsia="zh-CN"/>
        </w:rPr>
        <w:t>第六章 风险分担机制</w:t>
      </w:r>
      <w:r>
        <w:rPr>
          <w:color w:val="auto"/>
        </w:rPr>
        <w:tab/>
      </w:r>
      <w:r>
        <w:rPr>
          <w:color w:val="auto"/>
        </w:rPr>
        <w:fldChar w:fldCharType="begin"/>
      </w:r>
      <w:r>
        <w:rPr>
          <w:color w:val="auto"/>
        </w:rPr>
        <w:instrText xml:space="preserve"> PAGEREF _Toc7819 \h </w:instrText>
      </w:r>
      <w:r>
        <w:rPr>
          <w:color w:val="auto"/>
        </w:rPr>
        <w:fldChar w:fldCharType="separate"/>
      </w:r>
      <w:r>
        <w:rPr>
          <w:color w:val="auto"/>
        </w:rPr>
        <w:t>116</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_Toc20034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6.1风险识别</w:t>
      </w:r>
      <w:r>
        <w:rPr>
          <w:color w:val="auto"/>
        </w:rPr>
        <w:tab/>
      </w:r>
      <w:r>
        <w:rPr>
          <w:color w:val="auto"/>
        </w:rPr>
        <w:fldChar w:fldCharType="begin"/>
      </w:r>
      <w:r>
        <w:rPr>
          <w:color w:val="auto"/>
        </w:rPr>
        <w:instrText xml:space="preserve"> PAGEREF _Toc20034 \h </w:instrText>
      </w:r>
      <w:r>
        <w:rPr>
          <w:color w:val="auto"/>
        </w:rPr>
        <w:fldChar w:fldCharType="separate"/>
      </w:r>
      <w:r>
        <w:rPr>
          <w:color w:val="auto"/>
        </w:rPr>
        <w:t>116</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_Toc5254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6.1.1政策和社会稳定风险</w:t>
      </w:r>
      <w:r>
        <w:rPr>
          <w:color w:val="auto"/>
        </w:rPr>
        <w:tab/>
      </w:r>
      <w:r>
        <w:rPr>
          <w:color w:val="auto"/>
        </w:rPr>
        <w:fldChar w:fldCharType="begin"/>
      </w:r>
      <w:r>
        <w:rPr>
          <w:color w:val="auto"/>
        </w:rPr>
        <w:instrText xml:space="preserve"> PAGEREF _Toc5254 \h </w:instrText>
      </w:r>
      <w:r>
        <w:rPr>
          <w:color w:val="auto"/>
        </w:rPr>
        <w:fldChar w:fldCharType="separate"/>
      </w:r>
      <w:r>
        <w:rPr>
          <w:color w:val="auto"/>
        </w:rPr>
        <w:t>117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_Toc29676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6.1.2法律及合约风险</w:t>
      </w:r>
      <w:r>
        <w:rPr>
          <w:color w:val="auto"/>
        </w:rPr>
        <w:tab/>
      </w:r>
      <w:r>
        <w:rPr>
          <w:color w:val="auto"/>
        </w:rPr>
        <w:fldChar w:fldCharType="begin"/>
      </w:r>
      <w:r>
        <w:rPr>
          <w:color w:val="auto"/>
        </w:rPr>
        <w:instrText xml:space="preserve"> PAGEREF _Toc29676 \h </w:instrText>
      </w:r>
      <w:r>
        <w:rPr>
          <w:color w:val="auto"/>
        </w:rPr>
        <w:fldChar w:fldCharType="separate"/>
      </w:r>
      <w:r>
        <w:rPr>
          <w:color w:val="auto"/>
        </w:rPr>
        <w:t>117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_Toc26580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6.1.3金融风险</w:t>
      </w:r>
      <w:r>
        <w:rPr>
          <w:color w:val="auto"/>
        </w:rPr>
        <w:tab/>
      </w:r>
      <w:r>
        <w:rPr>
          <w:color w:val="auto"/>
        </w:rPr>
        <w:fldChar w:fldCharType="begin"/>
      </w:r>
      <w:r>
        <w:rPr>
          <w:color w:val="auto"/>
        </w:rPr>
        <w:instrText xml:space="preserve"> PAGEREF _Toc26580 \h </w:instrText>
      </w:r>
      <w:r>
        <w:rPr>
          <w:color w:val="auto"/>
        </w:rPr>
        <w:fldChar w:fldCharType="separate"/>
      </w:r>
      <w:r>
        <w:rPr>
          <w:color w:val="auto"/>
        </w:rPr>
        <w:t>118</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_Toc7108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6.1.4运营风险</w:t>
      </w:r>
      <w:r>
        <w:rPr>
          <w:color w:val="auto"/>
        </w:rPr>
        <w:tab/>
      </w:r>
      <w:r>
        <w:rPr>
          <w:color w:val="auto"/>
        </w:rPr>
        <w:fldChar w:fldCharType="begin"/>
      </w:r>
      <w:r>
        <w:rPr>
          <w:color w:val="auto"/>
        </w:rPr>
        <w:instrText xml:space="preserve"> PAGEREF _Toc7108 \h </w:instrText>
      </w:r>
      <w:r>
        <w:rPr>
          <w:color w:val="auto"/>
        </w:rPr>
        <w:fldChar w:fldCharType="separate"/>
      </w:r>
      <w:r>
        <w:rPr>
          <w:color w:val="auto"/>
        </w:rPr>
        <w:t>119</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_Toc16178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6.1.5不可抗力风险</w:t>
      </w:r>
      <w:r>
        <w:rPr>
          <w:color w:val="auto"/>
        </w:rPr>
        <w:tab/>
      </w:r>
      <w:r>
        <w:rPr>
          <w:color w:val="auto"/>
        </w:rPr>
        <w:fldChar w:fldCharType="begin"/>
      </w:r>
      <w:r>
        <w:rPr>
          <w:color w:val="auto"/>
        </w:rPr>
        <w:instrText xml:space="preserve"> PAGEREF _Toc16178 \h </w:instrText>
      </w:r>
      <w:r>
        <w:rPr>
          <w:color w:val="auto"/>
        </w:rPr>
        <w:fldChar w:fldCharType="separate"/>
      </w:r>
      <w:r>
        <w:rPr>
          <w:color w:val="auto"/>
        </w:rPr>
        <w:t>120</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_Toc3228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6.2风险分配</w:t>
      </w:r>
      <w:r>
        <w:rPr>
          <w:color w:val="auto"/>
        </w:rPr>
        <w:tab/>
      </w:r>
      <w:r>
        <w:rPr>
          <w:color w:val="auto"/>
        </w:rPr>
        <w:fldChar w:fldCharType="begin"/>
      </w:r>
      <w:r>
        <w:rPr>
          <w:color w:val="auto"/>
        </w:rPr>
        <w:instrText xml:space="preserve"> PAGEREF _Toc3228 \h </w:instrText>
      </w:r>
      <w:r>
        <w:rPr>
          <w:color w:val="auto"/>
        </w:rPr>
        <w:fldChar w:fldCharType="separate"/>
      </w:r>
      <w:r>
        <w:rPr>
          <w:color w:val="auto"/>
        </w:rPr>
        <w:t>120</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_Toc23794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6.2.1风险分配原则</w:t>
      </w:r>
      <w:r>
        <w:rPr>
          <w:color w:val="auto"/>
        </w:rPr>
        <w:tab/>
      </w:r>
      <w:r>
        <w:rPr>
          <w:color w:val="auto"/>
        </w:rPr>
        <w:fldChar w:fldCharType="begin"/>
      </w:r>
      <w:r>
        <w:rPr>
          <w:color w:val="auto"/>
        </w:rPr>
        <w:instrText xml:space="preserve"> PAGEREF _Toc23794 \h </w:instrText>
      </w:r>
      <w:r>
        <w:rPr>
          <w:color w:val="auto"/>
        </w:rPr>
        <w:fldChar w:fldCharType="separate"/>
      </w:r>
      <w:r>
        <w:rPr>
          <w:color w:val="auto"/>
        </w:rPr>
        <w:t>120</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_Toc25380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6.2.2风险分配</w:t>
      </w:r>
      <w:r>
        <w:rPr>
          <w:color w:val="auto"/>
        </w:rPr>
        <w:tab/>
      </w:r>
      <w:r>
        <w:rPr>
          <w:color w:val="auto"/>
        </w:rPr>
        <w:fldChar w:fldCharType="begin"/>
      </w:r>
      <w:r>
        <w:rPr>
          <w:color w:val="auto"/>
        </w:rPr>
        <w:instrText xml:space="preserve"> PAGEREF _Toc25380 \h </w:instrText>
      </w:r>
      <w:r>
        <w:rPr>
          <w:color w:val="auto"/>
        </w:rPr>
        <w:fldChar w:fldCharType="separate"/>
      </w:r>
      <w:r>
        <w:rPr>
          <w:color w:val="auto"/>
        </w:rPr>
        <w:t>121</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_Toc18460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6.3风险控制</w:t>
      </w:r>
      <w:r>
        <w:rPr>
          <w:color w:val="auto"/>
        </w:rPr>
        <w:tab/>
      </w:r>
      <w:r>
        <w:rPr>
          <w:color w:val="auto"/>
        </w:rPr>
        <w:fldChar w:fldCharType="begin"/>
      </w:r>
      <w:r>
        <w:rPr>
          <w:color w:val="auto"/>
        </w:rPr>
        <w:instrText xml:space="preserve"> PAGEREF _Toc18460 \h </w:instrText>
      </w:r>
      <w:r>
        <w:rPr>
          <w:color w:val="auto"/>
        </w:rPr>
        <w:fldChar w:fldCharType="separate"/>
      </w:r>
      <w:r>
        <w:rPr>
          <w:color w:val="auto"/>
        </w:rPr>
        <w:t>122</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_Toc23287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6.3.1程序合法合规原则</w:t>
      </w:r>
      <w:r>
        <w:rPr>
          <w:color w:val="auto"/>
        </w:rPr>
        <w:tab/>
      </w:r>
      <w:r>
        <w:rPr>
          <w:color w:val="auto"/>
        </w:rPr>
        <w:fldChar w:fldCharType="begin"/>
      </w:r>
      <w:r>
        <w:rPr>
          <w:color w:val="auto"/>
        </w:rPr>
        <w:instrText xml:space="preserve"> PAGEREF _Toc23287 \h </w:instrText>
      </w:r>
      <w:r>
        <w:rPr>
          <w:color w:val="auto"/>
        </w:rPr>
        <w:fldChar w:fldCharType="separate"/>
      </w:r>
      <w:r>
        <w:rPr>
          <w:color w:val="auto"/>
        </w:rPr>
        <w:t>122</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_Toc9169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6.3.2遵循法治原则</w:t>
      </w:r>
      <w:r>
        <w:rPr>
          <w:color w:val="auto"/>
        </w:rPr>
        <w:tab/>
      </w:r>
      <w:r>
        <w:rPr>
          <w:color w:val="auto"/>
        </w:rPr>
        <w:fldChar w:fldCharType="begin"/>
      </w:r>
      <w:r>
        <w:rPr>
          <w:color w:val="auto"/>
        </w:rPr>
        <w:instrText xml:space="preserve"> PAGEREF _Toc9169 \h </w:instrText>
      </w:r>
      <w:r>
        <w:rPr>
          <w:color w:val="auto"/>
        </w:rPr>
        <w:fldChar w:fldCharType="separate"/>
      </w:r>
      <w:r>
        <w:rPr>
          <w:color w:val="auto"/>
        </w:rPr>
        <w:t>122</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_Toc12530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6.3.3公开透明原则</w:t>
      </w:r>
      <w:r>
        <w:rPr>
          <w:color w:val="auto"/>
        </w:rPr>
        <w:tab/>
      </w:r>
      <w:r>
        <w:rPr>
          <w:color w:val="auto"/>
        </w:rPr>
        <w:fldChar w:fldCharType="begin"/>
      </w:r>
      <w:r>
        <w:rPr>
          <w:color w:val="auto"/>
        </w:rPr>
        <w:instrText xml:space="preserve"> PAGEREF _Toc12530 \h </w:instrText>
      </w:r>
      <w:r>
        <w:rPr>
          <w:color w:val="auto"/>
        </w:rPr>
        <w:fldChar w:fldCharType="separate"/>
      </w:r>
      <w:r>
        <w:rPr>
          <w:color w:val="auto"/>
        </w:rPr>
        <w:t>123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_Toc20140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6.3.4公平对等原则</w:t>
      </w:r>
      <w:r>
        <w:rPr>
          <w:color w:val="auto"/>
        </w:rPr>
        <w:tab/>
      </w:r>
      <w:r>
        <w:rPr>
          <w:color w:val="auto"/>
        </w:rPr>
        <w:fldChar w:fldCharType="begin"/>
      </w:r>
      <w:r>
        <w:rPr>
          <w:color w:val="auto"/>
        </w:rPr>
        <w:instrText xml:space="preserve"> PAGEREF _Toc20140 \h </w:instrText>
      </w:r>
      <w:r>
        <w:rPr>
          <w:color w:val="auto"/>
        </w:rPr>
        <w:fldChar w:fldCharType="separate"/>
      </w:r>
      <w:r>
        <w:rPr>
          <w:color w:val="auto"/>
        </w:rPr>
        <w:t>123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_Toc29084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6.3.5切实履约原则</w:t>
      </w:r>
      <w:r>
        <w:rPr>
          <w:color w:val="auto"/>
        </w:rPr>
        <w:tab/>
      </w:r>
      <w:r>
        <w:rPr>
          <w:color w:val="auto"/>
        </w:rPr>
        <w:fldChar w:fldCharType="begin"/>
      </w:r>
      <w:r>
        <w:rPr>
          <w:color w:val="auto"/>
        </w:rPr>
        <w:instrText xml:space="preserve"> PAGEREF _Toc29084 \h </w:instrText>
      </w:r>
      <w:r>
        <w:rPr>
          <w:color w:val="auto"/>
        </w:rPr>
        <w:fldChar w:fldCharType="separate"/>
      </w:r>
      <w:r>
        <w:rPr>
          <w:color w:val="auto"/>
        </w:rPr>
        <w:t>123</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_Toc29224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6.4.风险处理原则</w:t>
      </w:r>
      <w:r>
        <w:rPr>
          <w:color w:val="auto"/>
        </w:rPr>
        <w:tab/>
      </w:r>
      <w:r>
        <w:rPr>
          <w:color w:val="auto"/>
        </w:rPr>
        <w:fldChar w:fldCharType="begin"/>
      </w:r>
      <w:r>
        <w:rPr>
          <w:color w:val="auto"/>
        </w:rPr>
        <w:instrText xml:space="preserve"> PAGEREF _Toc29224 \h </w:instrText>
      </w:r>
      <w:r>
        <w:rPr>
          <w:color w:val="auto"/>
        </w:rPr>
        <w:fldChar w:fldCharType="separate"/>
      </w:r>
      <w:r>
        <w:rPr>
          <w:color w:val="auto"/>
        </w:rPr>
        <w:t>124</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_Toc23389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6.4.1风险程度最小化</w:t>
      </w:r>
      <w:r>
        <w:rPr>
          <w:color w:val="auto"/>
        </w:rPr>
        <w:tab/>
      </w:r>
      <w:r>
        <w:rPr>
          <w:color w:val="auto"/>
        </w:rPr>
        <w:fldChar w:fldCharType="begin"/>
      </w:r>
      <w:r>
        <w:rPr>
          <w:color w:val="auto"/>
        </w:rPr>
        <w:instrText xml:space="preserve"> PAGEREF _Toc23389 \h </w:instrText>
      </w:r>
      <w:r>
        <w:rPr>
          <w:color w:val="auto"/>
        </w:rPr>
        <w:fldChar w:fldCharType="separate"/>
      </w:r>
      <w:r>
        <w:rPr>
          <w:color w:val="auto"/>
        </w:rPr>
        <w:t>124</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_Toc10850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6.4.2主体明确，风险共担</w:t>
      </w:r>
      <w:r>
        <w:rPr>
          <w:color w:val="auto"/>
        </w:rPr>
        <w:tab/>
      </w:r>
      <w:r>
        <w:rPr>
          <w:color w:val="auto"/>
        </w:rPr>
        <w:fldChar w:fldCharType="begin"/>
      </w:r>
      <w:r>
        <w:rPr>
          <w:color w:val="auto"/>
        </w:rPr>
        <w:instrText xml:space="preserve"> PAGEREF _Toc10850 \h </w:instrText>
      </w:r>
      <w:r>
        <w:rPr>
          <w:color w:val="auto"/>
        </w:rPr>
        <w:fldChar w:fldCharType="separate"/>
      </w:r>
      <w:r>
        <w:rPr>
          <w:color w:val="auto"/>
        </w:rPr>
        <w:t>124</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_Toc31701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6.4.3善意继续履约</w:t>
      </w:r>
      <w:r>
        <w:rPr>
          <w:color w:val="auto"/>
        </w:rPr>
        <w:tab/>
      </w:r>
      <w:r>
        <w:rPr>
          <w:color w:val="auto"/>
        </w:rPr>
        <w:fldChar w:fldCharType="begin"/>
      </w:r>
      <w:r>
        <w:rPr>
          <w:color w:val="auto"/>
        </w:rPr>
        <w:instrText xml:space="preserve"> PAGEREF _Toc31701 \h </w:instrText>
      </w:r>
      <w:r>
        <w:rPr>
          <w:color w:val="auto"/>
        </w:rPr>
        <w:fldChar w:fldCharType="separate"/>
      </w:r>
      <w:r>
        <w:rPr>
          <w:color w:val="auto"/>
        </w:rPr>
        <w:t>124</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_Toc28841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6.4.4善意协商解决</w:t>
      </w:r>
      <w:r>
        <w:rPr>
          <w:color w:val="auto"/>
        </w:rPr>
        <w:tab/>
      </w:r>
      <w:r>
        <w:rPr>
          <w:color w:val="auto"/>
        </w:rPr>
        <w:fldChar w:fldCharType="begin"/>
      </w:r>
      <w:r>
        <w:rPr>
          <w:color w:val="auto"/>
        </w:rPr>
        <w:instrText xml:space="preserve"> PAGEREF _Toc28841 \h </w:instrText>
      </w:r>
      <w:r>
        <w:rPr>
          <w:color w:val="auto"/>
        </w:rPr>
        <w:fldChar w:fldCharType="separate"/>
      </w:r>
      <w:r>
        <w:rPr>
          <w:color w:val="auto"/>
        </w:rPr>
        <w:t>124</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_Toc10393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6.5.项目风险对策</w:t>
      </w:r>
      <w:r>
        <w:rPr>
          <w:color w:val="auto"/>
        </w:rPr>
        <w:tab/>
      </w:r>
      <w:r>
        <w:rPr>
          <w:color w:val="auto"/>
        </w:rPr>
        <w:fldChar w:fldCharType="begin"/>
      </w:r>
      <w:r>
        <w:rPr>
          <w:color w:val="auto"/>
        </w:rPr>
        <w:instrText xml:space="preserve"> PAGEREF _Toc10393 \h </w:instrText>
      </w:r>
      <w:r>
        <w:rPr>
          <w:color w:val="auto"/>
        </w:rPr>
        <w:fldChar w:fldCharType="separate"/>
      </w:r>
      <w:r>
        <w:rPr>
          <w:color w:val="auto"/>
        </w:rPr>
        <w:t>124</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_Toc1970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6.5.1政策和社会稳定风险对策</w:t>
      </w:r>
      <w:r>
        <w:rPr>
          <w:color w:val="auto"/>
        </w:rPr>
        <w:tab/>
      </w:r>
      <w:r>
        <w:rPr>
          <w:color w:val="auto"/>
        </w:rPr>
        <w:fldChar w:fldCharType="begin"/>
      </w:r>
      <w:r>
        <w:rPr>
          <w:color w:val="auto"/>
        </w:rPr>
        <w:instrText xml:space="preserve"> PAGEREF _Toc1970 \h </w:instrText>
      </w:r>
      <w:r>
        <w:rPr>
          <w:color w:val="auto"/>
        </w:rPr>
        <w:fldChar w:fldCharType="separate"/>
      </w:r>
      <w:r>
        <w:rPr>
          <w:color w:val="auto"/>
        </w:rPr>
        <w:t>124</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_Toc14105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6.5.2法律及合约风险</w:t>
      </w:r>
      <w:r>
        <w:rPr>
          <w:color w:val="auto"/>
        </w:rPr>
        <w:tab/>
      </w:r>
      <w:r>
        <w:rPr>
          <w:color w:val="auto"/>
        </w:rPr>
        <w:fldChar w:fldCharType="begin"/>
      </w:r>
      <w:r>
        <w:rPr>
          <w:color w:val="auto"/>
        </w:rPr>
        <w:instrText xml:space="preserve"> PAGEREF _Toc14105 \h </w:instrText>
      </w:r>
      <w:r>
        <w:rPr>
          <w:color w:val="auto"/>
        </w:rPr>
        <w:fldChar w:fldCharType="separate"/>
      </w:r>
      <w:r>
        <w:rPr>
          <w:color w:val="auto"/>
        </w:rPr>
        <w:t>125</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_Toc24187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6.5.3金融风险对策</w:t>
      </w:r>
      <w:r>
        <w:rPr>
          <w:color w:val="auto"/>
        </w:rPr>
        <w:tab/>
      </w:r>
      <w:r>
        <w:rPr>
          <w:color w:val="auto"/>
        </w:rPr>
        <w:fldChar w:fldCharType="begin"/>
      </w:r>
      <w:r>
        <w:rPr>
          <w:color w:val="auto"/>
        </w:rPr>
        <w:instrText xml:space="preserve"> PAGEREF _Toc24187 \h </w:instrText>
      </w:r>
      <w:r>
        <w:rPr>
          <w:color w:val="auto"/>
        </w:rPr>
        <w:fldChar w:fldCharType="separate"/>
      </w:r>
      <w:r>
        <w:rPr>
          <w:color w:val="auto"/>
        </w:rPr>
        <w:t>125</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_Toc13444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6.5.4运营风险对策</w:t>
      </w:r>
      <w:r>
        <w:rPr>
          <w:color w:val="auto"/>
        </w:rPr>
        <w:tab/>
      </w:r>
      <w:r>
        <w:rPr>
          <w:color w:val="auto"/>
        </w:rPr>
        <w:fldChar w:fldCharType="begin"/>
      </w:r>
      <w:r>
        <w:rPr>
          <w:color w:val="auto"/>
        </w:rPr>
        <w:instrText xml:space="preserve"> PAGEREF _Toc13444 \h </w:instrText>
      </w:r>
      <w:r>
        <w:rPr>
          <w:color w:val="auto"/>
        </w:rPr>
        <w:fldChar w:fldCharType="separate"/>
      </w:r>
      <w:r>
        <w:rPr>
          <w:color w:val="auto"/>
        </w:rPr>
        <w:t>126</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_Toc18195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6.5.5不可抗力风险对策</w:t>
      </w:r>
      <w:r>
        <w:rPr>
          <w:color w:val="auto"/>
        </w:rPr>
        <w:tab/>
      </w:r>
      <w:r>
        <w:rPr>
          <w:color w:val="auto"/>
        </w:rPr>
        <w:fldChar w:fldCharType="begin"/>
      </w:r>
      <w:r>
        <w:rPr>
          <w:color w:val="auto"/>
        </w:rPr>
        <w:instrText xml:space="preserve"> PAGEREF _Toc18195 \h </w:instrText>
      </w:r>
      <w:r>
        <w:rPr>
          <w:color w:val="auto"/>
        </w:rPr>
        <w:fldChar w:fldCharType="separate"/>
      </w:r>
      <w:r>
        <w:rPr>
          <w:color w:val="auto"/>
        </w:rPr>
        <w:t>126</w:t>
      </w:r>
      <w:r>
        <w:rPr>
          <w:color w:val="auto"/>
        </w:rPr>
        <w:fldChar w:fldCharType="end"/>
      </w:r>
      <w:r>
        <w:rPr>
          <w:rFonts w:ascii="仿宋" w:hAnsi="仿宋" w:eastAsia="仿宋"/>
          <w:color w:val="auto"/>
          <w:szCs w:val="28"/>
        </w:rPr>
        <w:fldChar w:fldCharType="end"/>
      </w:r>
    </w:p>
    <w:p>
      <w:pPr>
        <w:pStyle w:val="9"/>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_Toc9686 </w:instrText>
      </w:r>
      <w:r>
        <w:rPr>
          <w:rFonts w:ascii="仿宋" w:hAnsi="仿宋" w:eastAsia="仿宋"/>
          <w:color w:val="auto"/>
          <w:szCs w:val="28"/>
        </w:rPr>
        <w:fldChar w:fldCharType="separate"/>
      </w:r>
      <w:r>
        <w:rPr>
          <w:rFonts w:hint="eastAsia" w:ascii="微软雅黑" w:hAnsi="微软雅黑" w:eastAsia="微软雅黑" w:cs="Times New Roman"/>
          <w:color w:val="auto"/>
          <w:szCs w:val="32"/>
          <w:lang w:val="en-US" w:eastAsia="zh-CN"/>
        </w:rPr>
        <w:t>第七章 合同体系</w:t>
      </w:r>
      <w:r>
        <w:rPr>
          <w:color w:val="auto"/>
        </w:rPr>
        <w:tab/>
      </w:r>
      <w:r>
        <w:rPr>
          <w:color w:val="auto"/>
        </w:rPr>
        <w:fldChar w:fldCharType="begin"/>
      </w:r>
      <w:r>
        <w:rPr>
          <w:color w:val="auto"/>
        </w:rPr>
        <w:instrText xml:space="preserve"> PAGEREF _Toc9686 \h </w:instrText>
      </w:r>
      <w:r>
        <w:rPr>
          <w:color w:val="auto"/>
        </w:rPr>
        <w:fldChar w:fldCharType="separate"/>
      </w:r>
      <w:r>
        <w:rPr>
          <w:color w:val="auto"/>
        </w:rPr>
        <w:t>127</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_Toc2281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7.1合同体系</w:t>
      </w:r>
      <w:r>
        <w:rPr>
          <w:color w:val="auto"/>
        </w:rPr>
        <w:tab/>
      </w:r>
      <w:r>
        <w:rPr>
          <w:color w:val="auto"/>
        </w:rPr>
        <w:fldChar w:fldCharType="begin"/>
      </w:r>
      <w:r>
        <w:rPr>
          <w:color w:val="auto"/>
        </w:rPr>
        <w:instrText xml:space="preserve"> PAGEREF _Toc2281 \h </w:instrText>
      </w:r>
      <w:r>
        <w:rPr>
          <w:color w:val="auto"/>
        </w:rPr>
        <w:fldChar w:fldCharType="separate"/>
      </w:r>
      <w:r>
        <w:rPr>
          <w:color w:val="auto"/>
        </w:rPr>
        <w:t>127</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_Toc22920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7.2各方参与主要权利与义务</w:t>
      </w:r>
      <w:r>
        <w:rPr>
          <w:color w:val="auto"/>
        </w:rPr>
        <w:tab/>
      </w:r>
      <w:r>
        <w:rPr>
          <w:color w:val="auto"/>
        </w:rPr>
        <w:fldChar w:fldCharType="begin"/>
      </w:r>
      <w:r>
        <w:rPr>
          <w:color w:val="auto"/>
        </w:rPr>
        <w:instrText xml:space="preserve"> PAGEREF _Toc22920 \h </w:instrText>
      </w:r>
      <w:r>
        <w:rPr>
          <w:color w:val="auto"/>
        </w:rPr>
        <w:fldChar w:fldCharType="separate"/>
      </w:r>
      <w:r>
        <w:rPr>
          <w:color w:val="auto"/>
        </w:rPr>
        <w:t>127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_Toc21075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7.2.1实施机构的权利和义务</w:t>
      </w:r>
      <w:r>
        <w:rPr>
          <w:color w:val="auto"/>
        </w:rPr>
        <w:tab/>
      </w:r>
      <w:r>
        <w:rPr>
          <w:color w:val="auto"/>
        </w:rPr>
        <w:fldChar w:fldCharType="begin"/>
      </w:r>
      <w:r>
        <w:rPr>
          <w:color w:val="auto"/>
        </w:rPr>
        <w:instrText xml:space="preserve"> PAGEREF _Toc21075 \h </w:instrText>
      </w:r>
      <w:r>
        <w:rPr>
          <w:color w:val="auto"/>
        </w:rPr>
        <w:fldChar w:fldCharType="separate"/>
      </w:r>
      <w:r>
        <w:rPr>
          <w:color w:val="auto"/>
        </w:rPr>
        <w:t>127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_Toc24430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7.2.2社会资本方的权利和义务</w:t>
      </w:r>
      <w:r>
        <w:rPr>
          <w:color w:val="auto"/>
        </w:rPr>
        <w:tab/>
      </w:r>
      <w:r>
        <w:rPr>
          <w:color w:val="auto"/>
        </w:rPr>
        <w:fldChar w:fldCharType="begin"/>
      </w:r>
      <w:r>
        <w:rPr>
          <w:color w:val="auto"/>
        </w:rPr>
        <w:instrText xml:space="preserve"> PAGEREF _Toc24430 \h </w:instrText>
      </w:r>
      <w:r>
        <w:rPr>
          <w:color w:val="auto"/>
        </w:rPr>
        <w:fldChar w:fldCharType="separate"/>
      </w:r>
      <w:r>
        <w:rPr>
          <w:color w:val="auto"/>
        </w:rPr>
        <w:t>129</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_Toc27484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7.3社会资本方的核心框架</w:t>
      </w:r>
      <w:r>
        <w:rPr>
          <w:color w:val="auto"/>
        </w:rPr>
        <w:tab/>
      </w:r>
      <w:r>
        <w:rPr>
          <w:color w:val="auto"/>
        </w:rPr>
        <w:fldChar w:fldCharType="begin"/>
      </w:r>
      <w:r>
        <w:rPr>
          <w:color w:val="auto"/>
        </w:rPr>
        <w:instrText xml:space="preserve"> PAGEREF _Toc27484 \h </w:instrText>
      </w:r>
      <w:r>
        <w:rPr>
          <w:color w:val="auto"/>
        </w:rPr>
        <w:fldChar w:fldCharType="separate"/>
      </w:r>
      <w:r>
        <w:rPr>
          <w:color w:val="auto"/>
        </w:rPr>
        <w:t>131</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_Toc8387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7.3.1社会资本方的运营范围</w:t>
      </w:r>
      <w:r>
        <w:rPr>
          <w:color w:val="auto"/>
        </w:rPr>
        <w:tab/>
      </w:r>
      <w:r>
        <w:rPr>
          <w:color w:val="auto"/>
        </w:rPr>
        <w:fldChar w:fldCharType="begin"/>
      </w:r>
      <w:r>
        <w:rPr>
          <w:color w:val="auto"/>
        </w:rPr>
        <w:instrText xml:space="preserve"> PAGEREF _Toc8387 \h </w:instrText>
      </w:r>
      <w:r>
        <w:rPr>
          <w:color w:val="auto"/>
        </w:rPr>
        <w:fldChar w:fldCharType="separate"/>
      </w:r>
      <w:r>
        <w:rPr>
          <w:color w:val="auto"/>
        </w:rPr>
        <w:t>131</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_Toc23597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7.3.2运营维护权</w:t>
      </w:r>
      <w:r>
        <w:rPr>
          <w:color w:val="auto"/>
        </w:rPr>
        <w:tab/>
      </w:r>
      <w:r>
        <w:rPr>
          <w:color w:val="auto"/>
        </w:rPr>
        <w:fldChar w:fldCharType="begin"/>
      </w:r>
      <w:r>
        <w:rPr>
          <w:color w:val="auto"/>
        </w:rPr>
        <w:instrText xml:space="preserve"> PAGEREF _Toc23597 \h </w:instrText>
      </w:r>
      <w:r>
        <w:rPr>
          <w:color w:val="auto"/>
        </w:rPr>
        <w:fldChar w:fldCharType="separate"/>
      </w:r>
      <w:r>
        <w:rPr>
          <w:color w:val="auto"/>
        </w:rPr>
        <w:t>132</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_Toc8575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7.3.3租赁期限</w:t>
      </w:r>
      <w:r>
        <w:rPr>
          <w:color w:val="auto"/>
        </w:rPr>
        <w:tab/>
      </w:r>
      <w:r>
        <w:rPr>
          <w:color w:val="auto"/>
        </w:rPr>
        <w:fldChar w:fldCharType="begin"/>
      </w:r>
      <w:r>
        <w:rPr>
          <w:color w:val="auto"/>
        </w:rPr>
        <w:instrText xml:space="preserve"> PAGEREF _Toc8575 \h </w:instrText>
      </w:r>
      <w:r>
        <w:rPr>
          <w:color w:val="auto"/>
        </w:rPr>
        <w:fldChar w:fldCharType="separate"/>
      </w:r>
      <w:r>
        <w:rPr>
          <w:color w:val="auto"/>
        </w:rPr>
        <w:t>132</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_Toc2950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7.4运营维护核心框架</w:t>
      </w:r>
      <w:r>
        <w:rPr>
          <w:color w:val="auto"/>
        </w:rPr>
        <w:tab/>
      </w:r>
      <w:r>
        <w:rPr>
          <w:color w:val="auto"/>
        </w:rPr>
        <w:fldChar w:fldCharType="begin"/>
      </w:r>
      <w:r>
        <w:rPr>
          <w:color w:val="auto"/>
        </w:rPr>
        <w:instrText xml:space="preserve"> PAGEREF _Toc2950 \h </w:instrText>
      </w:r>
      <w:r>
        <w:rPr>
          <w:color w:val="auto"/>
        </w:rPr>
        <w:fldChar w:fldCharType="separate"/>
      </w:r>
      <w:r>
        <w:rPr>
          <w:color w:val="auto"/>
        </w:rPr>
        <w:t>133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_Toc32101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7.4.1项目运营维护</w:t>
      </w:r>
      <w:r>
        <w:rPr>
          <w:color w:val="auto"/>
        </w:rPr>
        <w:tab/>
      </w:r>
      <w:r>
        <w:rPr>
          <w:color w:val="auto"/>
        </w:rPr>
        <w:fldChar w:fldCharType="begin"/>
      </w:r>
      <w:r>
        <w:rPr>
          <w:color w:val="auto"/>
        </w:rPr>
        <w:instrText xml:space="preserve"> PAGEREF _Toc32101 \h </w:instrText>
      </w:r>
      <w:r>
        <w:rPr>
          <w:color w:val="auto"/>
        </w:rPr>
        <w:fldChar w:fldCharType="separate"/>
      </w:r>
      <w:r>
        <w:rPr>
          <w:color w:val="auto"/>
        </w:rPr>
        <w:t>133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_Toc15901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7.4.2项目设施的使用</w:t>
      </w:r>
      <w:r>
        <w:rPr>
          <w:color w:val="auto"/>
        </w:rPr>
        <w:tab/>
      </w:r>
      <w:r>
        <w:rPr>
          <w:color w:val="auto"/>
        </w:rPr>
        <w:fldChar w:fldCharType="begin"/>
      </w:r>
      <w:r>
        <w:rPr>
          <w:color w:val="auto"/>
        </w:rPr>
        <w:instrText xml:space="preserve"> PAGEREF _Toc15901 \h </w:instrText>
      </w:r>
      <w:r>
        <w:rPr>
          <w:color w:val="auto"/>
        </w:rPr>
        <w:fldChar w:fldCharType="separate"/>
      </w:r>
      <w:r>
        <w:rPr>
          <w:color w:val="auto"/>
        </w:rPr>
        <w:t>133</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_Toc1640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7.5期满后项目设施移交</w:t>
      </w:r>
      <w:r>
        <w:rPr>
          <w:color w:val="auto"/>
        </w:rPr>
        <w:tab/>
      </w:r>
      <w:r>
        <w:rPr>
          <w:color w:val="auto"/>
        </w:rPr>
        <w:fldChar w:fldCharType="begin"/>
      </w:r>
      <w:r>
        <w:rPr>
          <w:color w:val="auto"/>
        </w:rPr>
        <w:instrText xml:space="preserve"> PAGEREF _Toc1640 \h </w:instrText>
      </w:r>
      <w:r>
        <w:rPr>
          <w:color w:val="auto"/>
        </w:rPr>
        <w:fldChar w:fldCharType="separate"/>
      </w:r>
      <w:r>
        <w:rPr>
          <w:color w:val="auto"/>
        </w:rPr>
        <w:t>133</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_Toc26081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7.6移交工作组</w:t>
      </w:r>
      <w:r>
        <w:rPr>
          <w:color w:val="auto"/>
        </w:rPr>
        <w:tab/>
      </w:r>
      <w:r>
        <w:rPr>
          <w:color w:val="auto"/>
        </w:rPr>
        <w:fldChar w:fldCharType="begin"/>
      </w:r>
      <w:r>
        <w:rPr>
          <w:color w:val="auto"/>
        </w:rPr>
        <w:instrText xml:space="preserve"> PAGEREF _Toc26081 \h </w:instrText>
      </w:r>
      <w:r>
        <w:rPr>
          <w:color w:val="auto"/>
        </w:rPr>
        <w:fldChar w:fldCharType="separate"/>
      </w:r>
      <w:r>
        <w:rPr>
          <w:color w:val="auto"/>
        </w:rPr>
        <w:t>133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_Toc22362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7.6.1移交范围</w:t>
      </w:r>
      <w:r>
        <w:rPr>
          <w:color w:val="auto"/>
        </w:rPr>
        <w:tab/>
      </w:r>
      <w:r>
        <w:rPr>
          <w:color w:val="auto"/>
        </w:rPr>
        <w:fldChar w:fldCharType="begin"/>
      </w:r>
      <w:r>
        <w:rPr>
          <w:color w:val="auto"/>
        </w:rPr>
        <w:instrText xml:space="preserve"> PAGEREF _Toc22362 \h </w:instrText>
      </w:r>
      <w:r>
        <w:rPr>
          <w:color w:val="auto"/>
        </w:rPr>
        <w:fldChar w:fldCharType="separate"/>
      </w:r>
      <w:r>
        <w:rPr>
          <w:color w:val="auto"/>
        </w:rPr>
        <w:t>134</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_Toc26739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7.6.2移交的要求</w:t>
      </w:r>
      <w:r>
        <w:rPr>
          <w:color w:val="auto"/>
        </w:rPr>
        <w:tab/>
      </w:r>
      <w:r>
        <w:rPr>
          <w:color w:val="auto"/>
        </w:rPr>
        <w:fldChar w:fldCharType="begin"/>
      </w:r>
      <w:r>
        <w:rPr>
          <w:color w:val="auto"/>
        </w:rPr>
        <w:instrText xml:space="preserve"> PAGEREF _Toc26739 \h </w:instrText>
      </w:r>
      <w:r>
        <w:rPr>
          <w:color w:val="auto"/>
        </w:rPr>
        <w:fldChar w:fldCharType="separate"/>
      </w:r>
      <w:r>
        <w:rPr>
          <w:color w:val="auto"/>
        </w:rPr>
        <w:t>135</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_Toc1289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7.6.3移交标准和缺陷修复</w:t>
      </w:r>
      <w:r>
        <w:rPr>
          <w:color w:val="auto"/>
        </w:rPr>
        <w:tab/>
      </w:r>
      <w:r>
        <w:rPr>
          <w:color w:val="auto"/>
        </w:rPr>
        <w:fldChar w:fldCharType="begin"/>
      </w:r>
      <w:r>
        <w:rPr>
          <w:color w:val="auto"/>
        </w:rPr>
        <w:instrText xml:space="preserve"> PAGEREF _Toc1289 \h </w:instrText>
      </w:r>
      <w:r>
        <w:rPr>
          <w:color w:val="auto"/>
        </w:rPr>
        <w:fldChar w:fldCharType="separate"/>
      </w:r>
      <w:r>
        <w:rPr>
          <w:color w:val="auto"/>
        </w:rPr>
        <w:t>135</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_Toc32344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7.6.4最后恢复性大修</w:t>
      </w:r>
      <w:r>
        <w:rPr>
          <w:color w:val="auto"/>
        </w:rPr>
        <w:tab/>
      </w:r>
      <w:r>
        <w:rPr>
          <w:color w:val="auto"/>
        </w:rPr>
        <w:fldChar w:fldCharType="begin"/>
      </w:r>
      <w:r>
        <w:rPr>
          <w:color w:val="auto"/>
        </w:rPr>
        <w:instrText xml:space="preserve"> PAGEREF _Toc32344 \h </w:instrText>
      </w:r>
      <w:r>
        <w:rPr>
          <w:color w:val="auto"/>
        </w:rPr>
        <w:fldChar w:fldCharType="separate"/>
      </w:r>
      <w:r>
        <w:rPr>
          <w:color w:val="auto"/>
        </w:rPr>
        <w:t>135</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_Toc10538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7.6.5其他</w:t>
      </w:r>
      <w:r>
        <w:rPr>
          <w:color w:val="auto"/>
        </w:rPr>
        <w:tab/>
      </w:r>
      <w:r>
        <w:rPr>
          <w:color w:val="auto"/>
        </w:rPr>
        <w:fldChar w:fldCharType="begin"/>
      </w:r>
      <w:r>
        <w:rPr>
          <w:color w:val="auto"/>
        </w:rPr>
        <w:instrText xml:space="preserve"> PAGEREF _Toc10538 \h </w:instrText>
      </w:r>
      <w:r>
        <w:rPr>
          <w:color w:val="auto"/>
        </w:rPr>
        <w:fldChar w:fldCharType="separate"/>
      </w:r>
      <w:r>
        <w:rPr>
          <w:color w:val="auto"/>
        </w:rPr>
        <w:t>136</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_Toc6311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7.7收入和回报</w:t>
      </w:r>
      <w:r>
        <w:rPr>
          <w:color w:val="auto"/>
        </w:rPr>
        <w:tab/>
      </w:r>
      <w:r>
        <w:rPr>
          <w:color w:val="auto"/>
        </w:rPr>
        <w:fldChar w:fldCharType="begin"/>
      </w:r>
      <w:r>
        <w:rPr>
          <w:color w:val="auto"/>
        </w:rPr>
        <w:instrText xml:space="preserve"> PAGEREF _Toc6311 \h </w:instrText>
      </w:r>
      <w:r>
        <w:rPr>
          <w:color w:val="auto"/>
        </w:rPr>
        <w:fldChar w:fldCharType="separate"/>
      </w:r>
      <w:r>
        <w:rPr>
          <w:color w:val="auto"/>
        </w:rPr>
        <w:t>136</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_Toc7626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7.7.1服务费构成</w:t>
      </w:r>
      <w:r>
        <w:rPr>
          <w:color w:val="auto"/>
        </w:rPr>
        <w:tab/>
      </w:r>
      <w:r>
        <w:rPr>
          <w:color w:val="auto"/>
        </w:rPr>
        <w:fldChar w:fldCharType="begin"/>
      </w:r>
      <w:r>
        <w:rPr>
          <w:color w:val="auto"/>
        </w:rPr>
        <w:instrText xml:space="preserve"> PAGEREF _Toc7626 \h </w:instrText>
      </w:r>
      <w:r>
        <w:rPr>
          <w:color w:val="auto"/>
        </w:rPr>
        <w:fldChar w:fldCharType="separate"/>
      </w:r>
      <w:r>
        <w:rPr>
          <w:color w:val="auto"/>
        </w:rPr>
        <w:t>136</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_Toc26947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7.7.2绩效考核机制</w:t>
      </w:r>
      <w:r>
        <w:rPr>
          <w:color w:val="auto"/>
        </w:rPr>
        <w:tab/>
      </w:r>
      <w:r>
        <w:rPr>
          <w:color w:val="auto"/>
        </w:rPr>
        <w:fldChar w:fldCharType="begin"/>
      </w:r>
      <w:r>
        <w:rPr>
          <w:color w:val="auto"/>
        </w:rPr>
        <w:instrText xml:space="preserve"> PAGEREF _Toc26947 \h </w:instrText>
      </w:r>
      <w:r>
        <w:rPr>
          <w:color w:val="auto"/>
        </w:rPr>
        <w:fldChar w:fldCharType="separate"/>
      </w:r>
      <w:r>
        <w:rPr>
          <w:color w:val="auto"/>
        </w:rPr>
        <w:t>137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_Toc18924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7.7.3税收变化导致的调整</w:t>
      </w:r>
      <w:r>
        <w:rPr>
          <w:color w:val="auto"/>
        </w:rPr>
        <w:tab/>
      </w:r>
      <w:r>
        <w:rPr>
          <w:color w:val="auto"/>
        </w:rPr>
        <w:fldChar w:fldCharType="begin"/>
      </w:r>
      <w:r>
        <w:rPr>
          <w:color w:val="auto"/>
        </w:rPr>
        <w:instrText xml:space="preserve"> PAGEREF _Toc18924 \h </w:instrText>
      </w:r>
      <w:r>
        <w:rPr>
          <w:color w:val="auto"/>
        </w:rPr>
        <w:fldChar w:fldCharType="separate"/>
      </w:r>
      <w:r>
        <w:rPr>
          <w:color w:val="auto"/>
        </w:rPr>
        <w:t>137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_Toc22750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7.7.4调价机制</w:t>
      </w:r>
      <w:r>
        <w:rPr>
          <w:color w:val="auto"/>
        </w:rPr>
        <w:tab/>
      </w:r>
      <w:r>
        <w:rPr>
          <w:color w:val="auto"/>
        </w:rPr>
        <w:fldChar w:fldCharType="begin"/>
      </w:r>
      <w:r>
        <w:rPr>
          <w:color w:val="auto"/>
        </w:rPr>
        <w:instrText xml:space="preserve"> PAGEREF _Toc22750 \h </w:instrText>
      </w:r>
      <w:r>
        <w:rPr>
          <w:color w:val="auto"/>
        </w:rPr>
        <w:fldChar w:fldCharType="separate"/>
      </w:r>
      <w:r>
        <w:rPr>
          <w:color w:val="auto"/>
        </w:rPr>
        <w:t>137</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_Toc24729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7.7.5运营维护范围</w:t>
      </w:r>
      <w:r>
        <w:rPr>
          <w:color w:val="auto"/>
        </w:rPr>
        <w:tab/>
      </w:r>
      <w:r>
        <w:rPr>
          <w:color w:val="auto"/>
        </w:rPr>
        <w:fldChar w:fldCharType="begin"/>
      </w:r>
      <w:r>
        <w:rPr>
          <w:color w:val="auto"/>
        </w:rPr>
        <w:instrText xml:space="preserve"> PAGEREF _Toc24729 \h </w:instrText>
      </w:r>
      <w:r>
        <w:rPr>
          <w:color w:val="auto"/>
        </w:rPr>
        <w:fldChar w:fldCharType="separate"/>
      </w:r>
      <w:r>
        <w:rPr>
          <w:color w:val="auto"/>
        </w:rPr>
        <w:t>138</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_Toc5538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7.8履约保障及其他体系框架</w:t>
      </w:r>
      <w:r>
        <w:rPr>
          <w:color w:val="auto"/>
        </w:rPr>
        <w:tab/>
      </w:r>
      <w:r>
        <w:rPr>
          <w:color w:val="auto"/>
        </w:rPr>
        <w:fldChar w:fldCharType="begin"/>
      </w:r>
      <w:r>
        <w:rPr>
          <w:color w:val="auto"/>
        </w:rPr>
        <w:instrText xml:space="preserve"> PAGEREF _Toc5538 \h </w:instrText>
      </w:r>
      <w:r>
        <w:rPr>
          <w:color w:val="auto"/>
        </w:rPr>
        <w:fldChar w:fldCharType="separate"/>
      </w:r>
      <w:r>
        <w:rPr>
          <w:color w:val="auto"/>
        </w:rPr>
        <w:t>138</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_Toc5127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7.8.1履约担保</w:t>
      </w:r>
      <w:r>
        <w:rPr>
          <w:color w:val="auto"/>
        </w:rPr>
        <w:tab/>
      </w:r>
      <w:r>
        <w:rPr>
          <w:color w:val="auto"/>
        </w:rPr>
        <w:fldChar w:fldCharType="begin"/>
      </w:r>
      <w:r>
        <w:rPr>
          <w:color w:val="auto"/>
        </w:rPr>
        <w:instrText xml:space="preserve"> PAGEREF _Toc5127 \h </w:instrText>
      </w:r>
      <w:r>
        <w:rPr>
          <w:color w:val="auto"/>
        </w:rPr>
        <w:fldChar w:fldCharType="separate"/>
      </w:r>
      <w:r>
        <w:rPr>
          <w:color w:val="auto"/>
        </w:rPr>
        <w:t>138</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_Toc31177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7.8.2保险</w:t>
      </w:r>
      <w:r>
        <w:rPr>
          <w:color w:val="auto"/>
        </w:rPr>
        <w:tab/>
      </w:r>
      <w:r>
        <w:rPr>
          <w:color w:val="auto"/>
        </w:rPr>
        <w:fldChar w:fldCharType="begin"/>
      </w:r>
      <w:r>
        <w:rPr>
          <w:color w:val="auto"/>
        </w:rPr>
        <w:instrText xml:space="preserve"> PAGEREF _Toc31177 \h </w:instrText>
      </w:r>
      <w:r>
        <w:rPr>
          <w:color w:val="auto"/>
        </w:rPr>
        <w:fldChar w:fldCharType="separate"/>
      </w:r>
      <w:r>
        <w:rPr>
          <w:color w:val="auto"/>
        </w:rPr>
        <w:t>141</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_Toc14689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7.8.3应急处理</w:t>
      </w:r>
      <w:r>
        <w:rPr>
          <w:color w:val="auto"/>
        </w:rPr>
        <w:tab/>
      </w:r>
      <w:r>
        <w:rPr>
          <w:color w:val="auto"/>
        </w:rPr>
        <w:fldChar w:fldCharType="begin"/>
      </w:r>
      <w:r>
        <w:rPr>
          <w:color w:val="auto"/>
        </w:rPr>
        <w:instrText xml:space="preserve"> PAGEREF _Toc14689 \h </w:instrText>
      </w:r>
      <w:r>
        <w:rPr>
          <w:color w:val="auto"/>
        </w:rPr>
        <w:fldChar w:fldCharType="separate"/>
      </w:r>
      <w:r>
        <w:rPr>
          <w:color w:val="auto"/>
        </w:rPr>
        <w:t>142</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_Toc11505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7.8.4项目设施改建、大修</w:t>
      </w:r>
      <w:r>
        <w:rPr>
          <w:color w:val="auto"/>
        </w:rPr>
        <w:tab/>
      </w:r>
      <w:r>
        <w:rPr>
          <w:color w:val="auto"/>
        </w:rPr>
        <w:fldChar w:fldCharType="begin"/>
      </w:r>
      <w:r>
        <w:rPr>
          <w:color w:val="auto"/>
        </w:rPr>
        <w:instrText xml:space="preserve"> PAGEREF _Toc11505 \h </w:instrText>
      </w:r>
      <w:r>
        <w:rPr>
          <w:color w:val="auto"/>
        </w:rPr>
        <w:fldChar w:fldCharType="separate"/>
      </w:r>
      <w:r>
        <w:rPr>
          <w:color w:val="auto"/>
        </w:rPr>
        <w:t>143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_Toc27746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7.8.5临时接管</w:t>
      </w:r>
      <w:r>
        <w:rPr>
          <w:color w:val="auto"/>
        </w:rPr>
        <w:tab/>
      </w:r>
      <w:r>
        <w:rPr>
          <w:color w:val="auto"/>
        </w:rPr>
        <w:fldChar w:fldCharType="begin"/>
      </w:r>
      <w:r>
        <w:rPr>
          <w:color w:val="auto"/>
        </w:rPr>
        <w:instrText xml:space="preserve"> PAGEREF _Toc27746 \h </w:instrText>
      </w:r>
      <w:r>
        <w:rPr>
          <w:color w:val="auto"/>
        </w:rPr>
        <w:fldChar w:fldCharType="separate"/>
      </w:r>
      <w:r>
        <w:rPr>
          <w:color w:val="auto"/>
        </w:rPr>
        <w:t>143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_Toc3103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7.8.6提前终止</w:t>
      </w:r>
      <w:r>
        <w:rPr>
          <w:color w:val="auto"/>
        </w:rPr>
        <w:tab/>
      </w:r>
      <w:r>
        <w:rPr>
          <w:color w:val="auto"/>
        </w:rPr>
        <w:fldChar w:fldCharType="begin"/>
      </w:r>
      <w:r>
        <w:rPr>
          <w:color w:val="auto"/>
        </w:rPr>
        <w:instrText xml:space="preserve"> PAGEREF _Toc3103 \h </w:instrText>
      </w:r>
      <w:r>
        <w:rPr>
          <w:color w:val="auto"/>
        </w:rPr>
        <w:fldChar w:fldCharType="separate"/>
      </w:r>
      <w:r>
        <w:rPr>
          <w:color w:val="auto"/>
        </w:rPr>
        <w:t>144</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_Toc19818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7.8.7争议的解决</w:t>
      </w:r>
      <w:r>
        <w:rPr>
          <w:color w:val="auto"/>
        </w:rPr>
        <w:tab/>
      </w:r>
      <w:r>
        <w:rPr>
          <w:color w:val="auto"/>
        </w:rPr>
        <w:fldChar w:fldCharType="begin"/>
      </w:r>
      <w:r>
        <w:rPr>
          <w:color w:val="auto"/>
        </w:rPr>
        <w:instrText xml:space="preserve"> PAGEREF _Toc19818 \h </w:instrText>
      </w:r>
      <w:r>
        <w:rPr>
          <w:color w:val="auto"/>
        </w:rPr>
        <w:fldChar w:fldCharType="separate"/>
      </w:r>
      <w:r>
        <w:rPr>
          <w:color w:val="auto"/>
        </w:rPr>
        <w:t>144</w:t>
      </w:r>
      <w:r>
        <w:rPr>
          <w:color w:val="auto"/>
        </w:rPr>
        <w:fldChar w:fldCharType="end"/>
      </w:r>
      <w:r>
        <w:rPr>
          <w:rFonts w:ascii="仿宋" w:hAnsi="仿宋" w:eastAsia="仿宋"/>
          <w:color w:val="auto"/>
          <w:szCs w:val="28"/>
        </w:rPr>
        <w:fldChar w:fldCharType="end"/>
      </w:r>
    </w:p>
    <w:p>
      <w:pPr>
        <w:pStyle w:val="9"/>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_Toc14320 </w:instrText>
      </w:r>
      <w:r>
        <w:rPr>
          <w:rFonts w:ascii="仿宋" w:hAnsi="仿宋" w:eastAsia="仿宋"/>
          <w:color w:val="auto"/>
          <w:szCs w:val="28"/>
        </w:rPr>
        <w:fldChar w:fldCharType="separate"/>
      </w:r>
      <w:r>
        <w:rPr>
          <w:rFonts w:hint="eastAsia" w:ascii="微软雅黑" w:hAnsi="微软雅黑" w:eastAsia="微软雅黑" w:cs="Times New Roman"/>
          <w:color w:val="auto"/>
          <w:szCs w:val="32"/>
          <w:lang w:val="en-US" w:eastAsia="zh-CN"/>
        </w:rPr>
        <w:t>第八章 项目租赁期监管架构</w:t>
      </w:r>
      <w:r>
        <w:rPr>
          <w:color w:val="auto"/>
        </w:rPr>
        <w:tab/>
      </w:r>
      <w:r>
        <w:rPr>
          <w:color w:val="auto"/>
        </w:rPr>
        <w:fldChar w:fldCharType="begin"/>
      </w:r>
      <w:r>
        <w:rPr>
          <w:color w:val="auto"/>
        </w:rPr>
        <w:instrText xml:space="preserve"> PAGEREF _Toc14320 \h </w:instrText>
      </w:r>
      <w:r>
        <w:rPr>
          <w:color w:val="auto"/>
        </w:rPr>
        <w:fldChar w:fldCharType="separate"/>
      </w:r>
      <w:r>
        <w:rPr>
          <w:color w:val="auto"/>
        </w:rPr>
        <w:t>144</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_Toc32092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8.1监管结构</w:t>
      </w:r>
      <w:r>
        <w:rPr>
          <w:color w:val="auto"/>
        </w:rPr>
        <w:tab/>
      </w:r>
      <w:r>
        <w:rPr>
          <w:color w:val="auto"/>
        </w:rPr>
        <w:fldChar w:fldCharType="begin"/>
      </w:r>
      <w:r>
        <w:rPr>
          <w:color w:val="auto"/>
        </w:rPr>
        <w:instrText xml:space="preserve"> PAGEREF _Toc32092 \h </w:instrText>
      </w:r>
      <w:r>
        <w:rPr>
          <w:color w:val="auto"/>
        </w:rPr>
        <w:fldChar w:fldCharType="separate"/>
      </w:r>
      <w:r>
        <w:rPr>
          <w:color w:val="auto"/>
        </w:rPr>
        <w:t>144</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_Toc11663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8.2政府监管内容</w:t>
      </w:r>
      <w:r>
        <w:rPr>
          <w:color w:val="auto"/>
        </w:rPr>
        <w:tab/>
      </w:r>
      <w:r>
        <w:rPr>
          <w:color w:val="auto"/>
        </w:rPr>
        <w:fldChar w:fldCharType="begin"/>
      </w:r>
      <w:r>
        <w:rPr>
          <w:color w:val="auto"/>
        </w:rPr>
        <w:instrText xml:space="preserve"> PAGEREF _Toc11663 \h </w:instrText>
      </w:r>
      <w:r>
        <w:rPr>
          <w:color w:val="auto"/>
        </w:rPr>
        <w:fldChar w:fldCharType="separate"/>
      </w:r>
      <w:r>
        <w:rPr>
          <w:color w:val="auto"/>
        </w:rPr>
        <w:t>145</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_Toc11580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8.2.1前期阶段监管内容</w:t>
      </w:r>
      <w:r>
        <w:rPr>
          <w:color w:val="auto"/>
        </w:rPr>
        <w:tab/>
      </w:r>
      <w:r>
        <w:rPr>
          <w:color w:val="auto"/>
        </w:rPr>
        <w:fldChar w:fldCharType="begin"/>
      </w:r>
      <w:r>
        <w:rPr>
          <w:color w:val="auto"/>
        </w:rPr>
        <w:instrText xml:space="preserve"> PAGEREF _Toc11580 \h </w:instrText>
      </w:r>
      <w:r>
        <w:rPr>
          <w:color w:val="auto"/>
        </w:rPr>
        <w:fldChar w:fldCharType="separate"/>
      </w:r>
      <w:r>
        <w:rPr>
          <w:color w:val="auto"/>
        </w:rPr>
        <w:t>145</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_Toc2131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8.2.2运营阶段监管内容</w:t>
      </w:r>
      <w:r>
        <w:rPr>
          <w:color w:val="auto"/>
        </w:rPr>
        <w:tab/>
      </w:r>
      <w:r>
        <w:rPr>
          <w:color w:val="auto"/>
        </w:rPr>
        <w:fldChar w:fldCharType="begin"/>
      </w:r>
      <w:r>
        <w:rPr>
          <w:color w:val="auto"/>
        </w:rPr>
        <w:instrText xml:space="preserve"> PAGEREF _Toc2131 \h </w:instrText>
      </w:r>
      <w:r>
        <w:rPr>
          <w:color w:val="auto"/>
        </w:rPr>
        <w:fldChar w:fldCharType="separate"/>
      </w:r>
      <w:r>
        <w:rPr>
          <w:color w:val="auto"/>
        </w:rPr>
        <w:t>145</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_Toc2020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8.2.3移交阶段监管内容</w:t>
      </w:r>
      <w:r>
        <w:rPr>
          <w:color w:val="auto"/>
        </w:rPr>
        <w:tab/>
      </w:r>
      <w:r>
        <w:rPr>
          <w:color w:val="auto"/>
        </w:rPr>
        <w:fldChar w:fldCharType="begin"/>
      </w:r>
      <w:r>
        <w:rPr>
          <w:color w:val="auto"/>
        </w:rPr>
        <w:instrText xml:space="preserve"> PAGEREF _Toc2020 \h </w:instrText>
      </w:r>
      <w:r>
        <w:rPr>
          <w:color w:val="auto"/>
        </w:rPr>
        <w:fldChar w:fldCharType="separate"/>
      </w:r>
      <w:r>
        <w:rPr>
          <w:color w:val="auto"/>
        </w:rPr>
        <w:t>145</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_Toc14625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8.2.4监管方式</w:t>
      </w:r>
      <w:r>
        <w:rPr>
          <w:color w:val="auto"/>
        </w:rPr>
        <w:tab/>
      </w:r>
      <w:r>
        <w:rPr>
          <w:color w:val="auto"/>
        </w:rPr>
        <w:fldChar w:fldCharType="begin"/>
      </w:r>
      <w:r>
        <w:rPr>
          <w:color w:val="auto"/>
        </w:rPr>
        <w:instrText xml:space="preserve"> PAGEREF _Toc14625 \h </w:instrText>
      </w:r>
      <w:r>
        <w:rPr>
          <w:color w:val="auto"/>
        </w:rPr>
        <w:fldChar w:fldCharType="separate"/>
      </w:r>
      <w:r>
        <w:rPr>
          <w:color w:val="auto"/>
        </w:rPr>
        <w:t>145</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_Toc11854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8.3行政监管</w:t>
      </w:r>
      <w:r>
        <w:rPr>
          <w:color w:val="auto"/>
        </w:rPr>
        <w:tab/>
      </w:r>
      <w:r>
        <w:rPr>
          <w:color w:val="auto"/>
        </w:rPr>
        <w:fldChar w:fldCharType="begin"/>
      </w:r>
      <w:r>
        <w:rPr>
          <w:color w:val="auto"/>
        </w:rPr>
        <w:instrText xml:space="preserve"> PAGEREF _Toc11854 \h </w:instrText>
      </w:r>
      <w:r>
        <w:rPr>
          <w:color w:val="auto"/>
        </w:rPr>
        <w:fldChar w:fldCharType="separate"/>
      </w:r>
      <w:r>
        <w:rPr>
          <w:color w:val="auto"/>
        </w:rPr>
        <w:t>147</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_Toc10760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8.4公众监督</w:t>
      </w:r>
      <w:r>
        <w:rPr>
          <w:color w:val="auto"/>
        </w:rPr>
        <w:tab/>
      </w:r>
      <w:r>
        <w:rPr>
          <w:color w:val="auto"/>
        </w:rPr>
        <w:fldChar w:fldCharType="begin"/>
      </w:r>
      <w:r>
        <w:rPr>
          <w:color w:val="auto"/>
        </w:rPr>
        <w:instrText xml:space="preserve"> PAGEREF _Toc10760 \h </w:instrText>
      </w:r>
      <w:r>
        <w:rPr>
          <w:color w:val="auto"/>
        </w:rPr>
        <w:fldChar w:fldCharType="separate"/>
      </w:r>
      <w:r>
        <w:rPr>
          <w:color w:val="auto"/>
        </w:rPr>
        <w:t>147</w:t>
      </w:r>
      <w:r>
        <w:rPr>
          <w:color w:val="auto"/>
        </w:rPr>
        <w:fldChar w:fldCharType="end"/>
      </w:r>
      <w:r>
        <w:rPr>
          <w:rFonts w:ascii="仿宋" w:hAnsi="仿宋" w:eastAsia="仿宋"/>
          <w:color w:val="auto"/>
          <w:szCs w:val="28"/>
        </w:rPr>
        <w:fldChar w:fldCharType="end"/>
      </w:r>
    </w:p>
    <w:p>
      <w:pPr>
        <w:pStyle w:val="9"/>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_Toc838 </w:instrText>
      </w:r>
      <w:r>
        <w:rPr>
          <w:rFonts w:ascii="仿宋" w:hAnsi="仿宋" w:eastAsia="仿宋"/>
          <w:color w:val="auto"/>
          <w:szCs w:val="28"/>
        </w:rPr>
        <w:fldChar w:fldCharType="separate"/>
      </w:r>
      <w:r>
        <w:rPr>
          <w:rFonts w:hint="eastAsia" w:ascii="微软雅黑" w:hAnsi="微软雅黑" w:eastAsia="微软雅黑" w:cs="Times New Roman"/>
          <w:color w:val="auto"/>
          <w:szCs w:val="32"/>
          <w:lang w:val="en-US" w:eastAsia="zh-CN"/>
        </w:rPr>
        <w:t>第九章 采购方式及流程</w:t>
      </w:r>
      <w:r>
        <w:rPr>
          <w:color w:val="auto"/>
        </w:rPr>
        <w:tab/>
      </w:r>
      <w:r>
        <w:rPr>
          <w:color w:val="auto"/>
        </w:rPr>
        <w:fldChar w:fldCharType="begin"/>
      </w:r>
      <w:r>
        <w:rPr>
          <w:color w:val="auto"/>
        </w:rPr>
        <w:instrText xml:space="preserve"> PAGEREF _Toc838 \h </w:instrText>
      </w:r>
      <w:r>
        <w:rPr>
          <w:color w:val="auto"/>
        </w:rPr>
        <w:fldChar w:fldCharType="separate"/>
      </w:r>
      <w:r>
        <w:rPr>
          <w:color w:val="auto"/>
        </w:rPr>
        <w:t>148</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_Toc14268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9.1采购方式的选择</w:t>
      </w:r>
      <w:r>
        <w:rPr>
          <w:color w:val="auto"/>
        </w:rPr>
        <w:tab/>
      </w:r>
      <w:r>
        <w:rPr>
          <w:color w:val="auto"/>
        </w:rPr>
        <w:fldChar w:fldCharType="begin"/>
      </w:r>
      <w:r>
        <w:rPr>
          <w:color w:val="auto"/>
        </w:rPr>
        <w:instrText xml:space="preserve"> PAGEREF _Toc14268 \h </w:instrText>
      </w:r>
      <w:r>
        <w:rPr>
          <w:color w:val="auto"/>
        </w:rPr>
        <w:fldChar w:fldCharType="separate"/>
      </w:r>
      <w:r>
        <w:rPr>
          <w:color w:val="auto"/>
        </w:rPr>
        <w:t>148</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_Toc10618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9.1.1采购方式比选</w:t>
      </w:r>
      <w:r>
        <w:rPr>
          <w:color w:val="auto"/>
        </w:rPr>
        <w:tab/>
      </w:r>
      <w:r>
        <w:rPr>
          <w:color w:val="auto"/>
        </w:rPr>
        <w:fldChar w:fldCharType="begin"/>
      </w:r>
      <w:r>
        <w:rPr>
          <w:color w:val="auto"/>
        </w:rPr>
        <w:instrText xml:space="preserve"> PAGEREF _Toc10618 \h </w:instrText>
      </w:r>
      <w:r>
        <w:rPr>
          <w:color w:val="auto"/>
        </w:rPr>
        <w:fldChar w:fldCharType="separate"/>
      </w:r>
      <w:r>
        <w:rPr>
          <w:color w:val="auto"/>
        </w:rPr>
        <w:t>148</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_Toc30674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9.1.2采购方式的确定</w:t>
      </w:r>
      <w:r>
        <w:rPr>
          <w:color w:val="auto"/>
        </w:rPr>
        <w:tab/>
      </w:r>
      <w:r>
        <w:rPr>
          <w:color w:val="auto"/>
        </w:rPr>
        <w:fldChar w:fldCharType="begin"/>
      </w:r>
      <w:r>
        <w:rPr>
          <w:color w:val="auto"/>
        </w:rPr>
        <w:instrText xml:space="preserve"> PAGEREF _Toc30674 \h </w:instrText>
      </w:r>
      <w:r>
        <w:rPr>
          <w:color w:val="auto"/>
        </w:rPr>
        <w:fldChar w:fldCharType="separate"/>
      </w:r>
      <w:r>
        <w:rPr>
          <w:color w:val="auto"/>
        </w:rPr>
        <w:t>150</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_Toc28484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9.2社会资本方的甄选</w:t>
      </w:r>
      <w:r>
        <w:rPr>
          <w:color w:val="auto"/>
        </w:rPr>
        <w:tab/>
      </w:r>
      <w:r>
        <w:rPr>
          <w:color w:val="auto"/>
        </w:rPr>
        <w:fldChar w:fldCharType="begin"/>
      </w:r>
      <w:r>
        <w:rPr>
          <w:color w:val="auto"/>
        </w:rPr>
        <w:instrText xml:space="preserve"> PAGEREF _Toc28484 \h </w:instrText>
      </w:r>
      <w:r>
        <w:rPr>
          <w:color w:val="auto"/>
        </w:rPr>
        <w:fldChar w:fldCharType="separate"/>
      </w:r>
      <w:r>
        <w:rPr>
          <w:color w:val="auto"/>
        </w:rPr>
        <w:t>151</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_Toc14827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9.2.1甄选原则</w:t>
      </w:r>
      <w:r>
        <w:rPr>
          <w:color w:val="auto"/>
        </w:rPr>
        <w:tab/>
      </w:r>
      <w:r>
        <w:rPr>
          <w:color w:val="auto"/>
        </w:rPr>
        <w:fldChar w:fldCharType="begin"/>
      </w:r>
      <w:r>
        <w:rPr>
          <w:color w:val="auto"/>
        </w:rPr>
        <w:instrText xml:space="preserve"> PAGEREF _Toc14827 \h </w:instrText>
      </w:r>
      <w:r>
        <w:rPr>
          <w:color w:val="auto"/>
        </w:rPr>
        <w:fldChar w:fldCharType="separate"/>
      </w:r>
      <w:r>
        <w:rPr>
          <w:color w:val="auto"/>
        </w:rPr>
        <w:t>151</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_Toc32173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9.2.2社会资本方要求</w:t>
      </w:r>
      <w:r>
        <w:rPr>
          <w:color w:val="auto"/>
        </w:rPr>
        <w:tab/>
      </w:r>
      <w:r>
        <w:rPr>
          <w:color w:val="auto"/>
        </w:rPr>
        <w:fldChar w:fldCharType="begin"/>
      </w:r>
      <w:r>
        <w:rPr>
          <w:color w:val="auto"/>
        </w:rPr>
        <w:instrText xml:space="preserve"> PAGEREF _Toc32173 \h </w:instrText>
      </w:r>
      <w:r>
        <w:rPr>
          <w:color w:val="auto"/>
        </w:rPr>
        <w:fldChar w:fldCharType="separate"/>
      </w:r>
      <w:r>
        <w:rPr>
          <w:color w:val="auto"/>
        </w:rPr>
        <w:t>151</w:t>
      </w:r>
      <w:r>
        <w:rPr>
          <w:color w:val="auto"/>
        </w:rPr>
        <w:fldChar w:fldCharType="end"/>
      </w:r>
      <w:r>
        <w:rPr>
          <w:rFonts w:ascii="仿宋" w:hAnsi="仿宋" w:eastAsia="仿宋"/>
          <w:color w:val="auto"/>
          <w:szCs w:val="28"/>
        </w:rPr>
        <w:fldChar w:fldCharType="end"/>
      </w:r>
    </w:p>
    <w:p>
      <w:pPr>
        <w:pStyle w:val="10"/>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_Toc25396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9.3社会资本方招标方案框架</w:t>
      </w:r>
      <w:r>
        <w:rPr>
          <w:color w:val="auto"/>
        </w:rPr>
        <w:tab/>
      </w:r>
      <w:r>
        <w:rPr>
          <w:color w:val="auto"/>
        </w:rPr>
        <w:fldChar w:fldCharType="begin"/>
      </w:r>
      <w:r>
        <w:rPr>
          <w:color w:val="auto"/>
        </w:rPr>
        <w:instrText xml:space="preserve"> PAGEREF _Toc25396 \h </w:instrText>
      </w:r>
      <w:r>
        <w:rPr>
          <w:color w:val="auto"/>
        </w:rPr>
        <w:fldChar w:fldCharType="separate"/>
      </w:r>
      <w:r>
        <w:rPr>
          <w:color w:val="auto"/>
        </w:rPr>
        <w:t>153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_Toc3177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9.3.1合格的供应商对象</w:t>
      </w:r>
      <w:r>
        <w:rPr>
          <w:color w:val="auto"/>
        </w:rPr>
        <w:tab/>
      </w:r>
      <w:r>
        <w:rPr>
          <w:color w:val="auto"/>
        </w:rPr>
        <w:fldChar w:fldCharType="begin"/>
      </w:r>
      <w:r>
        <w:rPr>
          <w:color w:val="auto"/>
        </w:rPr>
        <w:instrText xml:space="preserve"> PAGEREF _Toc3177 \h </w:instrText>
      </w:r>
      <w:r>
        <w:rPr>
          <w:color w:val="auto"/>
        </w:rPr>
        <w:fldChar w:fldCharType="separate"/>
      </w:r>
      <w:r>
        <w:rPr>
          <w:color w:val="auto"/>
        </w:rPr>
        <w:t>153</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_Toc32480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9.3.2评标原则</w:t>
      </w:r>
      <w:r>
        <w:rPr>
          <w:color w:val="auto"/>
        </w:rPr>
        <w:tab/>
      </w:r>
      <w:r>
        <w:rPr>
          <w:color w:val="auto"/>
        </w:rPr>
        <w:fldChar w:fldCharType="begin"/>
      </w:r>
      <w:r>
        <w:rPr>
          <w:color w:val="auto"/>
        </w:rPr>
        <w:instrText xml:space="preserve"> PAGEREF _Toc32480 \h </w:instrText>
      </w:r>
      <w:r>
        <w:rPr>
          <w:color w:val="auto"/>
        </w:rPr>
        <w:fldChar w:fldCharType="separate"/>
      </w:r>
      <w:r>
        <w:rPr>
          <w:color w:val="auto"/>
        </w:rPr>
        <w:t>154</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_Toc10979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9.3.3评标思路</w:t>
      </w:r>
      <w:r>
        <w:rPr>
          <w:color w:val="auto"/>
        </w:rPr>
        <w:tab/>
      </w:r>
      <w:r>
        <w:rPr>
          <w:color w:val="auto"/>
        </w:rPr>
        <w:fldChar w:fldCharType="begin"/>
      </w:r>
      <w:r>
        <w:rPr>
          <w:color w:val="auto"/>
        </w:rPr>
        <w:instrText xml:space="preserve"> PAGEREF _Toc10979 \h </w:instrText>
      </w:r>
      <w:r>
        <w:rPr>
          <w:color w:val="auto"/>
        </w:rPr>
        <w:fldChar w:fldCharType="separate"/>
      </w:r>
      <w:r>
        <w:rPr>
          <w:color w:val="auto"/>
        </w:rPr>
        <w:t>155</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_Toc29584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9.3.4公建民营社会资本方采购流程</w:t>
      </w:r>
      <w:r>
        <w:rPr>
          <w:color w:val="auto"/>
        </w:rPr>
        <w:tab/>
      </w:r>
      <w:r>
        <w:rPr>
          <w:color w:val="auto"/>
        </w:rPr>
        <w:fldChar w:fldCharType="begin"/>
      </w:r>
      <w:r>
        <w:rPr>
          <w:color w:val="auto"/>
        </w:rPr>
        <w:instrText xml:space="preserve"> PAGEREF _Toc29584 \h </w:instrText>
      </w:r>
      <w:r>
        <w:rPr>
          <w:color w:val="auto"/>
        </w:rPr>
        <w:fldChar w:fldCharType="separate"/>
      </w:r>
      <w:r>
        <w:rPr>
          <w:color w:val="auto"/>
        </w:rPr>
        <w:t>156</w:t>
      </w:r>
      <w:r>
        <w:rPr>
          <w:color w:val="auto"/>
        </w:rPr>
        <w:fldChar w:fldCharType="end"/>
      </w:r>
      <w:r>
        <w:rPr>
          <w:rFonts w:ascii="仿宋" w:hAnsi="仿宋" w:eastAsia="仿宋"/>
          <w:color w:val="auto"/>
          <w:szCs w:val="28"/>
        </w:rPr>
        <w:fldChar w:fldCharType="end"/>
      </w:r>
    </w:p>
    <w:p>
      <w:pPr>
        <w:pStyle w:val="6"/>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_Toc28314 </w:instrText>
      </w:r>
      <w:r>
        <w:rPr>
          <w:rFonts w:ascii="仿宋" w:hAnsi="仿宋" w:eastAsia="仿宋"/>
          <w:color w:val="auto"/>
          <w:szCs w:val="28"/>
        </w:rPr>
        <w:fldChar w:fldCharType="separate"/>
      </w:r>
      <w:r>
        <w:rPr>
          <w:rFonts w:hint="eastAsia" w:ascii="仿宋" w:hAnsi="仿宋" w:eastAsia="仿宋" w:cs="Times New Roman"/>
          <w:color w:val="auto"/>
          <w:szCs w:val="28"/>
          <w:lang w:val="en-US" w:eastAsia="zh-CN"/>
        </w:rPr>
        <w:t>9.3.5项目公司的成立</w:t>
      </w:r>
      <w:r>
        <w:rPr>
          <w:color w:val="auto"/>
        </w:rPr>
        <w:tab/>
      </w:r>
      <w:r>
        <w:rPr>
          <w:color w:val="auto"/>
        </w:rPr>
        <w:fldChar w:fldCharType="begin"/>
      </w:r>
      <w:r>
        <w:rPr>
          <w:color w:val="auto"/>
        </w:rPr>
        <w:instrText xml:space="preserve"> PAGEREF _Toc28314 \h </w:instrText>
      </w:r>
      <w:r>
        <w:rPr>
          <w:color w:val="auto"/>
        </w:rPr>
        <w:fldChar w:fldCharType="separate"/>
      </w:r>
      <w:r>
        <w:rPr>
          <w:color w:val="auto"/>
        </w:rPr>
        <w:t>158</w:t>
      </w:r>
      <w:r>
        <w:rPr>
          <w:color w:val="auto"/>
        </w:rPr>
        <w:fldChar w:fldCharType="end"/>
      </w:r>
      <w:r>
        <w:rPr>
          <w:rFonts w:ascii="仿宋" w:hAnsi="仿宋" w:eastAsia="仿宋"/>
          <w:color w:val="auto"/>
          <w:szCs w:val="28"/>
        </w:rPr>
        <w:fldChar w:fldCharType="end"/>
      </w:r>
    </w:p>
    <w:p>
      <w:pPr>
        <w:pStyle w:val="9"/>
        <w:tabs>
          <w:tab w:val="right" w:leader="dot" w:pos="8306"/>
        </w:tabs>
        <w:rPr>
          <w:color w:val="auto"/>
        </w:rPr>
      </w:pPr>
      <w:r>
        <w:rPr>
          <w:rFonts w:ascii="仿宋" w:hAnsi="仿宋" w:eastAsia="仿宋"/>
          <w:color w:val="auto"/>
          <w:szCs w:val="28"/>
        </w:rPr>
        <w:fldChar w:fldCharType="begin"/>
      </w:r>
      <w:r>
        <w:rPr>
          <w:rFonts w:ascii="仿宋" w:hAnsi="仿宋" w:eastAsia="仿宋"/>
          <w:color w:val="auto"/>
          <w:szCs w:val="28"/>
        </w:rPr>
        <w:instrText xml:space="preserve"> HYPERLINK \l _Toc3258 </w:instrText>
      </w:r>
      <w:r>
        <w:rPr>
          <w:rFonts w:ascii="仿宋" w:hAnsi="仿宋" w:eastAsia="仿宋"/>
          <w:color w:val="auto"/>
          <w:szCs w:val="28"/>
        </w:rPr>
        <w:fldChar w:fldCharType="separate"/>
      </w:r>
      <w:r>
        <w:rPr>
          <w:rFonts w:hint="eastAsia" w:ascii="微软雅黑" w:hAnsi="微软雅黑" w:eastAsia="微软雅黑" w:cs="Times New Roman"/>
          <w:color w:val="auto"/>
          <w:szCs w:val="32"/>
          <w:lang w:val="en-US" w:eastAsia="zh-CN"/>
        </w:rPr>
        <w:t>第十章 结论</w:t>
      </w:r>
      <w:r>
        <w:rPr>
          <w:color w:val="auto"/>
        </w:rPr>
        <w:tab/>
      </w:r>
      <w:r>
        <w:rPr>
          <w:color w:val="auto"/>
        </w:rPr>
        <w:fldChar w:fldCharType="begin"/>
      </w:r>
      <w:r>
        <w:rPr>
          <w:color w:val="auto"/>
        </w:rPr>
        <w:instrText xml:space="preserve"> PAGEREF _Toc3258 \h </w:instrText>
      </w:r>
      <w:r>
        <w:rPr>
          <w:color w:val="auto"/>
        </w:rPr>
        <w:fldChar w:fldCharType="separate"/>
      </w:r>
      <w:r>
        <w:rPr>
          <w:color w:val="auto"/>
        </w:rPr>
        <w:t>158</w:t>
      </w:r>
      <w:r>
        <w:rPr>
          <w:color w:val="auto"/>
        </w:rPr>
        <w:fldChar w:fldCharType="end"/>
      </w:r>
      <w:r>
        <w:rPr>
          <w:rFonts w:ascii="仿宋" w:hAnsi="仿宋" w:eastAsia="仿宋"/>
          <w:color w:val="auto"/>
          <w:szCs w:val="28"/>
        </w:rPr>
        <w:fldChar w:fldCharType="end"/>
      </w:r>
    </w:p>
    <w:p>
      <w:pPr>
        <w:spacing w:line="360" w:lineRule="auto"/>
        <w:rPr>
          <w:rFonts w:hint="eastAsia" w:ascii="仿宋" w:hAnsi="仿宋" w:eastAsia="仿宋_GB2312"/>
          <w:b w:val="0"/>
          <w:i w:val="0"/>
          <w:color w:val="auto"/>
          <w:sz w:val="32"/>
          <w:szCs w:val="28"/>
        </w:rPr>
      </w:pPr>
      <w:r>
        <w:rPr>
          <w:rFonts w:ascii="仿宋" w:hAnsi="仿宋" w:eastAsia="仿宋"/>
          <w:color w:val="auto"/>
          <w:szCs w:val="28"/>
        </w:rPr>
        <w:fldChar w:fldCharType="end"/>
      </w:r>
    </w:p>
    <w:p>
      <w:pPr>
        <w:spacing w:line="360" w:lineRule="auto"/>
        <w:rPr>
          <w:rFonts w:hint="eastAsia" w:ascii="仿宋" w:hAnsi="仿宋" w:eastAsia="仿宋_GB2312"/>
          <w:b w:val="0"/>
          <w:i w:val="0"/>
          <w:color w:val="auto"/>
          <w:sz w:val="32"/>
          <w:szCs w:val="28"/>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pPr>
        <w:pStyle w:val="2"/>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微软雅黑" w:hAnsi="微软雅黑" w:eastAsia="微软雅黑"/>
          <w:color w:val="auto"/>
          <w:szCs w:val="32"/>
        </w:rPr>
      </w:pPr>
      <w:bookmarkStart w:id="0" w:name="_Toc14045"/>
      <w:r>
        <w:rPr>
          <w:rFonts w:hint="eastAsia" w:ascii="微软雅黑" w:hAnsi="微软雅黑" w:eastAsia="微软雅黑"/>
          <w:color w:val="auto"/>
          <w:szCs w:val="32"/>
        </w:rPr>
        <w:t>第一章 概况</w:t>
      </w:r>
      <w:bookmarkEnd w:id="0"/>
    </w:p>
    <w:p>
      <w:pPr>
        <w:pStyle w:val="2"/>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微软雅黑" w:hAnsi="微软雅黑" w:eastAsia="微软雅黑"/>
          <w:color w:val="auto"/>
          <w:szCs w:val="32"/>
        </w:rPr>
      </w:pPr>
    </w:p>
    <w:p>
      <w:pPr>
        <w:pStyle w:val="3"/>
        <w:pageBreakBefore w:val="0"/>
        <w:numPr>
          <w:ilvl w:val="1"/>
          <w:numId w:val="0"/>
        </w:numPr>
        <w:kinsoku/>
        <w:wordWrap/>
        <w:overflowPunct/>
        <w:topLinePunct w:val="0"/>
        <w:autoSpaceDE/>
        <w:autoSpaceDN/>
        <w:bidi w:val="0"/>
        <w:adjustRightInd/>
        <w:snapToGrid/>
        <w:spacing w:line="360" w:lineRule="auto"/>
        <w:jc w:val="both"/>
        <w:textAlignment w:val="auto"/>
        <w:rPr>
          <w:rFonts w:hint="default" w:ascii="仿宋" w:hAnsi="仿宋" w:eastAsia="仿宋"/>
          <w:color w:val="auto"/>
          <w:szCs w:val="28"/>
          <w:lang w:val="en-US" w:eastAsia="zh-CN"/>
        </w:rPr>
      </w:pPr>
      <w:bookmarkStart w:id="1" w:name="_Toc19684"/>
      <w:r>
        <w:rPr>
          <w:rFonts w:hint="eastAsia" w:ascii="仿宋" w:hAnsi="仿宋" w:eastAsia="仿宋"/>
          <w:color w:val="auto"/>
          <w:szCs w:val="28"/>
        </w:rPr>
        <w:t>1.1项目</w:t>
      </w:r>
      <w:r>
        <w:rPr>
          <w:rFonts w:hint="eastAsia" w:ascii="仿宋" w:hAnsi="仿宋" w:eastAsia="仿宋"/>
          <w:color w:val="auto"/>
          <w:szCs w:val="28"/>
          <w:lang w:val="en-US" w:eastAsia="zh-CN"/>
        </w:rPr>
        <w:t>基本情况</w:t>
      </w:r>
      <w:bookmarkEnd w:id="1"/>
    </w:p>
    <w:p>
      <w:pPr>
        <w:pStyle w:val="4"/>
        <w:pageBreakBefore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Times New Roman"/>
          <w:b/>
          <w:color w:val="auto"/>
          <w:szCs w:val="28"/>
        </w:rPr>
      </w:pPr>
      <w:bookmarkStart w:id="2" w:name="_Toc24686"/>
      <w:r>
        <w:rPr>
          <w:rFonts w:hint="eastAsia" w:ascii="仿宋" w:hAnsi="仿宋" w:eastAsia="仿宋" w:cs="Times New Roman"/>
          <w:b/>
          <w:color w:val="auto"/>
          <w:szCs w:val="28"/>
        </w:rPr>
        <w:t>1.1.1项目名称</w:t>
      </w:r>
      <w:bookmarkEnd w:id="2"/>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丹霞街道综合养老服务中心建设项目公建民营实施方案（以下简称“养老服务中心”）</w:t>
      </w:r>
    </w:p>
    <w:p>
      <w:pPr>
        <w:pStyle w:val="4"/>
        <w:pageBreakBefore w:val="0"/>
        <w:numPr>
          <w:ilvl w:val="0"/>
          <w:numId w:val="0"/>
        </w:numPr>
        <w:kinsoku/>
        <w:wordWrap/>
        <w:overflowPunct/>
        <w:topLinePunct w:val="0"/>
        <w:autoSpaceDE/>
        <w:autoSpaceDN/>
        <w:bidi w:val="0"/>
        <w:adjustRightInd/>
        <w:snapToGrid/>
        <w:spacing w:line="360" w:lineRule="auto"/>
        <w:jc w:val="both"/>
        <w:textAlignment w:val="auto"/>
        <w:rPr>
          <w:rFonts w:hint="default" w:ascii="仿宋" w:hAnsi="仿宋" w:eastAsia="仿宋" w:cs="Times New Roman"/>
          <w:b/>
          <w:color w:val="auto"/>
          <w:szCs w:val="28"/>
          <w:lang w:val="en-US" w:eastAsia="zh-CN"/>
        </w:rPr>
      </w:pPr>
      <w:bookmarkStart w:id="3" w:name="_Toc7455"/>
      <w:r>
        <w:rPr>
          <w:rFonts w:hint="eastAsia" w:ascii="仿宋" w:hAnsi="仿宋" w:eastAsia="仿宋" w:cs="Times New Roman"/>
          <w:b/>
          <w:color w:val="auto"/>
          <w:szCs w:val="28"/>
        </w:rPr>
        <w:t>1.1.</w:t>
      </w:r>
      <w:r>
        <w:rPr>
          <w:rFonts w:hint="eastAsia" w:ascii="仿宋" w:hAnsi="仿宋" w:eastAsia="仿宋" w:cs="Times New Roman"/>
          <w:b/>
          <w:color w:val="auto"/>
          <w:szCs w:val="28"/>
          <w:lang w:val="en-US" w:eastAsia="zh-CN"/>
        </w:rPr>
        <w:t>2项目规模</w:t>
      </w:r>
      <w:bookmarkEnd w:id="3"/>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b w:val="0"/>
          <w:i w:val="0"/>
          <w:color w:val="auto"/>
          <w:sz w:val="32"/>
          <w:szCs w:val="28"/>
        </w:rPr>
      </w:pPr>
      <w:r>
        <w:rPr>
          <w:rFonts w:hint="eastAsia" w:ascii="仿宋" w:hAnsi="仿宋" w:eastAsia="仿宋_GB2312" w:cs="仿宋"/>
          <w:b w:val="0"/>
          <w:i w:val="0"/>
          <w:color w:val="auto"/>
          <w:spacing w:val="14"/>
          <w:sz w:val="32"/>
          <w:szCs w:val="28"/>
          <w:lang w:val="en-US" w:eastAsia="zh-CN"/>
        </w:rPr>
        <w:t>养老服务中心提供260个服务床位。总用地面积7218.05平方米，总建筑面积为7574.95平方米。主要建设一栋综合养老服务中心，以及室外工程等建设内容。</w:t>
      </w:r>
    </w:p>
    <w:p>
      <w:pPr>
        <w:pStyle w:val="4"/>
        <w:pageBreakBefore w:val="0"/>
        <w:numPr>
          <w:ilvl w:val="0"/>
          <w:numId w:val="0"/>
        </w:numPr>
        <w:kinsoku/>
        <w:wordWrap/>
        <w:overflowPunct/>
        <w:topLinePunct w:val="0"/>
        <w:autoSpaceDE/>
        <w:autoSpaceDN/>
        <w:bidi w:val="0"/>
        <w:adjustRightInd/>
        <w:snapToGrid/>
        <w:spacing w:line="360" w:lineRule="auto"/>
        <w:jc w:val="both"/>
        <w:textAlignment w:val="auto"/>
        <w:rPr>
          <w:rFonts w:hint="default" w:ascii="仿宋" w:hAnsi="仿宋" w:eastAsia="仿宋" w:cs="Times New Roman"/>
          <w:b/>
          <w:color w:val="auto"/>
          <w:szCs w:val="28"/>
          <w:lang w:val="en-US" w:eastAsia="zh-CN"/>
        </w:rPr>
      </w:pPr>
      <w:bookmarkStart w:id="4" w:name="_Toc22670"/>
      <w:r>
        <w:rPr>
          <w:rFonts w:hint="eastAsia" w:ascii="仿宋" w:hAnsi="仿宋" w:eastAsia="仿宋" w:cs="Times New Roman"/>
          <w:b/>
          <w:color w:val="auto"/>
          <w:szCs w:val="28"/>
        </w:rPr>
        <w:t>1.1.</w:t>
      </w:r>
      <w:r>
        <w:rPr>
          <w:rFonts w:hint="eastAsia" w:ascii="仿宋" w:hAnsi="仿宋" w:eastAsia="仿宋" w:cs="Times New Roman"/>
          <w:b/>
          <w:color w:val="auto"/>
          <w:szCs w:val="28"/>
          <w:lang w:val="en-US" w:eastAsia="zh-CN"/>
        </w:rPr>
        <w:t>3项目总投资</w:t>
      </w:r>
      <w:bookmarkEnd w:id="4"/>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default"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项目概算总投资为28</w:t>
      </w:r>
      <w:r>
        <w:rPr>
          <w:rFonts w:hint="default" w:ascii="仿宋" w:hAnsi="仿宋" w:eastAsia="仿宋_GB2312" w:cs="仿宋"/>
          <w:b w:val="0"/>
          <w:i w:val="0"/>
          <w:color w:val="auto"/>
          <w:spacing w:val="14"/>
          <w:sz w:val="32"/>
          <w:szCs w:val="28"/>
          <w:lang w:val="en-US" w:eastAsia="zh-CN"/>
        </w:rPr>
        <w:t>,</w:t>
      </w:r>
      <w:r>
        <w:rPr>
          <w:rFonts w:hint="eastAsia" w:ascii="仿宋" w:hAnsi="仿宋" w:eastAsia="仿宋_GB2312" w:cs="仿宋"/>
          <w:b w:val="0"/>
          <w:i w:val="0"/>
          <w:color w:val="auto"/>
          <w:spacing w:val="14"/>
          <w:sz w:val="32"/>
          <w:szCs w:val="28"/>
          <w:lang w:val="en-US" w:eastAsia="zh-CN"/>
        </w:rPr>
        <w:t>280</w:t>
      </w:r>
      <w:r>
        <w:rPr>
          <w:rFonts w:hint="default" w:ascii="仿宋" w:hAnsi="仿宋" w:eastAsia="仿宋_GB2312" w:cs="仿宋"/>
          <w:b w:val="0"/>
          <w:i w:val="0"/>
          <w:color w:val="auto"/>
          <w:spacing w:val="14"/>
          <w:sz w:val="32"/>
          <w:szCs w:val="28"/>
          <w:lang w:val="en-US" w:eastAsia="zh-CN"/>
        </w:rPr>
        <w:t>,</w:t>
      </w:r>
      <w:r>
        <w:rPr>
          <w:rFonts w:hint="eastAsia" w:ascii="仿宋" w:hAnsi="仿宋" w:eastAsia="仿宋_GB2312" w:cs="仿宋"/>
          <w:b w:val="0"/>
          <w:i w:val="0"/>
          <w:color w:val="auto"/>
          <w:spacing w:val="14"/>
          <w:sz w:val="32"/>
          <w:szCs w:val="28"/>
          <w:lang w:val="en-US" w:eastAsia="zh-CN"/>
        </w:rPr>
        <w:t>685元。</w:t>
      </w:r>
    </w:p>
    <w:p>
      <w:pPr>
        <w:pStyle w:val="4"/>
        <w:pageBreakBefore w:val="0"/>
        <w:numPr>
          <w:ilvl w:val="0"/>
          <w:numId w:val="0"/>
        </w:numPr>
        <w:kinsoku/>
        <w:wordWrap/>
        <w:overflowPunct/>
        <w:topLinePunct w:val="0"/>
        <w:autoSpaceDE/>
        <w:autoSpaceDN/>
        <w:bidi w:val="0"/>
        <w:adjustRightInd/>
        <w:snapToGrid/>
        <w:spacing w:line="360" w:lineRule="auto"/>
        <w:jc w:val="both"/>
        <w:textAlignment w:val="auto"/>
        <w:rPr>
          <w:rFonts w:hint="default" w:ascii="仿宋" w:hAnsi="仿宋" w:eastAsia="仿宋" w:cs="Times New Roman"/>
          <w:b/>
          <w:color w:val="auto"/>
          <w:szCs w:val="28"/>
          <w:lang w:val="en-US" w:eastAsia="zh-CN"/>
        </w:rPr>
      </w:pPr>
      <w:bookmarkStart w:id="5" w:name="_Toc2922"/>
      <w:r>
        <w:rPr>
          <w:rFonts w:hint="eastAsia" w:ascii="仿宋" w:hAnsi="仿宋" w:eastAsia="仿宋" w:cs="Times New Roman"/>
          <w:b/>
          <w:color w:val="auto"/>
          <w:szCs w:val="28"/>
        </w:rPr>
        <w:t>1.1.</w:t>
      </w:r>
      <w:r>
        <w:rPr>
          <w:rFonts w:hint="eastAsia" w:ascii="仿宋" w:hAnsi="仿宋" w:eastAsia="仿宋" w:cs="Times New Roman"/>
          <w:b/>
          <w:color w:val="auto"/>
          <w:szCs w:val="28"/>
          <w:lang w:val="en-US" w:eastAsia="zh-CN"/>
        </w:rPr>
        <w:t>4项目建设相关情况</w:t>
      </w:r>
      <w:bookmarkEnd w:id="5"/>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2023年2月23日，仁化县发展和改革局文件《仁发改投审〔2023〕15号》批复了仁化县民政和退役军人事务局《关于仁化县城乡养老服务体系建设项目可行性研究报告的立项变更的申请》，同意仁化县民政和退役军人事务局提交的项目可行性研究报告。</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2023年7月14日，仁化县发展和改革局文件《仁发改投审〔2023〕52号》批复了仁化县民政和退役军人事务局《关于仁化县城乡养老服务体系建设项目初步设计概算的立项申请》，同意仁化县民政和退役军人事务局提交的项目初步设计概算。</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2023年8月，仁化县民政和退役军人事务局对该项目进行招标，2023年11月开工，目前项目正在建设中，预计2025年底建设完成，并正式移交仁化县民政和退役军人事务局。</w:t>
      </w:r>
    </w:p>
    <w:p>
      <w:pPr>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仿宋" w:hAnsi="仿宋" w:eastAsia="仿宋_GB2312" w:cs="仿宋"/>
          <w:b w:val="0"/>
          <w:i w:val="0"/>
          <w:color w:val="auto"/>
          <w:spacing w:val="14"/>
          <w:sz w:val="32"/>
          <w:szCs w:val="28"/>
          <w:lang w:val="en-US" w:eastAsia="zh-CN"/>
        </w:rPr>
      </w:pPr>
      <w:r>
        <w:rPr>
          <w:color w:val="auto"/>
        </w:rPr>
        <w:drawing>
          <wp:inline distT="0" distB="0" distL="114300" distR="114300">
            <wp:extent cx="5269230" cy="3037205"/>
            <wp:effectExtent l="0" t="0" r="7620" b="10795"/>
            <wp:docPr id="21" name="图片 1" descr="Enscape_2025-01-04-17-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descr="Enscape_2025-01-04-17-42-24"/>
                    <pic:cNvPicPr>
                      <a:picLocks noChangeAspect="1"/>
                    </pic:cNvPicPr>
                  </pic:nvPicPr>
                  <pic:blipFill>
                    <a:blip r:embed="rId23"/>
                    <a:stretch>
                      <a:fillRect/>
                    </a:stretch>
                  </pic:blipFill>
                  <pic:spPr>
                    <a:xfrm>
                      <a:off x="0" y="0"/>
                      <a:ext cx="5269230" cy="3037205"/>
                    </a:xfrm>
                    <a:prstGeom prst="rect">
                      <a:avLst/>
                    </a:prstGeom>
                    <a:noFill/>
                    <a:ln>
                      <a:noFill/>
                    </a:ln>
                  </pic:spPr>
                </pic:pic>
              </a:graphicData>
            </a:graphic>
          </wp:inline>
        </w:drawing>
      </w:r>
    </w:p>
    <w:p>
      <w:pPr>
        <w:pStyle w:val="18"/>
        <w:pageBreakBefore w:val="0"/>
        <w:kinsoku/>
        <w:wordWrap/>
        <w:overflowPunct/>
        <w:topLinePunct w:val="0"/>
        <w:autoSpaceDE/>
        <w:autoSpaceDN/>
        <w:bidi w:val="0"/>
        <w:adjustRightInd/>
        <w:snapToGrid/>
        <w:spacing w:line="360" w:lineRule="auto"/>
        <w:jc w:val="center"/>
        <w:textAlignment w:val="auto"/>
        <w:rPr>
          <w:rFonts w:hint="eastAsia" w:ascii="仿宋" w:hAnsi="仿宋" w:eastAsia="仿宋" w:cs="宋体"/>
          <w:color w:val="auto"/>
          <w:sz w:val="21"/>
          <w:szCs w:val="21"/>
          <w:lang w:val="en-US" w:eastAsia="zh-CN"/>
        </w:rPr>
      </w:pPr>
      <w:r>
        <w:rPr>
          <w:rFonts w:hint="eastAsia" w:ascii="仿宋" w:hAnsi="仿宋" w:eastAsia="仿宋" w:cs="宋体"/>
          <w:color w:val="auto"/>
          <w:sz w:val="21"/>
          <w:szCs w:val="21"/>
          <w:lang w:val="en-US" w:eastAsia="zh-CN"/>
        </w:rPr>
        <w:t>图1.1.4-1养老院效果图</w:t>
      </w:r>
    </w:p>
    <w:p>
      <w:pPr>
        <w:pStyle w:val="18"/>
        <w:pageBreakBefore w:val="0"/>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宋体"/>
          <w:color w:val="auto"/>
          <w:sz w:val="21"/>
          <w:szCs w:val="21"/>
          <w:lang w:val="en-US" w:eastAsia="zh-CN"/>
        </w:rPr>
      </w:pPr>
      <w:r>
        <w:rPr>
          <w:color w:val="auto"/>
        </w:rPr>
        <w:drawing>
          <wp:inline distT="0" distB="0" distL="114300" distR="114300">
            <wp:extent cx="5269230" cy="3037205"/>
            <wp:effectExtent l="0" t="0" r="7620" b="10795"/>
            <wp:docPr id="27" name="图片 2" descr="Enscape_2025-01-04-17-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Enscape_2025-01-04-17-52-17"/>
                    <pic:cNvPicPr>
                      <a:picLocks noChangeAspect="1"/>
                    </pic:cNvPicPr>
                  </pic:nvPicPr>
                  <pic:blipFill>
                    <a:blip r:embed="rId24"/>
                    <a:stretch>
                      <a:fillRect/>
                    </a:stretch>
                  </pic:blipFill>
                  <pic:spPr>
                    <a:xfrm>
                      <a:off x="0" y="0"/>
                      <a:ext cx="5269230" cy="3037205"/>
                    </a:xfrm>
                    <a:prstGeom prst="rect">
                      <a:avLst/>
                    </a:prstGeom>
                    <a:noFill/>
                    <a:ln>
                      <a:noFill/>
                    </a:ln>
                  </pic:spPr>
                </pic:pic>
              </a:graphicData>
            </a:graphic>
          </wp:inline>
        </w:drawing>
      </w:r>
    </w:p>
    <w:p>
      <w:pPr>
        <w:pStyle w:val="18"/>
        <w:pageBreakBefore w:val="0"/>
        <w:kinsoku/>
        <w:wordWrap/>
        <w:overflowPunct/>
        <w:topLinePunct w:val="0"/>
        <w:autoSpaceDE/>
        <w:autoSpaceDN/>
        <w:bidi w:val="0"/>
        <w:adjustRightInd/>
        <w:snapToGrid/>
        <w:spacing w:line="360" w:lineRule="auto"/>
        <w:jc w:val="center"/>
        <w:textAlignment w:val="auto"/>
        <w:rPr>
          <w:rFonts w:hint="eastAsia" w:ascii="仿宋" w:hAnsi="仿宋" w:eastAsia="仿宋" w:cs="宋体"/>
          <w:color w:val="auto"/>
          <w:sz w:val="21"/>
          <w:szCs w:val="21"/>
          <w:lang w:val="en-US" w:eastAsia="zh-CN"/>
        </w:rPr>
      </w:pPr>
      <w:r>
        <w:rPr>
          <w:rFonts w:hint="eastAsia" w:ascii="仿宋" w:hAnsi="仿宋" w:eastAsia="仿宋" w:cs="宋体"/>
          <w:color w:val="auto"/>
          <w:sz w:val="21"/>
          <w:szCs w:val="21"/>
          <w:lang w:val="en-US" w:eastAsia="zh-CN"/>
        </w:rPr>
        <w:t>图1.1.4-2养老院效果图</w:t>
      </w:r>
    </w:p>
    <w:p>
      <w:pPr>
        <w:pStyle w:val="3"/>
        <w:pageBreakBefore w:val="0"/>
        <w:numPr>
          <w:ilvl w:val="1"/>
          <w:numId w:val="0"/>
        </w:numPr>
        <w:kinsoku/>
        <w:wordWrap/>
        <w:overflowPunct/>
        <w:topLinePunct w:val="0"/>
        <w:autoSpaceDE/>
        <w:autoSpaceDN/>
        <w:bidi w:val="0"/>
        <w:adjustRightInd/>
        <w:snapToGrid/>
        <w:spacing w:line="360" w:lineRule="auto"/>
        <w:jc w:val="both"/>
        <w:textAlignment w:val="auto"/>
        <w:rPr>
          <w:rFonts w:hint="default" w:ascii="仿宋" w:hAnsi="仿宋" w:eastAsia="仿宋" w:cs="宋体"/>
          <w:color w:val="auto"/>
          <w:sz w:val="21"/>
          <w:szCs w:val="21"/>
          <w:lang w:val="en-US" w:eastAsia="zh-CN"/>
        </w:rPr>
      </w:pPr>
      <w:bookmarkStart w:id="6" w:name="_Toc22095"/>
      <w:r>
        <w:rPr>
          <w:rFonts w:hint="eastAsia" w:ascii="仿宋" w:hAnsi="仿宋" w:eastAsia="仿宋"/>
          <w:color w:val="auto"/>
          <w:szCs w:val="28"/>
        </w:rPr>
        <w:t>1.</w:t>
      </w:r>
      <w:r>
        <w:rPr>
          <w:rFonts w:hint="eastAsia" w:ascii="仿宋" w:hAnsi="仿宋" w:eastAsia="仿宋"/>
          <w:color w:val="auto"/>
          <w:szCs w:val="28"/>
          <w:lang w:val="en-US" w:eastAsia="zh-CN"/>
        </w:rPr>
        <w:t>2</w:t>
      </w:r>
      <w:r>
        <w:rPr>
          <w:rFonts w:hint="eastAsia" w:ascii="仿宋" w:hAnsi="仿宋" w:eastAsia="仿宋"/>
          <w:color w:val="auto"/>
          <w:szCs w:val="28"/>
        </w:rPr>
        <w:t>项目</w:t>
      </w:r>
      <w:r>
        <w:rPr>
          <w:rFonts w:hint="eastAsia" w:ascii="仿宋" w:hAnsi="仿宋" w:eastAsia="仿宋"/>
          <w:color w:val="auto"/>
          <w:szCs w:val="28"/>
          <w:lang w:val="en-US" w:eastAsia="zh-CN"/>
        </w:rPr>
        <w:t>提出背景</w:t>
      </w:r>
      <w:bookmarkEnd w:id="6"/>
    </w:p>
    <w:p>
      <w:pPr>
        <w:pStyle w:val="4"/>
        <w:pageBreakBefore w:val="0"/>
        <w:numPr>
          <w:ilvl w:val="0"/>
          <w:numId w:val="0"/>
        </w:numPr>
        <w:kinsoku/>
        <w:wordWrap/>
        <w:overflowPunct/>
        <w:topLinePunct w:val="0"/>
        <w:autoSpaceDE/>
        <w:autoSpaceDN/>
        <w:bidi w:val="0"/>
        <w:adjustRightInd/>
        <w:snapToGrid/>
        <w:spacing w:line="360" w:lineRule="auto"/>
        <w:jc w:val="both"/>
        <w:textAlignment w:val="auto"/>
        <w:rPr>
          <w:rFonts w:hint="default" w:ascii="仿宋" w:hAnsi="仿宋" w:eastAsia="仿宋" w:cs="Times New Roman"/>
          <w:b/>
          <w:color w:val="auto"/>
          <w:szCs w:val="28"/>
          <w:lang w:val="en-US" w:eastAsia="zh-CN"/>
        </w:rPr>
      </w:pPr>
      <w:bookmarkStart w:id="7" w:name="_Toc21095"/>
      <w:r>
        <w:rPr>
          <w:rFonts w:hint="eastAsia" w:ascii="仿宋" w:hAnsi="仿宋" w:eastAsia="仿宋" w:cs="Times New Roman"/>
          <w:b/>
          <w:color w:val="auto"/>
          <w:szCs w:val="28"/>
        </w:rPr>
        <w:t>1.</w:t>
      </w:r>
      <w:r>
        <w:rPr>
          <w:rFonts w:hint="eastAsia" w:ascii="仿宋" w:hAnsi="仿宋" w:eastAsia="仿宋" w:cs="Times New Roman"/>
          <w:b/>
          <w:color w:val="auto"/>
          <w:szCs w:val="28"/>
          <w:lang w:val="en-US" w:eastAsia="zh-CN"/>
        </w:rPr>
        <w:t>2</w:t>
      </w:r>
      <w:r>
        <w:rPr>
          <w:rFonts w:hint="eastAsia" w:ascii="仿宋" w:hAnsi="仿宋" w:eastAsia="仿宋" w:cs="Times New Roman"/>
          <w:b/>
          <w:color w:val="auto"/>
          <w:szCs w:val="28"/>
        </w:rPr>
        <w:t>.</w:t>
      </w:r>
      <w:r>
        <w:rPr>
          <w:rFonts w:hint="eastAsia" w:ascii="仿宋" w:hAnsi="仿宋" w:eastAsia="仿宋" w:cs="Times New Roman"/>
          <w:b/>
          <w:color w:val="auto"/>
          <w:szCs w:val="28"/>
          <w:lang w:val="en-US" w:eastAsia="zh-CN"/>
        </w:rPr>
        <w:t>1政策背景</w:t>
      </w:r>
      <w:bookmarkEnd w:id="7"/>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default" w:ascii="仿宋" w:hAnsi="仿宋" w:eastAsia="仿宋_GB2312" w:cs="仿宋"/>
          <w:b w:val="0"/>
          <w:i w:val="0"/>
          <w:color w:val="auto"/>
          <w:spacing w:val="14"/>
          <w:sz w:val="32"/>
          <w:szCs w:val="28"/>
          <w:lang w:val="en-US" w:eastAsia="zh-CN"/>
        </w:rPr>
      </w:pPr>
      <w:r>
        <w:rPr>
          <w:rFonts w:hint="default" w:ascii="仿宋" w:hAnsi="仿宋" w:eastAsia="仿宋_GB2312" w:cs="仿宋"/>
          <w:b w:val="0"/>
          <w:i w:val="0"/>
          <w:color w:val="auto"/>
          <w:spacing w:val="14"/>
          <w:sz w:val="32"/>
          <w:szCs w:val="28"/>
          <w:lang w:val="en-US" w:eastAsia="zh-CN"/>
        </w:rPr>
        <w:t>近年来，我国养老服务业快速发展，产业规模不断扩大，服务体系逐步完善，但仍面临供给结构不尽合理、市场潜力未充分释放、服务质量有待提高等问题。随着人口老龄化程度不断加深和人民生活水平逐步提高，老年群体多层次、多样化的服务需求持续增长，对扩大养老服务有效供给提出了更高要求。</w:t>
      </w:r>
    </w:p>
    <w:p>
      <w:pPr>
        <w:pageBreakBefore w:val="0"/>
        <w:numPr>
          <w:ilvl w:val="0"/>
          <w:numId w:val="0"/>
        </w:numPr>
        <w:kinsoku/>
        <w:wordWrap/>
        <w:overflowPunct/>
        <w:topLinePunct w:val="0"/>
        <w:autoSpaceDE/>
        <w:autoSpaceDN/>
        <w:bidi w:val="0"/>
        <w:adjustRightInd/>
        <w:snapToGrid/>
        <w:spacing w:line="360" w:lineRule="auto"/>
        <w:ind w:firstLine="618" w:firstLineChars="200"/>
        <w:jc w:val="both"/>
        <w:textAlignment w:val="auto"/>
        <w:rPr>
          <w:rFonts w:hint="default" w:ascii="仿宋" w:hAnsi="仿宋" w:eastAsia="仿宋" w:cs="仿宋"/>
          <w:b/>
          <w:bCs/>
          <w:color w:val="auto"/>
          <w:spacing w:val="14"/>
          <w:sz w:val="28"/>
          <w:szCs w:val="28"/>
          <w:lang w:val="en-US" w:eastAsia="zh-CN"/>
        </w:rPr>
      </w:pPr>
      <w:r>
        <w:rPr>
          <w:rFonts w:hint="eastAsia" w:ascii="仿宋" w:hAnsi="仿宋" w:eastAsia="仿宋" w:cs="仿宋"/>
          <w:b/>
          <w:bCs/>
          <w:color w:val="auto"/>
          <w:spacing w:val="14"/>
          <w:sz w:val="28"/>
          <w:szCs w:val="28"/>
          <w:lang w:val="en-US" w:eastAsia="zh-CN"/>
        </w:rPr>
        <w:t>一、国家政策</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党的十八大以来，习近平总书记和党中央、国务院高度重视养老服务工作，对快速推动养老服务发展作出部署。2019年，国务院办公厅发布了《关于推进养老服务发展的意见》（国办发〔2019〕5号），在我国老龄化趋势日益凸显的情况下，意见提出要继续深化公办养老机构改革。充分发挥公办养老机构及公建民营养老机构兜底保障作用，在满足当前和今后一个时期特困人员集中供养需求的前提下，重点为经济困难失能（含失智，下同）老年人、计划生育特殊家庭老年人提供无偿或低收费托养服务。坚持公办养老机构公益属性，确定保障范围，其余床位允许向社会开放，研究制定收费指导标准，收益用于支持兜底保障对象的养老服务。</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为了改变有效供给不足、消费政策不健全、营商和消费环境有待改善等突出问题，民政部在2021年发布了《民政部关于进一步扩大养老服务供给促进养老服务消费的实施意见》，提出进一步深化公办养老机构改革，坚持公办养老机构的公益属性，提升护理型床位占比，明确护理型床位建设标准，重点为特困人员、经济困难的失能失智老年人、计划生育特殊家庭老年人提供托养服务。探索多样化的经营模式，引导社会力量根据市场需要，兴办面向中高收入家庭的养老机构，构建全方位、多层次、立体化的养老服务体系，满足多元化、便利化、个性化服务需求。</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为实施积极应对人口老龄化国家战略，推动老龄事业和产业协同发展，构建和完善兜底性、普惠型、多样化的养老服务体系，国务院在2021年发布了《“十四五”国家老龄事业发展和养老服务体系规划》，要求强化公办养老机构兜底保障作用，不断扩大养老服务供给。覆盖城乡、惠及全民、均衡合理、优质高效的养老服务供给进一步扩大，家庭养老照护能力有效增强，兜底养老服务更加健全，普惠养老服务资源持续扩大，多层次多样化养老服务优质规范发展。坚持公办养老机构的公益属性，引导公建民营、民办公助等养老机构优先接收特殊困难老年人、做出特殊贡献的老年人。</w:t>
      </w:r>
    </w:p>
    <w:p>
      <w:pPr>
        <w:pageBreakBefore w:val="0"/>
        <w:numPr>
          <w:ilvl w:val="0"/>
          <w:numId w:val="0"/>
        </w:numPr>
        <w:kinsoku/>
        <w:wordWrap/>
        <w:overflowPunct/>
        <w:topLinePunct w:val="0"/>
        <w:autoSpaceDE/>
        <w:autoSpaceDN/>
        <w:bidi w:val="0"/>
        <w:adjustRightInd/>
        <w:snapToGrid/>
        <w:spacing w:line="360" w:lineRule="auto"/>
        <w:ind w:firstLine="618" w:firstLineChars="200"/>
        <w:jc w:val="both"/>
        <w:textAlignment w:val="auto"/>
        <w:rPr>
          <w:rFonts w:hint="eastAsia" w:ascii="仿宋" w:hAnsi="仿宋" w:eastAsia="仿宋" w:cs="仿宋"/>
          <w:b/>
          <w:bCs/>
          <w:color w:val="auto"/>
          <w:spacing w:val="14"/>
          <w:sz w:val="28"/>
          <w:szCs w:val="28"/>
          <w:lang w:val="en-US" w:eastAsia="zh-CN"/>
        </w:rPr>
      </w:pPr>
      <w:r>
        <w:rPr>
          <w:rFonts w:hint="eastAsia" w:ascii="仿宋" w:hAnsi="仿宋" w:eastAsia="仿宋" w:cs="仿宋"/>
          <w:b/>
          <w:bCs/>
          <w:color w:val="auto"/>
          <w:spacing w:val="14"/>
          <w:sz w:val="28"/>
          <w:szCs w:val="28"/>
          <w:lang w:val="en-US" w:eastAsia="zh-CN"/>
        </w:rPr>
        <w:t>二、广东省养老政策</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《关于加快发展农村养老服务的指导意见》民发〔2024〕20号</w:t>
      </w:r>
    </w:p>
    <w:p>
      <w:pPr>
        <w:pageBreakBefore w:val="0"/>
        <w:numPr>
          <w:ilvl w:val="0"/>
          <w:numId w:val="0"/>
        </w:numPr>
        <w:kinsoku/>
        <w:wordWrap/>
        <w:overflowPunct/>
        <w:topLinePunct w:val="0"/>
        <w:autoSpaceDE/>
        <w:autoSpaceDN/>
        <w:bidi w:val="0"/>
        <w:adjustRightInd/>
        <w:snapToGrid/>
        <w:spacing w:line="360" w:lineRule="auto"/>
        <w:ind w:firstLine="618"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 w:cs="仿宋"/>
          <w:b/>
          <w:bCs/>
          <w:color w:val="auto"/>
          <w:spacing w:val="14"/>
          <w:sz w:val="28"/>
          <w:szCs w:val="28"/>
          <w:lang w:val="en-US" w:eastAsia="zh-CN"/>
        </w:rPr>
        <w:t>（一）拓展县级特困人员供养服务机构功能。</w:t>
      </w:r>
      <w:r>
        <w:rPr>
          <w:rFonts w:hint="eastAsia" w:ascii="仿宋" w:hAnsi="仿宋" w:eastAsia="仿宋_GB2312" w:cs="仿宋"/>
          <w:b w:val="0"/>
          <w:i w:val="0"/>
          <w:color w:val="auto"/>
          <w:spacing w:val="14"/>
          <w:sz w:val="32"/>
          <w:szCs w:val="28"/>
          <w:lang w:val="en-US" w:eastAsia="zh-CN"/>
        </w:rPr>
        <w:t>支持县级特困人员供养服务机构根据需要设置失能或认知障碍照护专区，加强护理型床位建设。充分发挥县级特困人员供养服务机构的辐射带动作用，积极拓展资源统筹、实训示范、技术指导等功能。支持县域公办养老机构或其他管理服务水平高的民办养老机构、区域养老服务中心、村级邻里互助点、农村幸福院等依法组成服务联合体，连锁化、品牌化、集约化运营。</w:t>
      </w:r>
    </w:p>
    <w:p>
      <w:pPr>
        <w:pageBreakBefore w:val="0"/>
        <w:numPr>
          <w:ilvl w:val="0"/>
          <w:numId w:val="0"/>
        </w:numPr>
        <w:kinsoku/>
        <w:wordWrap/>
        <w:overflowPunct/>
        <w:topLinePunct w:val="0"/>
        <w:autoSpaceDE/>
        <w:autoSpaceDN/>
        <w:bidi w:val="0"/>
        <w:adjustRightInd/>
        <w:snapToGrid/>
        <w:spacing w:line="360" w:lineRule="auto"/>
        <w:ind w:firstLine="618"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 w:cs="仿宋"/>
          <w:b/>
          <w:bCs/>
          <w:color w:val="auto"/>
          <w:spacing w:val="14"/>
          <w:sz w:val="28"/>
          <w:szCs w:val="28"/>
          <w:lang w:val="en-US" w:eastAsia="zh-CN"/>
        </w:rPr>
        <w:t>（二）推进乡镇（街道）区域养老服务中心建设。</w:t>
      </w:r>
      <w:r>
        <w:rPr>
          <w:rFonts w:hint="eastAsia" w:ascii="仿宋" w:hAnsi="仿宋" w:eastAsia="仿宋_GB2312" w:cs="仿宋"/>
          <w:b w:val="0"/>
          <w:i w:val="0"/>
          <w:color w:val="auto"/>
          <w:spacing w:val="14"/>
          <w:sz w:val="32"/>
          <w:szCs w:val="28"/>
          <w:lang w:val="en-US" w:eastAsia="zh-CN"/>
        </w:rPr>
        <w:t>推进具备条件的乡镇（街道）特困人员供养服务设施（敬老院）等养老机构转型，建设成为具有协调指导、全日托养、日间照料、居家上门、服务转介等功能的区域养老服务中心。原地改造升级项目不调整规划用途，不额外占用建设指标。基础设施设备老化、消防设施不达标、入住率低且不具备整改条件的，因地制宜进行撤并。</w:t>
      </w:r>
    </w:p>
    <w:p>
      <w:pPr>
        <w:pageBreakBefore w:val="0"/>
        <w:numPr>
          <w:ilvl w:val="0"/>
          <w:numId w:val="0"/>
        </w:numPr>
        <w:kinsoku/>
        <w:wordWrap/>
        <w:overflowPunct/>
        <w:topLinePunct w:val="0"/>
        <w:autoSpaceDE/>
        <w:autoSpaceDN/>
        <w:bidi w:val="0"/>
        <w:adjustRightInd/>
        <w:snapToGrid/>
        <w:spacing w:line="360" w:lineRule="auto"/>
        <w:ind w:firstLine="618"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 w:cs="仿宋"/>
          <w:b/>
          <w:bCs/>
          <w:color w:val="auto"/>
          <w:spacing w:val="14"/>
          <w:sz w:val="28"/>
          <w:szCs w:val="28"/>
          <w:lang w:val="en-US" w:eastAsia="zh-CN"/>
        </w:rPr>
        <w:t>（三）增加村级养老服务点。</w:t>
      </w:r>
      <w:r>
        <w:rPr>
          <w:rFonts w:hint="eastAsia" w:ascii="仿宋" w:hAnsi="仿宋" w:eastAsia="仿宋_GB2312" w:cs="仿宋"/>
          <w:b w:val="0"/>
          <w:i w:val="0"/>
          <w:color w:val="auto"/>
          <w:spacing w:val="14"/>
          <w:sz w:val="32"/>
          <w:szCs w:val="28"/>
          <w:lang w:val="en-US" w:eastAsia="zh-CN"/>
        </w:rPr>
        <w:t>将村级邻里互助点、农村幸福院等互助养老服务设施建设纳入村庄规划。建立政府扶持引导、村集体组织建设、老年人自愿入住相互帮扶、社会广泛支持的可持续发展模式，鼓励基层老年协会参与服务管理，广泛开展代买代办、寻医送药、探访关爱、学习交流等互助帮扶活动。结合实际需要，可以依托有条件的村级邻里互助点、农村幸福院等开办老年食堂、设置老年助餐点，探索邻里互助、设立“中心户”多户搭伙、结对帮扶等模式，灵活多样开展助餐服务。结合村容村貌提升，开展农村无障碍环境建设，实施特殊困难老年人家庭适老化改造。推动养教结合，鼓励有条件的农村养老机构建设老年教育学习点。开展农村老年人喜闻乐见的文化活动，提高老年人健康生活素养。支持牧区探索开展“马背上”的流动服务，更好解决老年人在游牧过程中助急、助医等服务难题。</w:t>
      </w:r>
    </w:p>
    <w:p>
      <w:pPr>
        <w:pageBreakBefore w:val="0"/>
        <w:numPr>
          <w:ilvl w:val="0"/>
          <w:numId w:val="0"/>
        </w:numPr>
        <w:kinsoku/>
        <w:wordWrap/>
        <w:overflowPunct/>
        <w:topLinePunct w:val="0"/>
        <w:autoSpaceDE/>
        <w:autoSpaceDN/>
        <w:bidi w:val="0"/>
        <w:adjustRightInd/>
        <w:snapToGrid/>
        <w:spacing w:line="360" w:lineRule="auto"/>
        <w:ind w:firstLine="618"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 w:cs="仿宋"/>
          <w:b/>
          <w:bCs/>
          <w:color w:val="auto"/>
          <w:spacing w:val="14"/>
          <w:sz w:val="28"/>
          <w:szCs w:val="28"/>
          <w:lang w:val="en-US" w:eastAsia="zh-CN"/>
        </w:rPr>
        <w:t>（四）引导提升县域养老机构资源使用效能。</w:t>
      </w:r>
      <w:r>
        <w:rPr>
          <w:rFonts w:hint="eastAsia" w:ascii="仿宋" w:hAnsi="仿宋" w:eastAsia="仿宋_GB2312" w:cs="仿宋"/>
          <w:b w:val="0"/>
          <w:i w:val="0"/>
          <w:color w:val="auto"/>
          <w:spacing w:val="14"/>
          <w:sz w:val="32"/>
          <w:szCs w:val="28"/>
          <w:lang w:val="en-US" w:eastAsia="zh-CN"/>
        </w:rPr>
        <w:t>县域内要统筹采取优化整合公办养老机构资源、改革公办养老机构运营管理机制等措施，进一步提升辖区内公办养老机构运营效率，并逐步将集中供养特困人员根据意愿安置到服务质量好、运营效率高的供养服务设施（敬老院）。对闲置或运营效率偏低的公办养老机构，可按规定采取公建民营、公办民营、委托经营等方式引入社会力量参与。县域内公办养老机构上一年度平均入住率低于所在省份公办养老机构整体平均入住率的，县级民政部门要制定具体工作方案，采取有效措施提高公办养老机构床位使用效率。</w:t>
      </w:r>
    </w:p>
    <w:p>
      <w:pPr>
        <w:pageBreakBefore w:val="0"/>
        <w:numPr>
          <w:ilvl w:val="0"/>
          <w:numId w:val="0"/>
        </w:numPr>
        <w:kinsoku/>
        <w:wordWrap/>
        <w:overflowPunct/>
        <w:topLinePunct w:val="0"/>
        <w:autoSpaceDE/>
        <w:autoSpaceDN/>
        <w:bidi w:val="0"/>
        <w:adjustRightInd/>
        <w:snapToGrid/>
        <w:spacing w:line="360" w:lineRule="auto"/>
        <w:ind w:firstLine="618" w:firstLineChars="200"/>
        <w:jc w:val="both"/>
        <w:textAlignment w:val="auto"/>
        <w:rPr>
          <w:rFonts w:hint="eastAsia" w:ascii="仿宋" w:hAnsi="仿宋" w:eastAsia="仿宋" w:cs="仿宋"/>
          <w:b/>
          <w:bCs/>
          <w:color w:val="auto"/>
          <w:spacing w:val="14"/>
          <w:sz w:val="28"/>
          <w:szCs w:val="28"/>
          <w:lang w:val="en-US" w:eastAsia="zh-CN"/>
        </w:rPr>
      </w:pPr>
      <w:r>
        <w:rPr>
          <w:rFonts w:hint="eastAsia" w:ascii="仿宋" w:hAnsi="仿宋" w:eastAsia="仿宋" w:cs="仿宋"/>
          <w:b/>
          <w:bCs/>
          <w:color w:val="auto"/>
          <w:spacing w:val="14"/>
          <w:sz w:val="28"/>
          <w:szCs w:val="28"/>
          <w:lang w:val="en-US" w:eastAsia="zh-CN"/>
        </w:rPr>
        <w:t>二、《民政部办公厅财政办公厅关于实施 2024年中央集中彩票公益金支持社会福利事业资金试点项目的通知》（民办函）（2024）51号）</w:t>
      </w:r>
    </w:p>
    <w:p>
      <w:pPr>
        <w:pageBreakBefore w:val="0"/>
        <w:numPr>
          <w:ilvl w:val="0"/>
          <w:numId w:val="0"/>
        </w:numPr>
        <w:kinsoku/>
        <w:wordWrap/>
        <w:overflowPunct/>
        <w:topLinePunct w:val="0"/>
        <w:autoSpaceDE/>
        <w:autoSpaceDN/>
        <w:bidi w:val="0"/>
        <w:adjustRightInd/>
        <w:snapToGrid/>
        <w:spacing w:line="360" w:lineRule="auto"/>
        <w:ind w:firstLine="618"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 w:cs="仿宋"/>
          <w:b/>
          <w:bCs/>
          <w:color w:val="auto"/>
          <w:spacing w:val="14"/>
          <w:sz w:val="28"/>
          <w:szCs w:val="28"/>
          <w:lang w:val="en-US" w:eastAsia="zh-CN"/>
        </w:rPr>
        <w:t>1、改革完善公办养老机构管理体制。</w:t>
      </w:r>
      <w:r>
        <w:rPr>
          <w:rFonts w:hint="eastAsia" w:ascii="仿宋" w:hAnsi="仿宋" w:eastAsia="仿宋_GB2312" w:cs="仿宋"/>
          <w:b w:val="0"/>
          <w:i w:val="0"/>
          <w:color w:val="auto"/>
          <w:spacing w:val="14"/>
          <w:sz w:val="32"/>
          <w:szCs w:val="28"/>
          <w:lang w:val="en-US" w:eastAsia="zh-CN"/>
        </w:rPr>
        <w:t>推进农村特困人员供养服务机构运营管理体制改革，人、财、物等由县域养老服务指导中心统筹管理，实现人员力量更强、运营管理更好、服务质量更高。</w:t>
      </w:r>
    </w:p>
    <w:p>
      <w:pPr>
        <w:pageBreakBefore w:val="0"/>
        <w:numPr>
          <w:ilvl w:val="0"/>
          <w:numId w:val="0"/>
        </w:numPr>
        <w:kinsoku/>
        <w:wordWrap/>
        <w:overflowPunct/>
        <w:topLinePunct w:val="0"/>
        <w:autoSpaceDE/>
        <w:autoSpaceDN/>
        <w:bidi w:val="0"/>
        <w:adjustRightInd/>
        <w:snapToGrid/>
        <w:spacing w:line="360" w:lineRule="auto"/>
        <w:ind w:firstLine="618"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 w:cs="仿宋"/>
          <w:b/>
          <w:bCs/>
          <w:color w:val="auto"/>
          <w:spacing w:val="14"/>
          <w:sz w:val="28"/>
          <w:szCs w:val="28"/>
          <w:lang w:val="en-US" w:eastAsia="zh-CN"/>
        </w:rPr>
        <w:t>2、改革创新公办养老机构运营机制。</w:t>
      </w:r>
      <w:r>
        <w:rPr>
          <w:rFonts w:hint="eastAsia" w:ascii="仿宋" w:hAnsi="仿宋" w:eastAsia="仿宋_GB2312" w:cs="仿宋"/>
          <w:b w:val="0"/>
          <w:i w:val="0"/>
          <w:color w:val="auto"/>
          <w:spacing w:val="14"/>
          <w:sz w:val="32"/>
          <w:szCs w:val="28"/>
          <w:lang w:val="en-US" w:eastAsia="zh-CN"/>
        </w:rPr>
        <w:t>将公办养老机构闲置床位向社会开放，为特殊困难老年人提供优先优惠服务，为其他社会老年人提供普惠性养老服务。按规定改革完善公办养老机构管理机制，增强机构在运营管理方面的自主权。积极盘活现有闲置的特困供养机构(敬老院)和其他公办养老机构等养老服务资源:鼓励社会力量以公建民营、民办公助或独立兴办等方式参与养老服务。</w:t>
      </w:r>
    </w:p>
    <w:p>
      <w:pPr>
        <w:pageBreakBefore w:val="0"/>
        <w:numPr>
          <w:ilvl w:val="0"/>
          <w:numId w:val="0"/>
        </w:numPr>
        <w:kinsoku/>
        <w:wordWrap/>
        <w:overflowPunct/>
        <w:topLinePunct w:val="0"/>
        <w:autoSpaceDE/>
        <w:autoSpaceDN/>
        <w:bidi w:val="0"/>
        <w:adjustRightInd/>
        <w:snapToGrid/>
        <w:spacing w:line="360" w:lineRule="auto"/>
        <w:ind w:firstLine="618"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 w:cs="仿宋"/>
          <w:b/>
          <w:bCs/>
          <w:color w:val="auto"/>
          <w:spacing w:val="14"/>
          <w:sz w:val="28"/>
          <w:szCs w:val="28"/>
          <w:lang w:val="en-US" w:eastAsia="zh-CN"/>
        </w:rPr>
        <w:t>3、支持小微民办养老机构发展。</w:t>
      </w:r>
      <w:r>
        <w:rPr>
          <w:rFonts w:hint="eastAsia" w:ascii="仿宋" w:hAnsi="仿宋" w:eastAsia="仿宋_GB2312" w:cs="仿宋"/>
          <w:b w:val="0"/>
          <w:i w:val="0"/>
          <w:color w:val="auto"/>
          <w:spacing w:val="14"/>
          <w:sz w:val="32"/>
          <w:szCs w:val="28"/>
          <w:lang w:val="en-US" w:eastAsia="zh-CN"/>
        </w:rPr>
        <w:t>按照谨慎包容原则，因地制宜探索推进家庭式小微民办养老机构在登记注册、消防审验、政策扶持、综合监管等方面的体制机制改革。</w:t>
      </w:r>
    </w:p>
    <w:p>
      <w:pPr>
        <w:pageBreakBefore w:val="0"/>
        <w:numPr>
          <w:ilvl w:val="0"/>
          <w:numId w:val="0"/>
        </w:numPr>
        <w:kinsoku/>
        <w:wordWrap/>
        <w:overflowPunct/>
        <w:topLinePunct w:val="0"/>
        <w:autoSpaceDE/>
        <w:autoSpaceDN/>
        <w:bidi w:val="0"/>
        <w:adjustRightInd/>
        <w:snapToGrid/>
        <w:spacing w:line="360" w:lineRule="auto"/>
        <w:ind w:firstLine="618"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 w:cs="仿宋"/>
          <w:b/>
          <w:bCs/>
          <w:color w:val="auto"/>
          <w:spacing w:val="14"/>
          <w:sz w:val="28"/>
          <w:szCs w:val="28"/>
          <w:lang w:val="en-US" w:eastAsia="zh-CN"/>
        </w:rPr>
        <w:t>4、改革养老机构投入和评价机制。</w:t>
      </w:r>
      <w:r>
        <w:rPr>
          <w:rFonts w:hint="eastAsia" w:ascii="仿宋" w:hAnsi="仿宋" w:eastAsia="仿宋_GB2312" w:cs="仿宋"/>
          <w:b w:val="0"/>
          <w:i w:val="0"/>
          <w:color w:val="auto"/>
          <w:spacing w:val="14"/>
          <w:sz w:val="32"/>
          <w:szCs w:val="28"/>
          <w:lang w:val="en-US" w:eastAsia="zh-CN"/>
        </w:rPr>
        <w:t>重点考核机构的收住人员结构、入住率、照护服务水平、成本控制、运营效益、安全生产和食品卫生情况、员工和服务对象满意度等，并建立政府投入与考核结果挂钩机制。</w:t>
      </w:r>
    </w:p>
    <w:p>
      <w:pPr>
        <w:pageBreakBefore w:val="0"/>
        <w:numPr>
          <w:ilvl w:val="0"/>
          <w:numId w:val="0"/>
        </w:numPr>
        <w:kinsoku/>
        <w:wordWrap/>
        <w:overflowPunct/>
        <w:topLinePunct w:val="0"/>
        <w:autoSpaceDE/>
        <w:autoSpaceDN/>
        <w:bidi w:val="0"/>
        <w:adjustRightInd/>
        <w:snapToGrid/>
        <w:spacing w:line="360" w:lineRule="auto"/>
        <w:ind w:firstLine="618"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 w:cs="仿宋"/>
          <w:b/>
          <w:bCs/>
          <w:color w:val="auto"/>
          <w:spacing w:val="14"/>
          <w:sz w:val="28"/>
          <w:szCs w:val="28"/>
          <w:lang w:val="en-US" w:eastAsia="zh-CN"/>
        </w:rPr>
        <w:t>5、加强养老服务人员队伍建设。</w:t>
      </w:r>
      <w:r>
        <w:rPr>
          <w:rFonts w:hint="eastAsia" w:ascii="仿宋" w:hAnsi="仿宋" w:eastAsia="仿宋_GB2312" w:cs="仿宋"/>
          <w:b w:val="0"/>
          <w:i w:val="0"/>
          <w:color w:val="auto"/>
          <w:spacing w:val="14"/>
          <w:sz w:val="32"/>
          <w:szCs w:val="28"/>
          <w:lang w:val="en-US" w:eastAsia="zh-CN"/>
        </w:rPr>
        <w:t>推动完善养老服务人员结构，适当提高照护人员占比，着力提升照护技能和服务水平。鼓励照护人员依托服务机构为周边老年人提供专业养老服务，合理合规提高薪资待遇水平。加大对养老机构人员的专业化培训和激励力度，在职级晋升、结对帮扶等方面给予支持。</w:t>
      </w:r>
    </w:p>
    <w:p>
      <w:pPr>
        <w:pageBreakBefore w:val="0"/>
        <w:numPr>
          <w:ilvl w:val="0"/>
          <w:numId w:val="0"/>
        </w:numPr>
        <w:kinsoku/>
        <w:wordWrap/>
        <w:overflowPunct/>
        <w:topLinePunct w:val="0"/>
        <w:autoSpaceDE/>
        <w:autoSpaceDN/>
        <w:bidi w:val="0"/>
        <w:adjustRightInd/>
        <w:snapToGrid/>
        <w:spacing w:line="360" w:lineRule="auto"/>
        <w:ind w:firstLine="618" w:firstLineChars="200"/>
        <w:jc w:val="both"/>
        <w:textAlignment w:val="auto"/>
        <w:rPr>
          <w:rFonts w:hint="eastAsia" w:ascii="仿宋" w:hAnsi="仿宋" w:eastAsia="仿宋" w:cs="仿宋"/>
          <w:b/>
          <w:bCs/>
          <w:color w:val="auto"/>
          <w:spacing w:val="14"/>
          <w:sz w:val="28"/>
          <w:szCs w:val="28"/>
          <w:lang w:val="en-US" w:eastAsia="zh-CN"/>
        </w:rPr>
      </w:pPr>
      <w:r>
        <w:rPr>
          <w:rFonts w:hint="eastAsia" w:ascii="仿宋" w:hAnsi="仿宋" w:eastAsia="仿宋" w:cs="仿宋"/>
          <w:b/>
          <w:bCs/>
          <w:color w:val="auto"/>
          <w:spacing w:val="14"/>
          <w:sz w:val="28"/>
          <w:szCs w:val="28"/>
          <w:lang w:val="en-US" w:eastAsia="zh-CN"/>
        </w:rPr>
        <w:t>四、广东省委办公厅、广东省人民政府办公厅印发《关于推进基本养老服务 体系建设的实施意见》2023年10月</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2023年，中共广东省委办公厅、广东省人民政府办公厅印发《关于推进基本养老服务体系建设的实施意见》，意见中提出提升公办养老机构保障能力。推动公办养老机构高质量发展，发挥其提供基本养老服务的基础作用，增强长期照护服务功能，提升基本养老服务保障能力。完善公办养老机构入住评估轮候制度，在满足特困人员集中供养需求基础上，优先保障城乡低保、低保边缘、支出型困难家庭中的失能、孤寡、残疾、高龄老年人及计划生育特殊家庭老年人、退役军人和其他优抚对象中的老年人、为社会作出突出贡献老年人等的入住需求。公建民营的养老机构应综合考量从业信誉、服务水平、可持续性等质量指标择优选择运营方，加强绩效监管，确保国有资产不流失、公益属性不改变、兜底功能不弱化、服务质量不降低。</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广东省发布的相关政策，持续推动今后一段时期内广东省公建民营养老院、公办养老院提供的养老服务高质量发展，为贫困老人养老提供了政策支持，为养老机构的公建民营模式运营提供了政策指导。</w:t>
      </w:r>
    </w:p>
    <w:p>
      <w:pPr>
        <w:pageBreakBefore w:val="0"/>
        <w:numPr>
          <w:ilvl w:val="0"/>
          <w:numId w:val="0"/>
        </w:numPr>
        <w:kinsoku/>
        <w:wordWrap/>
        <w:overflowPunct/>
        <w:topLinePunct w:val="0"/>
        <w:autoSpaceDE/>
        <w:autoSpaceDN/>
        <w:bidi w:val="0"/>
        <w:adjustRightInd/>
        <w:snapToGrid/>
        <w:spacing w:line="360" w:lineRule="auto"/>
        <w:ind w:firstLine="618" w:firstLineChars="200"/>
        <w:jc w:val="both"/>
        <w:textAlignment w:val="auto"/>
        <w:rPr>
          <w:rFonts w:hint="eastAsia" w:ascii="仿宋" w:hAnsi="仿宋" w:eastAsia="仿宋" w:cs="仿宋"/>
          <w:b/>
          <w:bCs/>
          <w:color w:val="auto"/>
          <w:spacing w:val="14"/>
          <w:sz w:val="28"/>
          <w:szCs w:val="28"/>
          <w:lang w:val="en-US" w:eastAsia="zh-CN"/>
        </w:rPr>
      </w:pPr>
      <w:r>
        <w:rPr>
          <w:rFonts w:hint="eastAsia" w:ascii="仿宋" w:hAnsi="仿宋" w:eastAsia="仿宋" w:cs="仿宋"/>
          <w:b/>
          <w:bCs/>
          <w:color w:val="auto"/>
          <w:spacing w:val="14"/>
          <w:sz w:val="28"/>
          <w:szCs w:val="28"/>
          <w:lang w:val="en-US" w:eastAsia="zh-CN"/>
        </w:rPr>
        <w:t>六、韶关市养老政策</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1、《韶关市养老服务体系建设“十四五”规划》</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2022年11月1日韶关市民政局印发《韶关市养老服务体系建设“十四五”规划》的通知（韶民发〔2022〕199号），《规划》提出主要目标：“到2025年，我市基本建成居家社区机构相协调、医养康养相结合的养老服务体系，基本形成城乡覆盖、功能完善、服务多元、监管到位的全方位养老服务工作体系；全市养老服务行业更加发展、产业更加升级、市场更加开放、产品更加丰富、供给更加多元，逐步形成兜底供养有保障、普惠养老能满足、高端市场可选择的多层次养老服务有效供给机制；社会力量成为养老服务发展主体，市场有效配 置养老服务资源，养老服务供给能力和服务质量显著增强，全市老年人的获得感和幸福感全面提升。”</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2、《韶关市民办养老服务机构扶持资助办法》（韶府规审〔2022〕17号）</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1）为鼓励和引导民办养老服务机构的发展，规范政府资助民办养老服务机构行为，根据《国务院办公厅关于推进养老服务发展的意见》（国办发〔2019〕5号）《广东省养老服务条例》《广东省人民政府办公厅关于加快推进养老服务发展的若干措施》（粤府办〔2019〕23号）《广东省自然资源厅、广东省民政厅、广东省住房和城乡建设厅关于进一步加强养老服务设施规划建设和用地保障的通知》（粤自然资规字〔2021〕2号）等文件规定，特制定《韶关市民办养老 服务机构扶持资助办法》（韶府规审〔2022〕17号）（以下简称《办法》）。《办法》于2022年9月15日韶关市人民政府第十五届25次常务会议通过，自2022年11月1日起施行，有效期五年。</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2)《办法》所称民办养老服务机构是指在本市由企事业单位、社会团体、个人或其他社会力量利用非财政资金依法举办的，取得相关资质，为老年人群体</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提供集中居住、生活照料和康复护理等服务的养老机构。政府投资兴建并委托社 会力量经营管理（公建民营）的养老服务机构适用本办法。</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kern w:val="2"/>
          <w:sz w:val="32"/>
          <w:szCs w:val="28"/>
          <w:lang w:val="en-US" w:eastAsia="zh-CN" w:bidi="ar-SA"/>
        </w:rPr>
        <w:t>3)</w:t>
      </w:r>
      <w:r>
        <w:rPr>
          <w:rFonts w:hint="eastAsia" w:ascii="仿宋" w:hAnsi="仿宋" w:eastAsia="仿宋_GB2312" w:cs="仿宋"/>
          <w:b w:val="0"/>
          <w:i w:val="0"/>
          <w:color w:val="auto"/>
          <w:spacing w:val="14"/>
          <w:sz w:val="32"/>
          <w:szCs w:val="28"/>
          <w:lang w:val="en-US" w:eastAsia="zh-CN"/>
        </w:rPr>
        <w:t>《办法》在各方面提出了优惠及补贴政策，包括土地和税费优惠政策、新增床位补贴、护理补贴、医养结合补贴、等级评定补贴、加装电梯补贴、护理岗位补贴等。</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default"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3、</w:t>
      </w:r>
      <w:r>
        <w:rPr>
          <w:rFonts w:hint="default" w:ascii="仿宋" w:hAnsi="仿宋" w:eastAsia="仿宋_GB2312" w:cs="仿宋"/>
          <w:b w:val="0"/>
          <w:i w:val="0"/>
          <w:color w:val="auto"/>
          <w:spacing w:val="14"/>
          <w:sz w:val="32"/>
          <w:szCs w:val="28"/>
          <w:lang w:val="en-US" w:eastAsia="zh-CN"/>
        </w:rPr>
        <w:t>《仁化县国民经济与社会发展“十四五”规划》</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default" w:ascii="仿宋" w:hAnsi="仿宋" w:eastAsia="仿宋_GB2312" w:cs="仿宋"/>
          <w:b w:val="0"/>
          <w:i w:val="0"/>
          <w:color w:val="auto"/>
          <w:spacing w:val="14"/>
          <w:sz w:val="32"/>
          <w:szCs w:val="28"/>
          <w:lang w:val="en-US" w:eastAsia="zh-CN"/>
        </w:rPr>
      </w:pPr>
      <w:r>
        <w:rPr>
          <w:rFonts w:hint="default" w:ascii="仿宋" w:hAnsi="仿宋" w:eastAsia="仿宋_GB2312" w:cs="仿宋"/>
          <w:b w:val="0"/>
          <w:i w:val="0"/>
          <w:color w:val="auto"/>
          <w:spacing w:val="14"/>
          <w:sz w:val="32"/>
          <w:szCs w:val="28"/>
          <w:lang w:val="en-US" w:eastAsia="zh-CN"/>
        </w:rPr>
        <w:t>根据《仁化县国民经济与社会发展“十四五”规划》的要求，在“十四五”期间要大力发展养老事业，要完善公共福利设施建设，规划建设福利设施等；要推进敬老院项目建设，不断完善城乡养老服务体系，推进福利设施及敬老院建设。以丰富老人文化生活、提高老人的幸福指数为目标，加强县福利基础设施建设和福利院建设，为</w:t>
      </w:r>
      <w:r>
        <w:rPr>
          <w:rFonts w:hint="eastAsia" w:ascii="仿宋" w:hAnsi="仿宋" w:eastAsia="仿宋_GB2312" w:cs="仿宋"/>
          <w:b w:val="0"/>
          <w:i w:val="0"/>
          <w:color w:val="auto"/>
          <w:spacing w:val="14"/>
          <w:sz w:val="32"/>
          <w:szCs w:val="28"/>
          <w:lang w:val="en-US" w:eastAsia="zh-CN"/>
        </w:rPr>
        <w:t>县村</w:t>
      </w:r>
      <w:r>
        <w:rPr>
          <w:rFonts w:hint="default" w:ascii="仿宋" w:hAnsi="仿宋" w:eastAsia="仿宋_GB2312" w:cs="仿宋"/>
          <w:b w:val="0"/>
          <w:i w:val="0"/>
          <w:color w:val="auto"/>
          <w:spacing w:val="14"/>
          <w:sz w:val="32"/>
          <w:szCs w:val="28"/>
          <w:lang w:val="en-US" w:eastAsia="zh-CN"/>
        </w:rPr>
        <w:t>老人提供良好的养老场所。</w:t>
      </w:r>
    </w:p>
    <w:p>
      <w:pPr>
        <w:pStyle w:val="4"/>
        <w:pageBreakBefore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Times New Roman"/>
          <w:b/>
          <w:color w:val="auto"/>
          <w:szCs w:val="28"/>
          <w:lang w:val="en-US" w:eastAsia="zh-CN"/>
        </w:rPr>
      </w:pPr>
      <w:bookmarkStart w:id="8" w:name="_Toc29241"/>
      <w:r>
        <w:rPr>
          <w:rFonts w:hint="eastAsia" w:ascii="仿宋" w:hAnsi="仿宋" w:eastAsia="仿宋" w:cs="Times New Roman"/>
          <w:b/>
          <w:color w:val="auto"/>
          <w:szCs w:val="28"/>
        </w:rPr>
        <w:t>1.1.</w:t>
      </w:r>
      <w:r>
        <w:rPr>
          <w:rFonts w:hint="eastAsia" w:ascii="仿宋" w:hAnsi="仿宋" w:eastAsia="仿宋" w:cs="Times New Roman"/>
          <w:b/>
          <w:color w:val="auto"/>
          <w:szCs w:val="28"/>
          <w:lang w:val="en-US" w:eastAsia="zh-CN"/>
        </w:rPr>
        <w:t>2人口及养老机构现状</w:t>
      </w:r>
      <w:bookmarkEnd w:id="8"/>
    </w:p>
    <w:p>
      <w:pPr>
        <w:pageBreakBefore w:val="0"/>
        <w:numPr>
          <w:ilvl w:val="0"/>
          <w:numId w:val="0"/>
        </w:numPr>
        <w:kinsoku/>
        <w:wordWrap/>
        <w:overflowPunct/>
        <w:topLinePunct w:val="0"/>
        <w:autoSpaceDE/>
        <w:autoSpaceDN/>
        <w:bidi w:val="0"/>
        <w:adjustRightInd/>
        <w:snapToGrid/>
        <w:spacing w:line="360" w:lineRule="auto"/>
        <w:ind w:firstLine="618" w:firstLineChars="200"/>
        <w:jc w:val="both"/>
        <w:textAlignment w:val="auto"/>
        <w:rPr>
          <w:rFonts w:hint="eastAsia" w:ascii="仿宋" w:hAnsi="仿宋" w:eastAsia="仿宋" w:cs="仿宋"/>
          <w:b/>
          <w:bCs/>
          <w:color w:val="auto"/>
          <w:spacing w:val="14"/>
          <w:sz w:val="28"/>
          <w:szCs w:val="28"/>
          <w:lang w:val="en-US" w:eastAsia="zh-CN"/>
        </w:rPr>
      </w:pPr>
      <w:r>
        <w:rPr>
          <w:rFonts w:hint="eastAsia" w:ascii="仿宋" w:hAnsi="仿宋" w:eastAsia="仿宋" w:cs="仿宋"/>
          <w:b/>
          <w:bCs/>
          <w:color w:val="auto"/>
          <w:spacing w:val="14"/>
          <w:sz w:val="28"/>
          <w:szCs w:val="28"/>
          <w:lang w:val="en-US" w:eastAsia="zh-CN"/>
        </w:rPr>
        <w:t>一、仁化县老龄人口情况</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根据第七次全国人口普查数据（2020年11月），仁化县常住人口中，0-14岁人口为41811人，占22.48%；15-59岁人口为109333人，占58.78%；60岁及以上人口为34865人，占18.74%，其中65岁及以上人口为25675人，占13.80%。与2010年第六次全国人口普查相比，0-14岁人口的比重提高3.53个百分点，15-59岁人口的比重下降7.50个百分点，60岁及以上人口的比重提高3.97个百分点，65岁及以上人口的比重提高3.14个百分点</w:t>
      </w:r>
    </w:p>
    <w:p>
      <w:pPr>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表1.1.2-1仁化县常住人口年龄构成</w:t>
      </w:r>
    </w:p>
    <w:p>
      <w:pPr>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仿宋" w:hAnsi="仿宋" w:eastAsia="仿宋_GB2312" w:cs="仿宋"/>
          <w:b w:val="0"/>
          <w:i w:val="0"/>
          <w:color w:val="auto"/>
          <w:spacing w:val="14"/>
          <w:sz w:val="32"/>
          <w:szCs w:val="28"/>
          <w:lang w:val="en-US" w:eastAsia="zh-CN"/>
        </w:rPr>
      </w:pPr>
      <w:r>
        <w:rPr>
          <w:color w:val="auto"/>
        </w:rPr>
        <w:drawing>
          <wp:inline distT="0" distB="0" distL="114300" distR="114300">
            <wp:extent cx="4857750" cy="1476375"/>
            <wp:effectExtent l="0" t="0" r="0" b="952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25"/>
                    <a:stretch>
                      <a:fillRect/>
                    </a:stretch>
                  </pic:blipFill>
                  <pic:spPr>
                    <a:xfrm>
                      <a:off x="0" y="0"/>
                      <a:ext cx="4857750" cy="1476375"/>
                    </a:xfrm>
                    <a:prstGeom prst="rect">
                      <a:avLst/>
                    </a:prstGeom>
                    <a:noFill/>
                    <a:ln>
                      <a:noFill/>
                    </a:ln>
                  </pic:spPr>
                </pic:pic>
              </a:graphicData>
            </a:graphic>
          </wp:inline>
        </w:drawing>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丹霞街道范围内，2020年的人口普查中，共有69355人，其中现有60岁及以上人口1,299,7人，占18.74%；其中65岁及以上人口9,570人，占13.80%。</w:t>
      </w:r>
    </w:p>
    <w:p>
      <w:pPr>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表1.1.2-2丹霞街道常住人口年龄构成</w:t>
      </w:r>
    </w:p>
    <w:p>
      <w:pPr>
        <w:pageBreakBefore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_GB2312" w:cs="仿宋"/>
          <w:b w:val="0"/>
          <w:i w:val="0"/>
          <w:color w:val="auto"/>
          <w:spacing w:val="14"/>
          <w:sz w:val="32"/>
          <w:szCs w:val="28"/>
          <w:lang w:val="en-US" w:eastAsia="zh-CN"/>
        </w:rPr>
      </w:pPr>
      <w:r>
        <w:rPr>
          <w:color w:val="auto"/>
        </w:rPr>
        <w:drawing>
          <wp:inline distT="0" distB="0" distL="114300" distR="114300">
            <wp:extent cx="5181600" cy="1181100"/>
            <wp:effectExtent l="0" t="0" r="0"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26"/>
                    <a:stretch>
                      <a:fillRect/>
                    </a:stretch>
                  </pic:blipFill>
                  <pic:spPr>
                    <a:xfrm>
                      <a:off x="0" y="0"/>
                      <a:ext cx="5181600" cy="1181100"/>
                    </a:xfrm>
                    <a:prstGeom prst="rect">
                      <a:avLst/>
                    </a:prstGeom>
                    <a:noFill/>
                    <a:ln>
                      <a:noFill/>
                    </a:ln>
                  </pic:spPr>
                </pic:pic>
              </a:graphicData>
            </a:graphic>
          </wp:inline>
        </w:drawing>
      </w:r>
    </w:p>
    <w:p>
      <w:pPr>
        <w:pageBreakBefore w:val="0"/>
        <w:numPr>
          <w:ilvl w:val="0"/>
          <w:numId w:val="0"/>
        </w:numPr>
        <w:kinsoku/>
        <w:wordWrap/>
        <w:overflowPunct/>
        <w:topLinePunct w:val="0"/>
        <w:autoSpaceDE/>
        <w:autoSpaceDN/>
        <w:bidi w:val="0"/>
        <w:adjustRightInd/>
        <w:snapToGrid/>
        <w:spacing w:line="360" w:lineRule="auto"/>
        <w:ind w:firstLine="618" w:firstLineChars="200"/>
        <w:jc w:val="both"/>
        <w:textAlignment w:val="auto"/>
        <w:rPr>
          <w:rFonts w:hint="eastAsia" w:ascii="仿宋" w:hAnsi="仿宋" w:eastAsia="仿宋" w:cs="仿宋"/>
          <w:b/>
          <w:bCs/>
          <w:color w:val="auto"/>
          <w:spacing w:val="14"/>
          <w:sz w:val="28"/>
          <w:szCs w:val="28"/>
          <w:lang w:val="en-US" w:eastAsia="zh-CN"/>
        </w:rPr>
      </w:pPr>
      <w:r>
        <w:rPr>
          <w:rFonts w:hint="eastAsia" w:ascii="仿宋" w:hAnsi="仿宋" w:eastAsia="仿宋" w:cs="仿宋"/>
          <w:b/>
          <w:bCs/>
          <w:color w:val="auto"/>
          <w:spacing w:val="14"/>
          <w:sz w:val="28"/>
          <w:szCs w:val="28"/>
          <w:lang w:val="en-US" w:eastAsia="zh-CN"/>
        </w:rPr>
        <w:t>二、仁化县养老床位情况（2023年）</w:t>
      </w:r>
    </w:p>
    <w:p>
      <w:pPr>
        <w:pageBreakBefore w:val="0"/>
        <w:numPr>
          <w:ilvl w:val="0"/>
          <w:numId w:val="0"/>
        </w:numPr>
        <w:kinsoku/>
        <w:wordWrap/>
        <w:overflowPunct/>
        <w:topLinePunct w:val="0"/>
        <w:autoSpaceDE/>
        <w:autoSpaceDN/>
        <w:bidi w:val="0"/>
        <w:adjustRightInd/>
        <w:snapToGrid/>
        <w:spacing w:line="360" w:lineRule="auto"/>
        <w:ind w:firstLine="696" w:firstLineChars="200"/>
        <w:jc w:val="both"/>
        <w:textAlignment w:val="auto"/>
        <w:rPr>
          <w:rFonts w:hint="eastAsia" w:ascii="仿宋" w:hAnsi="仿宋" w:eastAsia="仿宋_GB2312" w:cs="仿宋"/>
          <w:b w:val="0"/>
          <w:i w:val="0"/>
          <w:color w:val="auto"/>
          <w:spacing w:val="14"/>
          <w:sz w:val="32"/>
          <w:szCs w:val="28"/>
          <w:lang w:val="en-US" w:eastAsia="zh-CN"/>
        </w:rPr>
      </w:pPr>
      <w:r>
        <w:rPr>
          <w:rFonts w:hint="eastAsia" w:ascii="仿宋" w:hAnsi="仿宋" w:eastAsia="仿宋_GB2312" w:cs="仿宋"/>
          <w:b w:val="0"/>
          <w:i w:val="0"/>
          <w:color w:val="auto"/>
          <w:spacing w:val="14"/>
          <w:sz w:val="32"/>
          <w:szCs w:val="28"/>
          <w:lang w:val="en-US" w:eastAsia="zh-CN"/>
        </w:rPr>
        <w:t>仁化县全县共有6间公办养老机构，3间民办养老机构，床位数合计471张；入住老人273人。</w:t>
      </w:r>
    </w:p>
    <w:p>
      <w:pPr>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仿宋" w:hAnsi="仿宋" w:eastAsia="仿宋" w:cs="仿宋"/>
          <w:color w:val="auto"/>
          <w:spacing w:val="14"/>
          <w:sz w:val="28"/>
          <w:szCs w:val="28"/>
          <w:lang w:val="en-US" w:eastAsia="zh-CN"/>
        </w:rPr>
      </w:pPr>
      <w:r>
        <w:rPr>
          <w:rFonts w:hint="eastAsia" w:ascii="仿宋" w:hAnsi="仿宋" w:eastAsia="仿宋_GB2312" w:cs="仿宋"/>
          <w:b w:val="0"/>
          <w:i w:val="0"/>
          <w:color w:val="auto"/>
          <w:spacing w:val="14"/>
          <w:sz w:val="32"/>
          <w:szCs w:val="28"/>
          <w:lang w:val="en-US" w:eastAsia="zh-CN"/>
        </w:rPr>
        <w:t>表1.1.2-3仁化县养老机构信息统计表</w:t>
      </w:r>
    </w:p>
    <w:tbl>
      <w:tblPr>
        <w:tblStyle w:val="1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32"/>
        <w:gridCol w:w="1771"/>
        <w:gridCol w:w="1227"/>
        <w:gridCol w:w="1210"/>
        <w:gridCol w:w="1348"/>
        <w:gridCol w:w="1048"/>
        <w:gridCol w:w="639"/>
        <w:gridCol w:w="64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228" w:type="pct"/>
            <w:vMerge w:val="restar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序号</w:t>
            </w:r>
          </w:p>
        </w:tc>
        <w:tc>
          <w:tcPr>
            <w:tcW w:w="1064" w:type="pct"/>
            <w:vMerge w:val="restar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机构名称</w:t>
            </w:r>
          </w:p>
        </w:tc>
        <w:tc>
          <w:tcPr>
            <w:tcW w:w="1478" w:type="pct"/>
            <w:gridSpan w:val="2"/>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面积</w:t>
            </w:r>
          </w:p>
        </w:tc>
        <w:tc>
          <w:tcPr>
            <w:tcW w:w="815" w:type="pct"/>
            <w:vMerge w:val="restar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成立时间</w:t>
            </w:r>
          </w:p>
        </w:tc>
        <w:tc>
          <w:tcPr>
            <w:tcW w:w="612" w:type="pct"/>
            <w:vMerge w:val="restar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机构性质</w:t>
            </w:r>
          </w:p>
        </w:tc>
        <w:tc>
          <w:tcPr>
            <w:tcW w:w="801" w:type="pct"/>
            <w:gridSpan w:val="2"/>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床位数（张）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28" w:type="pct"/>
            <w:vMerge w:val="continue"/>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p>
        </w:tc>
        <w:tc>
          <w:tcPr>
            <w:tcW w:w="1064" w:type="pct"/>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p>
        </w:tc>
        <w:tc>
          <w:tcPr>
            <w:tcW w:w="74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占地面积</w:t>
            </w:r>
          </w:p>
        </w:tc>
        <w:tc>
          <w:tcPr>
            <w:tcW w:w="733"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建筑面积</w:t>
            </w:r>
          </w:p>
        </w:tc>
        <w:tc>
          <w:tcPr>
            <w:tcW w:w="815" w:type="pct"/>
            <w:vMerge w:val="continue"/>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p>
        </w:tc>
        <w:tc>
          <w:tcPr>
            <w:tcW w:w="612" w:type="pct"/>
            <w:vMerge w:val="continue"/>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p>
        </w:tc>
        <w:tc>
          <w:tcPr>
            <w:tcW w:w="399"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合计</w:t>
            </w:r>
          </w:p>
        </w:tc>
        <w:tc>
          <w:tcPr>
            <w:tcW w:w="401"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其中：护理型床位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28"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w:t>
            </w:r>
          </w:p>
        </w:tc>
        <w:tc>
          <w:tcPr>
            <w:tcW w:w="106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丹霞街道敬老院</w:t>
            </w:r>
          </w:p>
        </w:tc>
        <w:tc>
          <w:tcPr>
            <w:tcW w:w="74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7218.05 </w:t>
            </w:r>
          </w:p>
        </w:tc>
        <w:tc>
          <w:tcPr>
            <w:tcW w:w="733"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1821.00 </w:t>
            </w:r>
          </w:p>
        </w:tc>
        <w:tc>
          <w:tcPr>
            <w:tcW w:w="815"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2012-3-9</w:t>
            </w:r>
          </w:p>
        </w:tc>
        <w:tc>
          <w:tcPr>
            <w:tcW w:w="612"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公办</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56</w:t>
            </w:r>
          </w:p>
        </w:tc>
        <w:tc>
          <w:tcPr>
            <w:tcW w:w="401"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28"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2</w:t>
            </w:r>
          </w:p>
        </w:tc>
        <w:tc>
          <w:tcPr>
            <w:tcW w:w="106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董塘镇敬老院</w:t>
            </w:r>
          </w:p>
        </w:tc>
        <w:tc>
          <w:tcPr>
            <w:tcW w:w="74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13132.11 </w:t>
            </w:r>
          </w:p>
        </w:tc>
        <w:tc>
          <w:tcPr>
            <w:tcW w:w="733"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1400.00 </w:t>
            </w:r>
          </w:p>
        </w:tc>
        <w:tc>
          <w:tcPr>
            <w:tcW w:w="815"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1983-7-1</w:t>
            </w:r>
          </w:p>
        </w:tc>
        <w:tc>
          <w:tcPr>
            <w:tcW w:w="612"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公办</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41</w:t>
            </w:r>
          </w:p>
        </w:tc>
        <w:tc>
          <w:tcPr>
            <w:tcW w:w="401"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28"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3</w:t>
            </w:r>
          </w:p>
        </w:tc>
        <w:tc>
          <w:tcPr>
            <w:tcW w:w="106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石塘镇敬老院</w:t>
            </w:r>
          </w:p>
        </w:tc>
        <w:tc>
          <w:tcPr>
            <w:tcW w:w="74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5000.00 </w:t>
            </w:r>
          </w:p>
        </w:tc>
        <w:tc>
          <w:tcPr>
            <w:tcW w:w="733"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550.00 </w:t>
            </w:r>
          </w:p>
        </w:tc>
        <w:tc>
          <w:tcPr>
            <w:tcW w:w="815"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1984-10-1</w:t>
            </w:r>
          </w:p>
        </w:tc>
        <w:tc>
          <w:tcPr>
            <w:tcW w:w="612"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公办</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11</w:t>
            </w:r>
          </w:p>
        </w:tc>
        <w:tc>
          <w:tcPr>
            <w:tcW w:w="401"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28"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4</w:t>
            </w:r>
          </w:p>
        </w:tc>
        <w:tc>
          <w:tcPr>
            <w:tcW w:w="106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周田镇敬老院</w:t>
            </w:r>
          </w:p>
        </w:tc>
        <w:tc>
          <w:tcPr>
            <w:tcW w:w="74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3000.00 </w:t>
            </w:r>
          </w:p>
        </w:tc>
        <w:tc>
          <w:tcPr>
            <w:tcW w:w="733"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2124.00 </w:t>
            </w:r>
          </w:p>
        </w:tc>
        <w:tc>
          <w:tcPr>
            <w:tcW w:w="815"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1958-01-01</w:t>
            </w:r>
          </w:p>
        </w:tc>
        <w:tc>
          <w:tcPr>
            <w:tcW w:w="612"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公办</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52</w:t>
            </w:r>
          </w:p>
        </w:tc>
        <w:tc>
          <w:tcPr>
            <w:tcW w:w="401"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28"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5</w:t>
            </w:r>
          </w:p>
        </w:tc>
        <w:tc>
          <w:tcPr>
            <w:tcW w:w="106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大桥镇敬老院</w:t>
            </w:r>
          </w:p>
        </w:tc>
        <w:tc>
          <w:tcPr>
            <w:tcW w:w="74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9395.00 </w:t>
            </w:r>
          </w:p>
        </w:tc>
        <w:tc>
          <w:tcPr>
            <w:tcW w:w="733"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1189.00 </w:t>
            </w:r>
          </w:p>
        </w:tc>
        <w:tc>
          <w:tcPr>
            <w:tcW w:w="815"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1958-5-10</w:t>
            </w:r>
          </w:p>
        </w:tc>
        <w:tc>
          <w:tcPr>
            <w:tcW w:w="612"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公办</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15</w:t>
            </w:r>
          </w:p>
        </w:tc>
        <w:tc>
          <w:tcPr>
            <w:tcW w:w="401"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28"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6</w:t>
            </w:r>
          </w:p>
        </w:tc>
        <w:tc>
          <w:tcPr>
            <w:tcW w:w="106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黄坑镇敬老院</w:t>
            </w:r>
          </w:p>
        </w:tc>
        <w:tc>
          <w:tcPr>
            <w:tcW w:w="74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3300.00 </w:t>
            </w:r>
          </w:p>
        </w:tc>
        <w:tc>
          <w:tcPr>
            <w:tcW w:w="733"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1560.00 </w:t>
            </w:r>
          </w:p>
        </w:tc>
        <w:tc>
          <w:tcPr>
            <w:tcW w:w="815"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1986-12-15</w:t>
            </w:r>
          </w:p>
        </w:tc>
        <w:tc>
          <w:tcPr>
            <w:tcW w:w="612"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公办</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26</w:t>
            </w:r>
          </w:p>
        </w:tc>
        <w:tc>
          <w:tcPr>
            <w:tcW w:w="401"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28"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7</w:t>
            </w:r>
          </w:p>
        </w:tc>
        <w:tc>
          <w:tcPr>
            <w:tcW w:w="106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长江镇敬老院</w:t>
            </w:r>
          </w:p>
        </w:tc>
        <w:tc>
          <w:tcPr>
            <w:tcW w:w="74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3398.00 </w:t>
            </w:r>
          </w:p>
        </w:tc>
        <w:tc>
          <w:tcPr>
            <w:tcW w:w="733"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1041.00 </w:t>
            </w:r>
          </w:p>
        </w:tc>
        <w:tc>
          <w:tcPr>
            <w:tcW w:w="815"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1958-10-01</w:t>
            </w:r>
          </w:p>
        </w:tc>
        <w:tc>
          <w:tcPr>
            <w:tcW w:w="612"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公办</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21</w:t>
            </w:r>
          </w:p>
        </w:tc>
        <w:tc>
          <w:tcPr>
            <w:tcW w:w="401"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28"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8</w:t>
            </w:r>
          </w:p>
        </w:tc>
        <w:tc>
          <w:tcPr>
            <w:tcW w:w="106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扶溪镇敬老院</w:t>
            </w:r>
          </w:p>
        </w:tc>
        <w:tc>
          <w:tcPr>
            <w:tcW w:w="74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1500.00 </w:t>
            </w:r>
          </w:p>
        </w:tc>
        <w:tc>
          <w:tcPr>
            <w:tcW w:w="733"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680.00 </w:t>
            </w:r>
          </w:p>
        </w:tc>
        <w:tc>
          <w:tcPr>
            <w:tcW w:w="815"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1984-01-01</w:t>
            </w:r>
          </w:p>
        </w:tc>
        <w:tc>
          <w:tcPr>
            <w:tcW w:w="612"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公办</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28</w:t>
            </w:r>
          </w:p>
        </w:tc>
        <w:tc>
          <w:tcPr>
            <w:tcW w:w="401"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228"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9</w:t>
            </w:r>
          </w:p>
        </w:tc>
        <w:tc>
          <w:tcPr>
            <w:tcW w:w="106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闻韶镇敬老院</w:t>
            </w:r>
          </w:p>
        </w:tc>
        <w:tc>
          <w:tcPr>
            <w:tcW w:w="74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1929.00 </w:t>
            </w:r>
          </w:p>
        </w:tc>
        <w:tc>
          <w:tcPr>
            <w:tcW w:w="733"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875.00 </w:t>
            </w:r>
          </w:p>
        </w:tc>
        <w:tc>
          <w:tcPr>
            <w:tcW w:w="815"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1980-3-10</w:t>
            </w:r>
          </w:p>
        </w:tc>
        <w:tc>
          <w:tcPr>
            <w:tcW w:w="612"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公办</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10</w:t>
            </w:r>
          </w:p>
        </w:tc>
        <w:tc>
          <w:tcPr>
            <w:tcW w:w="401"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28"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10</w:t>
            </w:r>
          </w:p>
        </w:tc>
        <w:tc>
          <w:tcPr>
            <w:tcW w:w="106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红山镇敬老院</w:t>
            </w:r>
          </w:p>
        </w:tc>
        <w:tc>
          <w:tcPr>
            <w:tcW w:w="74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2007.60 </w:t>
            </w:r>
          </w:p>
        </w:tc>
        <w:tc>
          <w:tcPr>
            <w:tcW w:w="733"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513.00 </w:t>
            </w:r>
          </w:p>
        </w:tc>
        <w:tc>
          <w:tcPr>
            <w:tcW w:w="815"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1998-09-10</w:t>
            </w:r>
          </w:p>
        </w:tc>
        <w:tc>
          <w:tcPr>
            <w:tcW w:w="612"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公办</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11</w:t>
            </w:r>
          </w:p>
        </w:tc>
        <w:tc>
          <w:tcPr>
            <w:tcW w:w="401"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28"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11</w:t>
            </w:r>
          </w:p>
        </w:tc>
        <w:tc>
          <w:tcPr>
            <w:tcW w:w="106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城口镇敬老院</w:t>
            </w:r>
          </w:p>
        </w:tc>
        <w:tc>
          <w:tcPr>
            <w:tcW w:w="74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1100.00 </w:t>
            </w:r>
          </w:p>
        </w:tc>
        <w:tc>
          <w:tcPr>
            <w:tcW w:w="733"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550.00 </w:t>
            </w:r>
          </w:p>
        </w:tc>
        <w:tc>
          <w:tcPr>
            <w:tcW w:w="815"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1986-8-3</w:t>
            </w:r>
          </w:p>
        </w:tc>
        <w:tc>
          <w:tcPr>
            <w:tcW w:w="612"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公办</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18</w:t>
            </w:r>
          </w:p>
        </w:tc>
        <w:tc>
          <w:tcPr>
            <w:tcW w:w="401"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28"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12</w:t>
            </w:r>
          </w:p>
        </w:tc>
        <w:tc>
          <w:tcPr>
            <w:tcW w:w="106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仁化县福利院</w:t>
            </w:r>
          </w:p>
        </w:tc>
        <w:tc>
          <w:tcPr>
            <w:tcW w:w="74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3000.00 </w:t>
            </w:r>
          </w:p>
        </w:tc>
        <w:tc>
          <w:tcPr>
            <w:tcW w:w="733"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600.00 </w:t>
            </w:r>
          </w:p>
        </w:tc>
        <w:tc>
          <w:tcPr>
            <w:tcW w:w="815"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2006-5-19</w:t>
            </w:r>
          </w:p>
        </w:tc>
        <w:tc>
          <w:tcPr>
            <w:tcW w:w="612"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公办</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15</w:t>
            </w:r>
          </w:p>
        </w:tc>
        <w:tc>
          <w:tcPr>
            <w:tcW w:w="401"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228"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13</w:t>
            </w:r>
          </w:p>
        </w:tc>
        <w:tc>
          <w:tcPr>
            <w:tcW w:w="1064"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仁化县福心养老服务有限公司</w:t>
            </w:r>
          </w:p>
        </w:tc>
        <w:tc>
          <w:tcPr>
            <w:tcW w:w="74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1318.00 </w:t>
            </w:r>
          </w:p>
        </w:tc>
        <w:tc>
          <w:tcPr>
            <w:tcW w:w="733"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8915.00 </w:t>
            </w:r>
          </w:p>
        </w:tc>
        <w:tc>
          <w:tcPr>
            <w:tcW w:w="815"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2021-12-20</w:t>
            </w:r>
          </w:p>
        </w:tc>
        <w:tc>
          <w:tcPr>
            <w:tcW w:w="612"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民办</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180</w:t>
            </w:r>
          </w:p>
        </w:tc>
        <w:tc>
          <w:tcPr>
            <w:tcW w:w="401"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28"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14</w:t>
            </w:r>
          </w:p>
        </w:tc>
        <w:tc>
          <w:tcPr>
            <w:tcW w:w="1064"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仁化县幸福里康养服务有限公司</w:t>
            </w:r>
          </w:p>
        </w:tc>
        <w:tc>
          <w:tcPr>
            <w:tcW w:w="744"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8886.80 </w:t>
            </w:r>
          </w:p>
        </w:tc>
        <w:tc>
          <w:tcPr>
            <w:tcW w:w="733"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 xml:space="preserve">1546.00 </w:t>
            </w:r>
          </w:p>
        </w:tc>
        <w:tc>
          <w:tcPr>
            <w:tcW w:w="815"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2022-8-26</w:t>
            </w:r>
          </w:p>
        </w:tc>
        <w:tc>
          <w:tcPr>
            <w:tcW w:w="612" w:type="pct"/>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民办</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160</w:t>
            </w:r>
          </w:p>
        </w:tc>
        <w:tc>
          <w:tcPr>
            <w:tcW w:w="401"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198" w:type="pct"/>
            <w:gridSpan w:val="6"/>
            <w:tcBorders>
              <w:top w:val="single" w:color="000000" w:sz="4" w:space="0"/>
              <w:left w:val="single" w:color="000000" w:sz="4" w:space="0"/>
              <w:bottom w:val="single" w:color="000000" w:sz="4" w:space="0"/>
              <w:right w:val="single" w:color="000000" w:sz="4" w:space="0"/>
            </w:tcBorders>
            <w:noWrap w:val="0"/>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合计</w:t>
            </w:r>
          </w:p>
        </w:tc>
        <w:tc>
          <w:tcPr>
            <w:tcW w:w="399"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644</w:t>
            </w:r>
          </w:p>
        </w:tc>
        <w:tc>
          <w:tcPr>
            <w:tcW w:w="401" w:type="pct"/>
            <w:tcBorders>
              <w:top w:val="single" w:color="000000" w:sz="4" w:space="0"/>
              <w:left w:val="single" w:color="000000" w:sz="4" w:space="0"/>
              <w:bottom w:val="single" w:color="000000" w:sz="4" w:space="0"/>
              <w:right w:val="single" w:color="000000" w:sz="4" w:space="0"/>
            </w:tcBorders>
            <w:noWrap/>
            <w:vAlign w:val="center"/>
          </w:tcPr>
          <w:p>
            <w:pPr>
              <w:numPr>
                <w:ilvl w:val="0"/>
                <w:numId w:val="0"/>
              </w:numPr>
              <w:spacing w:line="360" w:lineRule="auto"/>
              <w:jc w:val="both"/>
              <w:rPr>
                <w:rFonts w:hint="eastAsia" w:ascii="仿宋" w:hAnsi="仿宋" w:eastAsia="仿宋" w:cs="仿宋"/>
                <w:color w:val="auto"/>
                <w:spacing w:val="14"/>
                <w:sz w:val="18"/>
                <w:szCs w:val="18"/>
                <w:lang w:val="en-US" w:eastAsia="zh-CN"/>
              </w:rPr>
            </w:pPr>
            <w:r>
              <w:rPr>
                <w:rFonts w:hint="eastAsia" w:ascii="仿宋" w:hAnsi="仿宋" w:eastAsia="仿宋" w:cs="仿宋"/>
                <w:color w:val="auto"/>
                <w:spacing w:val="14"/>
                <w:sz w:val="18"/>
                <w:szCs w:val="18"/>
                <w:lang w:val="en-US" w:eastAsia="zh-CN"/>
              </w:rPr>
              <w:t>390</w:t>
            </w:r>
          </w:p>
        </w:tc>
      </w:tr>
    </w:tbl>
    <w:p>
      <w:pPr>
        <w:pStyle w:val="4"/>
        <w:pageBreakBefore w:val="0"/>
        <w:numPr>
          <w:ilvl w:val="0"/>
          <w:numId w:val="0"/>
        </w:numPr>
        <w:kinsoku/>
        <w:wordWrap/>
        <w:overflowPunct/>
        <w:topLinePunct w:val="0"/>
        <w:autoSpaceDE/>
        <w:autoSpaceDN/>
        <w:bidi w:val="0"/>
        <w:adjustRightInd/>
        <w:snapToGrid/>
        <w:spacing w:line="360" w:lineRule="auto"/>
        <w:jc w:val="both"/>
        <w:textAlignment w:val="auto"/>
        <w:rPr>
          <w:rFonts w:hint="eastAsia" w:ascii="仿宋" w:hAnsi="仿宋" w:eastAsia="仿宋" w:cs="Times New Roman"/>
          <w:b/>
          <w:color w:val="auto"/>
          <w:szCs w:val="28"/>
        </w:rPr>
      </w:pPr>
      <w:bookmarkStart w:id="9" w:name="_Toc5929"/>
      <w:r>
        <w:rPr>
          <w:rFonts w:hint="eastAsia" w:ascii="仿宋" w:hAnsi="仿宋" w:eastAsia="仿宋" w:cs="Times New Roman"/>
          <w:b/>
          <w:color w:val="auto"/>
          <w:szCs w:val="28"/>
        </w:rPr>
        <w:t>1.</w:t>
      </w:r>
      <w:r>
        <w:rPr>
          <w:rFonts w:hint="eastAsia" w:ascii="仿宋" w:hAnsi="仿宋" w:eastAsia="仿宋" w:cs="Times New Roman"/>
          <w:b/>
          <w:color w:val="auto"/>
          <w:szCs w:val="28"/>
          <w:lang w:val="en-US" w:eastAsia="zh-CN"/>
        </w:rPr>
        <w:t>1</w:t>
      </w:r>
      <w:r>
        <w:rPr>
          <w:rFonts w:hint="eastAsia" w:ascii="仿宋" w:hAnsi="仿宋" w:eastAsia="仿宋" w:cs="Times New Roman"/>
          <w:b/>
          <w:color w:val="auto"/>
          <w:szCs w:val="28"/>
        </w:rPr>
        <w:t>.</w:t>
      </w:r>
      <w:r>
        <w:rPr>
          <w:rFonts w:hint="eastAsia" w:ascii="仿宋" w:hAnsi="仿宋" w:eastAsia="仿宋" w:cs="Times New Roman"/>
          <w:b/>
          <w:color w:val="auto"/>
          <w:szCs w:val="28"/>
          <w:lang w:val="en-US" w:eastAsia="zh-CN"/>
        </w:rPr>
        <w:t>3</w:t>
      </w:r>
      <w:r>
        <w:rPr>
          <w:rFonts w:hint="eastAsia" w:ascii="仿宋" w:hAnsi="仿宋" w:eastAsia="仿宋" w:cs="Times New Roman"/>
          <w:b/>
          <w:color w:val="auto"/>
          <w:szCs w:val="28"/>
        </w:rPr>
        <w:t>养老床位需求及缺口分析</w:t>
      </w:r>
      <w:bookmarkEnd w:id="9"/>
    </w:p>
    <w:p>
      <w:pPr>
        <w:pStyle w:val="18"/>
        <w:pageBreakBefore w:val="0"/>
        <w:kinsoku/>
        <w:wordWrap/>
        <w:overflowPunct/>
        <w:topLinePunct w:val="0"/>
        <w:autoSpaceDE/>
        <w:autoSpaceDN/>
        <w:bidi w:val="0"/>
        <w:adjustRightInd/>
        <w:snapToGrid/>
        <w:spacing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2016年，广东省民政厅、省发改委制定出台《广东省养老服务体系建设“十三五”规划》，规划指出到2020年经济发达地区的广州、深圳、珠海、佛山、东莞、中山、江门7市及佛山市顺德区养老床位数达到老年人口总数的3.6%以上，其他地区的养老床位数达到老年人口总数的3.5%以上，实现全省养老床位</w:t>
      </w:r>
    </w:p>
    <w:p>
      <w:pPr>
        <w:pStyle w:val="18"/>
        <w:pageBreakBefore w:val="0"/>
        <w:kinsoku/>
        <w:wordWrap/>
        <w:overflowPunct/>
        <w:topLinePunct w:val="0"/>
        <w:autoSpaceDE/>
        <w:autoSpaceDN/>
        <w:bidi w:val="0"/>
        <w:adjustRightInd/>
        <w:snapToGrid/>
        <w:spacing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总数达到55万张以上，每千名老年人拥有养老床位35张以上的总目标。根据《老年养护院建设标准》（建标 44-2010），养老服务设施的建设规模应根据所在地区的老年人口数并结合 当地经济发展水平和机构养老服务需求等因素综合 确定，每千老年人口养护床位数宜按35张床测算。</w:t>
      </w:r>
    </w:p>
    <w:p>
      <w:pPr>
        <w:pStyle w:val="18"/>
        <w:pageBreakBefore w:val="0"/>
        <w:kinsoku/>
        <w:wordWrap/>
        <w:overflowPunct/>
        <w:topLinePunct w:val="0"/>
        <w:autoSpaceDE/>
        <w:autoSpaceDN/>
        <w:bidi w:val="0"/>
        <w:adjustRightInd/>
        <w:snapToGrid/>
        <w:spacing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2024年末，仁化</w:t>
      </w:r>
      <w:r>
        <w:rPr>
          <w:rFonts w:hint="default" w:ascii="仿宋" w:hAnsi="仿宋" w:eastAsia="仿宋_GB2312" w:cs="仿宋"/>
          <w:b w:val="0"/>
          <w:i w:val="0"/>
          <w:color w:val="auto"/>
          <w:spacing w:val="14"/>
          <w:kern w:val="2"/>
          <w:sz w:val="32"/>
          <w:szCs w:val="28"/>
          <w:lang w:val="en-US" w:eastAsia="zh-CN" w:bidi="ar-SA"/>
        </w:rPr>
        <w:t>县60岁以上老人共</w:t>
      </w:r>
      <w:r>
        <w:rPr>
          <w:rFonts w:hint="eastAsia" w:ascii="仿宋" w:hAnsi="仿宋" w:eastAsia="仿宋_GB2312" w:cs="仿宋"/>
          <w:b w:val="0"/>
          <w:i w:val="0"/>
          <w:color w:val="auto"/>
          <w:spacing w:val="14"/>
          <w:sz w:val="32"/>
          <w:szCs w:val="28"/>
          <w:lang w:val="en-US" w:eastAsia="zh-CN"/>
        </w:rPr>
        <w:t>4.24万</w:t>
      </w:r>
      <w:r>
        <w:rPr>
          <w:rFonts w:hint="default" w:ascii="仿宋" w:hAnsi="仿宋" w:eastAsia="仿宋_GB2312" w:cs="仿宋"/>
          <w:b w:val="0"/>
          <w:i w:val="0"/>
          <w:color w:val="auto"/>
          <w:spacing w:val="14"/>
          <w:kern w:val="2"/>
          <w:sz w:val="32"/>
          <w:szCs w:val="28"/>
          <w:lang w:val="en-US" w:eastAsia="zh-CN" w:bidi="ar-SA"/>
        </w:rPr>
        <w:t>人，</w:t>
      </w:r>
      <w:r>
        <w:rPr>
          <w:rFonts w:hint="eastAsia" w:ascii="仿宋" w:hAnsi="仿宋" w:eastAsia="仿宋_GB2312" w:cs="仿宋"/>
          <w:b w:val="0"/>
          <w:i w:val="0"/>
          <w:color w:val="auto"/>
          <w:spacing w:val="14"/>
          <w:kern w:val="2"/>
          <w:sz w:val="32"/>
          <w:szCs w:val="28"/>
          <w:lang w:val="en-US" w:eastAsia="zh-CN" w:bidi="ar-SA"/>
        </w:rPr>
        <w:t>占户籍人口比重为17.8%。</w:t>
      </w:r>
      <w:r>
        <w:rPr>
          <w:rFonts w:hint="default" w:ascii="仿宋" w:hAnsi="仿宋" w:eastAsia="仿宋_GB2312" w:cs="仿宋"/>
          <w:b w:val="0"/>
          <w:i w:val="0"/>
          <w:color w:val="auto"/>
          <w:spacing w:val="14"/>
          <w:kern w:val="2"/>
          <w:sz w:val="32"/>
          <w:szCs w:val="28"/>
          <w:lang w:val="en-US" w:eastAsia="zh-CN" w:bidi="ar-SA"/>
        </w:rPr>
        <w:t>202</w:t>
      </w:r>
      <w:r>
        <w:rPr>
          <w:rFonts w:hint="eastAsia" w:ascii="仿宋" w:hAnsi="仿宋" w:eastAsia="仿宋_GB2312" w:cs="仿宋"/>
          <w:b w:val="0"/>
          <w:i w:val="0"/>
          <w:color w:val="auto"/>
          <w:spacing w:val="14"/>
          <w:kern w:val="2"/>
          <w:sz w:val="32"/>
          <w:szCs w:val="28"/>
          <w:lang w:val="en-US" w:eastAsia="zh-CN" w:bidi="ar-SA"/>
        </w:rPr>
        <w:t>4</w:t>
      </w:r>
      <w:r>
        <w:rPr>
          <w:rFonts w:hint="default" w:ascii="仿宋" w:hAnsi="仿宋" w:eastAsia="仿宋_GB2312" w:cs="仿宋"/>
          <w:b w:val="0"/>
          <w:i w:val="0"/>
          <w:color w:val="auto"/>
          <w:spacing w:val="14"/>
          <w:kern w:val="2"/>
          <w:sz w:val="32"/>
          <w:szCs w:val="28"/>
          <w:lang w:val="en-US" w:eastAsia="zh-CN" w:bidi="ar-SA"/>
        </w:rPr>
        <w:t>年</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县养老床位共</w:t>
      </w:r>
      <w:r>
        <w:rPr>
          <w:rFonts w:hint="eastAsia" w:ascii="仿宋" w:hAnsi="仿宋" w:eastAsia="仿宋_GB2312" w:cs="仿宋"/>
          <w:b w:val="0"/>
          <w:i w:val="0"/>
          <w:color w:val="auto"/>
          <w:spacing w:val="14"/>
          <w:kern w:val="2"/>
          <w:sz w:val="32"/>
          <w:szCs w:val="28"/>
          <w:lang w:val="en-US" w:eastAsia="zh-CN" w:bidi="ar-SA"/>
        </w:rPr>
        <w:t>554</w:t>
      </w:r>
      <w:r>
        <w:rPr>
          <w:rFonts w:hint="default" w:ascii="仿宋" w:hAnsi="仿宋" w:eastAsia="仿宋_GB2312" w:cs="仿宋"/>
          <w:b w:val="0"/>
          <w:i w:val="0"/>
          <w:color w:val="auto"/>
          <w:spacing w:val="14"/>
          <w:kern w:val="2"/>
          <w:sz w:val="32"/>
          <w:szCs w:val="28"/>
          <w:lang w:val="en-US" w:eastAsia="zh-CN" w:bidi="ar-SA"/>
        </w:rPr>
        <w:t>张，每千名老年人口养护床位数为</w:t>
      </w:r>
      <w:r>
        <w:rPr>
          <w:rFonts w:hint="eastAsia" w:ascii="仿宋" w:hAnsi="仿宋" w:eastAsia="仿宋_GB2312" w:cs="仿宋"/>
          <w:b w:val="0"/>
          <w:i w:val="0"/>
          <w:color w:val="auto"/>
          <w:spacing w:val="14"/>
          <w:kern w:val="2"/>
          <w:sz w:val="32"/>
          <w:szCs w:val="28"/>
          <w:lang w:val="en-US" w:eastAsia="zh-CN" w:bidi="ar-SA"/>
        </w:rPr>
        <w:t>18</w:t>
      </w:r>
      <w:r>
        <w:rPr>
          <w:rFonts w:hint="default" w:ascii="仿宋" w:hAnsi="仿宋" w:eastAsia="仿宋_GB2312" w:cs="仿宋"/>
          <w:b w:val="0"/>
          <w:i w:val="0"/>
          <w:color w:val="auto"/>
          <w:spacing w:val="14"/>
          <w:kern w:val="2"/>
          <w:sz w:val="32"/>
          <w:szCs w:val="28"/>
          <w:lang w:val="en-US" w:eastAsia="zh-CN" w:bidi="ar-SA"/>
        </w:rPr>
        <w:t>张，养老床位数占老年人口数的比例为</w:t>
      </w:r>
      <w:r>
        <w:rPr>
          <w:rFonts w:hint="eastAsia" w:ascii="仿宋" w:hAnsi="仿宋" w:eastAsia="仿宋_GB2312" w:cs="仿宋"/>
          <w:b w:val="0"/>
          <w:i w:val="0"/>
          <w:color w:val="auto"/>
          <w:spacing w:val="14"/>
          <w:kern w:val="2"/>
          <w:sz w:val="32"/>
          <w:szCs w:val="28"/>
          <w:lang w:val="en-US" w:eastAsia="zh-CN" w:bidi="ar-SA"/>
        </w:rPr>
        <w:t>1</w:t>
      </w:r>
      <w:r>
        <w:rPr>
          <w:rFonts w:hint="default" w:ascii="仿宋" w:hAnsi="仿宋" w:eastAsia="仿宋_GB2312" w:cs="仿宋"/>
          <w:b w:val="0"/>
          <w:i w:val="0"/>
          <w:color w:val="auto"/>
          <w:spacing w:val="14"/>
          <w:kern w:val="2"/>
          <w:sz w:val="32"/>
          <w:szCs w:val="28"/>
          <w:lang w:val="en-US" w:eastAsia="zh-CN" w:bidi="ar-SA"/>
        </w:rPr>
        <w:t>.8</w:t>
      </w:r>
      <w:r>
        <w:rPr>
          <w:rFonts w:hint="eastAsia" w:ascii="仿宋" w:hAnsi="仿宋" w:eastAsia="仿宋_GB2312" w:cs="仿宋"/>
          <w:b w:val="0"/>
          <w:i w:val="0"/>
          <w:color w:val="auto"/>
          <w:spacing w:val="14"/>
          <w:kern w:val="2"/>
          <w:sz w:val="32"/>
          <w:szCs w:val="28"/>
          <w:lang w:val="en-US" w:eastAsia="zh-CN" w:bidi="ar-SA"/>
        </w:rPr>
        <w:t>4</w:t>
      </w:r>
      <w:r>
        <w:rPr>
          <w:rFonts w:hint="default" w:ascii="仿宋" w:hAnsi="仿宋" w:eastAsia="仿宋_GB2312" w:cs="仿宋"/>
          <w:b w:val="0"/>
          <w:i w:val="0"/>
          <w:color w:val="auto"/>
          <w:spacing w:val="14"/>
          <w:kern w:val="2"/>
          <w:sz w:val="32"/>
          <w:szCs w:val="28"/>
          <w:lang w:val="en-US" w:eastAsia="zh-CN" w:bidi="ar-SA"/>
        </w:rPr>
        <w:t>%。</w:t>
      </w:r>
    </w:p>
    <w:p>
      <w:pPr>
        <w:pStyle w:val="18"/>
        <w:pageBreakBefore w:val="0"/>
        <w:kinsoku/>
        <w:wordWrap/>
        <w:overflowPunct/>
        <w:topLinePunct w:val="0"/>
        <w:autoSpaceDE/>
        <w:autoSpaceDN/>
        <w:bidi w:val="0"/>
        <w:adjustRightInd/>
        <w:snapToGrid/>
        <w:spacing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从202</w:t>
      </w:r>
      <w:r>
        <w:rPr>
          <w:rFonts w:hint="eastAsia" w:ascii="仿宋" w:hAnsi="仿宋" w:eastAsia="仿宋_GB2312" w:cs="仿宋"/>
          <w:b w:val="0"/>
          <w:i w:val="0"/>
          <w:color w:val="auto"/>
          <w:spacing w:val="14"/>
          <w:kern w:val="2"/>
          <w:sz w:val="32"/>
          <w:szCs w:val="28"/>
          <w:lang w:val="en-US" w:eastAsia="zh-CN" w:bidi="ar-SA"/>
        </w:rPr>
        <w:t>4</w:t>
      </w:r>
      <w:r>
        <w:rPr>
          <w:rFonts w:hint="default" w:ascii="仿宋" w:hAnsi="仿宋" w:eastAsia="仿宋_GB2312" w:cs="仿宋"/>
          <w:b w:val="0"/>
          <w:i w:val="0"/>
          <w:color w:val="auto"/>
          <w:spacing w:val="14"/>
          <w:kern w:val="2"/>
          <w:sz w:val="32"/>
          <w:szCs w:val="28"/>
          <w:lang w:val="en-US" w:eastAsia="zh-CN" w:bidi="ar-SA"/>
        </w:rPr>
        <w:t>年开始，我国人口老龄化将从快速发展阶段开始转向急速发展阶段，人口老龄化进入新周期，在未来养老需求将进一步增长，</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县的养老床位缺口将进一步增大。</w:t>
      </w:r>
    </w:p>
    <w:p>
      <w:pPr>
        <w:pStyle w:val="4"/>
        <w:pageBreakBefore w:val="0"/>
        <w:numPr>
          <w:ilvl w:val="0"/>
          <w:numId w:val="0"/>
        </w:numPr>
        <w:kinsoku/>
        <w:wordWrap/>
        <w:overflowPunct/>
        <w:topLinePunct w:val="0"/>
        <w:autoSpaceDE/>
        <w:autoSpaceDN/>
        <w:bidi w:val="0"/>
        <w:adjustRightInd/>
        <w:snapToGrid/>
        <w:spacing w:line="360" w:lineRule="auto"/>
        <w:jc w:val="both"/>
        <w:textAlignment w:val="auto"/>
        <w:rPr>
          <w:rFonts w:hint="default" w:ascii="仿宋" w:hAnsi="仿宋" w:eastAsia="仿宋" w:cs="Times New Roman"/>
          <w:b/>
          <w:color w:val="auto"/>
          <w:szCs w:val="28"/>
          <w:lang w:val="en-US" w:eastAsia="zh-CN"/>
        </w:rPr>
      </w:pPr>
      <w:bookmarkStart w:id="10" w:name="_Toc6419"/>
      <w:r>
        <w:rPr>
          <w:rFonts w:hint="eastAsia" w:ascii="仿宋" w:hAnsi="仿宋" w:eastAsia="仿宋" w:cs="Times New Roman"/>
          <w:b/>
          <w:color w:val="auto"/>
          <w:szCs w:val="28"/>
        </w:rPr>
        <w:t>1.</w:t>
      </w:r>
      <w:r>
        <w:rPr>
          <w:rFonts w:hint="eastAsia" w:ascii="仿宋" w:hAnsi="仿宋" w:eastAsia="仿宋" w:cs="Times New Roman"/>
          <w:b/>
          <w:color w:val="auto"/>
          <w:szCs w:val="28"/>
          <w:lang w:val="en-US" w:eastAsia="zh-CN"/>
        </w:rPr>
        <w:t>1</w:t>
      </w:r>
      <w:r>
        <w:rPr>
          <w:rFonts w:hint="eastAsia" w:ascii="仿宋" w:hAnsi="仿宋" w:eastAsia="仿宋" w:cs="Times New Roman"/>
          <w:b/>
          <w:color w:val="auto"/>
          <w:szCs w:val="28"/>
        </w:rPr>
        <w:t>.</w:t>
      </w:r>
      <w:r>
        <w:rPr>
          <w:rFonts w:hint="eastAsia" w:ascii="仿宋" w:hAnsi="仿宋" w:eastAsia="仿宋" w:cs="Times New Roman"/>
          <w:b/>
          <w:color w:val="auto"/>
          <w:szCs w:val="28"/>
          <w:lang w:val="en-US" w:eastAsia="zh-CN"/>
        </w:rPr>
        <w:t>4项目的提出</w:t>
      </w:r>
      <w:bookmarkEnd w:id="10"/>
    </w:p>
    <w:p>
      <w:pPr>
        <w:pStyle w:val="18"/>
        <w:pageBreakBefore w:val="0"/>
        <w:kinsoku/>
        <w:wordWrap/>
        <w:overflowPunct/>
        <w:topLinePunct w:val="0"/>
        <w:autoSpaceDE/>
        <w:autoSpaceDN/>
        <w:bidi w:val="0"/>
        <w:adjustRightInd/>
        <w:snapToGrid/>
        <w:spacing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仁化县民政事业发展“十四五”规划</w:t>
      </w:r>
      <w:r>
        <w:rPr>
          <w:rFonts w:hint="eastAsia" w:ascii="仿宋" w:hAnsi="仿宋" w:eastAsia="仿宋_GB2312" w:cs="仿宋"/>
          <w:b w:val="0"/>
          <w:i w:val="0"/>
          <w:color w:val="auto"/>
          <w:spacing w:val="14"/>
          <w:kern w:val="2"/>
          <w:sz w:val="32"/>
          <w:szCs w:val="28"/>
          <w:lang w:val="en-US" w:eastAsia="zh-CN" w:bidi="ar-SA"/>
        </w:rPr>
        <w:t>提出加强养老托育服务。统筹解决“一老一小”问题，积极应对人口老龄化照护服务需求，提升养老水平。加强基本养老服务兜底保障，推进实施农村特困供养机构改造提升工程，持续优化调整农村特困供养机构布局。完善农村留守老年人关爱服务工作机制，加快补齐农村养老服务短板。大力发展社区居家养老，扩大社区居家养老康养中心建设试点范围，加强社区养老基础设施建设，增加普惠性、护理型养老床位供给，持续完善居家为基础、社区为依托、机构为补充、医养相结合的养老服务体系。加快智慧养老发展，积极推进区级智慧养老服务指导中心试点建设。</w:t>
      </w:r>
    </w:p>
    <w:p>
      <w:pPr>
        <w:pStyle w:val="3"/>
        <w:pageBreakBefore w:val="0"/>
        <w:numPr>
          <w:ilvl w:val="1"/>
          <w:numId w:val="0"/>
        </w:numPr>
        <w:kinsoku/>
        <w:wordWrap/>
        <w:overflowPunct/>
        <w:topLinePunct w:val="0"/>
        <w:autoSpaceDE/>
        <w:autoSpaceDN/>
        <w:bidi w:val="0"/>
        <w:adjustRightInd/>
        <w:snapToGrid/>
        <w:spacing w:line="360" w:lineRule="auto"/>
        <w:jc w:val="both"/>
        <w:textAlignment w:val="auto"/>
        <w:rPr>
          <w:rFonts w:hint="default" w:ascii="仿宋" w:hAnsi="仿宋" w:eastAsia="仿宋" w:cs="Times New Roman"/>
          <w:b/>
          <w:color w:val="auto"/>
          <w:szCs w:val="28"/>
          <w:lang w:val="en-US" w:eastAsia="zh-CN"/>
        </w:rPr>
      </w:pPr>
      <w:bookmarkStart w:id="11" w:name="_Toc1873"/>
      <w:r>
        <w:rPr>
          <w:rFonts w:hint="eastAsia" w:ascii="仿宋" w:hAnsi="仿宋" w:eastAsia="仿宋" w:cs="Times New Roman"/>
          <w:b/>
          <w:color w:val="auto"/>
          <w:szCs w:val="28"/>
          <w:lang w:val="en-US" w:eastAsia="zh-CN"/>
        </w:rPr>
        <w:t>1.3项目建设内容</w:t>
      </w:r>
      <w:bookmarkEnd w:id="11"/>
    </w:p>
    <w:p>
      <w:pPr>
        <w:pStyle w:val="4"/>
        <w:pageBreakBefore w:val="0"/>
        <w:numPr>
          <w:ilvl w:val="0"/>
          <w:numId w:val="0"/>
        </w:numPr>
        <w:kinsoku/>
        <w:wordWrap/>
        <w:overflowPunct/>
        <w:topLinePunct w:val="0"/>
        <w:autoSpaceDE/>
        <w:autoSpaceDN/>
        <w:bidi w:val="0"/>
        <w:adjustRightInd/>
        <w:snapToGrid/>
        <w:spacing w:line="360" w:lineRule="auto"/>
        <w:jc w:val="both"/>
        <w:textAlignment w:val="auto"/>
        <w:rPr>
          <w:rFonts w:hint="default" w:ascii="仿宋" w:hAnsi="仿宋" w:eastAsia="仿宋" w:cs="Times New Roman"/>
          <w:b/>
          <w:color w:val="auto"/>
          <w:szCs w:val="28"/>
          <w:lang w:val="en-US" w:eastAsia="zh-CN"/>
        </w:rPr>
      </w:pPr>
      <w:bookmarkStart w:id="12" w:name="_Toc19986"/>
      <w:r>
        <w:rPr>
          <w:rFonts w:hint="eastAsia" w:ascii="仿宋" w:hAnsi="仿宋" w:eastAsia="仿宋" w:cs="Times New Roman"/>
          <w:b/>
          <w:color w:val="auto"/>
          <w:szCs w:val="28"/>
          <w:lang w:val="en-US" w:eastAsia="zh-CN"/>
        </w:rPr>
        <w:t>1.3.1项目区域人口及经济概况</w:t>
      </w:r>
      <w:bookmarkEnd w:id="12"/>
    </w:p>
    <w:p>
      <w:pPr>
        <w:pStyle w:val="18"/>
        <w:pageBreakBefore w:val="0"/>
        <w:kinsoku/>
        <w:wordWrap/>
        <w:overflowPunct/>
        <w:topLinePunct w:val="0"/>
        <w:autoSpaceDE/>
        <w:autoSpaceDN/>
        <w:bidi w:val="0"/>
        <w:adjustRightInd/>
        <w:snapToGrid/>
        <w:spacing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202</w:t>
      </w:r>
      <w:r>
        <w:rPr>
          <w:rFonts w:hint="eastAsia" w:ascii="仿宋" w:hAnsi="仿宋" w:eastAsia="仿宋_GB2312" w:cs="仿宋"/>
          <w:b w:val="0"/>
          <w:i w:val="0"/>
          <w:color w:val="auto"/>
          <w:spacing w:val="14"/>
          <w:kern w:val="2"/>
          <w:sz w:val="32"/>
          <w:szCs w:val="28"/>
          <w:lang w:val="en-US" w:eastAsia="zh-CN" w:bidi="ar-SA"/>
        </w:rPr>
        <w:t>4</w:t>
      </w:r>
      <w:r>
        <w:rPr>
          <w:rFonts w:hint="default" w:ascii="仿宋" w:hAnsi="仿宋" w:eastAsia="仿宋_GB2312" w:cs="仿宋"/>
          <w:b w:val="0"/>
          <w:i w:val="0"/>
          <w:color w:val="auto"/>
          <w:spacing w:val="14"/>
          <w:kern w:val="2"/>
          <w:sz w:val="32"/>
          <w:szCs w:val="28"/>
          <w:lang w:val="en-US" w:eastAsia="zh-CN" w:bidi="ar-SA"/>
        </w:rPr>
        <w:t>年仁化县实现地区生产总值（初步核算数）121.29亿元，按不变价格计算（下同），比上年增长2.2％。其中，第一产业增加值29.65亿元，增长6.0%，对地区生产总值增长的贡献率为69.2%；第二产业增加值43.78亿元，增长0.7%，对地区生产总值增长的贡献率为11.1%；第三产业增加值47.86亿元，增长1.1%，对地区生产总值增长的贡献率为19.8%。全年人均地区生产总值65173元，增长2.0%。三次产业结构比重为24.4：36.1：39.5。</w:t>
      </w:r>
    </w:p>
    <w:p>
      <w:pPr>
        <w:pStyle w:val="18"/>
        <w:pageBreakBefore w:val="0"/>
        <w:kinsoku/>
        <w:wordWrap/>
        <w:overflowPunct/>
        <w:topLinePunct w:val="0"/>
        <w:autoSpaceDE/>
        <w:autoSpaceDN/>
        <w:bidi w:val="0"/>
        <w:adjustRightInd/>
        <w:snapToGrid/>
        <w:spacing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2024</w:t>
      </w:r>
      <w:r>
        <w:rPr>
          <w:rFonts w:hint="default" w:ascii="仿宋" w:hAnsi="仿宋" w:eastAsia="仿宋_GB2312" w:cs="仿宋"/>
          <w:b w:val="0"/>
          <w:i w:val="0"/>
          <w:color w:val="auto"/>
          <w:spacing w:val="14"/>
          <w:kern w:val="2"/>
          <w:sz w:val="32"/>
          <w:szCs w:val="28"/>
          <w:lang w:val="en-US" w:eastAsia="zh-CN" w:bidi="ar-SA"/>
        </w:rPr>
        <w:t>年，全县户籍人口数23.90万人，比上年末减少0.14万人，其中城镇人口8.84万人，占总人口比重为37%；乡村人口15.06万人，占总人口比重为63%；按性别分：男性人口12.36万人，占总人口比重为51.7%；女性人口11.54万人，占总人口比重48.3%。</w:t>
      </w:r>
    </w:p>
    <w:p>
      <w:pPr>
        <w:pStyle w:val="18"/>
        <w:pageBreakBefore w:val="0"/>
        <w:kinsoku/>
        <w:wordWrap/>
        <w:overflowPunct/>
        <w:topLinePunct w:val="0"/>
        <w:autoSpaceDE/>
        <w:autoSpaceDN/>
        <w:bidi w:val="0"/>
        <w:adjustRightInd/>
        <w:snapToGrid/>
        <w:spacing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2024</w:t>
      </w:r>
      <w:r>
        <w:rPr>
          <w:rFonts w:hint="default" w:ascii="仿宋" w:hAnsi="仿宋" w:eastAsia="仿宋_GB2312" w:cs="仿宋"/>
          <w:b w:val="0"/>
          <w:i w:val="0"/>
          <w:color w:val="auto"/>
          <w:spacing w:val="14"/>
          <w:kern w:val="2"/>
          <w:sz w:val="32"/>
          <w:szCs w:val="28"/>
          <w:lang w:val="en-US" w:eastAsia="zh-CN" w:bidi="ar-SA"/>
        </w:rPr>
        <w:t>年，全县常住人口18.64万人，比上年末增加0.05万人。其中城镇常住人口8.21万人，占常住人口比重（常住人口城镇化率）44.03%，比上年末提高0.61个百分点。全年出生人口1171人，出生率6.09‰；死亡人口1477人，死亡率7.68‰；自然增长率-1.59‰。</w:t>
      </w:r>
    </w:p>
    <w:p>
      <w:pPr>
        <w:pStyle w:val="4"/>
        <w:pageBreakBefore w:val="0"/>
        <w:numPr>
          <w:ilvl w:val="0"/>
          <w:numId w:val="0"/>
        </w:numPr>
        <w:kinsoku/>
        <w:wordWrap/>
        <w:overflowPunct/>
        <w:topLinePunct w:val="0"/>
        <w:autoSpaceDE/>
        <w:autoSpaceDN/>
        <w:bidi w:val="0"/>
        <w:adjustRightInd/>
        <w:snapToGrid/>
        <w:spacing w:line="360" w:lineRule="auto"/>
        <w:jc w:val="both"/>
        <w:textAlignment w:val="auto"/>
        <w:rPr>
          <w:rFonts w:hint="default" w:ascii="仿宋" w:hAnsi="仿宋" w:eastAsia="仿宋" w:cs="Times New Roman"/>
          <w:b/>
          <w:color w:val="auto"/>
          <w:szCs w:val="28"/>
          <w:lang w:val="en-US" w:eastAsia="zh-CN"/>
        </w:rPr>
      </w:pPr>
      <w:bookmarkStart w:id="13" w:name="_Toc15634"/>
      <w:r>
        <w:rPr>
          <w:rFonts w:hint="eastAsia" w:ascii="仿宋" w:hAnsi="仿宋" w:eastAsia="仿宋" w:cs="Times New Roman"/>
          <w:b/>
          <w:color w:val="auto"/>
          <w:szCs w:val="28"/>
        </w:rPr>
        <w:t>1.</w:t>
      </w:r>
      <w:r>
        <w:rPr>
          <w:rFonts w:hint="eastAsia" w:ascii="仿宋" w:hAnsi="仿宋" w:eastAsia="仿宋" w:cs="Times New Roman"/>
          <w:b/>
          <w:color w:val="auto"/>
          <w:szCs w:val="28"/>
          <w:lang w:val="en-US" w:eastAsia="zh-CN"/>
        </w:rPr>
        <w:t>3</w:t>
      </w:r>
      <w:r>
        <w:rPr>
          <w:rFonts w:hint="eastAsia" w:ascii="仿宋" w:hAnsi="仿宋" w:eastAsia="仿宋" w:cs="Times New Roman"/>
          <w:b/>
          <w:color w:val="auto"/>
          <w:szCs w:val="28"/>
        </w:rPr>
        <w:t>.</w:t>
      </w:r>
      <w:r>
        <w:rPr>
          <w:rFonts w:hint="eastAsia" w:ascii="仿宋" w:hAnsi="仿宋" w:eastAsia="仿宋" w:cs="Times New Roman"/>
          <w:b/>
          <w:color w:val="auto"/>
          <w:szCs w:val="28"/>
          <w:lang w:val="en-US" w:eastAsia="zh-CN"/>
        </w:rPr>
        <w:t>2项目地理位置</w:t>
      </w:r>
      <w:bookmarkEnd w:id="13"/>
    </w:p>
    <w:p>
      <w:pPr>
        <w:pStyle w:val="18"/>
        <w:pageBreakBefore w:val="0"/>
        <w:kinsoku/>
        <w:wordWrap/>
        <w:overflowPunct/>
        <w:topLinePunct w:val="0"/>
        <w:autoSpaceDE/>
        <w:autoSpaceDN/>
        <w:bidi w:val="0"/>
        <w:adjustRightInd/>
        <w:snapToGrid/>
        <w:spacing w:line="360" w:lineRule="auto"/>
        <w:ind w:firstLine="696" w:firstLineChars="200"/>
        <w:jc w:val="center"/>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本项目拟建设场地位于仁化县丹霞街道养老服务中心内，属改扩建项目，地块位于仁化县丹霞街道中心村凳板岭。</w:t>
      </w:r>
      <w:r>
        <w:rPr>
          <w:color w:val="auto"/>
        </w:rPr>
        <w:drawing>
          <wp:inline distT="0" distB="0" distL="114300" distR="114300">
            <wp:extent cx="5269230" cy="4492625"/>
            <wp:effectExtent l="0" t="0" r="7620" b="3175"/>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27"/>
                    <a:stretch>
                      <a:fillRect/>
                    </a:stretch>
                  </pic:blipFill>
                  <pic:spPr>
                    <a:xfrm>
                      <a:off x="0" y="0"/>
                      <a:ext cx="5269230" cy="4492625"/>
                    </a:xfrm>
                    <a:prstGeom prst="rect">
                      <a:avLst/>
                    </a:prstGeom>
                    <a:noFill/>
                    <a:ln>
                      <a:noFill/>
                    </a:ln>
                  </pic:spPr>
                </pic:pic>
              </a:graphicData>
            </a:graphic>
          </wp:inline>
        </w:drawing>
      </w:r>
    </w:p>
    <w:p>
      <w:pPr>
        <w:pStyle w:val="18"/>
        <w:pageBreakBefore w:val="0"/>
        <w:kinsoku/>
        <w:wordWrap/>
        <w:overflowPunct/>
        <w:topLinePunct w:val="0"/>
        <w:autoSpaceDE/>
        <w:autoSpaceDN/>
        <w:bidi w:val="0"/>
        <w:adjustRightInd/>
        <w:snapToGrid/>
        <w:spacing w:line="360" w:lineRule="auto"/>
        <w:jc w:val="center"/>
        <w:textAlignment w:val="auto"/>
        <w:rPr>
          <w:rFonts w:hint="eastAsia" w:ascii="仿宋" w:hAnsi="仿宋" w:eastAsia="仿宋" w:cs="宋体"/>
          <w:color w:val="auto"/>
          <w:sz w:val="21"/>
          <w:szCs w:val="21"/>
          <w:lang w:val="en-US" w:eastAsia="zh-CN"/>
        </w:rPr>
      </w:pPr>
      <w:r>
        <w:rPr>
          <w:rFonts w:hint="eastAsia" w:ascii="仿宋" w:hAnsi="仿宋" w:eastAsia="仿宋" w:cs="宋体"/>
          <w:color w:val="auto"/>
          <w:sz w:val="21"/>
          <w:szCs w:val="21"/>
          <w:lang w:val="en-US" w:eastAsia="zh-CN"/>
        </w:rPr>
        <w:t>本项目地理位置详见图1.3.2-1。</w:t>
      </w:r>
    </w:p>
    <w:p>
      <w:pPr>
        <w:pStyle w:val="18"/>
        <w:pageBreakBefore w:val="0"/>
        <w:kinsoku/>
        <w:wordWrap/>
        <w:overflowPunct/>
        <w:topLinePunct w:val="0"/>
        <w:autoSpaceDE/>
        <w:autoSpaceDN/>
        <w:bidi w:val="0"/>
        <w:adjustRightInd/>
        <w:snapToGrid/>
        <w:spacing w:line="360" w:lineRule="auto"/>
        <w:ind w:left="0" w:leftChars="0" w:firstLine="0" w:firstLineChars="0"/>
        <w:jc w:val="both"/>
        <w:textAlignment w:val="auto"/>
        <w:rPr>
          <w:rFonts w:hint="eastAsia" w:ascii="仿宋" w:hAnsi="仿宋" w:eastAsia="仿宋" w:cs="宋体"/>
          <w:color w:val="auto"/>
          <w:sz w:val="21"/>
          <w:szCs w:val="21"/>
          <w:lang w:val="en-US" w:eastAsia="zh-CN"/>
        </w:rPr>
      </w:pPr>
      <w:r>
        <w:rPr>
          <w:color w:val="auto"/>
        </w:rPr>
        <w:drawing>
          <wp:inline distT="0" distB="0" distL="114300" distR="114300">
            <wp:extent cx="5274310" cy="4217670"/>
            <wp:effectExtent l="0" t="0" r="2540" b="1143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28"/>
                    <a:stretch>
                      <a:fillRect/>
                    </a:stretch>
                  </pic:blipFill>
                  <pic:spPr>
                    <a:xfrm>
                      <a:off x="0" y="0"/>
                      <a:ext cx="5274310" cy="4217670"/>
                    </a:xfrm>
                    <a:prstGeom prst="rect">
                      <a:avLst/>
                    </a:prstGeom>
                    <a:noFill/>
                    <a:ln>
                      <a:noFill/>
                    </a:ln>
                  </pic:spPr>
                </pic:pic>
              </a:graphicData>
            </a:graphic>
          </wp:inline>
        </w:drawing>
      </w:r>
    </w:p>
    <w:p>
      <w:pPr>
        <w:pStyle w:val="18"/>
        <w:pageBreakBefore w:val="0"/>
        <w:kinsoku/>
        <w:wordWrap/>
        <w:overflowPunct/>
        <w:topLinePunct w:val="0"/>
        <w:autoSpaceDE/>
        <w:autoSpaceDN/>
        <w:bidi w:val="0"/>
        <w:adjustRightInd/>
        <w:snapToGrid/>
        <w:spacing w:line="360" w:lineRule="auto"/>
        <w:jc w:val="center"/>
        <w:textAlignment w:val="auto"/>
        <w:rPr>
          <w:rFonts w:hint="eastAsia" w:ascii="仿宋" w:hAnsi="仿宋" w:eastAsia="仿宋" w:cs="宋体"/>
          <w:color w:val="auto"/>
          <w:sz w:val="21"/>
          <w:szCs w:val="21"/>
          <w:lang w:val="en-US" w:eastAsia="zh-CN"/>
        </w:rPr>
      </w:pPr>
      <w:r>
        <w:rPr>
          <w:rFonts w:hint="eastAsia" w:ascii="仿宋" w:hAnsi="仿宋" w:eastAsia="仿宋" w:cs="宋体"/>
          <w:color w:val="auto"/>
          <w:sz w:val="21"/>
          <w:szCs w:val="21"/>
          <w:lang w:val="en-US" w:eastAsia="zh-CN"/>
        </w:rPr>
        <w:t>本项目地理位置详见图1.3.2-2。</w:t>
      </w:r>
    </w:p>
    <w:p>
      <w:pPr>
        <w:pStyle w:val="4"/>
        <w:pageBreakBefore w:val="0"/>
        <w:numPr>
          <w:ilvl w:val="0"/>
          <w:numId w:val="0"/>
        </w:numPr>
        <w:kinsoku/>
        <w:wordWrap/>
        <w:overflowPunct/>
        <w:topLinePunct w:val="0"/>
        <w:autoSpaceDE/>
        <w:autoSpaceDN/>
        <w:bidi w:val="0"/>
        <w:adjustRightInd/>
        <w:snapToGrid/>
        <w:spacing w:line="360" w:lineRule="auto"/>
        <w:jc w:val="both"/>
        <w:textAlignment w:val="auto"/>
        <w:rPr>
          <w:rFonts w:hint="default" w:ascii="仿宋" w:hAnsi="仿宋" w:eastAsia="仿宋" w:cs="Times New Roman"/>
          <w:b/>
          <w:color w:val="auto"/>
          <w:szCs w:val="28"/>
          <w:lang w:val="en-US" w:eastAsia="zh-CN"/>
        </w:rPr>
      </w:pPr>
      <w:bookmarkStart w:id="14" w:name="_Toc32574"/>
      <w:r>
        <w:rPr>
          <w:rFonts w:hint="eastAsia" w:ascii="仿宋" w:hAnsi="仿宋" w:eastAsia="仿宋" w:cs="Times New Roman"/>
          <w:b/>
          <w:color w:val="auto"/>
          <w:szCs w:val="28"/>
        </w:rPr>
        <w:t>1.</w:t>
      </w:r>
      <w:r>
        <w:rPr>
          <w:rFonts w:hint="eastAsia" w:ascii="仿宋" w:hAnsi="仿宋" w:eastAsia="仿宋" w:cs="Times New Roman"/>
          <w:b/>
          <w:color w:val="auto"/>
          <w:szCs w:val="28"/>
          <w:lang w:val="en-US" w:eastAsia="zh-CN"/>
        </w:rPr>
        <w:t>3</w:t>
      </w:r>
      <w:r>
        <w:rPr>
          <w:rFonts w:hint="eastAsia" w:ascii="仿宋" w:hAnsi="仿宋" w:eastAsia="仿宋" w:cs="Times New Roman"/>
          <w:b/>
          <w:color w:val="auto"/>
          <w:szCs w:val="28"/>
        </w:rPr>
        <w:t>.</w:t>
      </w:r>
      <w:r>
        <w:rPr>
          <w:rFonts w:hint="eastAsia" w:ascii="仿宋" w:hAnsi="仿宋" w:eastAsia="仿宋" w:cs="Times New Roman"/>
          <w:b/>
          <w:color w:val="auto"/>
          <w:szCs w:val="28"/>
          <w:lang w:val="en-US" w:eastAsia="zh-CN"/>
        </w:rPr>
        <w:t>3项目规模</w:t>
      </w:r>
      <w:bookmarkEnd w:id="14"/>
    </w:p>
    <w:p>
      <w:pPr>
        <w:pStyle w:val="18"/>
        <w:pageBreakBefore w:val="0"/>
        <w:kinsoku/>
        <w:wordWrap/>
        <w:overflowPunct/>
        <w:topLinePunct w:val="0"/>
        <w:autoSpaceDE/>
        <w:autoSpaceDN/>
        <w:bidi w:val="0"/>
        <w:adjustRightInd/>
        <w:snapToGrid/>
        <w:spacing w:line="360" w:lineRule="auto"/>
        <w:ind w:left="0" w:leftChars="0"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丹霞街道综合养老服务中心按照二类建设规模进行建设和打造。本次新建1栋5层楼，总建筑面积为</w:t>
      </w:r>
      <w:r>
        <w:rPr>
          <w:rFonts w:hint="eastAsia" w:ascii="仿宋" w:hAnsi="仿宋" w:eastAsia="仿宋_GB2312" w:cs="仿宋"/>
          <w:b w:val="0"/>
          <w:i w:val="0"/>
          <w:color w:val="auto"/>
          <w:spacing w:val="14"/>
          <w:sz w:val="32"/>
          <w:szCs w:val="28"/>
          <w:lang w:val="en-US" w:eastAsia="zh-CN"/>
        </w:rPr>
        <w:t>5574.53</w:t>
      </w:r>
      <w:r>
        <w:rPr>
          <w:rFonts w:hint="default" w:ascii="仿宋" w:hAnsi="仿宋" w:eastAsia="仿宋_GB2312" w:cs="仿宋"/>
          <w:b w:val="0"/>
          <w:i w:val="0"/>
          <w:color w:val="auto"/>
          <w:spacing w:val="14"/>
          <w:kern w:val="2"/>
          <w:sz w:val="32"/>
          <w:szCs w:val="28"/>
          <w:lang w:val="en-US" w:eastAsia="zh-CN" w:bidi="ar-SA"/>
        </w:rPr>
        <w:t>方米，</w:t>
      </w:r>
      <w:r>
        <w:rPr>
          <w:rFonts w:hint="eastAsia" w:ascii="仿宋" w:hAnsi="仿宋" w:eastAsia="仿宋_GB2312" w:cs="仿宋"/>
          <w:b w:val="0"/>
          <w:i w:val="0"/>
          <w:color w:val="auto"/>
          <w:spacing w:val="14"/>
          <w:kern w:val="2"/>
          <w:sz w:val="32"/>
          <w:szCs w:val="28"/>
          <w:lang w:val="en-US" w:eastAsia="zh-CN" w:bidi="ar-SA"/>
        </w:rPr>
        <w:t>呈</w:t>
      </w:r>
      <w:r>
        <w:rPr>
          <w:rFonts w:hint="default" w:ascii="仿宋" w:hAnsi="仿宋" w:eastAsia="仿宋_GB2312" w:cs="仿宋"/>
          <w:b w:val="0"/>
          <w:i w:val="0"/>
          <w:color w:val="auto"/>
          <w:spacing w:val="14"/>
          <w:kern w:val="2"/>
          <w:sz w:val="32"/>
          <w:szCs w:val="28"/>
          <w:lang w:val="en-US" w:eastAsia="zh-CN" w:bidi="ar-SA"/>
        </w:rPr>
        <w:t>倒U</w:t>
      </w:r>
      <w:r>
        <w:rPr>
          <w:rFonts w:hint="eastAsia" w:ascii="仿宋" w:hAnsi="仿宋" w:eastAsia="仿宋_GB2312" w:cs="仿宋"/>
          <w:b w:val="0"/>
          <w:i w:val="0"/>
          <w:color w:val="auto"/>
          <w:spacing w:val="14"/>
          <w:kern w:val="2"/>
          <w:sz w:val="32"/>
          <w:szCs w:val="28"/>
          <w:lang w:val="en-US" w:eastAsia="zh-CN" w:bidi="ar-SA"/>
        </w:rPr>
        <w:t>形</w:t>
      </w:r>
      <w:r>
        <w:rPr>
          <w:rFonts w:hint="default" w:ascii="仿宋" w:hAnsi="仿宋" w:eastAsia="仿宋_GB2312" w:cs="仿宋"/>
          <w:b w:val="0"/>
          <w:i w:val="0"/>
          <w:color w:val="auto"/>
          <w:spacing w:val="14"/>
          <w:kern w:val="2"/>
          <w:sz w:val="32"/>
          <w:szCs w:val="28"/>
          <w:lang w:val="en-US" w:eastAsia="zh-CN" w:bidi="ar-SA"/>
        </w:rPr>
        <w:t>布置。本项目建成后共可容纳</w:t>
      </w:r>
      <w:r>
        <w:rPr>
          <w:rFonts w:hint="eastAsia" w:ascii="仿宋" w:hAnsi="仿宋" w:eastAsia="仿宋_GB2312" w:cs="仿宋"/>
          <w:b w:val="0"/>
          <w:i w:val="0"/>
          <w:color w:val="auto"/>
          <w:spacing w:val="14"/>
          <w:kern w:val="2"/>
          <w:sz w:val="32"/>
          <w:szCs w:val="28"/>
          <w:lang w:val="en-US" w:eastAsia="zh-CN" w:bidi="ar-SA"/>
        </w:rPr>
        <w:t>188</w:t>
      </w:r>
      <w:r>
        <w:rPr>
          <w:rFonts w:hint="default" w:ascii="仿宋" w:hAnsi="仿宋" w:eastAsia="仿宋_GB2312" w:cs="仿宋"/>
          <w:b w:val="0"/>
          <w:i w:val="0"/>
          <w:color w:val="auto"/>
          <w:spacing w:val="14"/>
          <w:kern w:val="2"/>
          <w:sz w:val="32"/>
          <w:szCs w:val="28"/>
          <w:lang w:val="en-US" w:eastAsia="zh-CN" w:bidi="ar-SA"/>
        </w:rPr>
        <w:t>张床位，整体按照三星级养老机构去打造提升和建设。</w:t>
      </w:r>
    </w:p>
    <w:p>
      <w:pPr>
        <w:pStyle w:val="18"/>
        <w:pageBreakBefore w:val="0"/>
        <w:kinsoku/>
        <w:wordWrap/>
        <w:overflowPunct/>
        <w:topLinePunct w:val="0"/>
        <w:autoSpaceDE/>
        <w:autoSpaceDN/>
        <w:bidi w:val="0"/>
        <w:adjustRightInd/>
        <w:snapToGrid/>
        <w:spacing w:line="360" w:lineRule="auto"/>
        <w:ind w:left="0" w:leftChars="0"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同时包括道路及场地硬化、供配电、给排水、消防、网络、监控、电梯及消防等配套设施的建设。</w:t>
      </w:r>
    </w:p>
    <w:p>
      <w:pPr>
        <w:pStyle w:val="4"/>
        <w:pageBreakBefore w:val="0"/>
        <w:numPr>
          <w:ilvl w:val="0"/>
          <w:numId w:val="0"/>
        </w:numPr>
        <w:kinsoku/>
        <w:wordWrap/>
        <w:overflowPunct/>
        <w:topLinePunct w:val="0"/>
        <w:autoSpaceDE/>
        <w:autoSpaceDN/>
        <w:bidi w:val="0"/>
        <w:adjustRightInd/>
        <w:snapToGrid/>
        <w:spacing w:line="360" w:lineRule="auto"/>
        <w:jc w:val="both"/>
        <w:textAlignment w:val="auto"/>
        <w:rPr>
          <w:rFonts w:hint="default" w:ascii="仿宋" w:hAnsi="仿宋" w:eastAsia="仿宋" w:cs="Times New Roman"/>
          <w:b/>
          <w:color w:val="auto"/>
          <w:szCs w:val="28"/>
          <w:lang w:val="en-US" w:eastAsia="zh-CN"/>
        </w:rPr>
      </w:pPr>
      <w:bookmarkStart w:id="15" w:name="_Toc16487"/>
      <w:r>
        <w:rPr>
          <w:rFonts w:hint="eastAsia" w:ascii="仿宋" w:hAnsi="仿宋" w:eastAsia="仿宋" w:cs="Times New Roman"/>
          <w:b/>
          <w:color w:val="auto"/>
          <w:szCs w:val="28"/>
        </w:rPr>
        <w:t>1.</w:t>
      </w:r>
      <w:r>
        <w:rPr>
          <w:rFonts w:hint="eastAsia" w:ascii="仿宋" w:hAnsi="仿宋" w:eastAsia="仿宋" w:cs="Times New Roman"/>
          <w:b/>
          <w:color w:val="auto"/>
          <w:szCs w:val="28"/>
          <w:lang w:val="en-US" w:eastAsia="zh-CN"/>
        </w:rPr>
        <w:t>3</w:t>
      </w:r>
      <w:r>
        <w:rPr>
          <w:rFonts w:hint="eastAsia" w:ascii="仿宋" w:hAnsi="仿宋" w:eastAsia="仿宋" w:cs="Times New Roman"/>
          <w:b/>
          <w:color w:val="auto"/>
          <w:szCs w:val="28"/>
        </w:rPr>
        <w:t>.</w:t>
      </w:r>
      <w:r>
        <w:rPr>
          <w:rFonts w:hint="eastAsia" w:ascii="仿宋" w:hAnsi="仿宋" w:eastAsia="仿宋" w:cs="Times New Roman"/>
          <w:b/>
          <w:color w:val="auto"/>
          <w:szCs w:val="28"/>
          <w:lang w:val="en-US" w:eastAsia="zh-CN"/>
        </w:rPr>
        <w:t>4项目效果图</w:t>
      </w:r>
      <w:bookmarkEnd w:id="15"/>
    </w:p>
    <w:p>
      <w:pPr>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仿宋" w:hAnsi="仿宋" w:eastAsia="仿宋_GB2312" w:cs="仿宋"/>
          <w:b w:val="0"/>
          <w:i w:val="0"/>
          <w:color w:val="auto"/>
          <w:spacing w:val="14"/>
          <w:sz w:val="32"/>
          <w:szCs w:val="28"/>
          <w:lang w:val="en-US" w:eastAsia="zh-CN"/>
        </w:rPr>
      </w:pPr>
      <w:r>
        <w:rPr>
          <w:color w:val="auto"/>
        </w:rPr>
        <w:drawing>
          <wp:inline distT="0" distB="0" distL="114300" distR="114300">
            <wp:extent cx="5269230" cy="3037205"/>
            <wp:effectExtent l="0" t="0" r="7620" b="10795"/>
            <wp:docPr id="23" name="图片 8" descr="Enscape_2025-01-04-17-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descr="Enscape_2025-01-04-17-42-24"/>
                    <pic:cNvPicPr>
                      <a:picLocks noChangeAspect="1"/>
                    </pic:cNvPicPr>
                  </pic:nvPicPr>
                  <pic:blipFill>
                    <a:blip r:embed="rId23"/>
                    <a:stretch>
                      <a:fillRect/>
                    </a:stretch>
                  </pic:blipFill>
                  <pic:spPr>
                    <a:xfrm>
                      <a:off x="0" y="0"/>
                      <a:ext cx="5269230" cy="3037205"/>
                    </a:xfrm>
                    <a:prstGeom prst="rect">
                      <a:avLst/>
                    </a:prstGeom>
                    <a:noFill/>
                    <a:ln>
                      <a:noFill/>
                    </a:ln>
                  </pic:spPr>
                </pic:pic>
              </a:graphicData>
            </a:graphic>
          </wp:inline>
        </w:drawing>
      </w:r>
    </w:p>
    <w:p>
      <w:pPr>
        <w:pStyle w:val="18"/>
        <w:pageBreakBefore w:val="0"/>
        <w:kinsoku/>
        <w:wordWrap/>
        <w:overflowPunct/>
        <w:topLinePunct w:val="0"/>
        <w:autoSpaceDE/>
        <w:autoSpaceDN/>
        <w:bidi w:val="0"/>
        <w:adjustRightInd/>
        <w:snapToGrid/>
        <w:spacing w:line="360" w:lineRule="auto"/>
        <w:jc w:val="center"/>
        <w:textAlignment w:val="auto"/>
        <w:rPr>
          <w:rFonts w:hint="eastAsia" w:ascii="仿宋" w:hAnsi="仿宋" w:eastAsia="仿宋" w:cs="宋体"/>
          <w:color w:val="auto"/>
          <w:sz w:val="21"/>
          <w:szCs w:val="21"/>
          <w:lang w:val="en-US" w:eastAsia="zh-CN"/>
        </w:rPr>
      </w:pPr>
      <w:r>
        <w:rPr>
          <w:rFonts w:hint="eastAsia" w:ascii="仿宋" w:hAnsi="仿宋" w:eastAsia="仿宋" w:cs="宋体"/>
          <w:color w:val="auto"/>
          <w:sz w:val="21"/>
          <w:szCs w:val="21"/>
          <w:lang w:val="en-US" w:eastAsia="zh-CN"/>
        </w:rPr>
        <w:t>图1.3.4-1养老院效果图</w:t>
      </w:r>
    </w:p>
    <w:p>
      <w:pPr>
        <w:pStyle w:val="18"/>
        <w:pageBreakBefore w:val="0"/>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宋体"/>
          <w:color w:val="auto"/>
          <w:sz w:val="21"/>
          <w:szCs w:val="21"/>
          <w:lang w:val="en-US" w:eastAsia="zh-CN"/>
        </w:rPr>
      </w:pPr>
      <w:r>
        <w:rPr>
          <w:color w:val="auto"/>
        </w:rPr>
        <w:drawing>
          <wp:inline distT="0" distB="0" distL="114300" distR="114300">
            <wp:extent cx="5269230" cy="3037205"/>
            <wp:effectExtent l="0" t="0" r="7620" b="10795"/>
            <wp:docPr id="30" name="图片 9" descr="Enscape_2025-01-04-17-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descr="Enscape_2025-01-04-17-52-17"/>
                    <pic:cNvPicPr>
                      <a:picLocks noChangeAspect="1"/>
                    </pic:cNvPicPr>
                  </pic:nvPicPr>
                  <pic:blipFill>
                    <a:blip r:embed="rId24"/>
                    <a:stretch>
                      <a:fillRect/>
                    </a:stretch>
                  </pic:blipFill>
                  <pic:spPr>
                    <a:xfrm>
                      <a:off x="0" y="0"/>
                      <a:ext cx="5269230" cy="3037205"/>
                    </a:xfrm>
                    <a:prstGeom prst="rect">
                      <a:avLst/>
                    </a:prstGeom>
                    <a:noFill/>
                    <a:ln>
                      <a:noFill/>
                    </a:ln>
                  </pic:spPr>
                </pic:pic>
              </a:graphicData>
            </a:graphic>
          </wp:inline>
        </w:drawing>
      </w:r>
    </w:p>
    <w:p>
      <w:pPr>
        <w:pStyle w:val="18"/>
        <w:pageBreakBefore w:val="0"/>
        <w:kinsoku/>
        <w:wordWrap/>
        <w:overflowPunct/>
        <w:topLinePunct w:val="0"/>
        <w:autoSpaceDE/>
        <w:autoSpaceDN/>
        <w:bidi w:val="0"/>
        <w:adjustRightInd/>
        <w:snapToGrid/>
        <w:spacing w:line="360" w:lineRule="auto"/>
        <w:jc w:val="center"/>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 w:cs="宋体"/>
          <w:color w:val="auto"/>
          <w:sz w:val="21"/>
          <w:szCs w:val="21"/>
          <w:lang w:val="en-US" w:eastAsia="zh-CN"/>
        </w:rPr>
        <w:t>图1.3.4-2养老院效果图</w:t>
      </w:r>
    </w:p>
    <w:p>
      <w:pPr>
        <w:pStyle w:val="4"/>
        <w:pageBreakBefore w:val="0"/>
        <w:numPr>
          <w:ilvl w:val="0"/>
          <w:numId w:val="0"/>
        </w:numPr>
        <w:kinsoku/>
        <w:wordWrap/>
        <w:overflowPunct/>
        <w:topLinePunct w:val="0"/>
        <w:autoSpaceDE/>
        <w:autoSpaceDN/>
        <w:bidi w:val="0"/>
        <w:adjustRightInd/>
        <w:snapToGrid/>
        <w:spacing w:line="360" w:lineRule="auto"/>
        <w:jc w:val="both"/>
        <w:textAlignment w:val="auto"/>
        <w:rPr>
          <w:rFonts w:hint="default" w:ascii="仿宋" w:hAnsi="仿宋" w:eastAsia="仿宋" w:cs="Times New Roman"/>
          <w:b/>
          <w:color w:val="auto"/>
          <w:szCs w:val="28"/>
          <w:lang w:val="en-US" w:eastAsia="zh-CN"/>
        </w:rPr>
      </w:pPr>
      <w:bookmarkStart w:id="16" w:name="_Toc1618"/>
      <w:r>
        <w:rPr>
          <w:rFonts w:hint="eastAsia" w:ascii="仿宋" w:hAnsi="仿宋" w:eastAsia="仿宋" w:cs="Times New Roman"/>
          <w:b/>
          <w:color w:val="auto"/>
          <w:szCs w:val="28"/>
        </w:rPr>
        <w:t>1.</w:t>
      </w:r>
      <w:r>
        <w:rPr>
          <w:rFonts w:hint="eastAsia" w:ascii="仿宋" w:hAnsi="仿宋" w:eastAsia="仿宋" w:cs="Times New Roman"/>
          <w:b/>
          <w:color w:val="auto"/>
          <w:szCs w:val="28"/>
          <w:lang w:val="en-US" w:eastAsia="zh-CN"/>
        </w:rPr>
        <w:t>3</w:t>
      </w:r>
      <w:r>
        <w:rPr>
          <w:rFonts w:hint="eastAsia" w:ascii="仿宋" w:hAnsi="仿宋" w:eastAsia="仿宋" w:cs="Times New Roman"/>
          <w:b/>
          <w:color w:val="auto"/>
          <w:szCs w:val="28"/>
        </w:rPr>
        <w:t>.</w:t>
      </w:r>
      <w:r>
        <w:rPr>
          <w:rFonts w:hint="eastAsia" w:ascii="仿宋" w:hAnsi="仿宋" w:eastAsia="仿宋" w:cs="Times New Roman"/>
          <w:b/>
          <w:color w:val="auto"/>
          <w:szCs w:val="28"/>
          <w:lang w:val="en-US" w:eastAsia="zh-CN"/>
        </w:rPr>
        <w:t>5项目总平面图</w:t>
      </w:r>
      <w:bookmarkEnd w:id="16"/>
    </w:p>
    <w:p>
      <w:pPr>
        <w:pStyle w:val="18"/>
        <w:pageBreakBefore w:val="0"/>
        <w:kinsoku/>
        <w:wordWrap/>
        <w:overflowPunct/>
        <w:topLinePunct w:val="0"/>
        <w:autoSpaceDE/>
        <w:autoSpaceDN/>
        <w:bidi w:val="0"/>
        <w:adjustRightInd/>
        <w:snapToGrid/>
        <w:spacing w:line="360" w:lineRule="auto"/>
        <w:ind w:left="0" w:leftChars="0" w:firstLine="0" w:firstLineChars="0"/>
        <w:jc w:val="both"/>
        <w:textAlignment w:val="auto"/>
        <w:rPr>
          <w:color w:val="auto"/>
        </w:rPr>
      </w:pPr>
      <w:r>
        <w:rPr>
          <w:color w:val="auto"/>
        </w:rPr>
        <w:drawing>
          <wp:inline distT="0" distB="0" distL="114300" distR="114300">
            <wp:extent cx="5272405" cy="4105275"/>
            <wp:effectExtent l="0" t="0" r="4445" b="9525"/>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29"/>
                    <a:stretch>
                      <a:fillRect/>
                    </a:stretch>
                  </pic:blipFill>
                  <pic:spPr>
                    <a:xfrm>
                      <a:off x="0" y="0"/>
                      <a:ext cx="5272405" cy="4105275"/>
                    </a:xfrm>
                    <a:prstGeom prst="rect">
                      <a:avLst/>
                    </a:prstGeom>
                    <a:noFill/>
                    <a:ln>
                      <a:noFill/>
                    </a:ln>
                  </pic:spPr>
                </pic:pic>
              </a:graphicData>
            </a:graphic>
          </wp:inline>
        </w:drawing>
      </w:r>
    </w:p>
    <w:p>
      <w:pPr>
        <w:pStyle w:val="18"/>
        <w:pageBreakBefore w:val="0"/>
        <w:kinsoku/>
        <w:wordWrap/>
        <w:overflowPunct/>
        <w:topLinePunct w:val="0"/>
        <w:autoSpaceDE/>
        <w:autoSpaceDN/>
        <w:bidi w:val="0"/>
        <w:adjustRightInd/>
        <w:snapToGrid/>
        <w:spacing w:line="360" w:lineRule="auto"/>
        <w:jc w:val="center"/>
        <w:textAlignment w:val="auto"/>
        <w:rPr>
          <w:rFonts w:hint="default"/>
          <w:color w:val="auto"/>
          <w:lang w:val="en-US" w:eastAsia="zh-CN"/>
        </w:rPr>
      </w:pPr>
      <w:r>
        <w:rPr>
          <w:rFonts w:hint="eastAsia" w:ascii="仿宋" w:hAnsi="仿宋" w:eastAsia="仿宋" w:cs="宋体"/>
          <w:color w:val="auto"/>
          <w:sz w:val="21"/>
          <w:szCs w:val="21"/>
          <w:lang w:val="en-US" w:eastAsia="zh-CN"/>
        </w:rPr>
        <w:t>图1.3.4-3养老院总平面图</w:t>
      </w:r>
    </w:p>
    <w:p>
      <w:pPr>
        <w:pStyle w:val="4"/>
        <w:pageBreakBefore w:val="0"/>
        <w:numPr>
          <w:ilvl w:val="0"/>
          <w:numId w:val="0"/>
        </w:numPr>
        <w:kinsoku/>
        <w:wordWrap/>
        <w:overflowPunct/>
        <w:topLinePunct w:val="0"/>
        <w:autoSpaceDE/>
        <w:autoSpaceDN/>
        <w:bidi w:val="0"/>
        <w:adjustRightInd/>
        <w:snapToGrid/>
        <w:spacing w:line="360" w:lineRule="auto"/>
        <w:jc w:val="both"/>
        <w:textAlignment w:val="auto"/>
        <w:rPr>
          <w:rFonts w:hint="default" w:ascii="仿宋" w:hAnsi="仿宋" w:eastAsia="仿宋" w:cs="Times New Roman"/>
          <w:b/>
          <w:color w:val="auto"/>
          <w:szCs w:val="28"/>
          <w:lang w:val="en-US" w:eastAsia="zh-CN"/>
        </w:rPr>
      </w:pPr>
      <w:bookmarkStart w:id="17" w:name="_Toc30473"/>
      <w:r>
        <w:rPr>
          <w:rFonts w:hint="eastAsia" w:ascii="仿宋" w:hAnsi="仿宋" w:eastAsia="仿宋" w:cs="Times New Roman"/>
          <w:b/>
          <w:color w:val="auto"/>
          <w:szCs w:val="28"/>
        </w:rPr>
        <w:t>1.</w:t>
      </w:r>
      <w:r>
        <w:rPr>
          <w:rFonts w:hint="eastAsia" w:ascii="仿宋" w:hAnsi="仿宋" w:eastAsia="仿宋" w:cs="Times New Roman"/>
          <w:b/>
          <w:color w:val="auto"/>
          <w:szCs w:val="28"/>
          <w:lang w:val="en-US" w:eastAsia="zh-CN"/>
        </w:rPr>
        <w:t>3</w:t>
      </w:r>
      <w:r>
        <w:rPr>
          <w:rFonts w:hint="eastAsia" w:ascii="仿宋" w:hAnsi="仿宋" w:eastAsia="仿宋" w:cs="Times New Roman"/>
          <w:b/>
          <w:color w:val="auto"/>
          <w:szCs w:val="28"/>
        </w:rPr>
        <w:t>.</w:t>
      </w:r>
      <w:r>
        <w:rPr>
          <w:rFonts w:hint="eastAsia" w:ascii="仿宋" w:hAnsi="仿宋" w:eastAsia="仿宋" w:cs="Times New Roman"/>
          <w:b/>
          <w:color w:val="auto"/>
          <w:szCs w:val="28"/>
          <w:lang w:val="en-US" w:eastAsia="zh-CN"/>
        </w:rPr>
        <w:t>6各楼层功能说明</w:t>
      </w:r>
      <w:bookmarkEnd w:id="17"/>
    </w:p>
    <w:p>
      <w:pPr>
        <w:pStyle w:val="18"/>
        <w:pageBreakBefore w:val="0"/>
        <w:kinsoku/>
        <w:wordWrap/>
        <w:overflowPunct/>
        <w:topLinePunct w:val="0"/>
        <w:autoSpaceDE/>
        <w:autoSpaceDN/>
        <w:bidi w:val="0"/>
        <w:adjustRightInd/>
        <w:snapToGrid/>
        <w:spacing w:line="360" w:lineRule="auto"/>
        <w:ind w:left="0" w:leftChars="0"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本项目建设有</w:t>
      </w:r>
      <w:r>
        <w:rPr>
          <w:rFonts w:hint="eastAsia" w:ascii="仿宋" w:hAnsi="仿宋" w:eastAsia="仿宋_GB2312" w:cs="仿宋"/>
          <w:b w:val="0"/>
          <w:i w:val="0"/>
          <w:color w:val="auto"/>
          <w:spacing w:val="14"/>
          <w:kern w:val="2"/>
          <w:sz w:val="32"/>
          <w:szCs w:val="28"/>
          <w:lang w:val="en-US" w:eastAsia="zh-CN" w:bidi="ar-SA"/>
        </w:rPr>
        <w:t>1综合养老服务中心</w:t>
      </w:r>
      <w:r>
        <w:rPr>
          <w:rFonts w:hint="default" w:ascii="仿宋" w:hAnsi="仿宋" w:eastAsia="仿宋_GB2312" w:cs="仿宋"/>
          <w:b w:val="0"/>
          <w:i w:val="0"/>
          <w:color w:val="auto"/>
          <w:spacing w:val="14"/>
          <w:kern w:val="2"/>
          <w:sz w:val="32"/>
          <w:szCs w:val="28"/>
          <w:lang w:val="en-US" w:eastAsia="zh-CN" w:bidi="ar-SA"/>
        </w:rPr>
        <w:t>，</w:t>
      </w:r>
      <w:r>
        <w:rPr>
          <w:rFonts w:hint="eastAsia" w:ascii="仿宋" w:hAnsi="仿宋" w:eastAsia="仿宋_GB2312" w:cs="仿宋"/>
          <w:b w:val="0"/>
          <w:i w:val="0"/>
          <w:color w:val="auto"/>
          <w:spacing w:val="14"/>
          <w:kern w:val="2"/>
          <w:sz w:val="32"/>
          <w:szCs w:val="28"/>
          <w:lang w:val="en-US" w:eastAsia="zh-CN" w:bidi="ar-SA"/>
        </w:rPr>
        <w:t>各楼层功能设置如下</w:t>
      </w:r>
      <w:r>
        <w:rPr>
          <w:rFonts w:hint="default" w:ascii="仿宋" w:hAnsi="仿宋" w:eastAsia="仿宋_GB2312" w:cs="仿宋"/>
          <w:b w:val="0"/>
          <w:i w:val="0"/>
          <w:color w:val="auto"/>
          <w:spacing w:val="14"/>
          <w:kern w:val="2"/>
          <w:sz w:val="32"/>
          <w:szCs w:val="28"/>
          <w:lang w:val="en-US" w:eastAsia="zh-CN" w:bidi="ar-SA"/>
        </w:rPr>
        <w:t>：</w:t>
      </w:r>
    </w:p>
    <w:p>
      <w:pPr>
        <w:pStyle w:val="18"/>
        <w:pageBreakBefore w:val="0"/>
        <w:kinsoku/>
        <w:wordWrap/>
        <w:overflowPunct/>
        <w:topLinePunct w:val="0"/>
        <w:autoSpaceDE/>
        <w:autoSpaceDN/>
        <w:bidi w:val="0"/>
        <w:adjustRightInd/>
        <w:snapToGrid/>
        <w:spacing w:line="360" w:lineRule="auto"/>
        <w:ind w:left="0" w:leftChars="0"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一层为医务室、康复室、接待服务厅、文娱与健身用房</w:t>
      </w:r>
      <w:r>
        <w:rPr>
          <w:rFonts w:hint="default" w:ascii="仿宋" w:hAnsi="仿宋" w:eastAsia="仿宋_GB2312" w:cs="仿宋"/>
          <w:b w:val="0"/>
          <w:i w:val="0"/>
          <w:color w:val="auto"/>
          <w:spacing w:val="14"/>
          <w:kern w:val="2"/>
          <w:sz w:val="32"/>
          <w:szCs w:val="28"/>
          <w:lang w:val="en-US" w:eastAsia="zh-CN" w:bidi="ar-SA"/>
        </w:rPr>
        <w:t>；</w:t>
      </w:r>
    </w:p>
    <w:p>
      <w:pPr>
        <w:pStyle w:val="18"/>
        <w:pageBreakBefore w:val="0"/>
        <w:kinsoku/>
        <w:wordWrap/>
        <w:overflowPunct/>
        <w:topLinePunct w:val="0"/>
        <w:autoSpaceDE/>
        <w:autoSpaceDN/>
        <w:bidi w:val="0"/>
        <w:adjustRightInd/>
        <w:snapToGrid/>
        <w:spacing w:line="360" w:lineRule="auto"/>
        <w:ind w:left="0" w:leftChars="0"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二～五层为老人生活用房、公共活动区。</w:t>
      </w:r>
    </w:p>
    <w:p>
      <w:pPr>
        <w:pStyle w:val="4"/>
        <w:pageBreakBefore w:val="0"/>
        <w:numPr>
          <w:ilvl w:val="0"/>
          <w:numId w:val="0"/>
        </w:numPr>
        <w:kinsoku/>
        <w:wordWrap/>
        <w:overflowPunct/>
        <w:topLinePunct w:val="0"/>
        <w:autoSpaceDE/>
        <w:autoSpaceDN/>
        <w:bidi w:val="0"/>
        <w:adjustRightInd/>
        <w:snapToGrid/>
        <w:spacing w:line="360" w:lineRule="auto"/>
        <w:jc w:val="both"/>
        <w:textAlignment w:val="auto"/>
        <w:rPr>
          <w:rFonts w:hint="default" w:ascii="仿宋" w:hAnsi="仿宋" w:eastAsia="仿宋" w:cs="Times New Roman"/>
          <w:b/>
          <w:color w:val="auto"/>
          <w:szCs w:val="28"/>
          <w:lang w:val="en-US" w:eastAsia="zh-CN"/>
        </w:rPr>
      </w:pPr>
      <w:bookmarkStart w:id="18" w:name="_Toc366"/>
      <w:r>
        <w:rPr>
          <w:rFonts w:hint="eastAsia" w:ascii="仿宋" w:hAnsi="仿宋" w:eastAsia="仿宋" w:cs="Times New Roman"/>
          <w:b/>
          <w:color w:val="auto"/>
          <w:szCs w:val="28"/>
        </w:rPr>
        <w:t>1.</w:t>
      </w:r>
      <w:r>
        <w:rPr>
          <w:rFonts w:hint="eastAsia" w:ascii="仿宋" w:hAnsi="仿宋" w:eastAsia="仿宋" w:cs="Times New Roman"/>
          <w:b/>
          <w:color w:val="auto"/>
          <w:szCs w:val="28"/>
          <w:lang w:val="en-US" w:eastAsia="zh-CN"/>
        </w:rPr>
        <w:t>3</w:t>
      </w:r>
      <w:r>
        <w:rPr>
          <w:rFonts w:hint="eastAsia" w:ascii="仿宋" w:hAnsi="仿宋" w:eastAsia="仿宋" w:cs="Times New Roman"/>
          <w:b/>
          <w:color w:val="auto"/>
          <w:szCs w:val="28"/>
        </w:rPr>
        <w:t>.</w:t>
      </w:r>
      <w:r>
        <w:rPr>
          <w:rFonts w:hint="eastAsia" w:ascii="仿宋" w:hAnsi="仿宋" w:eastAsia="仿宋" w:cs="Times New Roman"/>
          <w:b/>
          <w:color w:val="auto"/>
          <w:szCs w:val="28"/>
          <w:lang w:val="en-US" w:eastAsia="zh-CN"/>
        </w:rPr>
        <w:t>7室内装修、家具、设备配置</w:t>
      </w:r>
      <w:bookmarkEnd w:id="18"/>
    </w:p>
    <w:tbl>
      <w:tblPr>
        <w:tblStyle w:val="1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2130"/>
        <w:gridCol w:w="2130"/>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项目</w:t>
            </w:r>
          </w:p>
        </w:tc>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单位</w:t>
            </w:r>
          </w:p>
        </w:tc>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数量</w:t>
            </w:r>
          </w:p>
        </w:tc>
        <w:tc>
          <w:tcPr>
            <w:tcW w:w="1250"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预估金额（万元）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床位</w:t>
            </w:r>
          </w:p>
        </w:tc>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张</w:t>
            </w:r>
          </w:p>
        </w:tc>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260</w:t>
            </w:r>
          </w:p>
        </w:tc>
        <w:tc>
          <w:tcPr>
            <w:tcW w:w="1250"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仿宋" w:hAnsi="仿宋" w:eastAsia="仿宋" w:cs="仿宋"/>
                <w:color w:val="auto"/>
                <w:spacing w:val="14"/>
                <w:kern w:val="2"/>
                <w:sz w:val="24"/>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电视机</w:t>
            </w:r>
          </w:p>
        </w:tc>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台</w:t>
            </w:r>
          </w:p>
        </w:tc>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130</w:t>
            </w:r>
          </w:p>
        </w:tc>
        <w:tc>
          <w:tcPr>
            <w:tcW w:w="1250"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空调工程</w:t>
            </w:r>
          </w:p>
        </w:tc>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台</w:t>
            </w:r>
          </w:p>
        </w:tc>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140</w:t>
            </w:r>
          </w:p>
        </w:tc>
        <w:tc>
          <w:tcPr>
            <w:tcW w:w="1250"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办公设备</w:t>
            </w:r>
          </w:p>
        </w:tc>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项</w:t>
            </w:r>
          </w:p>
        </w:tc>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1</w:t>
            </w:r>
          </w:p>
        </w:tc>
        <w:tc>
          <w:tcPr>
            <w:tcW w:w="1250"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其它设备设施</w:t>
            </w:r>
          </w:p>
        </w:tc>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项</w:t>
            </w:r>
          </w:p>
        </w:tc>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1</w:t>
            </w:r>
          </w:p>
        </w:tc>
        <w:tc>
          <w:tcPr>
            <w:tcW w:w="1250"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医疗设备</w:t>
            </w:r>
          </w:p>
        </w:tc>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套</w:t>
            </w:r>
          </w:p>
        </w:tc>
        <w:tc>
          <w:tcPr>
            <w:tcW w:w="1249"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1</w:t>
            </w:r>
          </w:p>
        </w:tc>
        <w:tc>
          <w:tcPr>
            <w:tcW w:w="1250" w:type="pct"/>
            <w:noWrap w:val="0"/>
            <w:vAlign w:val="top"/>
          </w:tcPr>
          <w:p>
            <w:pPr>
              <w:pStyle w:val="18"/>
              <w:pageBreakBefore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仿宋" w:hAnsi="仿宋" w:eastAsia="仿宋" w:cs="仿宋"/>
                <w:color w:val="auto"/>
                <w:spacing w:val="14"/>
                <w:kern w:val="2"/>
                <w:sz w:val="24"/>
                <w:szCs w:val="24"/>
                <w:vertAlign w:val="baseline"/>
                <w:lang w:val="en-US" w:eastAsia="zh-CN" w:bidi="ar-SA"/>
              </w:rPr>
            </w:pPr>
            <w:r>
              <w:rPr>
                <w:rFonts w:hint="eastAsia" w:ascii="仿宋" w:hAnsi="仿宋" w:eastAsia="仿宋" w:cs="仿宋"/>
                <w:color w:val="auto"/>
                <w:spacing w:val="14"/>
                <w:kern w:val="2"/>
                <w:sz w:val="24"/>
                <w:szCs w:val="24"/>
                <w:vertAlign w:val="baseline"/>
                <w:lang w:val="en-US" w:eastAsia="zh-CN" w:bidi="ar-SA"/>
              </w:rPr>
              <w:t>300</w:t>
            </w:r>
          </w:p>
        </w:tc>
      </w:tr>
    </w:tbl>
    <w:p>
      <w:pPr>
        <w:pStyle w:val="18"/>
        <w:pageBreakBefore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仿宋" w:hAnsi="仿宋" w:eastAsia="仿宋_GB2312" w:cs="仿宋"/>
          <w:b w:val="0"/>
          <w:i w:val="0"/>
          <w:color w:val="auto"/>
          <w:spacing w:val="14"/>
          <w:kern w:val="2"/>
          <w:sz w:val="32"/>
          <w:szCs w:val="28"/>
          <w:lang w:val="en-US" w:eastAsia="zh-CN" w:bidi="ar-SA"/>
        </w:rPr>
      </w:pPr>
    </w:p>
    <w:p>
      <w:pPr>
        <w:pStyle w:val="18"/>
        <w:pageBreakBefore w:val="0"/>
        <w:kinsoku/>
        <w:wordWrap/>
        <w:overflowPunct/>
        <w:topLinePunct w:val="0"/>
        <w:autoSpaceDE/>
        <w:autoSpaceDN/>
        <w:bidi w:val="0"/>
        <w:adjustRightInd/>
        <w:snapToGrid/>
        <w:spacing w:line="360" w:lineRule="auto"/>
        <w:ind w:left="0" w:leftChars="0"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项目配置的设备及家具包括：床、电视机、空调、电梯、厨房设备、办公设备、医疗设备等其他设备设施</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室内精装修。</w:t>
      </w:r>
    </w:p>
    <w:p>
      <w:pPr>
        <w:pStyle w:val="18"/>
        <w:pageBreakBefore w:val="0"/>
        <w:kinsoku/>
        <w:wordWrap/>
        <w:overflowPunct/>
        <w:topLinePunct w:val="0"/>
        <w:autoSpaceDE/>
        <w:autoSpaceDN/>
        <w:bidi w:val="0"/>
        <w:adjustRightInd/>
        <w:snapToGrid/>
        <w:spacing w:line="360" w:lineRule="auto"/>
        <w:ind w:left="0" w:leftChars="0" w:firstLine="0" w:firstLineChars="0"/>
        <w:jc w:val="both"/>
        <w:textAlignment w:val="auto"/>
        <w:rPr>
          <w:color w:val="auto"/>
        </w:rPr>
      </w:pPr>
      <w:r>
        <w:rPr>
          <w:color w:val="auto"/>
        </w:rPr>
        <w:drawing>
          <wp:inline distT="0" distB="0" distL="114300" distR="114300">
            <wp:extent cx="5260340" cy="2959100"/>
            <wp:effectExtent l="0" t="0" r="16510" b="12700"/>
            <wp:docPr id="17" name="图片 12" descr="C:/Users/DIY/Desktop/ZH007-19/丹霞/Enscape_2025-01-04-17-21-15.pngEnscape_2025-01-04-17-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descr="C:/Users/DIY/Desktop/ZH007-19/丹霞/Enscape_2025-01-04-17-21-15.pngEnscape_2025-01-04-17-21-15"/>
                    <pic:cNvPicPr>
                      <a:picLocks noChangeAspect="1"/>
                    </pic:cNvPicPr>
                  </pic:nvPicPr>
                  <pic:blipFill>
                    <a:blip r:embed="rId30"/>
                    <a:stretch>
                      <a:fillRect/>
                    </a:stretch>
                  </pic:blipFill>
                  <pic:spPr>
                    <a:xfrm>
                      <a:off x="0" y="0"/>
                      <a:ext cx="5260340" cy="2959100"/>
                    </a:xfrm>
                    <a:prstGeom prst="rect">
                      <a:avLst/>
                    </a:prstGeom>
                    <a:noFill/>
                    <a:ln>
                      <a:noFill/>
                    </a:ln>
                  </pic:spPr>
                </pic:pic>
              </a:graphicData>
            </a:graphic>
          </wp:inline>
        </w:drawing>
      </w:r>
    </w:p>
    <w:p>
      <w:pPr>
        <w:pStyle w:val="18"/>
        <w:pageBreakBefore w:val="0"/>
        <w:kinsoku/>
        <w:wordWrap/>
        <w:overflowPunct/>
        <w:topLinePunct w:val="0"/>
        <w:autoSpaceDE/>
        <w:autoSpaceDN/>
        <w:bidi w:val="0"/>
        <w:adjustRightInd/>
        <w:snapToGrid/>
        <w:spacing w:line="360" w:lineRule="auto"/>
        <w:jc w:val="center"/>
        <w:textAlignment w:val="auto"/>
        <w:rPr>
          <w:rFonts w:hint="default"/>
          <w:color w:val="auto"/>
          <w:lang w:val="en-US" w:eastAsia="zh-CN"/>
        </w:rPr>
      </w:pPr>
      <w:r>
        <w:rPr>
          <w:rFonts w:hint="eastAsia" w:ascii="仿宋" w:hAnsi="仿宋" w:eastAsia="仿宋" w:cs="宋体"/>
          <w:color w:val="auto"/>
          <w:sz w:val="21"/>
          <w:szCs w:val="21"/>
          <w:lang w:val="en-US" w:eastAsia="zh-CN"/>
        </w:rPr>
        <w:t>图1.3.6-1服务中心效果图</w:t>
      </w:r>
    </w:p>
    <w:p>
      <w:pPr>
        <w:pStyle w:val="18"/>
        <w:pageBreakBefore w:val="0"/>
        <w:kinsoku/>
        <w:wordWrap/>
        <w:overflowPunct/>
        <w:topLinePunct w:val="0"/>
        <w:autoSpaceDE/>
        <w:autoSpaceDN/>
        <w:bidi w:val="0"/>
        <w:adjustRightInd/>
        <w:snapToGrid/>
        <w:spacing w:line="360" w:lineRule="auto"/>
        <w:ind w:left="0" w:leftChars="0" w:firstLine="0" w:firstLineChars="0"/>
        <w:jc w:val="both"/>
        <w:textAlignment w:val="auto"/>
        <w:rPr>
          <w:color w:val="auto"/>
        </w:rPr>
      </w:pPr>
      <w:r>
        <w:rPr>
          <w:color w:val="auto"/>
        </w:rPr>
        <w:drawing>
          <wp:inline distT="0" distB="0" distL="114300" distR="114300">
            <wp:extent cx="5250815" cy="2953385"/>
            <wp:effectExtent l="0" t="0" r="6985" b="18415"/>
            <wp:docPr id="29" name="图片 13" descr="Enscape_2024-12-25-23-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descr="Enscape_2024-12-25-23-06-00"/>
                    <pic:cNvPicPr>
                      <a:picLocks noChangeAspect="1"/>
                    </pic:cNvPicPr>
                  </pic:nvPicPr>
                  <pic:blipFill>
                    <a:blip r:embed="rId31"/>
                    <a:stretch>
                      <a:fillRect/>
                    </a:stretch>
                  </pic:blipFill>
                  <pic:spPr>
                    <a:xfrm>
                      <a:off x="0" y="0"/>
                      <a:ext cx="5250815" cy="2953385"/>
                    </a:xfrm>
                    <a:prstGeom prst="rect">
                      <a:avLst/>
                    </a:prstGeom>
                    <a:noFill/>
                    <a:ln>
                      <a:noFill/>
                    </a:ln>
                  </pic:spPr>
                </pic:pic>
              </a:graphicData>
            </a:graphic>
          </wp:inline>
        </w:drawing>
      </w:r>
    </w:p>
    <w:p>
      <w:pPr>
        <w:pStyle w:val="18"/>
        <w:pageBreakBefore w:val="0"/>
        <w:kinsoku/>
        <w:wordWrap/>
        <w:overflowPunct/>
        <w:topLinePunct w:val="0"/>
        <w:autoSpaceDE/>
        <w:autoSpaceDN/>
        <w:bidi w:val="0"/>
        <w:adjustRightInd/>
        <w:snapToGrid/>
        <w:spacing w:line="360" w:lineRule="auto"/>
        <w:jc w:val="center"/>
        <w:textAlignment w:val="auto"/>
        <w:rPr>
          <w:rFonts w:hint="default"/>
          <w:color w:val="auto"/>
          <w:lang w:val="en-US" w:eastAsia="zh-CN"/>
        </w:rPr>
      </w:pPr>
      <w:r>
        <w:rPr>
          <w:rFonts w:hint="eastAsia" w:ascii="仿宋" w:hAnsi="仿宋" w:eastAsia="仿宋" w:cs="宋体"/>
          <w:color w:val="auto"/>
          <w:sz w:val="21"/>
          <w:szCs w:val="21"/>
          <w:lang w:val="en-US" w:eastAsia="zh-CN"/>
        </w:rPr>
        <w:t>图1.3.6-2服务中心效果图</w:t>
      </w:r>
    </w:p>
    <w:p>
      <w:pPr>
        <w:pStyle w:val="18"/>
        <w:pageBreakBefore w:val="0"/>
        <w:kinsoku/>
        <w:wordWrap/>
        <w:overflowPunct/>
        <w:topLinePunct w:val="0"/>
        <w:autoSpaceDE/>
        <w:autoSpaceDN/>
        <w:bidi w:val="0"/>
        <w:adjustRightInd/>
        <w:snapToGrid/>
        <w:spacing w:line="360" w:lineRule="auto"/>
        <w:ind w:left="0" w:leftChars="0" w:firstLine="0" w:firstLineChars="0"/>
        <w:jc w:val="both"/>
        <w:textAlignment w:val="auto"/>
        <w:rPr>
          <w:color w:val="auto"/>
          <w:position w:val="-83"/>
        </w:rPr>
      </w:pPr>
      <w:r>
        <w:rPr>
          <w:color w:val="auto"/>
          <w:position w:val="-83"/>
        </w:rPr>
        <w:drawing>
          <wp:inline distT="0" distB="0" distL="114300" distR="114300">
            <wp:extent cx="5292090" cy="2655570"/>
            <wp:effectExtent l="0" t="0" r="3810" b="11430"/>
            <wp:docPr id="12" name="图片 14"/>
            <wp:cNvGraphicFramePr/>
            <a:graphic xmlns:a="http://schemas.openxmlformats.org/drawingml/2006/main">
              <a:graphicData uri="http://schemas.openxmlformats.org/drawingml/2006/picture">
                <pic:pic xmlns:pic="http://schemas.openxmlformats.org/drawingml/2006/picture">
                  <pic:nvPicPr>
                    <pic:cNvPr id="12" name="图片 14"/>
                    <pic:cNvPicPr/>
                  </pic:nvPicPr>
                  <pic:blipFill>
                    <a:blip r:embed="rId32"/>
                    <a:stretch>
                      <a:fillRect/>
                    </a:stretch>
                  </pic:blipFill>
                  <pic:spPr>
                    <a:xfrm>
                      <a:off x="0" y="0"/>
                      <a:ext cx="5292090" cy="2655570"/>
                    </a:xfrm>
                    <a:prstGeom prst="rect">
                      <a:avLst/>
                    </a:prstGeom>
                    <a:noFill/>
                    <a:ln>
                      <a:noFill/>
                    </a:ln>
                  </pic:spPr>
                </pic:pic>
              </a:graphicData>
            </a:graphic>
          </wp:inline>
        </w:drawing>
      </w:r>
    </w:p>
    <w:p>
      <w:pPr>
        <w:pStyle w:val="18"/>
        <w:pageBreakBefore w:val="0"/>
        <w:kinsoku/>
        <w:wordWrap/>
        <w:overflowPunct/>
        <w:topLinePunct w:val="0"/>
        <w:autoSpaceDE/>
        <w:autoSpaceDN/>
        <w:bidi w:val="0"/>
        <w:adjustRightInd/>
        <w:snapToGrid/>
        <w:spacing w:line="360" w:lineRule="auto"/>
        <w:jc w:val="center"/>
        <w:textAlignment w:val="auto"/>
        <w:rPr>
          <w:rFonts w:hint="default"/>
          <w:color w:val="auto"/>
          <w:lang w:val="en-US" w:eastAsia="zh-CN"/>
        </w:rPr>
      </w:pPr>
      <w:r>
        <w:rPr>
          <w:rFonts w:hint="eastAsia" w:ascii="仿宋" w:hAnsi="仿宋" w:eastAsia="仿宋" w:cs="宋体"/>
          <w:color w:val="auto"/>
          <w:sz w:val="21"/>
          <w:szCs w:val="21"/>
          <w:lang w:val="en-US" w:eastAsia="zh-CN"/>
        </w:rPr>
        <w:t>图1.3.6-3餐厅效果图</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9" w:name="_Toc8408"/>
      <w:r>
        <w:rPr>
          <w:rFonts w:hint="eastAsia" w:ascii="仿宋" w:hAnsi="仿宋" w:eastAsia="仿宋" w:cs="Times New Roman"/>
          <w:b/>
          <w:color w:val="auto"/>
          <w:szCs w:val="28"/>
          <w:lang w:val="en-US" w:eastAsia="zh-CN"/>
        </w:rPr>
        <w:t>1.4项目实施模式</w:t>
      </w:r>
      <w:bookmarkEnd w:id="19"/>
    </w:p>
    <w:p>
      <w:pPr>
        <w:pStyle w:val="18"/>
        <w:pageBreakBefore w:val="0"/>
        <w:kinsoku/>
        <w:wordWrap/>
        <w:overflowPunct/>
        <w:topLinePunct w:val="0"/>
        <w:autoSpaceDE/>
        <w:autoSpaceDN/>
        <w:bidi w:val="0"/>
        <w:adjustRightInd/>
        <w:snapToGrid/>
        <w:spacing w:line="360" w:lineRule="auto"/>
        <w:ind w:left="0" w:leftChars="0"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本项目采用公建民营模式下的资产租赁方式实施。政府承担养老服务中心的工程建设并承担全部建设投资费用（包括装修、设备、设施等），工程竣工验收后，在不改变养老服务中心原有权属的情况下，政府通过招标方式将部分或全部场所及设施租赁给具有一定资质的社会化运营单位进行运营管理，并签署租赁协议，政府机构根据租赁协议获得租金收益。在租赁期到期后，政府收回所有场所及设施。</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olor w:val="auto"/>
          <w:szCs w:val="28"/>
          <w:lang w:val="en-US" w:eastAsia="zh-CN"/>
        </w:rPr>
      </w:pPr>
      <w:bookmarkStart w:id="20" w:name="_Toc19003"/>
      <w:r>
        <w:rPr>
          <w:rFonts w:hint="eastAsia" w:ascii="仿宋" w:hAnsi="仿宋" w:eastAsia="仿宋"/>
          <w:color w:val="auto"/>
          <w:szCs w:val="28"/>
          <w:lang w:val="en-US" w:eastAsia="zh-CN"/>
        </w:rPr>
        <w:t>1</w:t>
      </w:r>
      <w:r>
        <w:rPr>
          <w:rFonts w:hint="eastAsia" w:ascii="仿宋" w:hAnsi="仿宋" w:eastAsia="仿宋"/>
          <w:color w:val="auto"/>
          <w:szCs w:val="28"/>
        </w:rPr>
        <w:t>.</w:t>
      </w:r>
      <w:r>
        <w:rPr>
          <w:rFonts w:hint="eastAsia" w:ascii="仿宋" w:hAnsi="仿宋" w:eastAsia="仿宋"/>
          <w:color w:val="auto"/>
          <w:szCs w:val="28"/>
          <w:lang w:val="en-US" w:eastAsia="zh-CN"/>
        </w:rPr>
        <w:t>4</w:t>
      </w:r>
      <w:r>
        <w:rPr>
          <w:rFonts w:hint="eastAsia" w:ascii="仿宋" w:hAnsi="仿宋" w:eastAsia="仿宋"/>
          <w:color w:val="auto"/>
          <w:szCs w:val="28"/>
        </w:rPr>
        <w:t>.1</w:t>
      </w:r>
      <w:r>
        <w:rPr>
          <w:rFonts w:hint="eastAsia" w:ascii="仿宋" w:hAnsi="仿宋" w:eastAsia="仿宋"/>
          <w:color w:val="auto"/>
          <w:szCs w:val="28"/>
          <w:lang w:val="en-US" w:eastAsia="zh-CN"/>
        </w:rPr>
        <w:t>租赁期限</w:t>
      </w:r>
      <w:bookmarkEnd w:id="20"/>
    </w:p>
    <w:p>
      <w:pPr>
        <w:pStyle w:val="18"/>
        <w:pageBreakBefore w:val="0"/>
        <w:kinsoku/>
        <w:wordWrap/>
        <w:overflowPunct/>
        <w:topLinePunct w:val="0"/>
        <w:autoSpaceDE/>
        <w:autoSpaceDN/>
        <w:bidi w:val="0"/>
        <w:adjustRightInd/>
        <w:snapToGrid/>
        <w:spacing w:line="360" w:lineRule="auto"/>
        <w:ind w:left="0" w:leftChars="0"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本项目租赁期为15年。</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olor w:val="auto"/>
          <w:szCs w:val="28"/>
          <w:lang w:val="en-US" w:eastAsia="zh-CN"/>
        </w:rPr>
      </w:pPr>
      <w:bookmarkStart w:id="21" w:name="_Toc11485"/>
      <w:r>
        <w:rPr>
          <w:rFonts w:hint="eastAsia" w:ascii="仿宋" w:hAnsi="仿宋" w:eastAsia="仿宋"/>
          <w:color w:val="auto"/>
          <w:szCs w:val="28"/>
          <w:lang w:val="en-US" w:eastAsia="zh-CN"/>
        </w:rPr>
        <w:t>1</w:t>
      </w:r>
      <w:r>
        <w:rPr>
          <w:rFonts w:hint="eastAsia" w:ascii="仿宋" w:hAnsi="仿宋" w:eastAsia="仿宋"/>
          <w:color w:val="auto"/>
          <w:szCs w:val="28"/>
        </w:rPr>
        <w:t>.</w:t>
      </w:r>
      <w:r>
        <w:rPr>
          <w:rFonts w:hint="eastAsia" w:ascii="仿宋" w:hAnsi="仿宋" w:eastAsia="仿宋"/>
          <w:color w:val="auto"/>
          <w:szCs w:val="28"/>
          <w:lang w:val="en-US" w:eastAsia="zh-CN"/>
        </w:rPr>
        <w:t>4</w:t>
      </w:r>
      <w:r>
        <w:rPr>
          <w:rFonts w:hint="eastAsia" w:ascii="仿宋" w:hAnsi="仿宋" w:eastAsia="仿宋"/>
          <w:color w:val="auto"/>
          <w:szCs w:val="28"/>
        </w:rPr>
        <w:t>.</w:t>
      </w:r>
      <w:r>
        <w:rPr>
          <w:rFonts w:hint="eastAsia" w:ascii="仿宋" w:hAnsi="仿宋" w:eastAsia="仿宋"/>
          <w:color w:val="auto"/>
          <w:szCs w:val="28"/>
          <w:lang w:val="en-US" w:eastAsia="zh-CN"/>
        </w:rPr>
        <w:t>2租金情况</w:t>
      </w:r>
      <w:bookmarkEnd w:id="21"/>
    </w:p>
    <w:p>
      <w:pPr>
        <w:pStyle w:val="18"/>
        <w:pageBreakBefore w:val="0"/>
        <w:kinsoku/>
        <w:wordWrap/>
        <w:overflowPunct/>
        <w:topLinePunct w:val="0"/>
        <w:autoSpaceDE/>
        <w:autoSpaceDN/>
        <w:bidi w:val="0"/>
        <w:adjustRightInd/>
        <w:snapToGrid/>
        <w:spacing w:line="360" w:lineRule="auto"/>
        <w:ind w:left="0" w:leftChars="0"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本项目计</w:t>
      </w:r>
      <w:r>
        <w:rPr>
          <w:rFonts w:hint="eastAsia" w:ascii="仿宋" w:hAnsi="仿宋" w:eastAsia="仿宋_GB2312" w:cs="仿宋"/>
          <w:b w:val="0"/>
          <w:i w:val="0"/>
          <w:color w:val="auto"/>
          <w:spacing w:val="14"/>
          <w:kern w:val="2"/>
          <w:sz w:val="32"/>
          <w:szCs w:val="28"/>
          <w:lang w:val="en-US" w:eastAsia="zh-CN" w:bidi="ar-SA"/>
        </w:rPr>
        <w:t>租</w:t>
      </w:r>
      <w:r>
        <w:rPr>
          <w:rFonts w:hint="default" w:ascii="仿宋" w:hAnsi="仿宋" w:eastAsia="仿宋_GB2312" w:cs="仿宋"/>
          <w:b w:val="0"/>
          <w:i w:val="0"/>
          <w:color w:val="auto"/>
          <w:spacing w:val="14"/>
          <w:kern w:val="2"/>
          <w:sz w:val="32"/>
          <w:szCs w:val="28"/>
          <w:lang w:val="en-US" w:eastAsia="zh-CN" w:bidi="ar-SA"/>
        </w:rPr>
        <w:t>面积为</w:t>
      </w:r>
      <w:r>
        <w:rPr>
          <w:rFonts w:hint="eastAsia" w:ascii="仿宋" w:hAnsi="仿宋" w:eastAsia="仿宋_GB2312" w:cs="仿宋"/>
          <w:b w:val="0"/>
          <w:i w:val="0"/>
          <w:color w:val="auto"/>
          <w:spacing w:val="14"/>
          <w:kern w:val="2"/>
          <w:sz w:val="32"/>
          <w:szCs w:val="28"/>
          <w:lang w:val="en-US" w:eastAsia="zh-CN" w:bidi="ar-SA"/>
        </w:rPr>
        <w:t>7574.95</w:t>
      </w:r>
      <w:r>
        <w:rPr>
          <w:rFonts w:hint="default" w:ascii="仿宋" w:hAnsi="仿宋" w:eastAsia="仿宋_GB2312" w:cs="仿宋"/>
          <w:b w:val="0"/>
          <w:i w:val="0"/>
          <w:color w:val="auto"/>
          <w:spacing w:val="14"/>
          <w:kern w:val="2"/>
          <w:sz w:val="32"/>
          <w:szCs w:val="28"/>
          <w:lang w:val="en-US" w:eastAsia="zh-CN" w:bidi="ar-SA"/>
        </w:rPr>
        <w:t>㎡，租金单价参考项目资产评估报告，按9元/㎡</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月计取，前三年租金为基础租金固定不变，</w:t>
      </w:r>
      <w:r>
        <w:rPr>
          <w:rFonts w:hint="eastAsia" w:ascii="仿宋" w:hAnsi="仿宋" w:eastAsia="仿宋_GB2312" w:cs="仿宋"/>
          <w:b w:val="0"/>
          <w:i w:val="0"/>
          <w:color w:val="auto"/>
          <w:spacing w:val="14"/>
          <w:kern w:val="2"/>
          <w:sz w:val="32"/>
          <w:szCs w:val="28"/>
          <w:lang w:val="en-US" w:eastAsia="zh-CN" w:bidi="ar-SA"/>
        </w:rPr>
        <w:t>基础</w:t>
      </w:r>
      <w:r>
        <w:rPr>
          <w:rFonts w:hint="default" w:ascii="仿宋" w:hAnsi="仿宋" w:eastAsia="仿宋_GB2312" w:cs="仿宋"/>
          <w:b w:val="0"/>
          <w:i w:val="0"/>
          <w:color w:val="auto"/>
          <w:spacing w:val="14"/>
          <w:kern w:val="2"/>
          <w:sz w:val="32"/>
          <w:szCs w:val="28"/>
          <w:lang w:val="en-US" w:eastAsia="zh-CN" w:bidi="ar-SA"/>
        </w:rPr>
        <w:t>金额为81.81万元/年，后续每三年增长5%，15年租赁期内，租金总收入</w:t>
      </w:r>
      <w:r>
        <w:rPr>
          <w:rFonts w:hint="eastAsia" w:ascii="仿宋" w:hAnsi="仿宋" w:eastAsia="仿宋_GB2312" w:cs="仿宋"/>
          <w:b w:val="0"/>
          <w:i w:val="0"/>
          <w:color w:val="auto"/>
          <w:spacing w:val="14"/>
          <w:kern w:val="2"/>
          <w:sz w:val="32"/>
          <w:szCs w:val="28"/>
          <w:lang w:val="en-US" w:eastAsia="zh-CN" w:bidi="ar-SA"/>
        </w:rPr>
        <w:t>约</w:t>
      </w:r>
      <w:r>
        <w:rPr>
          <w:rFonts w:hint="default" w:ascii="仿宋" w:hAnsi="仿宋" w:eastAsia="仿宋_GB2312" w:cs="仿宋"/>
          <w:b w:val="0"/>
          <w:i w:val="0"/>
          <w:color w:val="auto"/>
          <w:spacing w:val="14"/>
          <w:kern w:val="2"/>
          <w:sz w:val="32"/>
          <w:szCs w:val="28"/>
          <w:lang w:val="en-US" w:eastAsia="zh-CN" w:bidi="ar-SA"/>
        </w:rPr>
        <w:t>为1356.15万元</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olor w:val="auto"/>
          <w:szCs w:val="28"/>
          <w:lang w:val="en-US" w:eastAsia="zh-CN"/>
        </w:rPr>
      </w:pPr>
      <w:bookmarkStart w:id="22" w:name="_Toc18309"/>
      <w:r>
        <w:rPr>
          <w:rFonts w:hint="eastAsia" w:ascii="仿宋" w:hAnsi="仿宋" w:eastAsia="仿宋"/>
          <w:color w:val="auto"/>
          <w:szCs w:val="28"/>
          <w:lang w:val="en-US" w:eastAsia="zh-CN"/>
        </w:rPr>
        <w:t>1</w:t>
      </w:r>
      <w:r>
        <w:rPr>
          <w:rFonts w:hint="eastAsia" w:ascii="仿宋" w:hAnsi="仿宋" w:eastAsia="仿宋"/>
          <w:color w:val="auto"/>
          <w:szCs w:val="28"/>
        </w:rPr>
        <w:t>.</w:t>
      </w:r>
      <w:r>
        <w:rPr>
          <w:rFonts w:hint="eastAsia" w:ascii="仿宋" w:hAnsi="仿宋" w:eastAsia="仿宋"/>
          <w:color w:val="auto"/>
          <w:szCs w:val="28"/>
          <w:lang w:val="en-US" w:eastAsia="zh-CN"/>
        </w:rPr>
        <w:t>4</w:t>
      </w:r>
      <w:r>
        <w:rPr>
          <w:rFonts w:hint="eastAsia" w:ascii="仿宋" w:hAnsi="仿宋" w:eastAsia="仿宋"/>
          <w:color w:val="auto"/>
          <w:szCs w:val="28"/>
        </w:rPr>
        <w:t>.</w:t>
      </w:r>
      <w:r>
        <w:rPr>
          <w:rFonts w:hint="eastAsia" w:ascii="仿宋" w:hAnsi="仿宋" w:eastAsia="仿宋"/>
          <w:color w:val="auto"/>
          <w:szCs w:val="28"/>
          <w:lang w:val="en-US" w:eastAsia="zh-CN"/>
        </w:rPr>
        <w:t>3收费暂定价及社会化运营单位盈利情况</w:t>
      </w:r>
      <w:bookmarkEnd w:id="22"/>
    </w:p>
    <w:p>
      <w:pPr>
        <w:pStyle w:val="18"/>
        <w:pageBreakBefore w:val="0"/>
        <w:kinsoku/>
        <w:wordWrap/>
        <w:overflowPunct/>
        <w:topLinePunct w:val="0"/>
        <w:autoSpaceDE/>
        <w:autoSpaceDN/>
        <w:bidi w:val="0"/>
        <w:adjustRightInd/>
        <w:snapToGrid/>
        <w:spacing w:line="360" w:lineRule="auto"/>
        <w:ind w:left="0" w:leftChars="0"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养老服务中心收费分为床位费，护理费，膳食费。各项费用合计三级护理全包暂定价为3500元/月/人、二级护理全包暂定价为4000元/月/人、一级护理全包暂定价为4600元/月/人、特级护理B全包暂定价为5600元/月/人、特级护理A全包暂定价为6600元/月/人、专护全包暂定价为10800元/月/人。详情如下：</w:t>
      </w:r>
    </w:p>
    <w:p>
      <w:pPr>
        <w:pStyle w:val="18"/>
        <w:pageBreakBefore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仿宋" w:hAnsi="仿宋" w:eastAsia="仿宋" w:cs="仿宋"/>
          <w:color w:val="auto"/>
          <w:spacing w:val="14"/>
          <w:kern w:val="2"/>
          <w:sz w:val="28"/>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表1.4</w:t>
      </w:r>
      <w:r>
        <w:rPr>
          <w:rFonts w:hint="eastAsia" w:ascii="仿宋" w:hAnsi="仿宋" w:eastAsia="仿宋_GB2312" w:cs="仿宋"/>
          <w:b w:val="0"/>
          <w:i w:val="0"/>
          <w:color w:val="auto"/>
          <w:spacing w:val="14"/>
          <w:kern w:val="2"/>
          <w:sz w:val="32"/>
          <w:szCs w:val="28"/>
          <w:lang w:val="en-US" w:eastAsia="zh-CN" w:bidi="ar-SA"/>
        </w:rPr>
        <w:t>.2</w:t>
      </w:r>
      <w:r>
        <w:rPr>
          <w:rFonts w:hint="default" w:ascii="仿宋" w:hAnsi="仿宋" w:eastAsia="仿宋_GB2312" w:cs="仿宋"/>
          <w:b w:val="0"/>
          <w:i w:val="0"/>
          <w:color w:val="auto"/>
          <w:spacing w:val="14"/>
          <w:kern w:val="2"/>
          <w:sz w:val="32"/>
          <w:szCs w:val="28"/>
          <w:lang w:val="en-US" w:eastAsia="zh-CN" w:bidi="ar-SA"/>
        </w:rPr>
        <w:t>-1</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县养老服务中心收费一览表</w:t>
      </w:r>
    </w:p>
    <w:tbl>
      <w:tblPr>
        <w:tblStyle w:val="19"/>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898"/>
        <w:gridCol w:w="1662"/>
        <w:gridCol w:w="1681"/>
        <w:gridCol w:w="1516"/>
        <w:gridCol w:w="155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8" w:hRule="atLeast"/>
        </w:trPr>
        <w:tc>
          <w:tcPr>
            <w:tcW w:w="1142" w:type="pct"/>
            <w:noWrap w:val="0"/>
            <w:vAlign w:val="top"/>
          </w:tcPr>
          <w:p>
            <w:pPr>
              <w:pageBreakBefore w:val="0"/>
              <w:kinsoku/>
              <w:wordWrap/>
              <w:overflowPunct/>
              <w:topLinePunct w:val="0"/>
              <w:autoSpaceDE/>
              <w:autoSpaceDN/>
              <w:bidi w:val="0"/>
              <w:adjustRightInd/>
              <w:snapToGrid/>
              <w:spacing w:beforeLines="0" w:afterLines="0" w:line="360" w:lineRule="auto"/>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项目</w:t>
            </w:r>
          </w:p>
        </w:tc>
        <w:tc>
          <w:tcPr>
            <w:tcW w:w="1000" w:type="pct"/>
            <w:tcBorders>
              <w:bottom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床位费</w:t>
            </w:r>
          </w:p>
          <w:p>
            <w:pPr>
              <w:pageBreakBefore w:val="0"/>
              <w:kinsoku/>
              <w:wordWrap/>
              <w:overflowPunct/>
              <w:topLinePunct w:val="0"/>
              <w:autoSpaceDE/>
              <w:autoSpaceDN/>
              <w:bidi w:val="0"/>
              <w:adjustRightInd/>
              <w:snapToGrid/>
              <w:spacing w:beforeLines="0" w:afterLines="0" w:line="360" w:lineRule="auto"/>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（元/月人）</w:t>
            </w:r>
          </w:p>
        </w:tc>
        <w:tc>
          <w:tcPr>
            <w:tcW w:w="1011" w:type="pct"/>
            <w:tcBorders>
              <w:bottom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膳食费</w:t>
            </w:r>
          </w:p>
          <w:p>
            <w:pPr>
              <w:pageBreakBefore w:val="0"/>
              <w:kinsoku/>
              <w:wordWrap/>
              <w:overflowPunct/>
              <w:topLinePunct w:val="0"/>
              <w:autoSpaceDE/>
              <w:autoSpaceDN/>
              <w:bidi w:val="0"/>
              <w:adjustRightInd/>
              <w:snapToGrid/>
              <w:spacing w:beforeLines="0" w:afterLines="0" w:line="360" w:lineRule="auto"/>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（元/月人）</w:t>
            </w:r>
          </w:p>
        </w:tc>
        <w:tc>
          <w:tcPr>
            <w:tcW w:w="912" w:type="pct"/>
            <w:noWrap w:val="0"/>
            <w:vAlign w:val="top"/>
          </w:tcPr>
          <w:p>
            <w:pPr>
              <w:pageBreakBefore w:val="0"/>
              <w:kinsoku/>
              <w:wordWrap/>
              <w:overflowPunct/>
              <w:topLinePunct w:val="0"/>
              <w:autoSpaceDE/>
              <w:autoSpaceDN/>
              <w:bidi w:val="0"/>
              <w:adjustRightInd/>
              <w:snapToGrid/>
              <w:spacing w:beforeLines="0" w:afterLines="0" w:line="360" w:lineRule="auto"/>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护理费</w:t>
            </w:r>
          </w:p>
          <w:p>
            <w:pPr>
              <w:pageBreakBefore w:val="0"/>
              <w:kinsoku/>
              <w:wordWrap/>
              <w:overflowPunct/>
              <w:topLinePunct w:val="0"/>
              <w:autoSpaceDE/>
              <w:autoSpaceDN/>
              <w:bidi w:val="0"/>
              <w:adjustRightInd/>
              <w:snapToGrid/>
              <w:spacing w:beforeLines="0" w:afterLines="0" w:line="360" w:lineRule="auto"/>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（元/月人）</w:t>
            </w:r>
          </w:p>
        </w:tc>
        <w:tc>
          <w:tcPr>
            <w:tcW w:w="933" w:type="pct"/>
            <w:noWrap w:val="0"/>
            <w:vAlign w:val="top"/>
          </w:tcPr>
          <w:p>
            <w:pPr>
              <w:pageBreakBefore w:val="0"/>
              <w:kinsoku/>
              <w:wordWrap/>
              <w:overflowPunct/>
              <w:topLinePunct w:val="0"/>
              <w:autoSpaceDE/>
              <w:autoSpaceDN/>
              <w:bidi w:val="0"/>
              <w:adjustRightInd/>
              <w:snapToGrid/>
              <w:spacing w:beforeLines="0" w:afterLines="0" w:line="360" w:lineRule="auto"/>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费用合计</w:t>
            </w:r>
          </w:p>
          <w:p>
            <w:pPr>
              <w:pageBreakBefore w:val="0"/>
              <w:kinsoku/>
              <w:wordWrap/>
              <w:overflowPunct/>
              <w:topLinePunct w:val="0"/>
              <w:autoSpaceDE/>
              <w:autoSpaceDN/>
              <w:bidi w:val="0"/>
              <w:adjustRightInd/>
              <w:snapToGrid/>
              <w:spacing w:beforeLines="0" w:afterLines="0" w:line="360" w:lineRule="auto"/>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（元/月人）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8" w:hRule="atLeast"/>
        </w:trPr>
        <w:tc>
          <w:tcPr>
            <w:tcW w:w="1142" w:type="pct"/>
            <w:tcBorders>
              <w:righ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三级护理</w:t>
            </w:r>
          </w:p>
        </w:tc>
        <w:tc>
          <w:tcPr>
            <w:tcW w:w="1000" w:type="pct"/>
            <w:vMerge w:val="restart"/>
            <w:tcBorders>
              <w:top w:val="single" w:color="000000" w:sz="2" w:space="0"/>
              <w:left w:val="single" w:color="000000" w:sz="2" w:space="0"/>
              <w:bottom w:val="single" w:color="000000" w:sz="2" w:space="0"/>
              <w:righ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1600</w:t>
            </w:r>
          </w:p>
        </w:tc>
        <w:tc>
          <w:tcPr>
            <w:tcW w:w="1011" w:type="pct"/>
            <w:vMerge w:val="restart"/>
            <w:tcBorders>
              <w:top w:val="single" w:color="000000" w:sz="2" w:space="0"/>
              <w:left w:val="single" w:color="000000" w:sz="2" w:space="0"/>
              <w:bottom w:val="single" w:color="000000" w:sz="2" w:space="0"/>
              <w:righ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900</w:t>
            </w:r>
          </w:p>
        </w:tc>
        <w:tc>
          <w:tcPr>
            <w:tcW w:w="912" w:type="pct"/>
            <w:tcBorders>
              <w:lef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1000</w:t>
            </w:r>
          </w:p>
        </w:tc>
        <w:tc>
          <w:tcPr>
            <w:tcW w:w="933" w:type="pct"/>
            <w:noWrap w:val="0"/>
            <w:vAlign w:val="top"/>
          </w:tcPr>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3500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trPr>
        <w:tc>
          <w:tcPr>
            <w:tcW w:w="1142" w:type="pct"/>
            <w:tcBorders>
              <w:righ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二级护理</w:t>
            </w:r>
          </w:p>
        </w:tc>
        <w:tc>
          <w:tcPr>
            <w:tcW w:w="1000" w:type="pct"/>
            <w:vMerge w:val="continue"/>
            <w:tcBorders>
              <w:top w:val="single" w:color="000000" w:sz="2" w:space="0"/>
              <w:left w:val="single" w:color="000000" w:sz="2" w:space="0"/>
              <w:bottom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16" w:firstLineChars="200"/>
              <w:jc w:val="both"/>
              <w:textAlignment w:val="auto"/>
              <w:rPr>
                <w:rFonts w:hint="eastAsia" w:ascii="仿宋" w:hAnsi="仿宋" w:eastAsia="仿宋" w:cs="仿宋"/>
                <w:color w:val="auto"/>
                <w:spacing w:val="14"/>
                <w:kern w:val="2"/>
                <w:sz w:val="28"/>
                <w:szCs w:val="28"/>
                <w:lang w:val="en-US" w:eastAsia="zh-CN" w:bidi="ar-SA"/>
              </w:rPr>
            </w:pPr>
          </w:p>
        </w:tc>
        <w:tc>
          <w:tcPr>
            <w:tcW w:w="1011" w:type="pct"/>
            <w:vMerge w:val="continue"/>
            <w:tcBorders>
              <w:top w:val="single" w:color="000000" w:sz="2" w:space="0"/>
              <w:bottom w:val="single" w:color="000000" w:sz="2" w:space="0"/>
              <w:righ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16" w:firstLineChars="200"/>
              <w:jc w:val="both"/>
              <w:textAlignment w:val="auto"/>
              <w:rPr>
                <w:rFonts w:hint="eastAsia" w:ascii="仿宋" w:hAnsi="仿宋" w:eastAsia="仿宋" w:cs="仿宋"/>
                <w:color w:val="auto"/>
                <w:spacing w:val="14"/>
                <w:kern w:val="2"/>
                <w:sz w:val="28"/>
                <w:szCs w:val="28"/>
                <w:lang w:val="en-US" w:eastAsia="zh-CN" w:bidi="ar-SA"/>
              </w:rPr>
            </w:pPr>
          </w:p>
        </w:tc>
        <w:tc>
          <w:tcPr>
            <w:tcW w:w="912" w:type="pct"/>
            <w:tcBorders>
              <w:lef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1500</w:t>
            </w:r>
          </w:p>
        </w:tc>
        <w:tc>
          <w:tcPr>
            <w:tcW w:w="933" w:type="pct"/>
            <w:noWrap w:val="0"/>
            <w:vAlign w:val="top"/>
          </w:tcPr>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4000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trPr>
        <w:tc>
          <w:tcPr>
            <w:tcW w:w="1142" w:type="pct"/>
            <w:tcBorders>
              <w:righ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一级护理</w:t>
            </w:r>
          </w:p>
        </w:tc>
        <w:tc>
          <w:tcPr>
            <w:tcW w:w="1000" w:type="pct"/>
            <w:vMerge w:val="continue"/>
            <w:tcBorders>
              <w:top w:val="single" w:color="000000" w:sz="2" w:space="0"/>
              <w:left w:val="single" w:color="000000" w:sz="2" w:space="0"/>
              <w:bottom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16" w:firstLineChars="200"/>
              <w:jc w:val="both"/>
              <w:textAlignment w:val="auto"/>
              <w:rPr>
                <w:rFonts w:hint="eastAsia" w:ascii="仿宋" w:hAnsi="仿宋" w:eastAsia="仿宋" w:cs="仿宋"/>
                <w:color w:val="auto"/>
                <w:spacing w:val="14"/>
                <w:kern w:val="2"/>
                <w:sz w:val="28"/>
                <w:szCs w:val="28"/>
                <w:lang w:val="en-US" w:eastAsia="zh-CN" w:bidi="ar-SA"/>
              </w:rPr>
            </w:pPr>
          </w:p>
        </w:tc>
        <w:tc>
          <w:tcPr>
            <w:tcW w:w="1011" w:type="pct"/>
            <w:vMerge w:val="continue"/>
            <w:tcBorders>
              <w:top w:val="single" w:color="000000" w:sz="2" w:space="0"/>
              <w:bottom w:val="single" w:color="000000" w:sz="2" w:space="0"/>
              <w:righ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16" w:firstLineChars="200"/>
              <w:jc w:val="both"/>
              <w:textAlignment w:val="auto"/>
              <w:rPr>
                <w:rFonts w:hint="eastAsia" w:ascii="仿宋" w:hAnsi="仿宋" w:eastAsia="仿宋" w:cs="仿宋"/>
                <w:color w:val="auto"/>
                <w:spacing w:val="14"/>
                <w:kern w:val="2"/>
                <w:sz w:val="28"/>
                <w:szCs w:val="28"/>
                <w:lang w:val="en-US" w:eastAsia="zh-CN" w:bidi="ar-SA"/>
              </w:rPr>
            </w:pPr>
          </w:p>
        </w:tc>
        <w:tc>
          <w:tcPr>
            <w:tcW w:w="912" w:type="pct"/>
            <w:tcBorders>
              <w:lef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2100</w:t>
            </w:r>
          </w:p>
        </w:tc>
        <w:tc>
          <w:tcPr>
            <w:tcW w:w="933" w:type="pct"/>
            <w:noWrap w:val="0"/>
            <w:vAlign w:val="top"/>
          </w:tcPr>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4600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trPr>
        <w:tc>
          <w:tcPr>
            <w:tcW w:w="1142" w:type="pct"/>
            <w:tcBorders>
              <w:righ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特级护理B</w:t>
            </w:r>
          </w:p>
        </w:tc>
        <w:tc>
          <w:tcPr>
            <w:tcW w:w="1000" w:type="pct"/>
            <w:vMerge w:val="continue"/>
            <w:tcBorders>
              <w:top w:val="single" w:color="000000" w:sz="2" w:space="0"/>
              <w:left w:val="single" w:color="000000" w:sz="2" w:space="0"/>
              <w:bottom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16" w:firstLineChars="200"/>
              <w:jc w:val="both"/>
              <w:textAlignment w:val="auto"/>
              <w:rPr>
                <w:rFonts w:hint="eastAsia" w:ascii="仿宋" w:hAnsi="仿宋" w:eastAsia="仿宋" w:cs="仿宋"/>
                <w:color w:val="auto"/>
                <w:spacing w:val="14"/>
                <w:kern w:val="2"/>
                <w:sz w:val="28"/>
                <w:szCs w:val="28"/>
                <w:lang w:val="en-US" w:eastAsia="zh-CN" w:bidi="ar-SA"/>
              </w:rPr>
            </w:pPr>
          </w:p>
        </w:tc>
        <w:tc>
          <w:tcPr>
            <w:tcW w:w="1011" w:type="pct"/>
            <w:vMerge w:val="continue"/>
            <w:tcBorders>
              <w:top w:val="single" w:color="000000" w:sz="2" w:space="0"/>
              <w:bottom w:val="single" w:color="000000" w:sz="2" w:space="0"/>
              <w:righ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16" w:firstLineChars="200"/>
              <w:jc w:val="both"/>
              <w:textAlignment w:val="auto"/>
              <w:rPr>
                <w:rFonts w:hint="eastAsia" w:ascii="仿宋" w:hAnsi="仿宋" w:eastAsia="仿宋" w:cs="仿宋"/>
                <w:color w:val="auto"/>
                <w:spacing w:val="14"/>
                <w:kern w:val="2"/>
                <w:sz w:val="28"/>
                <w:szCs w:val="28"/>
                <w:lang w:val="en-US" w:eastAsia="zh-CN" w:bidi="ar-SA"/>
              </w:rPr>
            </w:pPr>
          </w:p>
        </w:tc>
        <w:tc>
          <w:tcPr>
            <w:tcW w:w="912" w:type="pct"/>
            <w:tcBorders>
              <w:lef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3100</w:t>
            </w:r>
          </w:p>
        </w:tc>
        <w:tc>
          <w:tcPr>
            <w:tcW w:w="933" w:type="pct"/>
            <w:noWrap w:val="0"/>
            <w:vAlign w:val="top"/>
          </w:tcPr>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5600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trPr>
        <w:tc>
          <w:tcPr>
            <w:tcW w:w="1142" w:type="pct"/>
            <w:tcBorders>
              <w:righ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特级护理A</w:t>
            </w:r>
          </w:p>
        </w:tc>
        <w:tc>
          <w:tcPr>
            <w:tcW w:w="1000" w:type="pct"/>
            <w:vMerge w:val="continue"/>
            <w:tcBorders>
              <w:top w:val="single" w:color="000000" w:sz="2" w:space="0"/>
              <w:left w:val="single" w:color="000000" w:sz="2" w:space="0"/>
              <w:bottom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16" w:firstLineChars="200"/>
              <w:jc w:val="both"/>
              <w:textAlignment w:val="auto"/>
              <w:rPr>
                <w:rFonts w:hint="eastAsia" w:ascii="仿宋" w:hAnsi="仿宋" w:eastAsia="仿宋" w:cs="仿宋"/>
                <w:color w:val="auto"/>
                <w:spacing w:val="14"/>
                <w:kern w:val="2"/>
                <w:sz w:val="28"/>
                <w:szCs w:val="28"/>
                <w:lang w:val="en-US" w:eastAsia="zh-CN" w:bidi="ar-SA"/>
              </w:rPr>
            </w:pPr>
          </w:p>
        </w:tc>
        <w:tc>
          <w:tcPr>
            <w:tcW w:w="1011" w:type="pct"/>
            <w:vMerge w:val="continue"/>
            <w:tcBorders>
              <w:top w:val="single" w:color="000000" w:sz="2" w:space="0"/>
              <w:bottom w:val="single" w:color="000000" w:sz="2" w:space="0"/>
              <w:righ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16" w:firstLineChars="200"/>
              <w:jc w:val="both"/>
              <w:textAlignment w:val="auto"/>
              <w:rPr>
                <w:rFonts w:hint="eastAsia" w:ascii="仿宋" w:hAnsi="仿宋" w:eastAsia="仿宋" w:cs="仿宋"/>
                <w:color w:val="auto"/>
                <w:spacing w:val="14"/>
                <w:kern w:val="2"/>
                <w:sz w:val="28"/>
                <w:szCs w:val="28"/>
                <w:lang w:val="en-US" w:eastAsia="zh-CN" w:bidi="ar-SA"/>
              </w:rPr>
            </w:pPr>
          </w:p>
        </w:tc>
        <w:tc>
          <w:tcPr>
            <w:tcW w:w="912" w:type="pct"/>
            <w:tcBorders>
              <w:lef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4100</w:t>
            </w:r>
          </w:p>
        </w:tc>
        <w:tc>
          <w:tcPr>
            <w:tcW w:w="933" w:type="pct"/>
            <w:noWrap w:val="0"/>
            <w:vAlign w:val="top"/>
          </w:tcPr>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6600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4" w:hRule="atLeast"/>
        </w:trPr>
        <w:tc>
          <w:tcPr>
            <w:tcW w:w="1142" w:type="pct"/>
            <w:tcBorders>
              <w:righ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专护</w:t>
            </w:r>
          </w:p>
        </w:tc>
        <w:tc>
          <w:tcPr>
            <w:tcW w:w="1000" w:type="pct"/>
            <w:vMerge w:val="continue"/>
            <w:tcBorders>
              <w:top w:val="single" w:color="000000" w:sz="2" w:space="0"/>
              <w:left w:val="single" w:color="000000" w:sz="2" w:space="0"/>
              <w:bottom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16" w:firstLineChars="200"/>
              <w:jc w:val="both"/>
              <w:textAlignment w:val="auto"/>
              <w:rPr>
                <w:rFonts w:hint="eastAsia" w:ascii="仿宋" w:hAnsi="仿宋" w:eastAsia="仿宋" w:cs="仿宋"/>
                <w:color w:val="auto"/>
                <w:spacing w:val="14"/>
                <w:kern w:val="2"/>
                <w:sz w:val="28"/>
                <w:szCs w:val="28"/>
                <w:lang w:val="en-US" w:eastAsia="zh-CN" w:bidi="ar-SA"/>
              </w:rPr>
            </w:pPr>
          </w:p>
        </w:tc>
        <w:tc>
          <w:tcPr>
            <w:tcW w:w="1011" w:type="pct"/>
            <w:vMerge w:val="continue"/>
            <w:tcBorders>
              <w:top w:val="single" w:color="000000" w:sz="2" w:space="0"/>
              <w:bottom w:val="single" w:color="000000" w:sz="2" w:space="0"/>
              <w:righ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16" w:firstLineChars="200"/>
              <w:jc w:val="both"/>
              <w:textAlignment w:val="auto"/>
              <w:rPr>
                <w:rFonts w:hint="eastAsia" w:ascii="仿宋" w:hAnsi="仿宋" w:eastAsia="仿宋" w:cs="仿宋"/>
                <w:color w:val="auto"/>
                <w:spacing w:val="14"/>
                <w:kern w:val="2"/>
                <w:sz w:val="28"/>
                <w:szCs w:val="28"/>
                <w:lang w:val="en-US" w:eastAsia="zh-CN" w:bidi="ar-SA"/>
              </w:rPr>
            </w:pPr>
          </w:p>
        </w:tc>
        <w:tc>
          <w:tcPr>
            <w:tcW w:w="912" w:type="pct"/>
            <w:tcBorders>
              <w:left w:val="single" w:color="000000" w:sz="2" w:space="0"/>
            </w:tcBorders>
            <w:noWrap w:val="0"/>
            <w:vAlign w:val="top"/>
          </w:tcPr>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6700</w:t>
            </w:r>
          </w:p>
        </w:tc>
        <w:tc>
          <w:tcPr>
            <w:tcW w:w="933" w:type="pct"/>
            <w:noWrap w:val="0"/>
            <w:vAlign w:val="top"/>
          </w:tcPr>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10800</w:t>
            </w:r>
          </w:p>
        </w:tc>
      </w:tr>
    </w:tbl>
    <w:p>
      <w:pPr>
        <w:keepNext w:val="0"/>
        <w:keepLines w:val="0"/>
        <w:pageBreakBefore w:val="0"/>
        <w:widowControl w:val="0"/>
        <w:tabs>
          <w:tab w:val="left" w:pos="6338"/>
        </w:tabs>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根据财务测算，社会化运营单位的盈利情况在租赁期内的平均收益率为4.55%。</w:t>
      </w:r>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olor w:val="auto"/>
          <w:szCs w:val="28"/>
          <w:lang w:val="en-US" w:eastAsia="zh-CN"/>
        </w:rPr>
      </w:pPr>
      <w:bookmarkStart w:id="23" w:name="_Toc21264"/>
      <w:r>
        <w:rPr>
          <w:rFonts w:hint="eastAsia" w:ascii="仿宋" w:hAnsi="仿宋" w:eastAsia="仿宋"/>
          <w:color w:val="auto"/>
          <w:szCs w:val="28"/>
          <w:lang w:val="en-US" w:eastAsia="zh-CN"/>
        </w:rPr>
        <w:t>1</w:t>
      </w:r>
      <w:r>
        <w:rPr>
          <w:rFonts w:hint="eastAsia" w:ascii="仿宋" w:hAnsi="仿宋" w:eastAsia="仿宋"/>
          <w:color w:val="auto"/>
          <w:szCs w:val="28"/>
        </w:rPr>
        <w:t>.</w:t>
      </w:r>
      <w:r>
        <w:rPr>
          <w:rFonts w:hint="eastAsia" w:ascii="仿宋" w:hAnsi="仿宋" w:eastAsia="仿宋"/>
          <w:color w:val="auto"/>
          <w:szCs w:val="28"/>
          <w:lang w:val="en-US" w:eastAsia="zh-CN"/>
        </w:rPr>
        <w:t>4</w:t>
      </w:r>
      <w:r>
        <w:rPr>
          <w:rFonts w:hint="eastAsia" w:ascii="仿宋" w:hAnsi="仿宋" w:eastAsia="仿宋"/>
          <w:color w:val="auto"/>
          <w:szCs w:val="28"/>
        </w:rPr>
        <w:t>.</w:t>
      </w:r>
      <w:r>
        <w:rPr>
          <w:rFonts w:hint="eastAsia" w:ascii="仿宋" w:hAnsi="仿宋" w:eastAsia="仿宋"/>
          <w:color w:val="auto"/>
          <w:szCs w:val="28"/>
          <w:lang w:val="en-US" w:eastAsia="zh-CN"/>
        </w:rPr>
        <w:t>4其他重要的结论</w:t>
      </w:r>
      <w:bookmarkEnd w:id="23"/>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本项目社会资本方的收入来源包括普惠性床位服务费及政策性床位托养服务费。根据现有政策，预测在15年租赁期内能收到政策性床位托养服务费约</w:t>
      </w:r>
      <w:r>
        <w:rPr>
          <w:rFonts w:hint="eastAsia" w:ascii="仿宋" w:hAnsi="仿宋" w:eastAsia="仿宋_GB2312" w:cs="仿宋"/>
          <w:b w:val="0"/>
          <w:i w:val="0"/>
          <w:color w:val="auto"/>
          <w:spacing w:val="14"/>
          <w:kern w:val="2"/>
          <w:sz w:val="32"/>
          <w:szCs w:val="28"/>
          <w:lang w:val="en-US" w:eastAsia="zh-CN" w:bidi="ar-SA"/>
        </w:rPr>
        <w:t>1847.19</w:t>
      </w:r>
      <w:r>
        <w:rPr>
          <w:rFonts w:hint="default" w:ascii="仿宋" w:hAnsi="仿宋" w:eastAsia="仿宋_GB2312" w:cs="仿宋"/>
          <w:b w:val="0"/>
          <w:i w:val="0"/>
          <w:color w:val="auto"/>
          <w:spacing w:val="14"/>
          <w:kern w:val="2"/>
          <w:sz w:val="32"/>
          <w:szCs w:val="28"/>
          <w:lang w:val="en-US" w:eastAsia="zh-CN" w:bidi="ar-SA"/>
        </w:rPr>
        <w:t>万元（政府依据补贴政策支付）。</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采用公开招标方式对社会化运营单位进行采购。</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租赁期内设置绩效考核机制，由实施机构定期对社会化运营单位进行考核，绩效考核结果与奖惩机制挂钩。</w:t>
      </w:r>
    </w:p>
    <w:p>
      <w:pPr>
        <w:pStyle w:val="3"/>
        <w:pageBreakBefore w:val="0"/>
        <w:widowControl w:val="0"/>
        <w:numPr>
          <w:ilvl w:val="1"/>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24" w:name="_Toc29782"/>
      <w:r>
        <w:rPr>
          <w:rFonts w:hint="default" w:ascii="仿宋" w:hAnsi="仿宋" w:eastAsia="仿宋" w:cs="Times New Roman"/>
          <w:b/>
          <w:color w:val="auto"/>
          <w:szCs w:val="28"/>
          <w:lang w:val="en-US" w:eastAsia="zh-CN"/>
        </w:rPr>
        <w:t>1.5项目相关</w:t>
      </w:r>
      <w:bookmarkEnd w:id="24"/>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25" w:name="_Toc382"/>
      <w:r>
        <w:rPr>
          <w:rFonts w:hint="default" w:ascii="仿宋" w:hAnsi="仿宋" w:eastAsia="仿宋" w:cs="Times New Roman"/>
          <w:b/>
          <w:color w:val="auto"/>
          <w:szCs w:val="28"/>
          <w:lang w:val="en-US" w:eastAsia="zh-CN"/>
        </w:rPr>
        <w:t>1.5.1实施机构</w:t>
      </w:r>
      <w:bookmarkEnd w:id="25"/>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实施机构：</w:t>
      </w:r>
      <w:r>
        <w:rPr>
          <w:rFonts w:hint="eastAsia" w:ascii="仿宋" w:hAnsi="仿宋" w:eastAsia="仿宋_GB2312" w:cs="仿宋"/>
          <w:b w:val="0"/>
          <w:i w:val="0"/>
          <w:color w:val="auto"/>
          <w:spacing w:val="14"/>
          <w:kern w:val="2"/>
          <w:sz w:val="32"/>
          <w:szCs w:val="28"/>
          <w:lang w:val="en-US" w:eastAsia="zh-CN" w:bidi="ar-SA"/>
        </w:rPr>
        <w:t>仁化县民政和退役军人事务局</w:t>
      </w:r>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26" w:name="_Toc4362"/>
      <w:r>
        <w:rPr>
          <w:rFonts w:hint="default" w:ascii="仿宋" w:hAnsi="仿宋" w:eastAsia="仿宋" w:cs="Times New Roman"/>
          <w:b/>
          <w:color w:val="auto"/>
          <w:szCs w:val="28"/>
          <w:lang w:val="en-US" w:eastAsia="zh-CN"/>
        </w:rPr>
        <w:t>1.5.2社会化运营单位</w:t>
      </w:r>
      <w:bookmarkEnd w:id="26"/>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社会化运营单位：采用公开招标方式对社会</w:t>
      </w:r>
      <w:r>
        <w:rPr>
          <w:rFonts w:hint="eastAsia" w:ascii="仿宋" w:hAnsi="仿宋" w:eastAsia="仿宋_GB2312" w:cs="仿宋"/>
          <w:b w:val="0"/>
          <w:i w:val="0"/>
          <w:color w:val="auto"/>
          <w:spacing w:val="14"/>
          <w:kern w:val="2"/>
          <w:sz w:val="32"/>
          <w:szCs w:val="28"/>
          <w:lang w:val="en-US" w:eastAsia="zh-CN" w:bidi="ar-SA"/>
        </w:rPr>
        <w:t>运营</w:t>
      </w:r>
      <w:r>
        <w:rPr>
          <w:rFonts w:hint="default" w:ascii="仿宋" w:hAnsi="仿宋" w:eastAsia="仿宋_GB2312" w:cs="仿宋"/>
          <w:b w:val="0"/>
          <w:i w:val="0"/>
          <w:color w:val="auto"/>
          <w:spacing w:val="14"/>
          <w:kern w:val="2"/>
          <w:sz w:val="32"/>
          <w:szCs w:val="28"/>
          <w:lang w:val="en-US" w:eastAsia="zh-CN" w:bidi="ar-SA"/>
        </w:rPr>
        <w:t>单位进行采购。</w:t>
      </w:r>
    </w:p>
    <w:p>
      <w:pPr>
        <w:pStyle w:val="3"/>
        <w:pageBreakBefore w:val="0"/>
        <w:widowControl w:val="0"/>
        <w:numPr>
          <w:ilvl w:val="1"/>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27" w:name="_Toc24460"/>
      <w:r>
        <w:rPr>
          <w:rFonts w:hint="default" w:ascii="仿宋" w:hAnsi="仿宋" w:eastAsia="仿宋" w:cs="Times New Roman"/>
          <w:b/>
          <w:color w:val="auto"/>
          <w:szCs w:val="28"/>
          <w:lang w:val="en-US" w:eastAsia="zh-CN"/>
        </w:rPr>
        <w:t>1.6项目运维产出</w:t>
      </w:r>
      <w:bookmarkEnd w:id="27"/>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28" w:name="_Toc22016"/>
      <w:r>
        <w:rPr>
          <w:rFonts w:hint="default" w:ascii="仿宋" w:hAnsi="仿宋" w:eastAsia="仿宋" w:cs="Times New Roman"/>
          <w:b/>
          <w:color w:val="auto"/>
          <w:szCs w:val="28"/>
          <w:lang w:val="en-US" w:eastAsia="zh-CN"/>
        </w:rPr>
        <w:t>1.6.1运维目标</w:t>
      </w:r>
      <w:bookmarkEnd w:id="28"/>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通过实施“公建民营”，择优引入社会化运营单位参与运营、管理，通过专业化运营，为</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县政府兜底人员（</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县农村特困人员、城市特困人员）提供托养服务，以及为</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县当地老人、其他地区老人提供养老服务。</w:t>
      </w:r>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29" w:name="_Toc106"/>
      <w:r>
        <w:rPr>
          <w:rFonts w:hint="default" w:ascii="仿宋" w:hAnsi="仿宋" w:eastAsia="仿宋" w:cs="Times New Roman"/>
          <w:b/>
          <w:color w:val="auto"/>
          <w:szCs w:val="28"/>
          <w:lang w:val="en-US" w:eastAsia="zh-CN"/>
        </w:rPr>
        <w:t>1.6.2项目运维范围</w:t>
      </w:r>
      <w:bookmarkEnd w:id="29"/>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项目运营期内，社会资本方根据《养老机构管理办法</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养老机构服务质量基本规范》等相关要求，以安全、连续、稳定的方式提供符合政策规定、相关业务主管部门管理要求和《项目租赁运营合同》约定的服务，向入住的老年人提供各项养老服务并收取费用。</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社会资本方提供的服务项目包括：出入院服务、生活照料服务、膳食服务、清洁卫生服务、洗涤服务、医疗护理服务、文化娱乐服务、心理/精神支持服务、安宁服务、康复服务、教育服务、居家上门服务等；承担社会责任包括：为其他养老机构提供专业支持，如内部管理提升培训、人员技能培训、专业照护知识培训、定期外派社会工作者到其他机构开展活动，为其他机构提供专业化适老化改造咨询服务等。</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养老院内可开发医疗保健、康复护理、老年用品、休闲娱乐等基于养老服务需要的商业配套服务，政府鼓励其进行开发，但要符合政府相关政策规定，并取得相应经营资质，开发项目需要经政府批准同意；政府提倡、鼓励养老院在做好院舍养老服务的基础上，根据社区养老需要进一步开发社区养老、居家养老等延伸服务，政府的政策补贴以届时政策为准。</w:t>
      </w:r>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30" w:name="_Toc31949"/>
      <w:r>
        <w:rPr>
          <w:rFonts w:hint="default" w:ascii="仿宋" w:hAnsi="仿宋" w:eastAsia="仿宋" w:cs="Times New Roman"/>
          <w:b/>
          <w:color w:val="auto"/>
          <w:szCs w:val="28"/>
          <w:lang w:val="en-US" w:eastAsia="zh-CN"/>
        </w:rPr>
        <w:t>1.6.3项目运营要求</w:t>
      </w:r>
      <w:bookmarkEnd w:id="30"/>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一、</w:t>
      </w:r>
      <w:r>
        <w:rPr>
          <w:rFonts w:hint="default" w:ascii="仿宋" w:hAnsi="仿宋" w:eastAsia="仿宋" w:cs="仿宋"/>
          <w:b/>
          <w:bCs/>
          <w:color w:val="auto"/>
          <w:spacing w:val="14"/>
          <w:kern w:val="2"/>
          <w:sz w:val="28"/>
          <w:szCs w:val="28"/>
          <w:lang w:val="en-US" w:eastAsia="zh-CN" w:bidi="ar-SA"/>
        </w:rPr>
        <w:t>服务对象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1、</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县兜底人员（</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县农村特困人员、城市特困人员等）；</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县当地及其他地区的</w:t>
      </w:r>
      <w:r>
        <w:rPr>
          <w:rFonts w:hint="eastAsia" w:ascii="仿宋" w:hAnsi="仿宋" w:eastAsia="仿宋_GB2312" w:cs="仿宋"/>
          <w:b w:val="0"/>
          <w:i w:val="0"/>
          <w:color w:val="auto"/>
          <w:spacing w:val="14"/>
          <w:kern w:val="2"/>
          <w:sz w:val="32"/>
          <w:szCs w:val="28"/>
          <w:lang w:val="en-US" w:eastAsia="zh-CN" w:bidi="ar-SA"/>
        </w:rPr>
        <w:t>60岁以上</w:t>
      </w:r>
      <w:r>
        <w:rPr>
          <w:rFonts w:hint="default" w:ascii="仿宋" w:hAnsi="仿宋" w:eastAsia="仿宋_GB2312" w:cs="仿宋"/>
          <w:b w:val="0"/>
          <w:i w:val="0"/>
          <w:color w:val="auto"/>
          <w:spacing w:val="14"/>
          <w:kern w:val="2"/>
          <w:sz w:val="32"/>
          <w:szCs w:val="28"/>
          <w:lang w:val="en-US" w:eastAsia="zh-CN" w:bidi="ar-SA"/>
        </w:rPr>
        <w:t>老年人；</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3、</w:t>
      </w:r>
      <w:r>
        <w:rPr>
          <w:rFonts w:hint="eastAsia" w:ascii="仿宋" w:hAnsi="仿宋" w:eastAsia="仿宋_GB2312" w:cs="仿宋"/>
          <w:b w:val="0"/>
          <w:i w:val="0"/>
          <w:color w:val="auto"/>
          <w:spacing w:val="14"/>
          <w:kern w:val="2"/>
          <w:sz w:val="32"/>
          <w:szCs w:val="28"/>
          <w:lang w:val="en-US" w:eastAsia="zh-CN" w:bidi="ar-SA"/>
        </w:rPr>
        <w:t>符合《韶关市公办养老机构入住评估轮候工作方案》、《仁化县基本养老服务清单》的老年人</w:t>
      </w:r>
      <w:r>
        <w:rPr>
          <w:rFonts w:hint="default" w:ascii="仿宋" w:hAnsi="仿宋" w:eastAsia="仿宋_GB2312" w:cs="仿宋"/>
          <w:b w:val="0"/>
          <w:i w:val="0"/>
          <w:color w:val="auto"/>
          <w:spacing w:val="14"/>
          <w:kern w:val="2"/>
          <w:sz w:val="32"/>
          <w:szCs w:val="28"/>
          <w:lang w:val="en-US" w:eastAsia="zh-CN" w:bidi="ar-SA"/>
        </w:rPr>
        <w:t>优先入住。</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二、</w:t>
      </w:r>
      <w:r>
        <w:rPr>
          <w:rFonts w:hint="default" w:ascii="仿宋" w:hAnsi="仿宋" w:eastAsia="仿宋" w:cs="仿宋"/>
          <w:b/>
          <w:bCs/>
          <w:color w:val="auto"/>
          <w:spacing w:val="14"/>
          <w:kern w:val="2"/>
          <w:sz w:val="28"/>
          <w:szCs w:val="28"/>
          <w:lang w:val="en-US" w:eastAsia="zh-CN" w:bidi="ar-SA"/>
        </w:rPr>
        <w:t>运营标准</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项目需要按照《养老机构管理办法》（中华人民共和国民政部令第66号）、《养老机构服务质量基本规范》（GB/T35796-2017）、《养老机构服务安全基本规范》（GB38600-2019）、《广东省民政厅关于养老机构星级评定的管理办法（试行）》中“五星级”养老服务机构标准运营管理执行。</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1</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社会资本方购置的设备、设施及本项目的运营服务均应符合上述标准。</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项目运营期间，社会资本方不得打着养老服务、健康养老、高额回报等名义，以会员费、欺诈销售“保健品”等形式向老年人提前收取费用。</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3</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社会资本方应当持续为入住的老年人提供包括但不限于下述服务：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w:t>
      </w:r>
      <w:r>
        <w:rPr>
          <w:rFonts w:hint="default" w:ascii="仿宋" w:hAnsi="仿宋" w:eastAsia="仿宋_GB2312" w:cs="仿宋"/>
          <w:b w:val="0"/>
          <w:i w:val="0"/>
          <w:color w:val="auto"/>
          <w:spacing w:val="14"/>
          <w:kern w:val="2"/>
          <w:sz w:val="32"/>
          <w:szCs w:val="28"/>
          <w:lang w:val="en-US" w:eastAsia="zh-CN" w:bidi="ar-SA"/>
        </w:rPr>
        <w:t>出入院服务：建立规范的入住管理制度和流程，为入住的老年人进行能力评估，建立健康档案，出院时出具护理小结，及时完成档案整理。</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w:t>
      </w:r>
      <w:r>
        <w:rPr>
          <w:rFonts w:hint="default" w:ascii="仿宋" w:hAnsi="仿宋" w:eastAsia="仿宋_GB2312" w:cs="仿宋"/>
          <w:b w:val="0"/>
          <w:i w:val="0"/>
          <w:color w:val="auto"/>
          <w:spacing w:val="14"/>
          <w:kern w:val="2"/>
          <w:sz w:val="32"/>
          <w:szCs w:val="28"/>
          <w:lang w:val="en-US" w:eastAsia="zh-CN" w:bidi="ar-SA"/>
        </w:rPr>
        <w:t>生活照料服务：根据不同护理级别的老年人进行分区照料，为其提供照料服务，包括个人清洁卫生服务、衣着服务、修饰服务、饮食服务、如厕服务、口腔清洁服务、皮肤清洁服务、压疮预防、便溺护理等。</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w:t>
      </w:r>
      <w:r>
        <w:rPr>
          <w:rFonts w:hint="default" w:ascii="仿宋" w:hAnsi="仿宋" w:eastAsia="仿宋_GB2312" w:cs="仿宋"/>
          <w:b w:val="0"/>
          <w:i w:val="0"/>
          <w:color w:val="auto"/>
          <w:spacing w:val="14"/>
          <w:kern w:val="2"/>
          <w:sz w:val="32"/>
          <w:szCs w:val="28"/>
          <w:lang w:val="en-US" w:eastAsia="zh-CN" w:bidi="ar-SA"/>
        </w:rPr>
        <w:t>膳食服务：在营养师的指导下结合老年人生理特点、身体状况、地域特点、民族和宗教习惯、疾病需求制定食谱，为老年人提供粗细搭配、营养均衡、种类丰富的流食、半流食、低糖、低盐、低嘌呤等特殊膳食。</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w:t>
      </w:r>
      <w:r>
        <w:rPr>
          <w:rFonts w:hint="default" w:ascii="仿宋" w:hAnsi="仿宋" w:eastAsia="仿宋_GB2312" w:cs="仿宋"/>
          <w:b w:val="0"/>
          <w:i w:val="0"/>
          <w:color w:val="auto"/>
          <w:spacing w:val="14"/>
          <w:kern w:val="2"/>
          <w:sz w:val="32"/>
          <w:szCs w:val="28"/>
          <w:lang w:val="en-US" w:eastAsia="zh-CN" w:bidi="ar-SA"/>
        </w:rPr>
        <w:t>清洁卫生服务：制定环境卫生管理制度以及各场所的清洁、消毒操作标准和规程，为老年人提供舒适、清洁、安全的生活环境。</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w:t>
      </w:r>
      <w:r>
        <w:rPr>
          <w:rFonts w:hint="default" w:ascii="仿宋" w:hAnsi="仿宋" w:eastAsia="仿宋_GB2312" w:cs="仿宋"/>
          <w:b w:val="0"/>
          <w:i w:val="0"/>
          <w:color w:val="auto"/>
          <w:spacing w:val="14"/>
          <w:kern w:val="2"/>
          <w:sz w:val="32"/>
          <w:szCs w:val="28"/>
          <w:lang w:val="en-US" w:eastAsia="zh-CN" w:bidi="ar-SA"/>
        </w:rPr>
        <w:t>洗涤服务：制定完善的关于洗涤服务的管理制度，清洁、消毒标准及操作规程，并严格执行。</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w:t>
      </w:r>
      <w:r>
        <w:rPr>
          <w:rFonts w:hint="default" w:ascii="仿宋" w:hAnsi="仿宋" w:eastAsia="仿宋_GB2312" w:cs="仿宋"/>
          <w:b w:val="0"/>
          <w:i w:val="0"/>
          <w:color w:val="auto"/>
          <w:spacing w:val="14"/>
          <w:kern w:val="2"/>
          <w:sz w:val="32"/>
          <w:szCs w:val="28"/>
          <w:lang w:val="en-US" w:eastAsia="zh-CN" w:bidi="ar-SA"/>
        </w:rPr>
        <w:t>医疗康复服务：根据老年人身体健康和康复需要，提供医疗健康、慢性病管理、疾病治疗、药物管理、肢体康复、精神心理康复、临床康复护理、辅助器具适配和使用、康复咨询等服务。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7）</w:t>
      </w:r>
      <w:r>
        <w:rPr>
          <w:rFonts w:hint="default" w:ascii="仿宋" w:hAnsi="仿宋" w:eastAsia="仿宋_GB2312" w:cs="仿宋"/>
          <w:b w:val="0"/>
          <w:i w:val="0"/>
          <w:color w:val="auto"/>
          <w:spacing w:val="14"/>
          <w:kern w:val="2"/>
          <w:sz w:val="32"/>
          <w:szCs w:val="28"/>
          <w:lang w:val="en-US" w:eastAsia="zh-CN" w:bidi="ar-SA"/>
        </w:rPr>
        <w:t>精神慰藉服务：为有需要的长者提供精神文化服务及精神关怀服务，如老年书画、音乐歌舞、学习培训、手工制作、养生健康宣讲、日常关怀、服务跟进等。</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w:t>
      </w:r>
      <w:r>
        <w:rPr>
          <w:rFonts w:hint="default" w:ascii="仿宋" w:hAnsi="仿宋" w:eastAsia="仿宋_GB2312" w:cs="仿宋"/>
          <w:b w:val="0"/>
          <w:i w:val="0"/>
          <w:color w:val="auto"/>
          <w:spacing w:val="14"/>
          <w:kern w:val="2"/>
          <w:sz w:val="32"/>
          <w:szCs w:val="28"/>
          <w:lang w:val="en-US" w:eastAsia="zh-CN" w:bidi="ar-SA"/>
        </w:rPr>
        <w:t>文化娱乐服务：提供有益身心健康的文体娱乐活动、知识讲座、学习培训、歌舞书画、图书阅览、上网等服务。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w:t>
      </w:r>
      <w:r>
        <w:rPr>
          <w:rFonts w:hint="default" w:ascii="仿宋" w:hAnsi="仿宋" w:eastAsia="仿宋_GB2312" w:cs="仿宋"/>
          <w:b w:val="0"/>
          <w:i w:val="0"/>
          <w:color w:val="auto"/>
          <w:spacing w:val="14"/>
          <w:kern w:val="2"/>
          <w:sz w:val="32"/>
          <w:szCs w:val="28"/>
          <w:lang w:val="en-US" w:eastAsia="zh-CN" w:bidi="ar-SA"/>
        </w:rPr>
        <w:t>老年教育服务：为满足老年人的身心发展需求，开展学习知识、丰富生活、增进健康、服务社会等教育活动。包括适应性教育、生命健康教育、心理健康教育、安全教育以及其他文艺类的教育等。</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w:t>
      </w:r>
      <w:r>
        <w:rPr>
          <w:rFonts w:hint="default" w:ascii="仿宋" w:hAnsi="仿宋" w:eastAsia="仿宋_GB2312" w:cs="仿宋"/>
          <w:b w:val="0"/>
          <w:i w:val="0"/>
          <w:color w:val="auto"/>
          <w:spacing w:val="14"/>
          <w:kern w:val="2"/>
          <w:sz w:val="32"/>
          <w:szCs w:val="28"/>
          <w:lang w:val="en-US" w:eastAsia="zh-CN" w:bidi="ar-SA"/>
        </w:rPr>
        <w:t>心理支持服务：定期对老年人的情绪进行观察记录，及时掌握他们的心理、精神状况，为其提供环境适应、情绪疏导、心理支持、情感交流、社会交往、危机干预等服务。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11）</w:t>
      </w:r>
      <w:r>
        <w:rPr>
          <w:rFonts w:hint="default" w:ascii="仿宋" w:hAnsi="仿宋" w:eastAsia="仿宋_GB2312" w:cs="仿宋"/>
          <w:b w:val="0"/>
          <w:i w:val="0"/>
          <w:color w:val="auto"/>
          <w:spacing w:val="14"/>
          <w:kern w:val="2"/>
          <w:sz w:val="32"/>
          <w:szCs w:val="28"/>
          <w:lang w:val="en-US" w:eastAsia="zh-CN" w:bidi="ar-SA"/>
        </w:rPr>
        <w:t>安宁服务：为临终老年人提供</w:t>
      </w:r>
      <w:r>
        <w:rPr>
          <w:rFonts w:hint="eastAsia" w:ascii="仿宋" w:hAnsi="仿宋" w:eastAsia="仿宋_GB2312" w:cs="仿宋"/>
          <w:b w:val="0"/>
          <w:i w:val="0"/>
          <w:color w:val="auto"/>
          <w:spacing w:val="14"/>
          <w:kern w:val="2"/>
          <w:sz w:val="32"/>
          <w:szCs w:val="28"/>
          <w:lang w:val="en-US" w:eastAsia="zh-CN" w:bidi="ar-SA"/>
        </w:rPr>
        <w:t>休息</w:t>
      </w:r>
      <w:r>
        <w:rPr>
          <w:rFonts w:hint="default" w:ascii="仿宋" w:hAnsi="仿宋" w:eastAsia="仿宋_GB2312" w:cs="仿宋"/>
          <w:b w:val="0"/>
          <w:i w:val="0"/>
          <w:color w:val="auto"/>
          <w:spacing w:val="14"/>
          <w:kern w:val="2"/>
          <w:sz w:val="32"/>
          <w:szCs w:val="28"/>
          <w:lang w:val="en-US" w:eastAsia="zh-CN" w:bidi="ar-SA"/>
        </w:rPr>
        <w:t>治疗、护理、生活照料、社会工作、心理慰藉、伦理支持、后事处理及对家属的心理抚慰和精神支持的活动。</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12）</w:t>
      </w:r>
      <w:r>
        <w:rPr>
          <w:rFonts w:hint="default" w:ascii="仿宋" w:hAnsi="仿宋" w:eastAsia="仿宋_GB2312" w:cs="仿宋"/>
          <w:b w:val="0"/>
          <w:i w:val="0"/>
          <w:color w:val="auto"/>
          <w:spacing w:val="14"/>
          <w:kern w:val="2"/>
          <w:sz w:val="32"/>
          <w:szCs w:val="28"/>
          <w:lang w:val="en-US" w:eastAsia="zh-CN" w:bidi="ar-SA"/>
        </w:rPr>
        <w:t>委托服务：为老年人提供包括但不仅限于代管物品、代缴、代办、陪同出行、协助交通等服务。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13）日间托养服务：为日常生活需要照料的老年人提供膳食供应、照料护理、保健康复、休闲娱乐等日间托养服务。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14）上门服务：为居家老年人提供生活照料、基础照护、健康管理、探访关爱、精神慰藉、委托代办等服务。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15）</w:t>
      </w:r>
      <w:r>
        <w:rPr>
          <w:rFonts w:hint="default" w:ascii="仿宋" w:hAnsi="仿宋" w:eastAsia="仿宋_GB2312" w:cs="仿宋"/>
          <w:b w:val="0"/>
          <w:i w:val="0"/>
          <w:color w:val="auto"/>
          <w:spacing w:val="14"/>
          <w:kern w:val="2"/>
          <w:sz w:val="32"/>
          <w:szCs w:val="28"/>
          <w:lang w:val="en-US" w:eastAsia="zh-CN" w:bidi="ar-SA"/>
        </w:rPr>
        <w:t>基于项目内部条件开展其他经政府批准的衍生经营业务。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16）</w:t>
      </w:r>
      <w:r>
        <w:rPr>
          <w:rFonts w:hint="default" w:ascii="仿宋" w:hAnsi="仿宋" w:eastAsia="仿宋_GB2312" w:cs="仿宋"/>
          <w:b w:val="0"/>
          <w:i w:val="0"/>
          <w:color w:val="auto"/>
          <w:spacing w:val="14"/>
          <w:kern w:val="2"/>
          <w:sz w:val="32"/>
          <w:szCs w:val="28"/>
          <w:lang w:val="en-US" w:eastAsia="zh-CN" w:bidi="ar-SA"/>
        </w:rPr>
        <w:t>社会资本方应当确保其服务质量不低于有效的《广东省民政厅关于养老机构星级评定的管理办法（试行）》规定的“五星级”标准，项目运营期内按照届时政策标准执行。</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三、</w:t>
      </w:r>
      <w:r>
        <w:rPr>
          <w:rFonts w:hint="default" w:ascii="仿宋" w:hAnsi="仿宋" w:eastAsia="仿宋" w:cs="仿宋"/>
          <w:b/>
          <w:bCs/>
          <w:color w:val="auto"/>
          <w:spacing w:val="14"/>
          <w:kern w:val="2"/>
          <w:sz w:val="28"/>
          <w:szCs w:val="28"/>
          <w:lang w:val="en-US" w:eastAsia="zh-CN" w:bidi="ar-SA"/>
        </w:rPr>
        <w:t>养老床位的设置要求</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《关于推进养老服务发展的意见》（国办发〔2019〕5 号）中提出，在满足当前和今后一个时期特困人员集中供养需求的前提下，重点为经济困难失能（含失智，下同）老年人、计划生育特殊家庭老年人提供无偿或低收费托养服务。坚持公办养老机构公益属性，确定保障范围，其余床位允许向社会开放，研究制定收费指导标准，收益用于支持兜底保障对象的养老服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因此，本项目一部分床位为特殊家庭老人提供无偿或低收费托养服务，剩余部分床位向社会老人开放，由社会资本方自主经营、自负盈亏。</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1</w:t>
      </w:r>
      <w:r>
        <w:rPr>
          <w:rFonts w:hint="eastAsia" w:ascii="仿宋" w:hAnsi="仿宋" w:eastAsia="仿宋" w:cs="仿宋"/>
          <w:b/>
          <w:bCs/>
          <w:color w:val="auto"/>
          <w:spacing w:val="14"/>
          <w:kern w:val="2"/>
          <w:sz w:val="28"/>
          <w:szCs w:val="28"/>
          <w:lang w:val="en-US" w:eastAsia="zh-CN" w:bidi="ar-SA"/>
        </w:rPr>
        <w:t>、</w:t>
      </w:r>
      <w:r>
        <w:rPr>
          <w:rFonts w:hint="default" w:ascii="仿宋" w:hAnsi="仿宋" w:eastAsia="仿宋" w:cs="仿宋"/>
          <w:b/>
          <w:bCs/>
          <w:color w:val="auto"/>
          <w:spacing w:val="14"/>
          <w:kern w:val="2"/>
          <w:sz w:val="28"/>
          <w:szCs w:val="28"/>
          <w:lang w:val="en-US" w:eastAsia="zh-CN" w:bidi="ar-SA"/>
        </w:rPr>
        <w:t>床位数量及类型</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本项目设置</w:t>
      </w:r>
      <w:r>
        <w:rPr>
          <w:rFonts w:hint="eastAsia" w:ascii="仿宋" w:hAnsi="仿宋" w:eastAsia="仿宋_GB2312" w:cs="仿宋"/>
          <w:b w:val="0"/>
          <w:i w:val="0"/>
          <w:color w:val="auto"/>
          <w:spacing w:val="14"/>
          <w:kern w:val="2"/>
          <w:sz w:val="32"/>
          <w:szCs w:val="28"/>
          <w:lang w:val="en-US" w:eastAsia="zh-CN" w:bidi="ar-SA"/>
        </w:rPr>
        <w:t>260</w:t>
      </w:r>
      <w:r>
        <w:rPr>
          <w:rFonts w:hint="default" w:ascii="仿宋" w:hAnsi="仿宋" w:eastAsia="仿宋_GB2312" w:cs="仿宋"/>
          <w:b w:val="0"/>
          <w:i w:val="0"/>
          <w:color w:val="auto"/>
          <w:spacing w:val="14"/>
          <w:kern w:val="2"/>
          <w:sz w:val="32"/>
          <w:szCs w:val="28"/>
          <w:lang w:val="en-US" w:eastAsia="zh-CN" w:bidi="ar-SA"/>
        </w:rPr>
        <w:t>张养老床位，分为两种类型床位，包括政策性床位、普惠性床位。</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w:t>
      </w:r>
      <w:r>
        <w:rPr>
          <w:rFonts w:hint="default" w:ascii="仿宋" w:hAnsi="仿宋" w:eastAsia="仿宋_GB2312" w:cs="仿宋"/>
          <w:b w:val="0"/>
          <w:i w:val="0"/>
          <w:color w:val="auto"/>
          <w:spacing w:val="14"/>
          <w:kern w:val="2"/>
          <w:sz w:val="32"/>
          <w:szCs w:val="28"/>
          <w:lang w:val="en-US" w:eastAsia="zh-CN" w:bidi="ar-SA"/>
        </w:rPr>
        <w:t>政策性床位：指由</w:t>
      </w:r>
      <w:r>
        <w:rPr>
          <w:rFonts w:hint="eastAsia" w:ascii="仿宋" w:hAnsi="仿宋" w:eastAsia="仿宋_GB2312" w:cs="仿宋"/>
          <w:b w:val="0"/>
          <w:i w:val="0"/>
          <w:color w:val="auto"/>
          <w:spacing w:val="14"/>
          <w:kern w:val="2"/>
          <w:sz w:val="32"/>
          <w:szCs w:val="28"/>
          <w:lang w:val="en-US" w:eastAsia="zh-CN" w:bidi="ar-SA"/>
        </w:rPr>
        <w:t>政府</w:t>
      </w:r>
      <w:r>
        <w:rPr>
          <w:rFonts w:hint="default" w:ascii="仿宋" w:hAnsi="仿宋" w:eastAsia="仿宋_GB2312" w:cs="仿宋"/>
          <w:b w:val="0"/>
          <w:i w:val="0"/>
          <w:color w:val="auto"/>
          <w:spacing w:val="14"/>
          <w:kern w:val="2"/>
          <w:sz w:val="32"/>
          <w:szCs w:val="28"/>
          <w:lang w:val="en-US" w:eastAsia="zh-CN" w:bidi="ar-SA"/>
        </w:rPr>
        <w:t>根据需要指定收住的政府兜底人员（</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县农村特困人员、城市特困人员等）的床位。政策性床位的定义根据政府相关政策调整。政策性床位托养费根据届时政策进行补贴。本项目</w:t>
      </w:r>
      <w:r>
        <w:rPr>
          <w:rFonts w:hint="eastAsia" w:ascii="仿宋" w:hAnsi="仿宋" w:eastAsia="仿宋_GB2312" w:cs="仿宋"/>
          <w:b w:val="0"/>
          <w:i w:val="0"/>
          <w:color w:val="auto"/>
          <w:spacing w:val="14"/>
          <w:kern w:val="2"/>
          <w:sz w:val="32"/>
          <w:szCs w:val="28"/>
          <w:lang w:val="en-US" w:eastAsia="zh-CN" w:bidi="ar-SA"/>
        </w:rPr>
        <w:t>拟设</w:t>
      </w:r>
      <w:r>
        <w:rPr>
          <w:rFonts w:hint="default" w:ascii="仿宋" w:hAnsi="仿宋" w:eastAsia="仿宋_GB2312" w:cs="仿宋"/>
          <w:b w:val="0"/>
          <w:i w:val="0"/>
          <w:color w:val="auto"/>
          <w:spacing w:val="14"/>
          <w:kern w:val="2"/>
          <w:sz w:val="32"/>
          <w:szCs w:val="28"/>
          <w:lang w:val="en-US" w:eastAsia="zh-CN" w:bidi="ar-SA"/>
        </w:rPr>
        <w:t>政策性床位</w:t>
      </w:r>
      <w:r>
        <w:rPr>
          <w:rFonts w:hint="eastAsia" w:ascii="仿宋" w:hAnsi="仿宋" w:eastAsia="仿宋_GB2312" w:cs="仿宋"/>
          <w:b w:val="0"/>
          <w:i w:val="0"/>
          <w:color w:val="auto"/>
          <w:spacing w:val="14"/>
          <w:kern w:val="2"/>
          <w:sz w:val="32"/>
          <w:szCs w:val="28"/>
          <w:lang w:val="en-US" w:eastAsia="zh-CN" w:bidi="ar-SA"/>
        </w:rPr>
        <w:t>80</w:t>
      </w:r>
      <w:r>
        <w:rPr>
          <w:rFonts w:hint="default" w:ascii="仿宋" w:hAnsi="仿宋" w:eastAsia="仿宋_GB2312" w:cs="仿宋"/>
          <w:b w:val="0"/>
          <w:i w:val="0"/>
          <w:color w:val="auto"/>
          <w:spacing w:val="14"/>
          <w:kern w:val="2"/>
          <w:sz w:val="32"/>
          <w:szCs w:val="28"/>
          <w:lang w:val="en-US" w:eastAsia="zh-CN" w:bidi="ar-SA"/>
        </w:rPr>
        <w:t>张。</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w:t>
      </w:r>
      <w:r>
        <w:rPr>
          <w:rFonts w:hint="default" w:ascii="仿宋" w:hAnsi="仿宋" w:eastAsia="仿宋_GB2312" w:cs="仿宋"/>
          <w:b w:val="0"/>
          <w:i w:val="0"/>
          <w:color w:val="auto"/>
          <w:spacing w:val="14"/>
          <w:kern w:val="2"/>
          <w:sz w:val="32"/>
          <w:szCs w:val="28"/>
          <w:lang w:val="en-US" w:eastAsia="zh-CN" w:bidi="ar-SA"/>
        </w:rPr>
        <w:t>普惠性床位：指由社会资本方以普惠性价格为辖区长者提供的床位，普惠性床位养老服务费由社会资本方综合考虑企业运营成本、政策支持情况、消费者承受能力等因素设定，同时兼顾公正、公平、社会公益性、有利于吸引人群入住的原则，且需要向县民政局等相关政府部门报备同意，向社会公示后执行。本项目普惠性床位</w:t>
      </w:r>
      <w:r>
        <w:rPr>
          <w:rFonts w:hint="eastAsia" w:ascii="仿宋" w:hAnsi="仿宋" w:eastAsia="仿宋_GB2312" w:cs="仿宋"/>
          <w:b w:val="0"/>
          <w:i w:val="0"/>
          <w:color w:val="auto"/>
          <w:spacing w:val="14"/>
          <w:kern w:val="2"/>
          <w:sz w:val="32"/>
          <w:szCs w:val="28"/>
          <w:lang w:val="en-US" w:eastAsia="zh-CN" w:bidi="ar-SA"/>
        </w:rPr>
        <w:t>180</w:t>
      </w:r>
      <w:r>
        <w:rPr>
          <w:rFonts w:hint="default" w:ascii="仿宋" w:hAnsi="仿宋" w:eastAsia="仿宋_GB2312" w:cs="仿宋"/>
          <w:b w:val="0"/>
          <w:i w:val="0"/>
          <w:color w:val="auto"/>
          <w:spacing w:val="14"/>
          <w:kern w:val="2"/>
          <w:sz w:val="32"/>
          <w:szCs w:val="28"/>
          <w:lang w:val="en-US" w:eastAsia="zh-CN" w:bidi="ar-SA"/>
        </w:rPr>
        <w:t>张，社会资本方可根据市场需要使用普惠性床位提供长托或临托服务，但提供</w:t>
      </w:r>
      <w:r>
        <w:rPr>
          <w:rFonts w:hint="eastAsia" w:ascii="仿宋" w:hAnsi="仿宋" w:eastAsia="仿宋_GB2312" w:cs="仿宋"/>
          <w:b w:val="0"/>
          <w:i w:val="0"/>
          <w:color w:val="auto"/>
          <w:spacing w:val="14"/>
          <w:kern w:val="2"/>
          <w:sz w:val="32"/>
          <w:szCs w:val="28"/>
          <w:lang w:val="en-US" w:eastAsia="zh-CN" w:bidi="ar-SA"/>
        </w:rPr>
        <w:t>可</w:t>
      </w:r>
      <w:r>
        <w:rPr>
          <w:rFonts w:hint="default" w:ascii="仿宋" w:hAnsi="仿宋" w:eastAsia="仿宋_GB2312" w:cs="仿宋"/>
          <w:b w:val="0"/>
          <w:i w:val="0"/>
          <w:color w:val="auto"/>
          <w:spacing w:val="14"/>
          <w:kern w:val="2"/>
          <w:sz w:val="32"/>
          <w:szCs w:val="28"/>
          <w:lang w:val="en-US" w:eastAsia="zh-CN" w:bidi="ar-SA"/>
        </w:rPr>
        <w:t>长托服务的床位数设置不得低于</w:t>
      </w:r>
      <w:r>
        <w:rPr>
          <w:rFonts w:hint="eastAsia" w:ascii="仿宋" w:hAnsi="仿宋" w:eastAsia="仿宋_GB2312" w:cs="仿宋"/>
          <w:b w:val="0"/>
          <w:i w:val="0"/>
          <w:color w:val="auto"/>
          <w:spacing w:val="14"/>
          <w:kern w:val="2"/>
          <w:sz w:val="32"/>
          <w:szCs w:val="28"/>
          <w:lang w:val="en-US" w:eastAsia="zh-CN" w:bidi="ar-SA"/>
        </w:rPr>
        <w:t>180</w:t>
      </w:r>
      <w:r>
        <w:rPr>
          <w:rFonts w:hint="default" w:ascii="仿宋" w:hAnsi="仿宋" w:eastAsia="仿宋_GB2312" w:cs="仿宋"/>
          <w:b w:val="0"/>
          <w:i w:val="0"/>
          <w:color w:val="auto"/>
          <w:spacing w:val="14"/>
          <w:kern w:val="2"/>
          <w:sz w:val="32"/>
          <w:szCs w:val="28"/>
          <w:lang w:val="en-US" w:eastAsia="zh-CN" w:bidi="ar-SA"/>
        </w:rPr>
        <w:t>张。</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2</w:t>
      </w:r>
      <w:r>
        <w:rPr>
          <w:rFonts w:hint="eastAsia" w:ascii="仿宋" w:hAnsi="仿宋" w:eastAsia="仿宋" w:cs="仿宋"/>
          <w:b/>
          <w:bCs/>
          <w:color w:val="auto"/>
          <w:spacing w:val="14"/>
          <w:kern w:val="2"/>
          <w:sz w:val="28"/>
          <w:szCs w:val="28"/>
          <w:lang w:val="en-US" w:eastAsia="zh-CN" w:bidi="ar-SA"/>
        </w:rPr>
        <w:t>、</w:t>
      </w:r>
      <w:r>
        <w:rPr>
          <w:rFonts w:hint="default" w:ascii="仿宋" w:hAnsi="仿宋" w:eastAsia="仿宋" w:cs="仿宋"/>
          <w:b/>
          <w:bCs/>
          <w:color w:val="auto"/>
          <w:spacing w:val="14"/>
          <w:kern w:val="2"/>
          <w:sz w:val="28"/>
          <w:szCs w:val="28"/>
          <w:lang w:val="en-US" w:eastAsia="zh-CN" w:bidi="ar-SA"/>
        </w:rPr>
        <w:t>床位转化机制</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w:t>
      </w:r>
      <w:r>
        <w:rPr>
          <w:rFonts w:hint="default" w:ascii="仿宋" w:hAnsi="仿宋" w:eastAsia="仿宋_GB2312" w:cs="仿宋"/>
          <w:b w:val="0"/>
          <w:i w:val="0"/>
          <w:color w:val="auto"/>
          <w:spacing w:val="14"/>
          <w:kern w:val="2"/>
          <w:sz w:val="32"/>
          <w:szCs w:val="28"/>
          <w:lang w:val="en-US" w:eastAsia="zh-CN" w:bidi="ar-SA"/>
        </w:rPr>
        <w:t>若政策性床位数量不能满足民政局履行公共养老服务床位需求，则民政</w:t>
      </w:r>
      <w:r>
        <w:rPr>
          <w:rFonts w:hint="eastAsia" w:ascii="仿宋" w:hAnsi="仿宋" w:eastAsia="仿宋_GB2312" w:cs="仿宋"/>
          <w:b w:val="0"/>
          <w:i w:val="0"/>
          <w:color w:val="auto"/>
          <w:spacing w:val="14"/>
          <w:kern w:val="2"/>
          <w:sz w:val="32"/>
          <w:szCs w:val="28"/>
          <w:lang w:val="en-US" w:eastAsia="zh-CN" w:bidi="ar-SA"/>
        </w:rPr>
        <w:t>和退役军人</w:t>
      </w:r>
      <w:r>
        <w:rPr>
          <w:rFonts w:hint="default" w:ascii="仿宋" w:hAnsi="仿宋" w:eastAsia="仿宋_GB2312" w:cs="仿宋"/>
          <w:b w:val="0"/>
          <w:i w:val="0"/>
          <w:color w:val="auto"/>
          <w:spacing w:val="14"/>
          <w:kern w:val="2"/>
          <w:sz w:val="32"/>
          <w:szCs w:val="28"/>
          <w:lang w:val="en-US" w:eastAsia="zh-CN" w:bidi="ar-SA"/>
        </w:rPr>
        <w:t>局有权按照政策性床位与普惠性床位收费差额向社会资本方购买额外床位作为政策性床位使用。</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w:t>
      </w:r>
      <w:r>
        <w:rPr>
          <w:rFonts w:hint="default" w:ascii="仿宋" w:hAnsi="仿宋" w:eastAsia="仿宋_GB2312" w:cs="仿宋"/>
          <w:b w:val="0"/>
          <w:i w:val="0"/>
          <w:color w:val="auto"/>
          <w:spacing w:val="14"/>
          <w:kern w:val="2"/>
          <w:sz w:val="32"/>
          <w:szCs w:val="28"/>
          <w:lang w:val="en-US" w:eastAsia="zh-CN" w:bidi="ar-SA"/>
        </w:rPr>
        <w:t>若本项目政策性床位闲置3个月或以上，在保有不少于5张空置的应急床位情况下，社会资本方可根据社会需要将空置的政策性床位暂时转换为普惠性床位，按照普惠性床位对外经营并收费。当政策性老人有入住需求时，被占用的政策性床位应当在1个月内腾出。</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3</w:t>
      </w:r>
      <w:r>
        <w:rPr>
          <w:rFonts w:hint="eastAsia" w:ascii="仿宋" w:hAnsi="仿宋" w:eastAsia="仿宋" w:cs="仿宋"/>
          <w:b/>
          <w:bCs/>
          <w:color w:val="auto"/>
          <w:spacing w:val="14"/>
          <w:kern w:val="2"/>
          <w:sz w:val="28"/>
          <w:szCs w:val="28"/>
          <w:lang w:val="en-US" w:eastAsia="zh-CN" w:bidi="ar-SA"/>
        </w:rPr>
        <w:t>、</w:t>
      </w:r>
      <w:r>
        <w:rPr>
          <w:rFonts w:hint="default" w:ascii="仿宋" w:hAnsi="仿宋" w:eastAsia="仿宋" w:cs="仿宋"/>
          <w:b/>
          <w:bCs/>
          <w:color w:val="auto"/>
          <w:spacing w:val="14"/>
          <w:kern w:val="2"/>
          <w:sz w:val="28"/>
          <w:szCs w:val="28"/>
          <w:lang w:val="en-US" w:eastAsia="zh-CN" w:bidi="ar-SA"/>
        </w:rPr>
        <w:t>护理型床位设置</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护理型床位设置应符合《广东省民政厅关于养老机构星级评定的管理办法（试行）》规定的“五星级”准要求，项目运营期内，如有变化，社会资本方应 按照届时政策和标准执行。</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4</w:t>
      </w:r>
      <w:r>
        <w:rPr>
          <w:rFonts w:hint="eastAsia" w:ascii="仿宋" w:hAnsi="仿宋" w:eastAsia="仿宋" w:cs="仿宋"/>
          <w:b/>
          <w:bCs/>
          <w:color w:val="auto"/>
          <w:spacing w:val="14"/>
          <w:kern w:val="2"/>
          <w:sz w:val="28"/>
          <w:szCs w:val="28"/>
          <w:lang w:val="en-US" w:eastAsia="zh-CN" w:bidi="ar-SA"/>
        </w:rPr>
        <w:t>、在符合政策标准的前提下，</w:t>
      </w:r>
      <w:r>
        <w:rPr>
          <w:rFonts w:hint="default" w:ascii="仿宋" w:hAnsi="仿宋" w:eastAsia="仿宋" w:cs="仿宋"/>
          <w:b/>
          <w:bCs/>
          <w:color w:val="auto"/>
          <w:spacing w:val="14"/>
          <w:kern w:val="2"/>
          <w:sz w:val="28"/>
          <w:szCs w:val="28"/>
          <w:lang w:val="en-US" w:eastAsia="zh-CN" w:bidi="ar-SA"/>
        </w:rPr>
        <w:t>允许社会资本方合理增加床位。</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四、</w:t>
      </w:r>
      <w:r>
        <w:rPr>
          <w:rFonts w:hint="default" w:ascii="仿宋" w:hAnsi="仿宋" w:eastAsia="仿宋" w:cs="仿宋"/>
          <w:b/>
          <w:bCs/>
          <w:color w:val="auto"/>
          <w:spacing w:val="14"/>
          <w:kern w:val="2"/>
          <w:sz w:val="28"/>
          <w:szCs w:val="28"/>
          <w:lang w:val="en-US" w:eastAsia="zh-CN" w:bidi="ar-SA"/>
        </w:rPr>
        <w:t>项目人员配备要求</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社会资本方应当根据《项目运营合同》、政策规定、消防等主管部门要求，结合运营需要配备与服务、运营管理相匹配的工作人员，如院长，部门负责人，医疗、护理、康复、社会工作、健康管理等专业技术人员，养老护理员、维修维护员、保洁绿化员、特种作业人员、消防设施操作人员、信息管理员、档案管理员、接待管理员、会计、出纳、厨师、门卫、洗涤等岗位人员。社会资本方须确保：</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1</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院长、副院长中具有卫生职称或助理社会工作师以上职业资格的人员至少1名。</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每入住满200名长者至少配备1名专职、专业社会工作者，开展专业社会工作服务。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3</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专业工作人员应持有与岗位相适应的有效专业资格证书或执业证书。</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4</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养老护理员应符合最新《养老护理员国家职业标准》（2019年版）的相关要求，持证上岗。</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5</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社会资本方应优先聘用</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县户籍失业下岗人员。</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6</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社会资本方应严格依照《</w:t>
      </w:r>
      <w:r>
        <w:rPr>
          <w:rFonts w:hint="eastAsia" w:ascii="仿宋" w:hAnsi="仿宋" w:eastAsia="仿宋_GB2312" w:cs="仿宋"/>
          <w:b w:val="0"/>
          <w:i w:val="0"/>
          <w:color w:val="auto"/>
          <w:spacing w:val="14"/>
          <w:kern w:val="2"/>
          <w:sz w:val="32"/>
          <w:szCs w:val="28"/>
          <w:lang w:val="en-US" w:eastAsia="zh-CN" w:bidi="ar-SA"/>
        </w:rPr>
        <w:t>中华人民共和国劳动法》《中华人民共和国劳动合同法</w:t>
      </w:r>
      <w:r>
        <w:rPr>
          <w:rFonts w:hint="default" w:ascii="仿宋" w:hAnsi="仿宋" w:eastAsia="仿宋_GB2312" w:cs="仿宋"/>
          <w:b w:val="0"/>
          <w:i w:val="0"/>
          <w:color w:val="auto"/>
          <w:spacing w:val="14"/>
          <w:kern w:val="2"/>
          <w:sz w:val="32"/>
          <w:szCs w:val="28"/>
          <w:lang w:val="en-US" w:eastAsia="zh-CN" w:bidi="ar-SA"/>
        </w:rPr>
        <w:t>》等相关法律法规规定，合法规范用工。与项目所有工作人员签订劳动合同或劳务合同，并为员工缴纳社会保险，为达到法定退休年龄的员工购买意外保险。</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五、</w:t>
      </w:r>
      <w:r>
        <w:rPr>
          <w:rFonts w:hint="default" w:ascii="仿宋" w:hAnsi="仿宋" w:eastAsia="仿宋" w:cs="仿宋"/>
          <w:b/>
          <w:bCs/>
          <w:color w:val="auto"/>
          <w:spacing w:val="14"/>
          <w:kern w:val="2"/>
          <w:sz w:val="28"/>
          <w:szCs w:val="28"/>
          <w:lang w:val="en-US" w:eastAsia="zh-CN" w:bidi="ar-SA"/>
        </w:rPr>
        <w:t>安全服务要求</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社会资本方须严格按照《养老机构服务安全基本规范》GB38600—2019、《广东省民政厅关于养老机构星级评定的管理办法（试行）</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养老机构预防老年人跌倒基本规范》MZ/T—2021、养老行业疫情防控等相关要求和规范，做好安全服务保障工作。包括但不限于：</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1</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项目环境应符合消防、卫生与健康、疫情防控、环境保护、食品药品、建筑、设施设备标准中的强制性规定及要求。</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老年人入住前结合其日常生活活动、精神状态、感知觉与沟通、社会参与进行服务安全风险评估。</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3</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在对老年人照顾过程中要注意服务防护，包括但不仅限于防噎食、防食品药品误食、防压疮、防烫伤、防坠床、防跌倒、防他伤或自伤、防走失、防文娱活动意外等。</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4</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使用规范的安全标志。</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5</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老年人生活、活动区域应禁止吸烟。</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六、</w:t>
      </w:r>
      <w:r>
        <w:rPr>
          <w:rFonts w:hint="default" w:ascii="仿宋" w:hAnsi="仿宋" w:eastAsia="仿宋" w:cs="仿宋"/>
          <w:b/>
          <w:bCs/>
          <w:color w:val="auto"/>
          <w:spacing w:val="14"/>
          <w:kern w:val="2"/>
          <w:sz w:val="28"/>
          <w:szCs w:val="28"/>
          <w:lang w:val="en-US" w:eastAsia="zh-CN" w:bidi="ar-SA"/>
        </w:rPr>
        <w:t>餐饮质量控制要求</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社会资本方应严格遵守相关法律法规规定，按照《中华人民共和国食品安全法</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餐饮服务食品安全操作规范</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养老机构管理办法</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广东省民政厅关于养老机构星级评定的管理办法（试行）</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养老机构膳食服务基本规范》 （MZ/T186-2021）及国家、省、市最新规定为院内长者提供配餐助餐服务。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县民政局通过不定期审计，了解食品安全、膳食供应、食品采购验收原始凭证等相关要求。社会资本方须确保入住老人生活就餐质量不低于市民的正常生活水平，且做到“荤素搭配、营养均衡、适合长者”。</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七、</w:t>
      </w:r>
      <w:r>
        <w:rPr>
          <w:rFonts w:hint="default" w:ascii="仿宋" w:hAnsi="仿宋" w:eastAsia="仿宋" w:cs="仿宋"/>
          <w:b/>
          <w:bCs/>
          <w:color w:val="auto"/>
          <w:spacing w:val="14"/>
          <w:kern w:val="2"/>
          <w:sz w:val="28"/>
          <w:szCs w:val="28"/>
          <w:lang w:val="en-US" w:eastAsia="zh-CN" w:bidi="ar-SA"/>
        </w:rPr>
        <w:t>智能化养老要求</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逐步实现智慧养老，通过运用互联网、物联网、云技术与医疗技术等手段创新服务模式，通过智慧养老系统、智能系统为老人提供紧急呼叫、跌倒报警、远程定位、健康档案、健康管理、安防监控、生活照料等服务。逐步实现院务、业务流程电子化管理，实现个案、护理全程跟踪，文件档案电子化。</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八、</w:t>
      </w:r>
      <w:r>
        <w:rPr>
          <w:rFonts w:hint="default" w:ascii="仿宋" w:hAnsi="仿宋" w:eastAsia="仿宋" w:cs="仿宋"/>
          <w:b/>
          <w:bCs/>
          <w:color w:val="auto"/>
          <w:spacing w:val="14"/>
          <w:kern w:val="2"/>
          <w:sz w:val="28"/>
          <w:szCs w:val="28"/>
          <w:lang w:val="en-US" w:eastAsia="zh-CN" w:bidi="ar-SA"/>
        </w:rPr>
        <w:t>推动行业发展要求</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逐步将项目打造为</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乃至韶关市养老服务示范中心，涵盖全县智慧养老平台指挥中心、全县长者健康管理中心、全县医养结合照护中心、社区居家养老调度中心、全县养老职业技能培训中心等。社会资本方需通过创新、示范、培训、指导等多种方式，协助当地培育更多优秀养老管理和服务人才，带动当地养老服务机构的发展，推动当地养老服务的高质量、可持续发展。具体要求可由县民政 局根据实际需要与社会资本方确定。</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九、</w:t>
      </w:r>
      <w:r>
        <w:rPr>
          <w:rFonts w:hint="default" w:ascii="仿宋" w:hAnsi="仿宋" w:eastAsia="仿宋" w:cs="仿宋"/>
          <w:b/>
          <w:bCs/>
          <w:color w:val="auto"/>
          <w:spacing w:val="14"/>
          <w:kern w:val="2"/>
          <w:sz w:val="28"/>
          <w:szCs w:val="28"/>
          <w:lang w:val="en-US" w:eastAsia="zh-CN" w:bidi="ar-SA"/>
        </w:rPr>
        <w:t>服务负面清单</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社会资本方不得开展下述服务：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1</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金融类项目；</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赌博类项目；</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3</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产生大量</w:t>
      </w:r>
      <w:r>
        <w:rPr>
          <w:rFonts w:hint="eastAsia" w:ascii="仿宋" w:hAnsi="仿宋" w:eastAsia="仿宋_GB2312" w:cs="仿宋"/>
          <w:b w:val="0"/>
          <w:i w:val="0"/>
          <w:color w:val="auto"/>
          <w:spacing w:val="14"/>
          <w:kern w:val="2"/>
          <w:sz w:val="32"/>
          <w:szCs w:val="28"/>
          <w:lang w:val="en-US" w:eastAsia="zh-CN" w:bidi="ar-SA"/>
        </w:rPr>
        <w:t>噪声</w:t>
      </w:r>
      <w:r>
        <w:rPr>
          <w:rFonts w:hint="default" w:ascii="仿宋" w:hAnsi="仿宋" w:eastAsia="仿宋_GB2312" w:cs="仿宋"/>
          <w:b w:val="0"/>
          <w:i w:val="0"/>
          <w:color w:val="auto"/>
          <w:spacing w:val="14"/>
          <w:kern w:val="2"/>
          <w:sz w:val="32"/>
          <w:szCs w:val="28"/>
          <w:lang w:val="en-US" w:eastAsia="zh-CN" w:bidi="ar-SA"/>
        </w:rPr>
        <w:t>的项目；</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4</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以兜售非适老化商品为目的而举办的宣讲、讲座。</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5</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易引起老人情绪激动、亢奋的项目；</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6</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违反法律法规规定、违背公序良俗或对社会和政府产生负面影响的项目。</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十、</w:t>
      </w:r>
      <w:r>
        <w:rPr>
          <w:rFonts w:hint="default" w:ascii="仿宋" w:hAnsi="仿宋" w:eastAsia="仿宋" w:cs="仿宋"/>
          <w:b/>
          <w:bCs/>
          <w:color w:val="auto"/>
          <w:spacing w:val="14"/>
          <w:kern w:val="2"/>
          <w:sz w:val="28"/>
          <w:szCs w:val="28"/>
          <w:lang w:val="en-US" w:eastAsia="zh-CN" w:bidi="ar-SA"/>
        </w:rPr>
        <w:t>服务鼓励清单</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鼓励社会资本方在养老服务要求基础上，新设符合下述要求的服务：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1</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符合老年人需要的康复型、慰藉型、生活型的温暖服务。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尊重老年人生活、性格特殊性的服务。</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十一、</w:t>
      </w:r>
      <w:r>
        <w:rPr>
          <w:rFonts w:hint="default" w:ascii="仿宋" w:hAnsi="仿宋" w:eastAsia="仿宋" w:cs="仿宋"/>
          <w:b/>
          <w:bCs/>
          <w:color w:val="auto"/>
          <w:spacing w:val="14"/>
          <w:kern w:val="2"/>
          <w:sz w:val="28"/>
          <w:szCs w:val="28"/>
          <w:lang w:val="en-US" w:eastAsia="zh-CN" w:bidi="ar-SA"/>
        </w:rPr>
        <w:t>信息公开要求</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社会资本方须公开与机构养老</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含短托服务</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的相关信息，包括但不限于营业证照、地理交通信息、床位信息、基本设备设施信息、工作人员信息、收费标准、服务流程、日常照护服务项目描述、服务投诉途径和处理程序等信息。</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十二、</w:t>
      </w:r>
      <w:r>
        <w:rPr>
          <w:rFonts w:hint="default" w:ascii="仿宋" w:hAnsi="仿宋" w:eastAsia="仿宋" w:cs="仿宋"/>
          <w:b/>
          <w:bCs/>
          <w:color w:val="auto"/>
          <w:spacing w:val="14"/>
          <w:kern w:val="2"/>
          <w:sz w:val="28"/>
          <w:szCs w:val="28"/>
          <w:lang w:val="en-US" w:eastAsia="zh-CN" w:bidi="ar-SA"/>
        </w:rPr>
        <w:t>管理人员变动报备要求</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社会资本方在变更项目法定代表人或高级管理人员后，应及时向</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县民政</w:t>
      </w:r>
      <w:r>
        <w:rPr>
          <w:rFonts w:hint="eastAsia" w:ascii="仿宋" w:hAnsi="仿宋" w:eastAsia="仿宋_GB2312" w:cs="仿宋"/>
          <w:b w:val="0"/>
          <w:i w:val="0"/>
          <w:color w:val="auto"/>
          <w:spacing w:val="14"/>
          <w:kern w:val="2"/>
          <w:sz w:val="32"/>
          <w:szCs w:val="28"/>
          <w:lang w:val="en-US" w:eastAsia="zh-CN" w:bidi="ar-SA"/>
        </w:rPr>
        <w:t>和退役军人事务</w:t>
      </w:r>
      <w:r>
        <w:rPr>
          <w:rFonts w:hint="default" w:ascii="仿宋" w:hAnsi="仿宋" w:eastAsia="仿宋_GB2312" w:cs="仿宋"/>
          <w:b w:val="0"/>
          <w:i w:val="0"/>
          <w:color w:val="auto"/>
          <w:spacing w:val="14"/>
          <w:kern w:val="2"/>
          <w:sz w:val="32"/>
          <w:szCs w:val="28"/>
          <w:lang w:val="en-US" w:eastAsia="zh-CN" w:bidi="ar-SA"/>
        </w:rPr>
        <w:t>局报备相关变更情况。</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十三、</w:t>
      </w:r>
      <w:r>
        <w:rPr>
          <w:rFonts w:hint="default" w:ascii="仿宋" w:hAnsi="仿宋" w:eastAsia="仿宋" w:cs="仿宋"/>
          <w:b/>
          <w:bCs/>
          <w:color w:val="auto"/>
          <w:spacing w:val="14"/>
          <w:kern w:val="2"/>
          <w:sz w:val="28"/>
          <w:szCs w:val="28"/>
          <w:lang w:val="en-US" w:eastAsia="zh-CN" w:bidi="ar-SA"/>
        </w:rPr>
        <w:t>保险要求</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社会资本方根据《</w:t>
      </w:r>
      <w:r>
        <w:rPr>
          <w:rFonts w:hint="eastAsia" w:ascii="仿宋" w:hAnsi="仿宋" w:eastAsia="仿宋_GB2312" w:cs="仿宋"/>
          <w:b w:val="0"/>
          <w:i w:val="0"/>
          <w:color w:val="auto"/>
          <w:spacing w:val="14"/>
          <w:kern w:val="2"/>
          <w:sz w:val="32"/>
          <w:szCs w:val="28"/>
          <w:lang w:val="en-US" w:eastAsia="zh-CN" w:bidi="ar-SA"/>
        </w:rPr>
        <w:t>中华人民共和国保险法</w:t>
      </w:r>
      <w:r>
        <w:rPr>
          <w:rFonts w:hint="default" w:ascii="仿宋" w:hAnsi="仿宋" w:eastAsia="仿宋_GB2312" w:cs="仿宋"/>
          <w:b w:val="0"/>
          <w:i w:val="0"/>
          <w:color w:val="auto"/>
          <w:spacing w:val="14"/>
          <w:kern w:val="2"/>
          <w:sz w:val="32"/>
          <w:szCs w:val="28"/>
          <w:lang w:val="en-US" w:eastAsia="zh-CN" w:bidi="ar-SA"/>
        </w:rPr>
        <w:t>》等相关法律法规和行政法规的要求，结合项目实际情况，向项目所在地保险公司投保预算所包含的各种</w:t>
      </w:r>
      <w:r>
        <w:rPr>
          <w:rFonts w:hint="eastAsia" w:ascii="仿宋" w:hAnsi="仿宋" w:eastAsia="仿宋_GB2312" w:cs="仿宋"/>
          <w:b w:val="0"/>
          <w:i w:val="0"/>
          <w:color w:val="auto"/>
          <w:spacing w:val="14"/>
          <w:kern w:val="2"/>
          <w:sz w:val="32"/>
          <w:szCs w:val="28"/>
          <w:lang w:val="en-US" w:eastAsia="zh-CN" w:bidi="ar-SA"/>
        </w:rPr>
        <w:t>必需的</w:t>
      </w:r>
      <w:r>
        <w:rPr>
          <w:rFonts w:hint="default" w:ascii="仿宋" w:hAnsi="仿宋" w:eastAsia="仿宋_GB2312" w:cs="仿宋"/>
          <w:b w:val="0"/>
          <w:i w:val="0"/>
          <w:color w:val="auto"/>
          <w:spacing w:val="14"/>
          <w:kern w:val="2"/>
          <w:sz w:val="32"/>
          <w:szCs w:val="28"/>
          <w:lang w:val="en-US" w:eastAsia="zh-CN" w:bidi="ar-SA"/>
        </w:rPr>
        <w:t>保险，并承担费用。</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1</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社会资本方应按规定购买养老机构责任保险、场地意外保险。其中为老年人购买的养老机构责任保险保额不低于 25万元/人/年。</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社会资本方应购买并承担政策性床位入住老人的意外保险。</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3</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社会资本方按政策规定可代其他床位入住老人购买意外保险，鼓励入住老人购买意外伤害险等对老人意外有保障的保险。</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4</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项目运营期内保险政策发生变化，按届时政策调整。</w:t>
      </w:r>
    </w:p>
    <w:p>
      <w:pPr>
        <w:pStyle w:val="3"/>
        <w:pageBreakBefore w:val="0"/>
        <w:widowControl w:val="0"/>
        <w:numPr>
          <w:ilvl w:val="1"/>
          <w:numId w:val="0"/>
        </w:numPr>
        <w:kinsoku/>
        <w:wordWrap/>
        <w:overflowPunct/>
        <w:topLinePunct w:val="0"/>
        <w:autoSpaceDE/>
        <w:autoSpaceDN/>
        <w:bidi w:val="0"/>
        <w:adjustRightInd/>
        <w:snapToGrid/>
        <w:spacing w:line="360" w:lineRule="auto"/>
        <w:textAlignment w:val="auto"/>
        <w:rPr>
          <w:rFonts w:hint="default" w:ascii="仿宋" w:hAnsi="仿宋" w:eastAsia="仿宋" w:cs="仿宋"/>
          <w:color w:val="auto"/>
          <w:spacing w:val="14"/>
          <w:kern w:val="2"/>
          <w:sz w:val="28"/>
          <w:szCs w:val="28"/>
          <w:lang w:val="en-US" w:eastAsia="zh-CN" w:bidi="ar-SA"/>
        </w:rPr>
      </w:pPr>
      <w:bookmarkStart w:id="31" w:name="_Toc26093"/>
      <w:r>
        <w:rPr>
          <w:rFonts w:hint="default" w:ascii="仿宋" w:hAnsi="仿宋" w:eastAsia="仿宋" w:cs="Times New Roman"/>
          <w:b/>
          <w:color w:val="auto"/>
          <w:szCs w:val="28"/>
          <w:lang w:val="en-US" w:eastAsia="zh-CN"/>
        </w:rPr>
        <w:t>1.7实施方案编制依据</w:t>
      </w:r>
      <w:bookmarkEnd w:id="31"/>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32" w:name="_Toc23588"/>
      <w:r>
        <w:rPr>
          <w:rFonts w:hint="default" w:ascii="仿宋" w:hAnsi="仿宋" w:eastAsia="仿宋" w:cs="Times New Roman"/>
          <w:b/>
          <w:color w:val="auto"/>
          <w:szCs w:val="28"/>
          <w:lang w:val="en-US" w:eastAsia="zh-CN"/>
        </w:rPr>
        <w:t>1.7.1政策法规</w:t>
      </w:r>
      <w:bookmarkEnd w:id="32"/>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w:t>
      </w:r>
      <w:r>
        <w:rPr>
          <w:rFonts w:hint="default" w:ascii="仿宋" w:hAnsi="仿宋" w:eastAsia="仿宋_GB2312" w:cs="仿宋"/>
          <w:b w:val="0"/>
          <w:i w:val="0"/>
          <w:color w:val="auto"/>
          <w:spacing w:val="14"/>
          <w:kern w:val="2"/>
          <w:sz w:val="32"/>
          <w:szCs w:val="28"/>
          <w:lang w:val="en-US" w:eastAsia="zh-CN" w:bidi="ar-SA"/>
        </w:rPr>
        <w:t>《“十四五”国家老龄事业发展和养老服务体系规划》；</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w:t>
      </w:r>
      <w:r>
        <w:rPr>
          <w:rFonts w:hint="default" w:ascii="仿宋" w:hAnsi="仿宋" w:eastAsia="仿宋_GB2312" w:cs="仿宋"/>
          <w:b w:val="0"/>
          <w:i w:val="0"/>
          <w:color w:val="auto"/>
          <w:spacing w:val="14"/>
          <w:kern w:val="2"/>
          <w:sz w:val="32"/>
          <w:szCs w:val="28"/>
          <w:lang w:val="en-US" w:eastAsia="zh-CN" w:bidi="ar-SA"/>
        </w:rPr>
        <w:t>《关于推进基本养老服务体系建设的意见》；</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w:t>
      </w:r>
      <w:r>
        <w:rPr>
          <w:rFonts w:hint="default" w:ascii="仿宋" w:hAnsi="仿宋" w:eastAsia="仿宋_GB2312" w:cs="仿宋"/>
          <w:b w:val="0"/>
          <w:i w:val="0"/>
          <w:color w:val="auto"/>
          <w:spacing w:val="14"/>
          <w:kern w:val="2"/>
          <w:sz w:val="32"/>
          <w:szCs w:val="28"/>
          <w:lang w:val="en-US" w:eastAsia="zh-CN" w:bidi="ar-SA"/>
        </w:rPr>
        <w:t>《国务院关于推进养老服务发展的意见》（国办发</w:t>
      </w:r>
      <w:r>
        <w:rPr>
          <w:rFonts w:hint="eastAsia" w:ascii="仿宋" w:hAnsi="仿宋" w:eastAsia="仿宋_GB2312" w:cs="仿宋"/>
          <w:b w:val="0"/>
          <w:i w:val="0"/>
          <w:color w:val="auto"/>
          <w:spacing w:val="14"/>
          <w:kern w:val="2"/>
          <w:sz w:val="32"/>
          <w:szCs w:val="28"/>
          <w:lang w:val="en-US" w:eastAsia="zh-CN" w:bidi="ar-SA"/>
        </w:rPr>
        <w:t>〔2019〕5号</w:t>
      </w:r>
      <w:r>
        <w:rPr>
          <w:rFonts w:hint="default" w:ascii="仿宋" w:hAnsi="仿宋" w:eastAsia="仿宋_GB2312" w:cs="仿宋"/>
          <w:b w:val="0"/>
          <w:i w:val="0"/>
          <w:color w:val="auto"/>
          <w:spacing w:val="14"/>
          <w:kern w:val="2"/>
          <w:sz w:val="32"/>
          <w:szCs w:val="28"/>
          <w:lang w:val="en-US" w:eastAsia="zh-CN" w:bidi="ar-SA"/>
        </w:rPr>
        <w:t>）；</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w:t>
      </w:r>
      <w:r>
        <w:rPr>
          <w:rFonts w:hint="default" w:ascii="仿宋" w:hAnsi="仿宋" w:eastAsia="仿宋_GB2312" w:cs="仿宋"/>
          <w:b w:val="0"/>
          <w:i w:val="0"/>
          <w:color w:val="auto"/>
          <w:spacing w:val="14"/>
          <w:kern w:val="2"/>
          <w:sz w:val="32"/>
          <w:szCs w:val="28"/>
          <w:lang w:val="en-US" w:eastAsia="zh-CN" w:bidi="ar-SA"/>
        </w:rPr>
        <w:t>《民政部关于进一步扩大养老服务供给促进养老服务消费的实施意见》（民发〔2019〕88号）；</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w:t>
      </w:r>
      <w:r>
        <w:rPr>
          <w:rFonts w:hint="default" w:ascii="仿宋" w:hAnsi="仿宋" w:eastAsia="仿宋_GB2312" w:cs="仿宋"/>
          <w:b w:val="0"/>
          <w:i w:val="0"/>
          <w:color w:val="auto"/>
          <w:spacing w:val="14"/>
          <w:kern w:val="2"/>
          <w:sz w:val="32"/>
          <w:szCs w:val="28"/>
          <w:lang w:val="en-US" w:eastAsia="zh-CN" w:bidi="ar-SA"/>
        </w:rPr>
        <w:t>《广东省人民政府办公厅关于加快推进养老服务发展的若干措施》（粤府办〔2019〕23号）</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w:t>
      </w:r>
      <w:r>
        <w:rPr>
          <w:rFonts w:hint="default" w:ascii="仿宋" w:hAnsi="仿宋" w:eastAsia="仿宋_GB2312" w:cs="仿宋"/>
          <w:b w:val="0"/>
          <w:i w:val="0"/>
          <w:color w:val="auto"/>
          <w:spacing w:val="14"/>
          <w:kern w:val="2"/>
          <w:sz w:val="32"/>
          <w:szCs w:val="28"/>
          <w:lang w:val="en-US" w:eastAsia="zh-CN" w:bidi="ar-SA"/>
        </w:rPr>
        <w:t>《关于进一步推进养老服务高质量发展的实施意见》（苏政发〔2019〕85号）</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7)</w:t>
      </w:r>
      <w:r>
        <w:rPr>
          <w:rFonts w:hint="default" w:ascii="仿宋" w:hAnsi="仿宋" w:eastAsia="仿宋_GB2312" w:cs="仿宋"/>
          <w:b w:val="0"/>
          <w:i w:val="0"/>
          <w:color w:val="auto"/>
          <w:spacing w:val="14"/>
          <w:kern w:val="2"/>
          <w:sz w:val="32"/>
          <w:szCs w:val="28"/>
          <w:lang w:val="en-US" w:eastAsia="zh-CN" w:bidi="ar-SA"/>
        </w:rPr>
        <w:t>《关于推进基本养老服务体系建设的实施方案的通知》</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w:t>
      </w:r>
      <w:r>
        <w:rPr>
          <w:rFonts w:hint="default" w:ascii="仿宋" w:hAnsi="仿宋" w:eastAsia="仿宋_GB2312" w:cs="仿宋"/>
          <w:b w:val="0"/>
          <w:i w:val="0"/>
          <w:color w:val="auto"/>
          <w:spacing w:val="14"/>
          <w:kern w:val="2"/>
          <w:sz w:val="32"/>
          <w:szCs w:val="28"/>
          <w:lang w:val="en-US" w:eastAsia="zh-CN" w:bidi="ar-SA"/>
        </w:rPr>
        <w:t>《养老机构管理办法》中华人民共和国民政部令第66号；</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w:t>
      </w:r>
      <w:r>
        <w:rPr>
          <w:rFonts w:hint="default" w:ascii="仿宋" w:hAnsi="仿宋" w:eastAsia="仿宋_GB2312" w:cs="仿宋"/>
          <w:b w:val="0"/>
          <w:i w:val="0"/>
          <w:color w:val="auto"/>
          <w:spacing w:val="14"/>
          <w:kern w:val="2"/>
          <w:sz w:val="32"/>
          <w:szCs w:val="28"/>
          <w:lang w:val="en-US" w:eastAsia="zh-CN" w:bidi="ar-SA"/>
        </w:rPr>
        <w:t>《国务院办公厅关于全面放开养老服务市场提升养老服务质量的若干意见》（国办发〔2016〕91号）；</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w:t>
      </w:r>
      <w:r>
        <w:rPr>
          <w:rFonts w:hint="default" w:ascii="仿宋" w:hAnsi="仿宋" w:eastAsia="仿宋_GB2312" w:cs="仿宋"/>
          <w:b w:val="0"/>
          <w:i w:val="0"/>
          <w:color w:val="auto"/>
          <w:spacing w:val="14"/>
          <w:kern w:val="2"/>
          <w:sz w:val="32"/>
          <w:szCs w:val="28"/>
          <w:lang w:val="en-US" w:eastAsia="zh-CN" w:bidi="ar-SA"/>
        </w:rPr>
        <w:t>《广东省民政厅关于进一步完善公办养老机构社会化改革工作的通知》（粤民函</w:t>
      </w:r>
      <w:r>
        <w:rPr>
          <w:rFonts w:hint="eastAsia" w:ascii="仿宋" w:hAnsi="仿宋" w:eastAsia="仿宋_GB2312" w:cs="仿宋"/>
          <w:b w:val="0"/>
          <w:i w:val="0"/>
          <w:color w:val="auto"/>
          <w:spacing w:val="14"/>
          <w:kern w:val="2"/>
          <w:sz w:val="32"/>
          <w:szCs w:val="28"/>
          <w:lang w:val="en-US" w:eastAsia="zh-CN" w:bidi="ar-SA"/>
        </w:rPr>
        <w:t>〔2020〕1184号</w:t>
      </w:r>
      <w:r>
        <w:rPr>
          <w:rFonts w:hint="default" w:ascii="仿宋" w:hAnsi="仿宋" w:eastAsia="仿宋_GB2312" w:cs="仿宋"/>
          <w:b w:val="0"/>
          <w:i w:val="0"/>
          <w:color w:val="auto"/>
          <w:spacing w:val="14"/>
          <w:kern w:val="2"/>
          <w:sz w:val="32"/>
          <w:szCs w:val="28"/>
          <w:lang w:val="en-US" w:eastAsia="zh-CN" w:bidi="ar-SA"/>
        </w:rPr>
        <w:t>）；</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11)</w:t>
      </w:r>
      <w:r>
        <w:rPr>
          <w:rFonts w:hint="default" w:ascii="仿宋" w:hAnsi="仿宋" w:eastAsia="仿宋_GB2312" w:cs="仿宋"/>
          <w:b w:val="0"/>
          <w:i w:val="0"/>
          <w:color w:val="auto"/>
          <w:spacing w:val="14"/>
          <w:kern w:val="2"/>
          <w:sz w:val="32"/>
          <w:szCs w:val="28"/>
          <w:lang w:val="en-US" w:eastAsia="zh-CN" w:bidi="ar-SA"/>
        </w:rPr>
        <w:t>《关于开展公办养老机构改革试点的通知》</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12)</w:t>
      </w:r>
      <w:r>
        <w:rPr>
          <w:rFonts w:hint="default" w:ascii="仿宋" w:hAnsi="仿宋" w:eastAsia="仿宋_GB2312" w:cs="仿宋"/>
          <w:b w:val="0"/>
          <w:i w:val="0"/>
          <w:color w:val="auto"/>
          <w:spacing w:val="14"/>
          <w:kern w:val="2"/>
          <w:sz w:val="32"/>
          <w:szCs w:val="28"/>
          <w:lang w:val="en-US" w:eastAsia="zh-CN" w:bidi="ar-SA"/>
        </w:rPr>
        <w:t>《中国老龄事业的发展》白皮书</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13)</w:t>
      </w:r>
      <w:r>
        <w:rPr>
          <w:rFonts w:hint="default" w:ascii="仿宋" w:hAnsi="仿宋" w:eastAsia="仿宋_GB2312" w:cs="仿宋"/>
          <w:b w:val="0"/>
          <w:i w:val="0"/>
          <w:color w:val="auto"/>
          <w:spacing w:val="14"/>
          <w:kern w:val="2"/>
          <w:sz w:val="32"/>
          <w:szCs w:val="28"/>
          <w:lang w:val="en-US" w:eastAsia="zh-CN" w:bidi="ar-SA"/>
        </w:rPr>
        <w:t>《关于加快实现社会福利社会化的意见》</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14)</w:t>
      </w:r>
      <w:r>
        <w:rPr>
          <w:rFonts w:hint="default" w:ascii="仿宋" w:hAnsi="仿宋" w:eastAsia="仿宋_GB2312" w:cs="仿宋"/>
          <w:b w:val="0"/>
          <w:i w:val="0"/>
          <w:color w:val="auto"/>
          <w:spacing w:val="14"/>
          <w:kern w:val="2"/>
          <w:sz w:val="32"/>
          <w:szCs w:val="28"/>
          <w:lang w:val="en-US" w:eastAsia="zh-CN" w:bidi="ar-SA"/>
        </w:rPr>
        <w:t>《关于加快发展养老服务业的意见》</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15)</w:t>
      </w:r>
      <w:r>
        <w:rPr>
          <w:rFonts w:hint="default" w:ascii="仿宋" w:hAnsi="仿宋" w:eastAsia="仿宋_GB2312" w:cs="仿宋"/>
          <w:b w:val="0"/>
          <w:i w:val="0"/>
          <w:color w:val="auto"/>
          <w:spacing w:val="14"/>
          <w:kern w:val="2"/>
          <w:sz w:val="32"/>
          <w:szCs w:val="28"/>
          <w:lang w:val="en-US" w:eastAsia="zh-CN" w:bidi="ar-SA"/>
        </w:rPr>
        <w:t>《社会养老服务体系建设规划</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2011</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2015年</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16)</w:t>
      </w:r>
      <w:r>
        <w:rPr>
          <w:rFonts w:hint="default" w:ascii="仿宋" w:hAnsi="仿宋" w:eastAsia="仿宋_GB2312" w:cs="仿宋"/>
          <w:b w:val="0"/>
          <w:i w:val="0"/>
          <w:color w:val="auto"/>
          <w:spacing w:val="14"/>
          <w:kern w:val="2"/>
          <w:sz w:val="32"/>
          <w:szCs w:val="28"/>
          <w:lang w:val="en-US" w:eastAsia="zh-CN" w:bidi="ar-SA"/>
        </w:rPr>
        <w:t>《国家发展改革委民政部关于规范养老机构服务收费管理促进养老服务业健康发展的指导意见》（发改价格</w:t>
      </w:r>
      <w:r>
        <w:rPr>
          <w:rFonts w:hint="eastAsia" w:ascii="仿宋" w:hAnsi="仿宋" w:eastAsia="仿宋_GB2312" w:cs="仿宋"/>
          <w:b w:val="0"/>
          <w:i w:val="0"/>
          <w:color w:val="auto"/>
          <w:spacing w:val="14"/>
          <w:kern w:val="2"/>
          <w:sz w:val="32"/>
          <w:szCs w:val="28"/>
          <w:lang w:val="en-US" w:eastAsia="zh-CN" w:bidi="ar-SA"/>
        </w:rPr>
        <w:t>〔2015〕129号</w:t>
      </w:r>
      <w:r>
        <w:rPr>
          <w:rFonts w:hint="default" w:ascii="仿宋" w:hAnsi="仿宋" w:eastAsia="仿宋_GB2312" w:cs="仿宋"/>
          <w:b w:val="0"/>
          <w:i w:val="0"/>
          <w:color w:val="auto"/>
          <w:spacing w:val="14"/>
          <w:kern w:val="2"/>
          <w:sz w:val="32"/>
          <w:szCs w:val="28"/>
          <w:lang w:val="en-US" w:eastAsia="zh-CN" w:bidi="ar-SA"/>
        </w:rPr>
        <w:t>）</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17)</w:t>
      </w:r>
      <w:r>
        <w:rPr>
          <w:rFonts w:hint="default" w:ascii="仿宋" w:hAnsi="仿宋" w:eastAsia="仿宋_GB2312" w:cs="仿宋"/>
          <w:b w:val="0"/>
          <w:i w:val="0"/>
          <w:color w:val="auto"/>
          <w:spacing w:val="14"/>
          <w:kern w:val="2"/>
          <w:sz w:val="32"/>
          <w:szCs w:val="28"/>
          <w:lang w:val="en-US" w:eastAsia="zh-CN" w:bidi="ar-SA"/>
        </w:rPr>
        <w:t>《关于加快运用公建民营模式盘活基础设施存量资产有关工作的通知》（发改投资</w:t>
      </w:r>
      <w:r>
        <w:rPr>
          <w:rFonts w:hint="eastAsia" w:ascii="仿宋" w:hAnsi="仿宋" w:eastAsia="仿宋_GB2312" w:cs="仿宋"/>
          <w:b w:val="0"/>
          <w:i w:val="0"/>
          <w:color w:val="auto"/>
          <w:spacing w:val="14"/>
          <w:kern w:val="2"/>
          <w:sz w:val="32"/>
          <w:szCs w:val="28"/>
          <w:lang w:val="en-US" w:eastAsia="zh-CN" w:bidi="ar-SA"/>
        </w:rPr>
        <w:t>〔2017〕</w:t>
      </w:r>
      <w:r>
        <w:rPr>
          <w:rFonts w:hint="default" w:ascii="仿宋" w:hAnsi="仿宋" w:eastAsia="仿宋_GB2312" w:cs="仿宋"/>
          <w:b w:val="0"/>
          <w:i w:val="0"/>
          <w:color w:val="auto"/>
          <w:spacing w:val="14"/>
          <w:kern w:val="2"/>
          <w:sz w:val="32"/>
          <w:szCs w:val="28"/>
          <w:lang w:val="en-US" w:eastAsia="zh-CN" w:bidi="ar-SA"/>
        </w:rPr>
        <w:t>1266 号）</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18)</w:t>
      </w:r>
      <w:r>
        <w:rPr>
          <w:rFonts w:hint="default" w:ascii="仿宋" w:hAnsi="仿宋" w:eastAsia="仿宋_GB2312" w:cs="仿宋"/>
          <w:b w:val="0"/>
          <w:i w:val="0"/>
          <w:color w:val="auto"/>
          <w:spacing w:val="14"/>
          <w:kern w:val="2"/>
          <w:sz w:val="32"/>
          <w:szCs w:val="28"/>
          <w:lang w:val="en-US" w:eastAsia="zh-CN" w:bidi="ar-SA"/>
        </w:rPr>
        <w:t>《广东省民政事业发展“十四五”规划（2021</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2025年）》（粤民发〔2021〕56号）</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19)</w:t>
      </w:r>
      <w:r>
        <w:rPr>
          <w:rFonts w:hint="default" w:ascii="仿宋" w:hAnsi="仿宋" w:eastAsia="仿宋_GB2312" w:cs="仿宋"/>
          <w:b w:val="0"/>
          <w:i w:val="0"/>
          <w:color w:val="auto"/>
          <w:spacing w:val="14"/>
          <w:kern w:val="2"/>
          <w:sz w:val="32"/>
          <w:szCs w:val="28"/>
          <w:lang w:val="en-US" w:eastAsia="zh-CN" w:bidi="ar-SA"/>
        </w:rPr>
        <w:t>《韶关市养老服务体系建设“十四五”规划》的通知（韶民发〔2022〕199号）</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w:t>
      </w:r>
      <w:r>
        <w:rPr>
          <w:rFonts w:hint="default" w:ascii="仿宋" w:hAnsi="仿宋" w:eastAsia="仿宋_GB2312" w:cs="仿宋"/>
          <w:b w:val="0"/>
          <w:i w:val="0"/>
          <w:color w:val="auto"/>
          <w:spacing w:val="14"/>
          <w:kern w:val="2"/>
          <w:sz w:val="32"/>
          <w:szCs w:val="28"/>
          <w:lang w:val="en-US" w:eastAsia="zh-CN" w:bidi="ar-SA"/>
        </w:rPr>
        <w:t>《韶关市民办养老服务机构扶持资助办法》（韶府规审〔2022〕17号）</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21)</w:t>
      </w:r>
      <w:r>
        <w:rPr>
          <w:rFonts w:hint="default" w:ascii="仿宋" w:hAnsi="仿宋" w:eastAsia="仿宋_GB2312" w:cs="仿宋"/>
          <w:b w:val="0"/>
          <w:i w:val="0"/>
          <w:color w:val="auto"/>
          <w:spacing w:val="14"/>
          <w:kern w:val="2"/>
          <w:sz w:val="32"/>
          <w:szCs w:val="28"/>
          <w:lang w:val="en-US" w:eastAsia="zh-CN" w:bidi="ar-SA"/>
        </w:rPr>
        <w:t>《</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县民政事业发展“十四五”规划》的通知（始府办〔2022〕5号）</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22)</w:t>
      </w:r>
      <w:r>
        <w:rPr>
          <w:rFonts w:hint="default" w:ascii="仿宋" w:hAnsi="仿宋" w:eastAsia="仿宋_GB2312" w:cs="仿宋"/>
          <w:b w:val="0"/>
          <w:i w:val="0"/>
          <w:color w:val="auto"/>
          <w:spacing w:val="14"/>
          <w:kern w:val="2"/>
          <w:sz w:val="32"/>
          <w:szCs w:val="28"/>
          <w:lang w:val="en-US" w:eastAsia="zh-CN" w:bidi="ar-SA"/>
        </w:rPr>
        <w:t>《</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县城市规划委员会成员会议纪要</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（〔2022〕4号）；</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23)</w:t>
      </w:r>
      <w:r>
        <w:rPr>
          <w:rFonts w:hint="default" w:ascii="仿宋" w:hAnsi="仿宋" w:eastAsia="仿宋_GB2312" w:cs="仿宋"/>
          <w:b w:val="0"/>
          <w:i w:val="0"/>
          <w:color w:val="auto"/>
          <w:spacing w:val="14"/>
          <w:kern w:val="2"/>
          <w:sz w:val="32"/>
          <w:szCs w:val="28"/>
          <w:lang w:val="en-US" w:eastAsia="zh-CN" w:bidi="ar-SA"/>
        </w:rPr>
        <w:t>《</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县城市规划委员会成员会议纪要</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（〔2022〕8号）；</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24)</w:t>
      </w:r>
      <w:r>
        <w:rPr>
          <w:rFonts w:hint="default" w:ascii="仿宋" w:hAnsi="仿宋" w:eastAsia="仿宋_GB2312" w:cs="仿宋"/>
          <w:b w:val="0"/>
          <w:i w:val="0"/>
          <w:color w:val="auto"/>
          <w:spacing w:val="14"/>
          <w:kern w:val="2"/>
          <w:sz w:val="32"/>
          <w:szCs w:val="28"/>
          <w:lang w:val="en-US" w:eastAsia="zh-CN" w:bidi="ar-SA"/>
        </w:rPr>
        <w:t>《</w:t>
      </w:r>
      <w:r>
        <w:rPr>
          <w:rFonts w:hint="eastAsia" w:ascii="仿宋" w:hAnsi="仿宋" w:eastAsia="仿宋_GB2312" w:cs="仿宋"/>
          <w:b w:val="0"/>
          <w:i w:val="0"/>
          <w:color w:val="auto"/>
          <w:spacing w:val="14"/>
          <w:kern w:val="2"/>
          <w:sz w:val="32"/>
          <w:szCs w:val="28"/>
          <w:lang w:val="en-US" w:eastAsia="zh-CN" w:bidi="ar-SA"/>
        </w:rPr>
        <w:t>仁化县委</w:t>
      </w:r>
      <w:r>
        <w:rPr>
          <w:rFonts w:hint="default" w:ascii="仿宋" w:hAnsi="仿宋" w:eastAsia="仿宋_GB2312" w:cs="仿宋"/>
          <w:b w:val="0"/>
          <w:i w:val="0"/>
          <w:color w:val="auto"/>
          <w:spacing w:val="14"/>
          <w:kern w:val="2"/>
          <w:sz w:val="32"/>
          <w:szCs w:val="28"/>
          <w:lang w:val="en-US" w:eastAsia="zh-CN" w:bidi="ar-SA"/>
        </w:rPr>
        <w:t>十四届第28次常委会会议纪要》；</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25)</w:t>
      </w:r>
      <w:r>
        <w:rPr>
          <w:rFonts w:hint="default" w:ascii="仿宋" w:hAnsi="仿宋" w:eastAsia="仿宋_GB2312" w:cs="仿宋"/>
          <w:b w:val="0"/>
          <w:i w:val="0"/>
          <w:color w:val="auto"/>
          <w:spacing w:val="14"/>
          <w:kern w:val="2"/>
          <w:sz w:val="32"/>
          <w:szCs w:val="28"/>
          <w:lang w:val="en-US" w:eastAsia="zh-CN" w:bidi="ar-SA"/>
        </w:rPr>
        <w:t>《</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县政府十六届第16次常务会议纪要》；</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26)</w:t>
      </w:r>
      <w:r>
        <w:rPr>
          <w:rFonts w:hint="default" w:ascii="仿宋" w:hAnsi="仿宋" w:eastAsia="仿宋_GB2312" w:cs="仿宋"/>
          <w:b w:val="0"/>
          <w:i w:val="0"/>
          <w:color w:val="auto"/>
          <w:spacing w:val="14"/>
          <w:kern w:val="2"/>
          <w:sz w:val="32"/>
          <w:szCs w:val="28"/>
          <w:lang w:val="en-US" w:eastAsia="zh-CN" w:bidi="ar-SA"/>
        </w:rPr>
        <w:t>《始发改投审》（〔2022〕47号）；</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27)</w:t>
      </w:r>
      <w:r>
        <w:rPr>
          <w:rFonts w:hint="default" w:ascii="仿宋" w:hAnsi="仿宋" w:eastAsia="仿宋_GB2312" w:cs="仿宋"/>
          <w:b w:val="0"/>
          <w:i w:val="0"/>
          <w:color w:val="auto"/>
          <w:spacing w:val="14"/>
          <w:kern w:val="2"/>
          <w:sz w:val="32"/>
          <w:szCs w:val="28"/>
          <w:lang w:val="en-US" w:eastAsia="zh-CN" w:bidi="ar-SA"/>
        </w:rPr>
        <w:t>《关于</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县养老服务中心建设项目立项的申请》；</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28)</w:t>
      </w:r>
      <w:r>
        <w:rPr>
          <w:rFonts w:hint="default" w:ascii="仿宋" w:hAnsi="仿宋" w:eastAsia="仿宋_GB2312" w:cs="仿宋"/>
          <w:b w:val="0"/>
          <w:i w:val="0"/>
          <w:color w:val="auto"/>
          <w:spacing w:val="14"/>
          <w:kern w:val="2"/>
          <w:sz w:val="32"/>
          <w:szCs w:val="28"/>
          <w:lang w:val="en-US" w:eastAsia="zh-CN" w:bidi="ar-SA"/>
        </w:rPr>
        <w:t>《关于</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县养老服务中心建设项目重新立项的请示》；</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29)</w:t>
      </w:r>
      <w:r>
        <w:rPr>
          <w:rFonts w:hint="default" w:ascii="仿宋" w:hAnsi="仿宋" w:eastAsia="仿宋_GB2312" w:cs="仿宋"/>
          <w:b w:val="0"/>
          <w:i w:val="0"/>
          <w:color w:val="auto"/>
          <w:spacing w:val="14"/>
          <w:kern w:val="2"/>
          <w:sz w:val="32"/>
          <w:szCs w:val="28"/>
          <w:lang w:val="en-US" w:eastAsia="zh-CN" w:bidi="ar-SA"/>
        </w:rPr>
        <w:t>《</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县养老服务中心建设项目可行性研究报告》；</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30)</w:t>
      </w:r>
      <w:r>
        <w:rPr>
          <w:rFonts w:hint="default" w:ascii="仿宋" w:hAnsi="仿宋" w:eastAsia="仿宋_GB2312" w:cs="仿宋"/>
          <w:b w:val="0"/>
          <w:i w:val="0"/>
          <w:color w:val="auto"/>
          <w:spacing w:val="14"/>
          <w:kern w:val="2"/>
          <w:sz w:val="32"/>
          <w:szCs w:val="28"/>
          <w:lang w:val="en-US" w:eastAsia="zh-CN" w:bidi="ar-SA"/>
        </w:rPr>
        <w:t>《202</w:t>
      </w:r>
      <w:r>
        <w:rPr>
          <w:rFonts w:hint="eastAsia" w:ascii="仿宋" w:hAnsi="仿宋" w:eastAsia="仿宋_GB2312" w:cs="仿宋"/>
          <w:b w:val="0"/>
          <w:i w:val="0"/>
          <w:color w:val="auto"/>
          <w:spacing w:val="14"/>
          <w:kern w:val="2"/>
          <w:sz w:val="32"/>
          <w:szCs w:val="28"/>
          <w:lang w:val="en-US" w:eastAsia="zh-CN" w:bidi="ar-SA"/>
        </w:rPr>
        <w:t>4</w:t>
      </w:r>
      <w:r>
        <w:rPr>
          <w:rFonts w:hint="default" w:ascii="仿宋" w:hAnsi="仿宋" w:eastAsia="仿宋_GB2312" w:cs="仿宋"/>
          <w:b w:val="0"/>
          <w:i w:val="0"/>
          <w:color w:val="auto"/>
          <w:spacing w:val="14"/>
          <w:kern w:val="2"/>
          <w:sz w:val="32"/>
          <w:szCs w:val="28"/>
          <w:lang w:val="en-US" w:eastAsia="zh-CN" w:bidi="ar-SA"/>
        </w:rPr>
        <w:t>年广东省政府专项债券（三十六期）韶关市</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县养老服务（设施）建设项目募投报告》；</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31)</w:t>
      </w:r>
      <w:r>
        <w:rPr>
          <w:rFonts w:hint="default" w:ascii="仿宋" w:hAnsi="仿宋" w:eastAsia="仿宋_GB2312" w:cs="仿宋"/>
          <w:b w:val="0"/>
          <w:i w:val="0"/>
          <w:color w:val="auto"/>
          <w:spacing w:val="14"/>
          <w:kern w:val="2"/>
          <w:sz w:val="32"/>
          <w:szCs w:val="28"/>
          <w:lang w:val="en-US" w:eastAsia="zh-CN" w:bidi="ar-SA"/>
        </w:rPr>
        <w:t>《关于</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县养老服务中心建设项目预算价的评审报告》</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32)</w:t>
      </w:r>
      <w:r>
        <w:rPr>
          <w:rFonts w:hint="default" w:ascii="仿宋" w:hAnsi="仿宋" w:eastAsia="仿宋_GB2312" w:cs="仿宋"/>
          <w:b w:val="0"/>
          <w:i w:val="0"/>
          <w:color w:val="auto"/>
          <w:spacing w:val="14"/>
          <w:kern w:val="2"/>
          <w:sz w:val="32"/>
          <w:szCs w:val="28"/>
          <w:lang w:val="en-US" w:eastAsia="zh-CN" w:bidi="ar-SA"/>
        </w:rPr>
        <w:t>《2024年全市城乡低保、特困人员供养最低标准》</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33)</w:t>
      </w:r>
      <w:r>
        <w:rPr>
          <w:rFonts w:hint="default" w:ascii="仿宋" w:hAnsi="仿宋" w:eastAsia="仿宋_GB2312" w:cs="仿宋"/>
          <w:b w:val="0"/>
          <w:i w:val="0"/>
          <w:color w:val="auto"/>
          <w:spacing w:val="14"/>
          <w:kern w:val="2"/>
          <w:sz w:val="32"/>
          <w:szCs w:val="28"/>
          <w:lang w:val="en-US" w:eastAsia="zh-CN" w:bidi="ar-SA"/>
        </w:rPr>
        <w:t>《韶关市民政局关于提高特困人员照料护理标准的通知》（韶民发〔2021〕223号）</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34)</w:t>
      </w:r>
      <w:r>
        <w:rPr>
          <w:rFonts w:hint="default" w:ascii="仿宋" w:hAnsi="仿宋" w:eastAsia="仿宋_GB2312" w:cs="仿宋"/>
          <w:b w:val="0"/>
          <w:i w:val="0"/>
          <w:color w:val="auto"/>
          <w:spacing w:val="14"/>
          <w:kern w:val="2"/>
          <w:sz w:val="32"/>
          <w:szCs w:val="28"/>
          <w:lang w:val="en-US" w:eastAsia="zh-CN" w:bidi="ar-SA"/>
        </w:rPr>
        <w:t>《韶关市民办养老服务机构扶持资助办法》（韶府规审〔2022〕17号）</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35)</w:t>
      </w:r>
      <w:r>
        <w:rPr>
          <w:rFonts w:hint="default" w:ascii="仿宋" w:hAnsi="仿宋" w:eastAsia="仿宋_GB2312" w:cs="仿宋"/>
          <w:b w:val="0"/>
          <w:i w:val="0"/>
          <w:color w:val="auto"/>
          <w:spacing w:val="14"/>
          <w:kern w:val="2"/>
          <w:sz w:val="32"/>
          <w:szCs w:val="28"/>
          <w:lang w:val="en-US" w:eastAsia="zh-CN" w:bidi="ar-SA"/>
        </w:rPr>
        <w:t>《营业税改征增值税试点过渡政策的规定》（财税〔2016〕36号印发）</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36)</w:t>
      </w:r>
      <w:r>
        <w:rPr>
          <w:rFonts w:hint="default" w:ascii="仿宋" w:hAnsi="仿宋" w:eastAsia="仿宋_GB2312" w:cs="仿宋"/>
          <w:b w:val="0"/>
          <w:i w:val="0"/>
          <w:color w:val="auto"/>
          <w:spacing w:val="14"/>
          <w:kern w:val="2"/>
          <w:sz w:val="32"/>
          <w:szCs w:val="28"/>
          <w:lang w:val="en-US" w:eastAsia="zh-CN" w:bidi="ar-SA"/>
        </w:rPr>
        <w:t>《中华人民共和国企业所得税法》</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37)</w:t>
      </w:r>
      <w:r>
        <w:rPr>
          <w:rFonts w:hint="default" w:ascii="仿宋" w:hAnsi="仿宋" w:eastAsia="仿宋_GB2312" w:cs="仿宋"/>
          <w:b w:val="0"/>
          <w:i w:val="0"/>
          <w:color w:val="auto"/>
          <w:spacing w:val="14"/>
          <w:kern w:val="2"/>
          <w:sz w:val="32"/>
          <w:szCs w:val="28"/>
          <w:lang w:val="en-US" w:eastAsia="zh-CN" w:bidi="ar-SA"/>
        </w:rPr>
        <w:t>《财政部、国家税务总局关于非营利组织企业所得税免税收入问题的通知》</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财税</w:t>
      </w:r>
      <w:r>
        <w:rPr>
          <w:rFonts w:hint="eastAsia" w:ascii="仿宋" w:hAnsi="仿宋" w:eastAsia="仿宋_GB2312" w:cs="仿宋"/>
          <w:b w:val="0"/>
          <w:i w:val="0"/>
          <w:color w:val="auto"/>
          <w:spacing w:val="14"/>
          <w:kern w:val="2"/>
          <w:sz w:val="32"/>
          <w:szCs w:val="28"/>
          <w:lang w:val="en-US" w:eastAsia="zh-CN" w:bidi="ar-SA"/>
        </w:rPr>
        <w:t>〔2009〕122号）</w:t>
      </w:r>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33" w:name="_Toc16233"/>
      <w:r>
        <w:rPr>
          <w:rFonts w:hint="default" w:ascii="仿宋" w:hAnsi="仿宋" w:eastAsia="仿宋" w:cs="Times New Roman"/>
          <w:b/>
          <w:color w:val="auto"/>
          <w:szCs w:val="28"/>
          <w:lang w:val="en-US" w:eastAsia="zh-CN"/>
        </w:rPr>
        <w:t>1.7.2技术规范</w:t>
      </w:r>
      <w:bookmarkEnd w:id="33"/>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w:t>
      </w:r>
      <w:r>
        <w:rPr>
          <w:rFonts w:hint="default" w:ascii="仿宋" w:hAnsi="仿宋" w:eastAsia="仿宋_GB2312" w:cs="仿宋"/>
          <w:b w:val="0"/>
          <w:i w:val="0"/>
          <w:color w:val="auto"/>
          <w:spacing w:val="14"/>
          <w:kern w:val="2"/>
          <w:sz w:val="32"/>
          <w:szCs w:val="28"/>
          <w:lang w:val="en-US" w:eastAsia="zh-CN" w:bidi="ar-SA"/>
        </w:rPr>
        <w:t>《养老机构等级划分与评定国家标准》（GB/T37276-2018）；</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w:t>
      </w:r>
      <w:r>
        <w:rPr>
          <w:rFonts w:hint="default" w:ascii="仿宋" w:hAnsi="仿宋" w:eastAsia="仿宋_GB2312" w:cs="仿宋"/>
          <w:b w:val="0"/>
          <w:i w:val="0"/>
          <w:color w:val="auto"/>
          <w:spacing w:val="14"/>
          <w:kern w:val="2"/>
          <w:sz w:val="32"/>
          <w:szCs w:val="28"/>
          <w:lang w:val="en-US" w:eastAsia="zh-CN" w:bidi="ar-SA"/>
        </w:rPr>
        <w:t>《养老机构等级划分与评定》国家标准实施指南（试行）；</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w:t>
      </w:r>
      <w:r>
        <w:rPr>
          <w:rFonts w:hint="default" w:ascii="仿宋" w:hAnsi="仿宋" w:eastAsia="仿宋_GB2312" w:cs="仿宋"/>
          <w:b w:val="0"/>
          <w:i w:val="0"/>
          <w:color w:val="auto"/>
          <w:spacing w:val="14"/>
          <w:kern w:val="2"/>
          <w:sz w:val="32"/>
          <w:szCs w:val="28"/>
          <w:lang w:val="en-US" w:eastAsia="zh-CN" w:bidi="ar-SA"/>
        </w:rPr>
        <w:t>《养老机构服务质量基本规范》（GB/T35796-2017）；</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w:t>
      </w:r>
      <w:r>
        <w:rPr>
          <w:rFonts w:hint="default" w:ascii="仿宋" w:hAnsi="仿宋" w:eastAsia="仿宋_GB2312" w:cs="仿宋"/>
          <w:b w:val="0"/>
          <w:i w:val="0"/>
          <w:color w:val="auto"/>
          <w:spacing w:val="14"/>
          <w:kern w:val="2"/>
          <w:sz w:val="32"/>
          <w:szCs w:val="28"/>
          <w:lang w:val="en-US" w:eastAsia="zh-CN" w:bidi="ar-SA"/>
        </w:rPr>
        <w:t>《广东省民政厅关于养老机构星级评定的管理办法（试行）》；</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w:t>
      </w:r>
      <w:r>
        <w:rPr>
          <w:rFonts w:hint="default" w:ascii="仿宋" w:hAnsi="仿宋" w:eastAsia="仿宋_GB2312" w:cs="仿宋"/>
          <w:b w:val="0"/>
          <w:i w:val="0"/>
          <w:color w:val="auto"/>
          <w:spacing w:val="14"/>
          <w:kern w:val="2"/>
          <w:sz w:val="32"/>
          <w:szCs w:val="28"/>
          <w:lang w:val="en-US" w:eastAsia="zh-CN" w:bidi="ar-SA"/>
        </w:rPr>
        <w:t>《社区老年人日间照料中心建设标准（建标 143-2010）》；</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w:t>
      </w:r>
      <w:r>
        <w:rPr>
          <w:rFonts w:hint="default" w:ascii="仿宋" w:hAnsi="仿宋" w:eastAsia="仿宋_GB2312" w:cs="仿宋"/>
          <w:b w:val="0"/>
          <w:i w:val="0"/>
          <w:color w:val="auto"/>
          <w:spacing w:val="14"/>
          <w:kern w:val="2"/>
          <w:sz w:val="32"/>
          <w:szCs w:val="28"/>
          <w:lang w:val="en-US" w:eastAsia="zh-CN" w:bidi="ar-SA"/>
        </w:rPr>
        <w:t>《老年人照料设施建筑设计标准（JGJ450-2018）》；</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7)</w:t>
      </w:r>
      <w:r>
        <w:rPr>
          <w:rFonts w:hint="default" w:ascii="仿宋" w:hAnsi="仿宋" w:eastAsia="仿宋_GB2312" w:cs="仿宋"/>
          <w:b w:val="0"/>
          <w:i w:val="0"/>
          <w:color w:val="auto"/>
          <w:spacing w:val="14"/>
          <w:kern w:val="2"/>
          <w:sz w:val="32"/>
          <w:szCs w:val="28"/>
          <w:lang w:val="en-US" w:eastAsia="zh-CN" w:bidi="ar-SA"/>
        </w:rPr>
        <w:t>《老年养护院建设标准（建标 144-2010）》；</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w:t>
      </w:r>
      <w:r>
        <w:rPr>
          <w:rFonts w:hint="default" w:ascii="仿宋" w:hAnsi="仿宋" w:eastAsia="仿宋_GB2312" w:cs="仿宋"/>
          <w:b w:val="0"/>
          <w:i w:val="0"/>
          <w:color w:val="auto"/>
          <w:spacing w:val="14"/>
          <w:kern w:val="2"/>
          <w:sz w:val="32"/>
          <w:szCs w:val="28"/>
          <w:lang w:val="en-US" w:eastAsia="zh-CN" w:bidi="ar-SA"/>
        </w:rPr>
        <w:t>《老年人社会福利机构基本规范（MZ008-2001）》；</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w:t>
      </w:r>
      <w:r>
        <w:rPr>
          <w:rFonts w:hint="default" w:ascii="仿宋" w:hAnsi="仿宋" w:eastAsia="仿宋_GB2312" w:cs="仿宋"/>
          <w:b w:val="0"/>
          <w:i w:val="0"/>
          <w:color w:val="auto"/>
          <w:spacing w:val="14"/>
          <w:kern w:val="2"/>
          <w:sz w:val="32"/>
          <w:szCs w:val="28"/>
          <w:lang w:val="en-US" w:eastAsia="zh-CN" w:bidi="ar-SA"/>
        </w:rPr>
        <w:t>《城镇老年人设施规划规范》（GB50437-2007）（2018 年版）；</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w:t>
      </w:r>
      <w:r>
        <w:rPr>
          <w:rFonts w:hint="default" w:ascii="仿宋" w:hAnsi="仿宋" w:eastAsia="仿宋_GB2312" w:cs="仿宋"/>
          <w:b w:val="0"/>
          <w:i w:val="0"/>
          <w:color w:val="auto"/>
          <w:spacing w:val="14"/>
          <w:kern w:val="2"/>
          <w:sz w:val="32"/>
          <w:szCs w:val="28"/>
          <w:lang w:val="en-US" w:eastAsia="zh-CN" w:bidi="ar-SA"/>
        </w:rPr>
        <w:t>《社区居家养老服务规范》（DBJ440100/T288-2017）；</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11)</w:t>
      </w:r>
      <w:r>
        <w:rPr>
          <w:rFonts w:hint="default" w:ascii="仿宋" w:hAnsi="仿宋" w:eastAsia="仿宋_GB2312" w:cs="仿宋"/>
          <w:b w:val="0"/>
          <w:i w:val="0"/>
          <w:color w:val="auto"/>
          <w:spacing w:val="14"/>
          <w:kern w:val="2"/>
          <w:sz w:val="32"/>
          <w:szCs w:val="28"/>
          <w:lang w:val="en-US" w:eastAsia="zh-CN" w:bidi="ar-SA"/>
        </w:rPr>
        <w:t>《养老机构等级划分与评定》（GB/T37276-2018）；</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12)</w:t>
      </w:r>
      <w:r>
        <w:rPr>
          <w:rFonts w:hint="default" w:ascii="仿宋" w:hAnsi="仿宋" w:eastAsia="仿宋_GB2312" w:cs="仿宋"/>
          <w:b w:val="0"/>
          <w:i w:val="0"/>
          <w:color w:val="auto"/>
          <w:spacing w:val="14"/>
          <w:kern w:val="2"/>
          <w:sz w:val="32"/>
          <w:szCs w:val="28"/>
          <w:lang w:val="en-US" w:eastAsia="zh-CN" w:bidi="ar-SA"/>
        </w:rPr>
        <w:t>《广东省用水定额》(DB44/T1461-2021)；</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13)</w:t>
      </w:r>
      <w:r>
        <w:rPr>
          <w:rFonts w:hint="default" w:ascii="仿宋" w:hAnsi="仿宋" w:eastAsia="仿宋_GB2312" w:cs="仿宋"/>
          <w:b w:val="0"/>
          <w:i w:val="0"/>
          <w:color w:val="auto"/>
          <w:spacing w:val="14"/>
          <w:kern w:val="2"/>
          <w:sz w:val="32"/>
          <w:szCs w:val="28"/>
          <w:lang w:val="en-US" w:eastAsia="zh-CN" w:bidi="ar-SA"/>
        </w:rPr>
        <w:t>《城镇燃气设计规范》</w:t>
      </w:r>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34" w:name="_Toc29642"/>
      <w:r>
        <w:rPr>
          <w:rFonts w:hint="default" w:ascii="仿宋" w:hAnsi="仿宋" w:eastAsia="仿宋" w:cs="Times New Roman"/>
          <w:b/>
          <w:color w:val="auto"/>
          <w:szCs w:val="28"/>
          <w:lang w:val="en-US" w:eastAsia="zh-CN"/>
        </w:rPr>
        <w:t>1.7.3其他资料</w:t>
      </w:r>
      <w:bookmarkEnd w:id="34"/>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仁化县民政和退役军人事务局</w:t>
      </w:r>
      <w:r>
        <w:rPr>
          <w:rFonts w:hint="default" w:ascii="仿宋" w:hAnsi="仿宋" w:eastAsia="仿宋_GB2312" w:cs="仿宋"/>
          <w:b w:val="0"/>
          <w:i w:val="0"/>
          <w:color w:val="auto"/>
          <w:spacing w:val="14"/>
          <w:kern w:val="2"/>
          <w:sz w:val="32"/>
          <w:szCs w:val="28"/>
          <w:lang w:val="en-US" w:eastAsia="zh-CN" w:bidi="ar-SA"/>
        </w:rPr>
        <w:t>提供的其他资料以及根据公开网站查询到的资料</w:t>
      </w:r>
      <w:r>
        <w:rPr>
          <w:rFonts w:hint="eastAsia" w:ascii="仿宋" w:hAnsi="仿宋" w:eastAsia="仿宋_GB2312" w:cs="仿宋"/>
          <w:b w:val="0"/>
          <w:i w:val="0"/>
          <w:color w:val="auto"/>
          <w:spacing w:val="14"/>
          <w:kern w:val="2"/>
          <w:sz w:val="32"/>
          <w:szCs w:val="28"/>
          <w:lang w:val="en-US" w:eastAsia="zh-CN" w:bidi="ar-SA"/>
        </w:rPr>
        <w:t>。</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p>
    <w:p>
      <w:pPr>
        <w:pStyle w:val="2"/>
        <w:pageBreakBefore w:val="0"/>
        <w:widowControl w:val="0"/>
        <w:numPr>
          <w:ilvl w:val="0"/>
          <w:numId w:val="0"/>
        </w:numPr>
        <w:kinsoku/>
        <w:wordWrap/>
        <w:overflowPunct/>
        <w:topLinePunct w:val="0"/>
        <w:autoSpaceDE/>
        <w:autoSpaceDN/>
        <w:bidi w:val="0"/>
        <w:adjustRightInd/>
        <w:snapToGrid/>
        <w:spacing w:line="360" w:lineRule="auto"/>
        <w:ind w:left="922" w:leftChars="0" w:hanging="432" w:firstLineChars="0"/>
        <w:jc w:val="center"/>
        <w:textAlignment w:val="auto"/>
        <w:rPr>
          <w:rFonts w:hint="default"/>
          <w:color w:val="auto"/>
          <w:lang w:val="en-US" w:eastAsia="zh-CN"/>
        </w:rPr>
      </w:pPr>
      <w:bookmarkStart w:id="35" w:name="_Toc27723"/>
      <w:r>
        <w:rPr>
          <w:rFonts w:hint="eastAsia" w:ascii="微软雅黑" w:hAnsi="微软雅黑" w:eastAsia="微软雅黑" w:cs="Times New Roman"/>
          <w:b/>
          <w:color w:val="auto"/>
          <w:kern w:val="44"/>
          <w:sz w:val="32"/>
          <w:szCs w:val="32"/>
          <w:lang w:val="en-US" w:eastAsia="zh-CN" w:bidi="ar-SA"/>
        </w:rPr>
        <w:t xml:space="preserve">第二章 </w:t>
      </w:r>
      <w:r>
        <w:rPr>
          <w:rFonts w:hint="default" w:ascii="微软雅黑" w:hAnsi="微软雅黑" w:eastAsia="微软雅黑" w:cs="Times New Roman"/>
          <w:b/>
          <w:color w:val="auto"/>
          <w:szCs w:val="32"/>
          <w:lang w:val="en-US" w:eastAsia="zh-CN"/>
        </w:rPr>
        <w:t>采用公建民营实施本项目的必要性和可行性</w:t>
      </w:r>
      <w:bookmarkEnd w:id="35"/>
    </w:p>
    <w:p>
      <w:pPr>
        <w:pStyle w:val="3"/>
        <w:pageBreakBefore w:val="0"/>
        <w:widowControl w:val="0"/>
        <w:numPr>
          <w:ilvl w:val="1"/>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p>
    <w:p>
      <w:pPr>
        <w:pStyle w:val="3"/>
        <w:pageBreakBefore w:val="0"/>
        <w:widowControl w:val="0"/>
        <w:numPr>
          <w:ilvl w:val="1"/>
          <w:numId w:val="0"/>
        </w:numPr>
        <w:kinsoku/>
        <w:wordWrap/>
        <w:overflowPunct/>
        <w:topLinePunct w:val="0"/>
        <w:autoSpaceDE/>
        <w:autoSpaceDN/>
        <w:bidi w:val="0"/>
        <w:adjustRightInd/>
        <w:snapToGrid/>
        <w:spacing w:line="360" w:lineRule="auto"/>
        <w:textAlignment w:val="auto"/>
        <w:rPr>
          <w:rFonts w:hint="default" w:ascii="仿宋" w:hAnsi="仿宋" w:eastAsia="仿宋" w:cs="仿宋"/>
          <w:color w:val="auto"/>
          <w:spacing w:val="14"/>
          <w:kern w:val="2"/>
          <w:sz w:val="28"/>
          <w:szCs w:val="28"/>
          <w:lang w:val="en-US" w:eastAsia="zh-CN" w:bidi="ar-SA"/>
        </w:rPr>
      </w:pPr>
      <w:bookmarkStart w:id="36" w:name="_Toc29002"/>
      <w:r>
        <w:rPr>
          <w:rFonts w:hint="default" w:ascii="仿宋" w:hAnsi="仿宋" w:eastAsia="仿宋" w:cs="Times New Roman"/>
          <w:b/>
          <w:color w:val="auto"/>
          <w:szCs w:val="28"/>
          <w:lang w:val="en-US" w:eastAsia="zh-CN"/>
        </w:rPr>
        <w:t>2.1必要性</w:t>
      </w:r>
      <w:bookmarkEnd w:id="36"/>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37" w:name="_Toc18554"/>
      <w:r>
        <w:rPr>
          <w:rFonts w:hint="default" w:ascii="仿宋" w:hAnsi="仿宋" w:eastAsia="仿宋" w:cs="Times New Roman"/>
          <w:b/>
          <w:color w:val="auto"/>
          <w:szCs w:val="28"/>
          <w:lang w:val="en-US" w:eastAsia="zh-CN"/>
        </w:rPr>
        <w:t>2.1.1符合国家近期政策要求</w:t>
      </w:r>
      <w:bookmarkEnd w:id="37"/>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公建民营是为加快发展我国养老服务业、提升养老服务质量，国家对养老设施机构所倡导的一种重要经营模式。养老实施机构公建民营是指政府通过承包、委托、联合经营等方式，将政府拥有所有权但尚未投入运营的新建养老设施运营权交由企业、社会组织或个人的运营模式。公建民营养老机构同传统意义上的公办、民办养老机构不同，公建民营是由政府进行全部或大部分出资建设，不再由政府直接经办，而是与市场接轨，一般会采用公开招标的方法，由中标的社会力量按照一定的标准和要求来进行建设及负责后期的运行管理和服务。公建民营养老机构更注重于养老机构的社会化，注重引入社会力量。</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2006年2月9日国办转发全国老龄委办公室和发展改革委等部门《关于加快发展养老服务业的意见》的通知指出，积极支持以公建民营、民办公助、政府补贴、购买服务等多种方式兴办养老服务业。</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2006年12月国务院新闻办发布《中国老龄事业的发展》白皮书，颁布《关于加快实现社会福利社会化的意见</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关于加快发展养老服务业的意见》等政策文件，鼓励和调动社会力量，采取公建民营、民办公助、政府补贴、购买服务等多种形式，推动养老机构较快发展。</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2011年，国办发出《社会养老服务体系建设规划</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2011</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2015年</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》并发出通知鼓励有条件或新建的公办养老机构实行公建民营，通过公开招投标选定各类专业化的机构负责运营，采取公建民营、委托管理、购买服务等多种方式，支持社会组织兴办或者运营的公益性养老机构。</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2013年，民政部发出《关于开展公办养老机构改革试点工作的通知》公办养老机构特别是新建机构应当逐步通过公建民营等方式，鼓励社会力量运营。通过运营补贴、购买服务等方式，支持公建民营机构发展。</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2016年，《国务院办公厅关于全面放开养老服务市场提升养老服务质量的若干意见》（国办发〔2016〕91 号）提出：“加快公办养老机构改革。各地要因地制宜设置改革过渡期，加快推进具备向社会提供养老服务条件的公办养老机 构转制成为企业或开展公建民营，到2020年政府运营的养老床位数占当地养老 床位总数的比例应不超过50%。鼓励社会力量通过独资、合资、合作、联营、参股、租赁等方式，参与公办养老机构改革。完善公建民营养老机构管理办法，政府投资建设和购置的养老设施、新建居民区按规定配建并移交给民政部门的养老设施、国有单位培训疗养机构等改建的养老设施，均可实施公建民营。改革公办养老机构社会资本方式，鼓励实行服务外包。”</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2018年，《广东省人民政府办公厅关于全面开放养老服务市场提升养老服 务质量的实施意见》粤府办〔2018〕3号提出：“加快公办养老机构改革。社会救助对象的养老服务，必须由公办养老机构提供。在确保公办养老机构公益性质和履行兜底职能的前提下，各地要因地制宜设置改革过渡期，加快推进具备向社会提供养老服务条件的公办养老机构转制成为企业或开展公建民营。创新社会力量参与公建民营方式及运营模式，出台养老机构公建民营的指导意见，完善公建民营养老机构管理办法。支持社会力量参与公办养老机构运营体制及社会资 本方式改革，加强对运营机构的监督和指导。”</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2022年，国家发展改革委、民政部、国家卫健委等13部门联合印发《养老托育服务业纾困扶持若干政策措施》，提出鼓励各地优先通过公建民营方式，引导运营能力强的机构参与养老托育设施建设和运营。公建民营养老新模式有利于提高养老机构运营效率，是深化养老服务领域供给侧改革的重要举措。</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通过以上国家出台的一系列政策可见，本项目采用公建民营模式符合国家相关政策的要求。</w:t>
      </w:r>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38" w:name="_Toc15184"/>
      <w:r>
        <w:rPr>
          <w:rFonts w:hint="default" w:ascii="仿宋" w:hAnsi="仿宋" w:eastAsia="仿宋" w:cs="Times New Roman"/>
          <w:b/>
          <w:color w:val="auto"/>
          <w:szCs w:val="28"/>
          <w:lang w:val="en-US" w:eastAsia="zh-CN"/>
        </w:rPr>
        <w:t>2.1.2有助于转变政府职能、提高管理水平</w:t>
      </w:r>
      <w:bookmarkEnd w:id="38"/>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开展政府和社会资本合作，有助于转变政府职能和进一步提高管理水平。采用公建民营的养老机构运营模式，让其他社会力量参与养老机构运营，改变以往政府主导型的行政模式，这是对传统公办养老机构行政机制僵化改革的重要举措。政府在这种模式下主要扮演政策制定者、监督管理者的角色，而其他各类社会力量则扮演着实施政策、具体运营的角色。公办养老机构不再由政府大包大揽，而是采取社会化的方式，要求社会力量通过招标的方式参与其中，依靠社会力量提高公办养老机构的发展水平。</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本项目采用公建民营模式是加快转变政府职能、提升国家治理能力的一次体制机制变革。政府通过引入社会化运营单位，可以集中力量做好政策制定、监管管理工作，从养老服务的直接“提供者”转变成为公建民营项目的“监管者”，从而提高政府的管理水平。</w:t>
      </w:r>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39" w:name="_Toc14539"/>
      <w:r>
        <w:rPr>
          <w:rFonts w:hint="default" w:ascii="仿宋" w:hAnsi="仿宋" w:eastAsia="仿宋" w:cs="Times New Roman"/>
          <w:b/>
          <w:color w:val="auto"/>
          <w:szCs w:val="28"/>
          <w:lang w:val="en-US" w:eastAsia="zh-CN"/>
        </w:rPr>
        <w:t>2.1.3调动社会资本的积极性，充分利用社会资金和社会力量。</w:t>
      </w:r>
      <w:bookmarkEnd w:id="39"/>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目前，我国人口结构正经历重大变化，老龄化问题日趋严重。由于我国家庭 结构呈现“421”特征，居家养老负担较重。社会养老方面，我国养老床位存在巨大缺口；医疗服务、健康管理、老年生活等设施匮乏；社会养老服务供给不足，特别是保障性基本养老与改善型中端养老服务供给不足问题日益凸显。公建民营模式引入社会资本，不仅能拓展养老服务运营资金来源，推进供给侧结构性改革；同时能充分发挥市场力量，形成多层次养老服务市场。</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根据广东省人民政府办公厅《关于加快推进养老服务发展的若干措施》（粤府办</w:t>
      </w:r>
      <w:r>
        <w:rPr>
          <w:rFonts w:hint="eastAsia" w:ascii="仿宋" w:hAnsi="仿宋" w:eastAsia="仿宋_GB2312" w:cs="仿宋"/>
          <w:b w:val="0"/>
          <w:i w:val="0"/>
          <w:color w:val="auto"/>
          <w:spacing w:val="14"/>
          <w:kern w:val="2"/>
          <w:sz w:val="32"/>
          <w:szCs w:val="28"/>
          <w:lang w:val="en-US" w:eastAsia="zh-CN" w:bidi="ar-SA"/>
        </w:rPr>
        <w:t>〔2019〕23号</w:t>
      </w:r>
      <w:r>
        <w:rPr>
          <w:rFonts w:hint="default" w:ascii="仿宋" w:hAnsi="仿宋" w:eastAsia="仿宋_GB2312" w:cs="仿宋"/>
          <w:b w:val="0"/>
          <w:i w:val="0"/>
          <w:color w:val="auto"/>
          <w:spacing w:val="14"/>
          <w:kern w:val="2"/>
          <w:sz w:val="32"/>
          <w:szCs w:val="28"/>
          <w:lang w:val="en-US" w:eastAsia="zh-CN" w:bidi="ar-SA"/>
        </w:rPr>
        <w:t>）中提出“鼓励国有资本、社会资本等通过多种方式参与养老产业发展，鼓励有条件的金融机构投资养老产业。创新养老服务金融产品和服务方式。探索允许营利性养老机构以有偿取得的土地、设施等资产进行抵押融资。鼓励企业、慈善组织及个人设立养老领域慈善信托，开展养老服务慈善项目。”</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采用“公建民营”模式，项目的建设任务由政府承担，可减少私人投资者对“前期土地资金投入较大、利润薄、资本回收期长”的顾虑，在一定程度上提高了私人投资者的积极性。通过引入在养老领域有丰富经验的专业运营机构，让其负责养老服务中心的运营，不仅能拓展养老服务运营资金来源，推进供给侧结构性改革；同时充分发挥了社会力量和市场机制作用。</w:t>
      </w:r>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40" w:name="_Toc16593"/>
      <w:r>
        <w:rPr>
          <w:rFonts w:hint="default" w:ascii="仿宋" w:hAnsi="仿宋" w:eastAsia="仿宋" w:cs="Times New Roman"/>
          <w:b/>
          <w:color w:val="auto"/>
          <w:szCs w:val="28"/>
          <w:lang w:val="en-US" w:eastAsia="zh-CN"/>
        </w:rPr>
        <w:t>2.1.4让专业的人做专业的事，提高养老资源的使用效率和管理效率</w:t>
      </w:r>
      <w:bookmarkEnd w:id="40"/>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按照传统模式，养老机构主要分为“公建公营”和“民建民营”两种形式。公办养老机构编制少、人员紧、经费缺、管理死等弊端日趋凸显，严重影响公办养老机构的运行活力。民营养老机构享受不到政府的扶持政策，难以与公办养老机构竞争。而“公建民营”摒弃了公建公营、民建民营两种模式的缺点，吸取其优点，既可以保持公办养老机构的各种福利服务性质，又可以发挥民间组织的专业性，提高公建养老机构的利用率，提高其服务质量和水平，使公办养老机构去行政化，提高资源配置和管理效率。</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公建民营实施后，养老机构的运营管理不再由政府部门负责，而是通过招标的方式让符合标准、水平高的社会组织或机构来运营管理，“让专业的人做专业的事”，充分发挥社会资本的专业优势、技术优势和管理优势。</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公建民营需对项目开展绩效评价，对项目的绩效目标实现程度、运营管理、资金使用、养老服务质量、公众满意度等进行绩效评价。绩效评价结果依法对外公开，接受社会监督。这将改变过去那种收入和绩效挂钩不紧的现状，使管理人员具备竞争和市场意识，努力在优胜劣汰的竞争环境下生存。利用公建民营的运营模式势必会提高养老资源的使用效率和管理效率，提高公办养老机构的入住率，减少资源的浪费。</w:t>
      </w:r>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41" w:name="_Toc24589"/>
      <w:r>
        <w:rPr>
          <w:rFonts w:hint="default" w:ascii="仿宋" w:hAnsi="仿宋" w:eastAsia="仿宋" w:cs="Times New Roman"/>
          <w:b/>
          <w:color w:val="auto"/>
          <w:szCs w:val="28"/>
          <w:lang w:val="en-US" w:eastAsia="zh-CN"/>
        </w:rPr>
        <w:t>2.1.5有助于</w:t>
      </w:r>
      <w:r>
        <w:rPr>
          <w:rFonts w:hint="eastAsia" w:ascii="仿宋" w:hAnsi="仿宋" w:eastAsia="仿宋" w:cs="Times New Roman"/>
          <w:b/>
          <w:color w:val="auto"/>
          <w:szCs w:val="28"/>
          <w:lang w:val="en-US" w:eastAsia="zh-CN"/>
        </w:rPr>
        <w:t>减轻</w:t>
      </w:r>
      <w:r>
        <w:rPr>
          <w:rFonts w:hint="default" w:ascii="仿宋" w:hAnsi="仿宋" w:eastAsia="仿宋" w:cs="Times New Roman"/>
          <w:b/>
          <w:color w:val="auto"/>
          <w:szCs w:val="28"/>
          <w:lang w:val="en-US" w:eastAsia="zh-CN"/>
        </w:rPr>
        <w:t>政府财政压力，为政府带来稳定收益</w:t>
      </w:r>
      <w:bookmarkEnd w:id="41"/>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相较于传统的“公建公营”模式，政府承担养老服务中心的投资、建设并自主运营，会占用大量的财政资源。同时运营期间如果经营管理不善，出现亏损，还需要政府额外提供补贴弥补亏损，以保障养老服务中心的正常运营。</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而“公建民营”模式，政府通过租赁方式，将养老服务中心租赁给</w:t>
      </w:r>
      <w:r>
        <w:rPr>
          <w:rFonts w:hint="eastAsia" w:ascii="仿宋" w:hAnsi="仿宋" w:eastAsia="仿宋_GB2312" w:cs="仿宋"/>
          <w:b w:val="0"/>
          <w:i w:val="0"/>
          <w:color w:val="auto"/>
          <w:spacing w:val="14"/>
          <w:kern w:val="2"/>
          <w:sz w:val="32"/>
          <w:szCs w:val="28"/>
          <w:lang w:val="en-US" w:eastAsia="zh-CN" w:bidi="ar-SA"/>
        </w:rPr>
        <w:t>社会</w:t>
      </w:r>
      <w:r>
        <w:rPr>
          <w:rFonts w:hint="default" w:ascii="仿宋" w:hAnsi="仿宋" w:eastAsia="仿宋_GB2312" w:cs="仿宋"/>
          <w:b w:val="0"/>
          <w:i w:val="0"/>
          <w:color w:val="auto"/>
          <w:spacing w:val="14"/>
          <w:kern w:val="2"/>
          <w:sz w:val="32"/>
          <w:szCs w:val="28"/>
          <w:lang w:val="en-US" w:eastAsia="zh-CN" w:bidi="ar-SA"/>
        </w:rPr>
        <w:t>资本方进行运营管理，政府通过租赁协议每年收取稳定的租金，无需承担养老服务中心的经营管理风险，同时能为政府带来稳定的现金流收益。养老服务中心的日常运营管理交由</w:t>
      </w:r>
      <w:r>
        <w:rPr>
          <w:rFonts w:hint="eastAsia" w:ascii="仿宋" w:hAnsi="仿宋" w:eastAsia="仿宋_GB2312" w:cs="仿宋"/>
          <w:b w:val="0"/>
          <w:i w:val="0"/>
          <w:color w:val="auto"/>
          <w:spacing w:val="14"/>
          <w:kern w:val="2"/>
          <w:sz w:val="32"/>
          <w:szCs w:val="28"/>
          <w:lang w:val="en-US" w:eastAsia="zh-CN" w:bidi="ar-SA"/>
        </w:rPr>
        <w:t>社会</w:t>
      </w:r>
      <w:r>
        <w:rPr>
          <w:rFonts w:hint="default" w:ascii="仿宋" w:hAnsi="仿宋" w:eastAsia="仿宋_GB2312" w:cs="仿宋"/>
          <w:b w:val="0"/>
          <w:i w:val="0"/>
          <w:color w:val="auto"/>
          <w:spacing w:val="14"/>
          <w:kern w:val="2"/>
          <w:sz w:val="32"/>
          <w:szCs w:val="28"/>
          <w:lang w:val="en-US" w:eastAsia="zh-CN" w:bidi="ar-SA"/>
        </w:rPr>
        <w:t>资本方负责，</w:t>
      </w:r>
      <w:r>
        <w:rPr>
          <w:rFonts w:hint="eastAsia" w:ascii="仿宋" w:hAnsi="仿宋" w:eastAsia="仿宋_GB2312" w:cs="仿宋"/>
          <w:b w:val="0"/>
          <w:i w:val="0"/>
          <w:color w:val="auto"/>
          <w:spacing w:val="14"/>
          <w:kern w:val="2"/>
          <w:sz w:val="32"/>
          <w:szCs w:val="28"/>
          <w:lang w:val="en-US" w:eastAsia="zh-CN" w:bidi="ar-SA"/>
        </w:rPr>
        <w:t>社会</w:t>
      </w:r>
      <w:r>
        <w:rPr>
          <w:rFonts w:hint="default" w:ascii="仿宋" w:hAnsi="仿宋" w:eastAsia="仿宋_GB2312" w:cs="仿宋"/>
          <w:b w:val="0"/>
          <w:i w:val="0"/>
          <w:color w:val="auto"/>
          <w:spacing w:val="14"/>
          <w:kern w:val="2"/>
          <w:sz w:val="32"/>
          <w:szCs w:val="28"/>
          <w:lang w:val="en-US" w:eastAsia="zh-CN" w:bidi="ar-SA"/>
        </w:rPr>
        <w:t>资本方自筹资金进行运营管理，自主经营、自负盈亏，运维风险全部由</w:t>
      </w:r>
      <w:r>
        <w:rPr>
          <w:rFonts w:hint="eastAsia" w:ascii="仿宋" w:hAnsi="仿宋" w:eastAsia="仿宋_GB2312" w:cs="仿宋"/>
          <w:b w:val="0"/>
          <w:i w:val="0"/>
          <w:color w:val="auto"/>
          <w:spacing w:val="14"/>
          <w:kern w:val="2"/>
          <w:sz w:val="32"/>
          <w:szCs w:val="28"/>
          <w:lang w:val="en-US" w:eastAsia="zh-CN" w:bidi="ar-SA"/>
        </w:rPr>
        <w:t>社会</w:t>
      </w:r>
      <w:r>
        <w:rPr>
          <w:rFonts w:hint="default" w:ascii="仿宋" w:hAnsi="仿宋" w:eastAsia="仿宋_GB2312" w:cs="仿宋"/>
          <w:b w:val="0"/>
          <w:i w:val="0"/>
          <w:color w:val="auto"/>
          <w:spacing w:val="14"/>
          <w:kern w:val="2"/>
          <w:sz w:val="32"/>
          <w:szCs w:val="28"/>
          <w:lang w:val="en-US" w:eastAsia="zh-CN" w:bidi="ar-SA"/>
        </w:rPr>
        <w:t>资本方承担。政府每年向社会化运营单位收取一定的租金，不必承担运营亏损风险，可减少政府财政压力，同时政府所收租金可</w:t>
      </w:r>
      <w:r>
        <w:rPr>
          <w:rFonts w:hint="eastAsia" w:ascii="仿宋" w:hAnsi="仿宋" w:eastAsia="仿宋_GB2312" w:cs="仿宋"/>
          <w:b w:val="0"/>
          <w:i w:val="0"/>
          <w:color w:val="auto"/>
          <w:spacing w:val="14"/>
          <w:kern w:val="2"/>
          <w:sz w:val="32"/>
          <w:szCs w:val="28"/>
          <w:lang w:val="en-US" w:eastAsia="zh-CN" w:bidi="ar-SA"/>
        </w:rPr>
        <w:t>上缴</w:t>
      </w:r>
      <w:r>
        <w:rPr>
          <w:rFonts w:hint="default" w:ascii="仿宋" w:hAnsi="仿宋" w:eastAsia="仿宋_GB2312" w:cs="仿宋"/>
          <w:b w:val="0"/>
          <w:i w:val="0"/>
          <w:color w:val="auto"/>
          <w:spacing w:val="14"/>
          <w:kern w:val="2"/>
          <w:sz w:val="32"/>
          <w:szCs w:val="28"/>
          <w:lang w:val="en-US" w:eastAsia="zh-CN" w:bidi="ar-SA"/>
        </w:rPr>
        <w:t>财政，增加地方财政收入。</w:t>
      </w:r>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42" w:name="_Toc29283"/>
      <w:r>
        <w:rPr>
          <w:rFonts w:hint="default" w:ascii="仿宋" w:hAnsi="仿宋" w:eastAsia="仿宋" w:cs="Times New Roman"/>
          <w:b/>
          <w:color w:val="auto"/>
          <w:szCs w:val="28"/>
          <w:lang w:val="en-US" w:eastAsia="zh-CN"/>
        </w:rPr>
        <w:t>2.1.6能满足更多群体的养老需求</w:t>
      </w:r>
      <w:bookmarkEnd w:id="42"/>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公建公营模式下的公立福利院虽然数量不少，但大都是优先用于服务城乡特殊困难人群的需要，而民营模式下的养老服务中心则主要依靠社会化运营单位，服务人群也相对中高端。在此背景下，“公建民营”的模式定位于标准化经济型，可以有效融合两者的优势，使两者实现互补，为广大群众提供了更多的养老选择，对老人收取的价格低于“民建民营”养老院，便于被低收入阶层所接受。</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综上所述，开展以“公建民营”方式实施本项目，符合国家近期政策的要求； 有助于转变政府职能、提高管理水平；能调动社会资本的积极性，充分利用社会资金和社会力量；“让专业的人做专业的事”，提高养老资源的使用效率和管理效率；有助于减少政府财政压力，为政府带来稳定收益；能满足更多群体的养老需求。本项目采用公建民营模式进行是十分必要的，也是合适的。</w:t>
      </w:r>
    </w:p>
    <w:p>
      <w:pPr>
        <w:pStyle w:val="3"/>
        <w:pageBreakBefore w:val="0"/>
        <w:widowControl w:val="0"/>
        <w:numPr>
          <w:ilvl w:val="1"/>
          <w:numId w:val="0"/>
        </w:numPr>
        <w:kinsoku/>
        <w:wordWrap/>
        <w:overflowPunct/>
        <w:topLinePunct w:val="0"/>
        <w:autoSpaceDE/>
        <w:autoSpaceDN/>
        <w:bidi w:val="0"/>
        <w:adjustRightInd/>
        <w:snapToGrid/>
        <w:spacing w:line="360" w:lineRule="auto"/>
        <w:textAlignment w:val="auto"/>
        <w:rPr>
          <w:rFonts w:hint="default" w:ascii="仿宋" w:hAnsi="仿宋" w:eastAsia="仿宋" w:cs="仿宋"/>
          <w:color w:val="auto"/>
          <w:spacing w:val="14"/>
          <w:kern w:val="2"/>
          <w:sz w:val="28"/>
          <w:szCs w:val="28"/>
          <w:lang w:val="en-US" w:eastAsia="zh-CN" w:bidi="ar-SA"/>
        </w:rPr>
      </w:pPr>
      <w:bookmarkStart w:id="43" w:name="_Toc26996"/>
      <w:r>
        <w:rPr>
          <w:rFonts w:hint="default" w:ascii="仿宋" w:hAnsi="仿宋" w:eastAsia="仿宋" w:cs="Times New Roman"/>
          <w:b/>
          <w:color w:val="auto"/>
          <w:szCs w:val="28"/>
          <w:lang w:val="en-US" w:eastAsia="zh-CN"/>
        </w:rPr>
        <w:t>2.2可行性</w:t>
      </w:r>
      <w:bookmarkEnd w:id="43"/>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44" w:name="_Toc16248"/>
      <w:r>
        <w:rPr>
          <w:rFonts w:hint="default" w:ascii="仿宋" w:hAnsi="仿宋" w:eastAsia="仿宋" w:cs="Times New Roman"/>
          <w:b/>
          <w:color w:val="auto"/>
          <w:szCs w:val="28"/>
          <w:lang w:val="en-US" w:eastAsia="zh-CN"/>
        </w:rPr>
        <w:t>2.2.1国家近期政策</w:t>
      </w:r>
      <w:r>
        <w:rPr>
          <w:rFonts w:hint="eastAsia" w:ascii="仿宋" w:hAnsi="仿宋" w:eastAsia="仿宋" w:cs="Times New Roman"/>
          <w:b/>
          <w:color w:val="auto"/>
          <w:szCs w:val="28"/>
          <w:lang w:val="en-US" w:eastAsia="zh-CN"/>
        </w:rPr>
        <w:t>推诿行为</w:t>
      </w:r>
      <w:r>
        <w:rPr>
          <w:rFonts w:hint="default" w:ascii="仿宋" w:hAnsi="仿宋" w:eastAsia="仿宋" w:cs="Times New Roman"/>
          <w:b/>
          <w:color w:val="auto"/>
          <w:szCs w:val="28"/>
          <w:lang w:val="en-US" w:eastAsia="zh-CN"/>
        </w:rPr>
        <w:t>公建民营模式的应用奠定了坚实基础</w:t>
      </w:r>
      <w:bookmarkEnd w:id="44"/>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从前述可见，国家近期密集发布的一系列政策法规，明确了公建民营模式的操作流程、审批流程，发布了政府和社会资本合作项目通用合同版本，国家发展改革委等6部委也联合发布了《基础设施和公用事业特许经营管理办法》，财政部对公建民营模式的物有所值评价和财政承受能力论证的方法方式也陆续发布了一些指引或指导意见。这为公建民营模式的应用推广奠定了上层法理基础。广东省也正在制定地方性的具体实施办法，为公建民营模式在</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县的应用推广提供了操作依据。国务院发布《关于加快发展养老服务业的若干意见》（国发</w:t>
      </w:r>
      <w:r>
        <w:rPr>
          <w:rFonts w:hint="eastAsia" w:ascii="仿宋" w:hAnsi="仿宋" w:eastAsia="仿宋_GB2312" w:cs="仿宋"/>
          <w:b w:val="0"/>
          <w:i w:val="0"/>
          <w:color w:val="auto"/>
          <w:spacing w:val="14"/>
          <w:kern w:val="2"/>
          <w:sz w:val="32"/>
          <w:szCs w:val="28"/>
          <w:lang w:val="en-US" w:eastAsia="zh-CN" w:bidi="ar-SA"/>
        </w:rPr>
        <w:t>〔2013〕35号</w:t>
      </w:r>
      <w:r>
        <w:rPr>
          <w:rFonts w:hint="default" w:ascii="仿宋" w:hAnsi="仿宋" w:eastAsia="仿宋_GB2312" w:cs="仿宋"/>
          <w:b w:val="0"/>
          <w:i w:val="0"/>
          <w:color w:val="auto"/>
          <w:spacing w:val="14"/>
          <w:kern w:val="2"/>
          <w:sz w:val="32"/>
          <w:szCs w:val="28"/>
          <w:lang w:val="en-US" w:eastAsia="zh-CN" w:bidi="ar-SA"/>
        </w:rPr>
        <w:t>），意见要求各省、自治区、直辖市人民政府，国务院各部委、各直属机构完善市场机制，充分发挥市场在资源配置中的基础性作用，逐步使社会化运营单位成为发展养老服务业的主体，营造平等参与、公平竞争的市场环境，大力发展养老服务业，提供方便可及、价格合理的各类养老服务和产品，满足养老服务多样化、多层次需求。到2020年，全面建成以居家为基础、社区为依托、机构为支撑的，功能完善、规模适度、覆盖城乡的养老服务体系。养老服务产品更加丰富，市场机制不断完善，养老服务业持续健康发展。</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国家发展改革委积极推动运用公建民营模式盘活存量资产形成良性投资循环。通过政府与社会资本合作模式引入各类投资，回收资金继续用于新的基础设施和公用事业建设，实现良性循环的指示精神，针对当前我国已实施公建民营项 目中新建项目多、存量项目少的问题，在深入研究、广泛征求意见基础上，国家发展改革委印发了《关于加快运用公建民营模式盘活基础设施存量资产有关工作的通知》（发改投资</w:t>
      </w:r>
      <w:r>
        <w:rPr>
          <w:rFonts w:hint="eastAsia" w:ascii="仿宋" w:hAnsi="仿宋" w:eastAsia="仿宋_GB2312" w:cs="仿宋"/>
          <w:b w:val="0"/>
          <w:i w:val="0"/>
          <w:color w:val="auto"/>
          <w:spacing w:val="14"/>
          <w:kern w:val="2"/>
          <w:sz w:val="32"/>
          <w:szCs w:val="28"/>
          <w:lang w:val="en-US" w:eastAsia="zh-CN" w:bidi="ar-SA"/>
        </w:rPr>
        <w:t>〔2017〕</w:t>
      </w:r>
      <w:r>
        <w:rPr>
          <w:rFonts w:hint="default" w:ascii="仿宋" w:hAnsi="仿宋" w:eastAsia="仿宋_GB2312" w:cs="仿宋"/>
          <w:b w:val="0"/>
          <w:i w:val="0"/>
          <w:color w:val="auto"/>
          <w:spacing w:val="14"/>
          <w:kern w:val="2"/>
          <w:sz w:val="32"/>
          <w:szCs w:val="28"/>
          <w:lang w:val="en-US" w:eastAsia="zh-CN" w:bidi="ar-SA"/>
        </w:rPr>
        <w:t>1266 号），指导地方加快运用公建民营模式、规范有 序盘活基础设施存量资产，形成投资良性循环。《通知》提出经过长期投资建设，我国在能源、交通运输、水利、环境保护、农业、林业、重大市政工程等基础设施领域形成了大量优质存量资产。积极推广公建民营模式，加大存量资产盘活力度、形成良性投资循环，有利于拓宽基础设施建设资金来源，减轻地方政府债务负担；有利于更好地吸引民间资本进入基础设施领域；有利于吸引具有较强运营能力的社会资本，提高基础设施项目运营效率；有利于推进国有企业混合所 有制改革；有利于加快补齐基础设施短板，推进供给侧结构性改革。</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可见，国家发布的各项政策都对城市养老服务设施建设多元化、社会化投资发展加强了促进力度，本项目推行公建民营模式具有良好的政策环境。</w:t>
      </w:r>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45" w:name="_Toc31602"/>
      <w:r>
        <w:rPr>
          <w:rFonts w:hint="default" w:ascii="仿宋" w:hAnsi="仿宋" w:eastAsia="仿宋" w:cs="Times New Roman"/>
          <w:b/>
          <w:color w:val="auto"/>
          <w:szCs w:val="28"/>
          <w:lang w:val="en-US" w:eastAsia="zh-CN"/>
        </w:rPr>
        <w:t>2.2.2当地推行公建民营模式具有良好的经济环境和实施条件</w:t>
      </w:r>
      <w:bookmarkEnd w:id="45"/>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推行公建民营模式，是党中央、国务院的重大部署，是转变政府职能、创新投融资体制机制的重大改革。韶关市委、市政府对此高度重视，并且明确推行公建民营模式作为新形势下解决养老服务设施融资难问题的重要途径，作为缓解政府债务压力的重要出路，摆在非常重要的位置。通过公建民营模式，有利于撬动更多社会资本进入养老行业，充分发挥政府资本的杠杆作用。今后，养老服务设施建设主要靠引进社会资本，新上项目原则上都要提出公建民营方案。</w:t>
      </w:r>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46" w:name="_Toc32350"/>
      <w:r>
        <w:rPr>
          <w:rFonts w:hint="default" w:ascii="仿宋" w:hAnsi="仿宋" w:eastAsia="仿宋" w:cs="Times New Roman"/>
          <w:b/>
          <w:color w:val="auto"/>
          <w:szCs w:val="28"/>
          <w:lang w:val="en-US" w:eastAsia="zh-CN"/>
        </w:rPr>
        <w:t>2.2.3当地相关政策鼓励公建民营模式发展</w:t>
      </w:r>
      <w:bookmarkEnd w:id="46"/>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为更有效</w:t>
      </w:r>
      <w:r>
        <w:rPr>
          <w:rFonts w:hint="eastAsia" w:ascii="仿宋" w:hAnsi="仿宋" w:eastAsia="仿宋_GB2312" w:cs="仿宋"/>
          <w:b w:val="0"/>
          <w:i w:val="0"/>
          <w:color w:val="auto"/>
          <w:spacing w:val="14"/>
          <w:kern w:val="2"/>
          <w:sz w:val="32"/>
          <w:szCs w:val="28"/>
          <w:lang w:val="en-US" w:eastAsia="zh-CN" w:bidi="ar-SA"/>
        </w:rPr>
        <w:t>地</w:t>
      </w:r>
      <w:r>
        <w:rPr>
          <w:rFonts w:hint="default" w:ascii="仿宋" w:hAnsi="仿宋" w:eastAsia="仿宋_GB2312" w:cs="仿宋"/>
          <w:b w:val="0"/>
          <w:i w:val="0"/>
          <w:color w:val="auto"/>
          <w:spacing w:val="14"/>
          <w:kern w:val="2"/>
          <w:sz w:val="32"/>
          <w:szCs w:val="28"/>
          <w:lang w:val="en-US" w:eastAsia="zh-CN" w:bidi="ar-SA"/>
        </w:rPr>
        <w:t>鼓励和支持社会各界积极参与养老服务体系建设，韶关市民政局在参考广东省兄弟市养老机构扶持资助政策的基础上，对原资助办法进行修订，扶持措施从原来的两项补贴：新增床位补贴、护理补贴，《韶关市民办养老服务机构扶持资助办法》（韶府规审〔2022〕17号）的文件中增加为：土地和税费优惠政策、新增床位补贴、护理补贴、医养结合补贴、等级评定补贴、加装电梯补贴、护理岗位补贴等7项内容，并对补贴申请条件作出相应的调整。政府投资兴建并委托社会化运营单位经营管理（公建民营）的养老服务机构及社会化运营单位与政府合作举办，社会化运营单位出资比例不小于50%（含50%）的养老服务机构适用本办法。新政策的出台表明当地政府鼓励韶关市养老机构的发展。</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综上所述，在当地推行本项目采用公建民营项目运作模式具有良好的政策环境、经济环境和实施条件，本项目采用公建民营模式是合理的、可行的。</w:t>
      </w:r>
    </w:p>
    <w:p>
      <w:pPr>
        <w:pStyle w:val="3"/>
        <w:pageBreakBefore w:val="0"/>
        <w:widowControl w:val="0"/>
        <w:numPr>
          <w:ilvl w:val="1"/>
          <w:numId w:val="0"/>
        </w:numPr>
        <w:kinsoku/>
        <w:wordWrap/>
        <w:overflowPunct/>
        <w:topLinePunct w:val="0"/>
        <w:autoSpaceDE/>
        <w:autoSpaceDN/>
        <w:bidi w:val="0"/>
        <w:adjustRightInd/>
        <w:snapToGrid/>
        <w:spacing w:line="360" w:lineRule="auto"/>
        <w:textAlignment w:val="auto"/>
        <w:rPr>
          <w:rFonts w:hint="default" w:ascii="仿宋" w:hAnsi="仿宋" w:eastAsia="仿宋" w:cs="仿宋"/>
          <w:color w:val="auto"/>
          <w:spacing w:val="14"/>
          <w:kern w:val="2"/>
          <w:sz w:val="28"/>
          <w:szCs w:val="28"/>
          <w:lang w:val="en-US" w:eastAsia="zh-CN" w:bidi="ar-SA"/>
        </w:rPr>
      </w:pPr>
      <w:bookmarkStart w:id="47" w:name="_Toc15934"/>
      <w:r>
        <w:rPr>
          <w:rFonts w:hint="default" w:ascii="仿宋" w:hAnsi="仿宋" w:eastAsia="仿宋" w:cs="Times New Roman"/>
          <w:b/>
          <w:color w:val="auto"/>
          <w:szCs w:val="28"/>
          <w:lang w:val="en-US" w:eastAsia="zh-CN"/>
        </w:rPr>
        <w:t>2.3公建民营养老机构案例</w:t>
      </w:r>
      <w:bookmarkEnd w:id="47"/>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项目采用</w:t>
      </w:r>
      <w:r>
        <w:rPr>
          <w:rFonts w:hint="eastAsia" w:ascii="仿宋" w:hAnsi="仿宋" w:eastAsia="仿宋_GB2312" w:cs="仿宋"/>
          <w:b w:val="0"/>
          <w:i w:val="0"/>
          <w:color w:val="auto"/>
          <w:spacing w:val="14"/>
          <w:kern w:val="2"/>
          <w:sz w:val="32"/>
          <w:szCs w:val="28"/>
          <w:lang w:val="en-US" w:eastAsia="zh-CN" w:bidi="ar-SA"/>
        </w:rPr>
        <w:t>实地走访</w:t>
      </w:r>
      <w:r>
        <w:rPr>
          <w:rFonts w:hint="default" w:ascii="仿宋" w:hAnsi="仿宋" w:eastAsia="仿宋_GB2312" w:cs="仿宋"/>
          <w:b w:val="0"/>
          <w:i w:val="0"/>
          <w:color w:val="auto"/>
          <w:spacing w:val="14"/>
          <w:kern w:val="2"/>
          <w:sz w:val="32"/>
          <w:szCs w:val="28"/>
          <w:lang w:val="en-US" w:eastAsia="zh-CN" w:bidi="ar-SA"/>
        </w:rPr>
        <w:t>网络调研、电话调研等形式调研5家养老社区、养老机构，包括一线城市（广州、东莞）、韶关市周边城市（汕头、惠州）及韶关市当地（</w:t>
      </w:r>
      <w:r>
        <w:rPr>
          <w:rFonts w:hint="eastAsia" w:ascii="仿宋" w:hAnsi="仿宋" w:eastAsia="仿宋_GB2312" w:cs="仿宋"/>
          <w:b w:val="0"/>
          <w:i w:val="0"/>
          <w:color w:val="auto"/>
          <w:spacing w:val="14"/>
          <w:kern w:val="2"/>
          <w:sz w:val="32"/>
          <w:szCs w:val="28"/>
          <w:lang w:val="en-US" w:eastAsia="zh-CN" w:bidi="ar-SA"/>
        </w:rPr>
        <w:t>乳源瑶族自治县</w:t>
      </w:r>
      <w:r>
        <w:rPr>
          <w:rFonts w:hint="default" w:ascii="仿宋" w:hAnsi="仿宋" w:eastAsia="仿宋_GB2312" w:cs="仿宋"/>
          <w:b w:val="0"/>
          <w:i w:val="0"/>
          <w:color w:val="auto"/>
          <w:spacing w:val="14"/>
          <w:kern w:val="2"/>
          <w:sz w:val="32"/>
          <w:szCs w:val="28"/>
          <w:lang w:val="en-US" w:eastAsia="zh-CN" w:bidi="ar-SA"/>
        </w:rPr>
        <w:t>、浈江区）公建民营养老院的情况。其基本概况如下所示：</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一、</w:t>
      </w:r>
      <w:r>
        <w:rPr>
          <w:rFonts w:hint="default" w:ascii="仿宋" w:hAnsi="仿宋" w:eastAsia="仿宋" w:cs="仿宋"/>
          <w:b/>
          <w:bCs/>
          <w:color w:val="auto"/>
          <w:spacing w:val="14"/>
          <w:kern w:val="2"/>
          <w:sz w:val="28"/>
          <w:szCs w:val="28"/>
          <w:lang w:val="en-US" w:eastAsia="zh-CN" w:bidi="ar-SA"/>
        </w:rPr>
        <w:t>第一养老</w:t>
      </w:r>
      <w:r>
        <w:rPr>
          <w:rFonts w:hint="eastAsia" w:ascii="仿宋" w:hAnsi="仿宋" w:eastAsia="仿宋" w:cs="仿宋"/>
          <w:b/>
          <w:bCs/>
          <w:color w:val="auto"/>
          <w:spacing w:val="14"/>
          <w:kern w:val="2"/>
          <w:sz w:val="28"/>
          <w:szCs w:val="28"/>
          <w:lang w:val="en-US" w:eastAsia="zh-CN" w:bidi="ar-SA"/>
        </w:rPr>
        <w:t>乳源瑶族自治县</w:t>
      </w:r>
      <w:r>
        <w:rPr>
          <w:rFonts w:hint="default" w:ascii="仿宋" w:hAnsi="仿宋" w:eastAsia="仿宋" w:cs="仿宋"/>
          <w:b/>
          <w:bCs/>
          <w:color w:val="auto"/>
          <w:spacing w:val="14"/>
          <w:kern w:val="2"/>
          <w:sz w:val="28"/>
          <w:szCs w:val="28"/>
          <w:lang w:val="en-US" w:eastAsia="zh-CN" w:bidi="ar-SA"/>
        </w:rPr>
        <w:t>护理院</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第一养老</w:t>
      </w:r>
      <w:r>
        <w:rPr>
          <w:rFonts w:hint="eastAsia" w:ascii="仿宋" w:hAnsi="仿宋" w:eastAsia="仿宋_GB2312" w:cs="仿宋"/>
          <w:b w:val="0"/>
          <w:i w:val="0"/>
          <w:color w:val="auto"/>
          <w:spacing w:val="14"/>
          <w:kern w:val="2"/>
          <w:sz w:val="32"/>
          <w:szCs w:val="28"/>
          <w:lang w:val="en-US" w:eastAsia="zh-CN" w:bidi="ar-SA"/>
        </w:rPr>
        <w:t>乳源瑶族自治县</w:t>
      </w:r>
      <w:r>
        <w:rPr>
          <w:rFonts w:hint="default" w:ascii="仿宋" w:hAnsi="仿宋" w:eastAsia="仿宋_GB2312" w:cs="仿宋"/>
          <w:b w:val="0"/>
          <w:i w:val="0"/>
          <w:color w:val="auto"/>
          <w:spacing w:val="14"/>
          <w:kern w:val="2"/>
          <w:sz w:val="32"/>
          <w:szCs w:val="28"/>
          <w:lang w:val="en-US" w:eastAsia="zh-CN" w:bidi="ar-SA"/>
        </w:rPr>
        <w:t>护理院主要为特困供养对象和社会失能、失智、高龄老人提供生活照顾、医护服务、心灵关怀、保健康复、文娱活动、安宁善抚服务。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地址：韶关市</w:t>
      </w:r>
      <w:r>
        <w:rPr>
          <w:rFonts w:hint="eastAsia" w:ascii="仿宋" w:hAnsi="仿宋" w:eastAsia="仿宋_GB2312" w:cs="仿宋"/>
          <w:b w:val="0"/>
          <w:i w:val="0"/>
          <w:color w:val="auto"/>
          <w:spacing w:val="14"/>
          <w:kern w:val="2"/>
          <w:sz w:val="32"/>
          <w:szCs w:val="28"/>
          <w:lang w:val="en-US" w:eastAsia="zh-CN" w:bidi="ar-SA"/>
        </w:rPr>
        <w:t>乳源瑶族自治县</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投资规模：/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建筑面积：15825平方米</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养老床位数量：350张</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运营单位：第一养老护理服务（深圳）有限公司乳源分公司</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投运时间：2017年</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设施配备情况：配置了紧急呼叫系统、安全扶手、护理床等适老化设施设备，护理员提供24小时无缝隙服务。</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二、</w:t>
      </w:r>
      <w:r>
        <w:rPr>
          <w:rFonts w:hint="default" w:ascii="仿宋" w:hAnsi="仿宋" w:eastAsia="仿宋" w:cs="仿宋"/>
          <w:b/>
          <w:bCs/>
          <w:color w:val="auto"/>
          <w:spacing w:val="14"/>
          <w:kern w:val="2"/>
          <w:sz w:val="28"/>
          <w:szCs w:val="28"/>
          <w:lang w:val="en-US" w:eastAsia="zh-CN" w:bidi="ar-SA"/>
        </w:rPr>
        <w:t>韶关市浈江区松鹤老人颐养院</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地址：韶关市浈江区</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投资规模：/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建筑面积：1500平方米</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养老床位数量：120张，其中养老床位53张，医疗床位67张</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运营单位：第一养老护理服务（深圳）有限公司乳源分公司</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投运时间：2017年</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房间类型：/</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设施配备情况：配置了独立空调、独立电视、热水器、卫生间、覆盖无线网络、呼叫器，伙食健康营养美味，环境清幽适合养老休闲。</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三、</w:t>
      </w:r>
      <w:r>
        <w:rPr>
          <w:rFonts w:hint="default" w:ascii="仿宋" w:hAnsi="仿宋" w:eastAsia="仿宋" w:cs="仿宋"/>
          <w:b/>
          <w:bCs/>
          <w:color w:val="auto"/>
          <w:spacing w:val="14"/>
          <w:kern w:val="2"/>
          <w:sz w:val="28"/>
          <w:szCs w:val="28"/>
          <w:lang w:val="en-US" w:eastAsia="zh-CN" w:bidi="ar-SA"/>
        </w:rPr>
        <w:t>广州市天河区老人院（五星级养老机构）</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广州市天河区老人院是天河区民政局下属的事业单位，可为入住老人提供生活照料、身体护理、文化娱乐、康复训练、医疗保健等综合性的专业养老服务，力争打造成为群众满意、政府放心的养老机构，努力建设成为老人颐养天年的生活乐园。</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地址：广州市天河区</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投资规模：投资约3.6亿元</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建筑面积：总建筑面积76139平方米</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养老床位数量：1501张，其中养老床位1298张，医疗床位203张</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运营单位：上海佰仁健康产业有限公司</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投运时间：2019年7月</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房间类型：有双人间、四人间和六人间三种房</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设施配备情况：每个房间均设置有独立卫生间、冷暖空调、吸顶风扇、电视机、衣柜、24小时热水、适老扶手、智能呼叫系统等，生活设施设备配置齐全。</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四、</w:t>
      </w:r>
      <w:r>
        <w:rPr>
          <w:rFonts w:hint="default" w:ascii="仿宋" w:hAnsi="仿宋" w:eastAsia="仿宋" w:cs="仿宋"/>
          <w:b/>
          <w:bCs/>
          <w:color w:val="auto"/>
          <w:spacing w:val="14"/>
          <w:kern w:val="2"/>
          <w:sz w:val="28"/>
          <w:szCs w:val="28"/>
          <w:lang w:val="en-US" w:eastAsia="zh-CN" w:bidi="ar-SA"/>
        </w:rPr>
        <w:t>东莞康裕护理院</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东莞康裕护理院，由原望牛墩镇敬老院改建升级，是集医疗、养老、护理、康复、文娱、锻炼、休养于一体的综合性医养结合护理院，是东莞市首家公建民营的养老院。</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地址：东莞市望牛墩镇</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投资规模：约2000万元</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建筑面积：总建筑面积7129.52平方米</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养老床位数量：目前开放138张，总体规划床位238张</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运营单位：东莞康怡护理院有限公司</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投运时间：2023年</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房间类型：三人房、双人房、单人房、家庭套房</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设施配备情况：统一内设新风系统、呼叫系统、供氧系统、冷暖空调、电视、防滑扶手、适配轮椅洗手池、适老化家具等。</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五、</w:t>
      </w:r>
      <w:r>
        <w:rPr>
          <w:rFonts w:hint="default" w:ascii="仿宋" w:hAnsi="仿宋" w:eastAsia="仿宋" w:cs="仿宋"/>
          <w:b/>
          <w:bCs/>
          <w:color w:val="auto"/>
          <w:spacing w:val="14"/>
          <w:kern w:val="2"/>
          <w:sz w:val="28"/>
          <w:szCs w:val="28"/>
          <w:lang w:val="en-US" w:eastAsia="zh-CN" w:bidi="ar-SA"/>
        </w:rPr>
        <w:t>杏健碧康山庄</w:t>
      </w:r>
      <w:r>
        <w:rPr>
          <w:rFonts w:hint="eastAsia" w:ascii="仿宋" w:hAnsi="仿宋" w:eastAsia="仿宋" w:cs="仿宋"/>
          <w:b/>
          <w:bCs/>
          <w:color w:val="auto"/>
          <w:spacing w:val="14"/>
          <w:kern w:val="2"/>
          <w:sz w:val="28"/>
          <w:szCs w:val="28"/>
          <w:lang w:val="en-US" w:eastAsia="zh-CN" w:bidi="ar-SA"/>
        </w:rPr>
        <w:t>（</w:t>
      </w:r>
      <w:r>
        <w:rPr>
          <w:rFonts w:hint="default" w:ascii="仿宋" w:hAnsi="仿宋" w:eastAsia="仿宋" w:cs="仿宋"/>
          <w:b/>
          <w:bCs/>
          <w:color w:val="auto"/>
          <w:spacing w:val="14"/>
          <w:kern w:val="2"/>
          <w:sz w:val="28"/>
          <w:szCs w:val="28"/>
          <w:lang w:val="en-US" w:eastAsia="zh-CN" w:bidi="ar-SA"/>
        </w:rPr>
        <w:t>惠州市惠阳区</w:t>
      </w:r>
      <w:r>
        <w:rPr>
          <w:rFonts w:hint="eastAsia" w:ascii="仿宋" w:hAnsi="仿宋" w:eastAsia="仿宋" w:cs="仿宋"/>
          <w:b/>
          <w:bCs/>
          <w:color w:val="auto"/>
          <w:spacing w:val="14"/>
          <w:kern w:val="2"/>
          <w:sz w:val="28"/>
          <w:szCs w:val="28"/>
          <w:lang w:val="en-US" w:eastAsia="zh-CN" w:bidi="ar-SA"/>
        </w:rPr>
        <w:t>）</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杏健碧康山庄实行医养结合模式，将医疗与养老完美结合在一起，为老年人提供专业的医疗服务以及日常的养生保健，让老人在院内能享受到全方位的健康关怀。</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地址：惠州市惠阳区</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投资规模：约1.2个亿</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建筑面积：1.8万平方米</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养老床位数量：705张，其中300张为政府兜底床位</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405张床位面向社会长者入住</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运营单位：杏健养老集团</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投运时间：2021年</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房间类型：/</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设施配备情况：配置了紧急呼叫系统、安全扶手、护理床等适老化设施设备。</w:t>
      </w:r>
    </w:p>
    <w:p>
      <w:pPr>
        <w:pageBreakBefore w:val="0"/>
        <w:widowControl w:val="0"/>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六、</w:t>
      </w:r>
      <w:r>
        <w:rPr>
          <w:rFonts w:hint="default" w:ascii="仿宋" w:hAnsi="仿宋" w:eastAsia="仿宋" w:cs="仿宋"/>
          <w:b/>
          <w:bCs/>
          <w:color w:val="auto"/>
          <w:spacing w:val="14"/>
          <w:kern w:val="2"/>
          <w:sz w:val="28"/>
          <w:szCs w:val="28"/>
          <w:lang w:val="en-US" w:eastAsia="zh-CN" w:bidi="ar-SA"/>
        </w:rPr>
        <w:t>汕头市龙湖区粤康颐养中心（五星级养老机构）</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汕头市龙湖区粤康颐养中心是经龙湖区民政局批准成立的首家公建民营专业性养老服务机构，集老年人住养、医疗、康复、护理等为一体，为不同身体状况、不同养老需求的老年人提供个性化和全方位的综合专业服务。</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地址：汕头市龙湖区</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投资规模：8500多万元</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建筑面积：13473平方米</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养老床位数量：219张</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运营单位：粤康颐养中心</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投运时间：2020年</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房间类型：单人间、双人间、四人间、多人间、套间</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设施配备情况：颐养中心创新养医融合的养老服务模式，配套建设了粤康颐养医院，设置全科医疗科、康复医学科、中医科以及内科、妇科、口腔科、血液净化、老年医学、安宁疗护。</w:t>
      </w:r>
    </w:p>
    <w:p>
      <w:pPr>
        <w:pStyle w:val="3"/>
        <w:pageBreakBefore w:val="0"/>
        <w:widowControl w:val="0"/>
        <w:numPr>
          <w:ilvl w:val="1"/>
          <w:numId w:val="0"/>
        </w:numPr>
        <w:kinsoku/>
        <w:wordWrap/>
        <w:overflowPunct/>
        <w:topLinePunct w:val="0"/>
        <w:autoSpaceDE/>
        <w:autoSpaceDN/>
        <w:bidi w:val="0"/>
        <w:adjustRightInd/>
        <w:snapToGrid/>
        <w:spacing w:line="360" w:lineRule="auto"/>
        <w:textAlignment w:val="auto"/>
        <w:rPr>
          <w:rFonts w:hint="default" w:ascii="仿宋" w:hAnsi="仿宋" w:eastAsia="仿宋" w:cs="仿宋"/>
          <w:color w:val="auto"/>
          <w:spacing w:val="14"/>
          <w:kern w:val="2"/>
          <w:sz w:val="28"/>
          <w:szCs w:val="28"/>
          <w:lang w:val="en-US" w:eastAsia="zh-CN" w:bidi="ar-SA"/>
        </w:rPr>
      </w:pPr>
      <w:bookmarkStart w:id="48" w:name="_Toc7460"/>
      <w:r>
        <w:rPr>
          <w:rFonts w:hint="default" w:ascii="仿宋" w:hAnsi="仿宋" w:eastAsia="仿宋" w:cs="Times New Roman"/>
          <w:b/>
          <w:color w:val="auto"/>
          <w:szCs w:val="28"/>
          <w:lang w:val="en-US" w:eastAsia="zh-CN"/>
        </w:rPr>
        <w:t>2.4公建民营运作方式比选</w:t>
      </w:r>
      <w:bookmarkEnd w:id="48"/>
    </w:p>
    <w:p>
      <w:pPr>
        <w:pStyle w:val="4"/>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49" w:name="_Toc31634"/>
      <w:r>
        <w:rPr>
          <w:rFonts w:hint="default" w:ascii="仿宋" w:hAnsi="仿宋" w:eastAsia="仿宋" w:cs="Times New Roman"/>
          <w:b/>
          <w:color w:val="auto"/>
          <w:szCs w:val="28"/>
          <w:lang w:val="en-US" w:eastAsia="zh-CN"/>
        </w:rPr>
        <w:t>2.4.1常见公建民营项目运作方式</w:t>
      </w:r>
      <w:bookmarkEnd w:id="49"/>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截至</w:t>
      </w:r>
      <w:r>
        <w:rPr>
          <w:rFonts w:hint="default" w:ascii="仿宋" w:hAnsi="仿宋" w:eastAsia="仿宋_GB2312" w:cs="仿宋"/>
          <w:b w:val="0"/>
          <w:i w:val="0"/>
          <w:color w:val="auto"/>
          <w:spacing w:val="14"/>
          <w:kern w:val="2"/>
          <w:sz w:val="32"/>
          <w:szCs w:val="28"/>
          <w:lang w:val="en-US" w:eastAsia="zh-CN" w:bidi="ar-SA"/>
        </w:rPr>
        <w:t>目前，国内养老机构公建民营主要有3种常见运作方式：委托经营、特许经营、资产租赁。</w:t>
      </w:r>
    </w:p>
    <w:p>
      <w:pPr>
        <w:pageBreakBefore w:val="0"/>
        <w:widowControl w:val="0"/>
        <w:numPr>
          <w:ilvl w:val="0"/>
          <w:numId w:val="0"/>
        </w:numPr>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一、</w:t>
      </w:r>
      <w:r>
        <w:rPr>
          <w:rFonts w:hint="default" w:ascii="仿宋" w:hAnsi="仿宋" w:eastAsia="仿宋" w:cs="仿宋"/>
          <w:b/>
          <w:bCs/>
          <w:color w:val="auto"/>
          <w:spacing w:val="14"/>
          <w:kern w:val="2"/>
          <w:sz w:val="28"/>
          <w:szCs w:val="28"/>
          <w:lang w:val="en-US" w:eastAsia="zh-CN" w:bidi="ar-SA"/>
        </w:rPr>
        <w:t>委托经营</w:t>
      </w:r>
    </w:p>
    <w:p>
      <w:pPr>
        <w:pageBreakBefore w:val="0"/>
        <w:widowControl w:val="0"/>
        <w:numPr>
          <w:ilvl w:val="0"/>
          <w:numId w:val="0"/>
        </w:numPr>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委托经营，又称合同承包</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ContractOut</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，是应用最为广泛的合作方式。委托经营是指政府部门通过招标发包，选择合适的合作对象，将其投资兴建的公办养老机构的部分或全部委托给社会力量经营和管理。</w:t>
      </w:r>
    </w:p>
    <w:p>
      <w:pPr>
        <w:pageBreakBefore w:val="0"/>
        <w:widowControl w:val="0"/>
        <w:numPr>
          <w:ilvl w:val="0"/>
          <w:numId w:val="0"/>
        </w:numPr>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委托经营是一种实现所有权与经营权相分离的公私合作制方式。这种方式对于政府机构而言，其优势在于通过引入竞争机制，有效降低运营成本。对社会力量而言，投入小，因此其承担的风险相对较小。</w:t>
      </w:r>
    </w:p>
    <w:p>
      <w:pPr>
        <w:pageBreakBefore w:val="0"/>
        <w:widowControl w:val="0"/>
        <w:numPr>
          <w:ilvl w:val="0"/>
          <w:numId w:val="0"/>
        </w:numPr>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委托经营的一般性程序是：通过招标的形式来选择承包的社会力量。由政府机构和社会力量签订具有法律效力的承包经营合同，确保合同规定的责任为核 内容，明确规定发包方和承包经营者在承包期内的责权利关系。</w:t>
      </w:r>
    </w:p>
    <w:p>
      <w:pPr>
        <w:pageBreakBefore w:val="0"/>
        <w:widowControl w:val="0"/>
        <w:numPr>
          <w:ilvl w:val="0"/>
          <w:numId w:val="0"/>
        </w:numPr>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一般分为服务外包和管理外包。</w:t>
      </w:r>
    </w:p>
    <w:p>
      <w:pPr>
        <w:pageBreakBefore w:val="0"/>
        <w:widowControl w:val="0"/>
        <w:numPr>
          <w:ilvl w:val="0"/>
          <w:numId w:val="0"/>
        </w:numPr>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管理外包是指政府机构保留对所有权的控制，社会力量获取某一家机构、一定期限的排他管理权和经营权。在</w:t>
      </w:r>
      <w:r>
        <w:rPr>
          <w:rFonts w:hint="eastAsia" w:ascii="仿宋" w:hAnsi="仿宋" w:eastAsia="仿宋_GB2312" w:cs="仿宋"/>
          <w:b w:val="0"/>
          <w:i w:val="0"/>
          <w:color w:val="auto"/>
          <w:spacing w:val="14"/>
          <w:kern w:val="2"/>
          <w:sz w:val="32"/>
          <w:szCs w:val="28"/>
          <w:lang w:val="en-US" w:eastAsia="zh-CN" w:bidi="ar-SA"/>
        </w:rPr>
        <w:t>一</w:t>
      </w:r>
      <w:r>
        <w:rPr>
          <w:rFonts w:hint="default" w:ascii="仿宋" w:hAnsi="仿宋" w:eastAsia="仿宋_GB2312" w:cs="仿宋"/>
          <w:b w:val="0"/>
          <w:i w:val="0"/>
          <w:color w:val="auto"/>
          <w:spacing w:val="14"/>
          <w:kern w:val="2"/>
          <w:sz w:val="32"/>
          <w:szCs w:val="28"/>
          <w:lang w:val="en-US" w:eastAsia="zh-CN" w:bidi="ar-SA"/>
        </w:rPr>
        <w:t>定的经营期限内，承包人自主经营、自负盈亏。该方式的时间通常是1</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5年。管理外包方式的重要特征是：社会力量对资产的运营和维护承担全部责任，但不需要承担任何资本上的风险。</w:t>
      </w:r>
    </w:p>
    <w:p>
      <w:pPr>
        <w:pageBreakBefore w:val="0"/>
        <w:widowControl w:val="0"/>
        <w:numPr>
          <w:ilvl w:val="0"/>
          <w:numId w:val="0"/>
        </w:numPr>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服务外包是指政府机构雇用私人机构承担一种或多个特定的任务，时间通常为1</w:t>
      </w:r>
      <w:r>
        <w:rPr>
          <w:rFonts w:hint="eastAsia" w:ascii="仿宋" w:hAnsi="仿宋" w:eastAsia="仿宋_GB2312" w:cs="仿宋"/>
          <w:b w:val="0"/>
          <w:i w:val="0"/>
          <w:color w:val="auto"/>
          <w:spacing w:val="14"/>
          <w:kern w:val="2"/>
          <w:sz w:val="32"/>
          <w:szCs w:val="28"/>
          <w:lang w:val="en-US" w:eastAsia="zh-CN" w:bidi="ar-SA"/>
        </w:rPr>
        <w:t>～</w:t>
      </w:r>
      <w:r>
        <w:rPr>
          <w:rFonts w:hint="default" w:ascii="仿宋" w:hAnsi="仿宋" w:eastAsia="仿宋_GB2312" w:cs="仿宋"/>
          <w:b w:val="0"/>
          <w:i w:val="0"/>
          <w:color w:val="auto"/>
          <w:spacing w:val="14"/>
          <w:kern w:val="2"/>
          <w:sz w:val="32"/>
          <w:szCs w:val="28"/>
          <w:lang w:val="en-US" w:eastAsia="zh-CN" w:bidi="ar-SA"/>
        </w:rPr>
        <w:t>3年。服务外包在我国的公共服务领域存续的时间最长，被广泛应用于医院、学校、科研机构等公共服务行为，又被称为“后勤服务社会化”。</w:t>
      </w:r>
    </w:p>
    <w:p>
      <w:pPr>
        <w:pageBreakBefore w:val="0"/>
        <w:widowControl w:val="0"/>
        <w:numPr>
          <w:ilvl w:val="0"/>
          <w:numId w:val="0"/>
        </w:numPr>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二、</w:t>
      </w:r>
      <w:r>
        <w:rPr>
          <w:rFonts w:hint="default" w:ascii="仿宋" w:hAnsi="仿宋" w:eastAsia="仿宋" w:cs="仿宋"/>
          <w:b/>
          <w:bCs/>
          <w:color w:val="auto"/>
          <w:spacing w:val="14"/>
          <w:kern w:val="2"/>
          <w:sz w:val="28"/>
          <w:szCs w:val="28"/>
          <w:lang w:val="en-US" w:eastAsia="zh-CN" w:bidi="ar-SA"/>
        </w:rPr>
        <w:t>特许经营</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公办养老机构特许经营方式是指政府通过特许经营合同</w:t>
      </w:r>
      <w:r>
        <w:rPr>
          <w:rFonts w:hint="eastAsia" w:ascii="仿宋" w:hAnsi="仿宋" w:eastAsia="仿宋_GB2312" w:cs="仿宋"/>
          <w:b w:val="0"/>
          <w:i w:val="0"/>
          <w:color w:val="auto"/>
          <w:spacing w:val="14"/>
          <w:kern w:val="2"/>
          <w:sz w:val="32"/>
          <w:szCs w:val="28"/>
          <w:lang w:val="en-US" w:eastAsia="zh-CN" w:bidi="ar-SA"/>
        </w:rPr>
        <w:t>将</w:t>
      </w:r>
      <w:r>
        <w:rPr>
          <w:rFonts w:hint="default" w:ascii="仿宋" w:hAnsi="仿宋" w:eastAsia="仿宋_GB2312" w:cs="仿宋"/>
          <w:b w:val="0"/>
          <w:i w:val="0"/>
          <w:color w:val="auto"/>
          <w:spacing w:val="14"/>
          <w:kern w:val="2"/>
          <w:sz w:val="32"/>
          <w:szCs w:val="28"/>
          <w:lang w:val="en-US" w:eastAsia="zh-CN" w:bidi="ar-SA"/>
        </w:rPr>
        <w:t>公办养老机构的经营权转移给投资者（包括自然人和法人）的一种公私合作制形式。</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特许经营要求在合同规定的特许期限内，投资者拥有投资建造设施的所有权（这个所有权不是完整意义上的所有权），并可以向使用者收取适当费用，由此回收项目投融资、经营和维护成本并获得合理的回报。特许期限结束，投资者将设施无偿地移交给签约方的政府部门。政府需要做的是监督社会力量在特许期内使用和维护设施妥当，确保特许期结束后全部设施能较为完整地交还予政府。</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这一方式的基本特点在于：在任何情况下，国家都是公共服务部门的资产持有者。特许经营有几种典型的运作模式，分别为TOT、BOT、BOO。目前，在我国公办养老机构公私合作制领域，以BOT模式为主。BOT是英文（Build-Operate-Transfer的缩写，直译为“建设一经营一转让”），是指投资者或财团作为项目发起人从政府机构获得项目的建设和运营</w:t>
      </w:r>
      <w:r>
        <w:rPr>
          <w:rFonts w:hint="eastAsia" w:ascii="仿宋" w:hAnsi="仿宋" w:eastAsia="仿宋_GB2312" w:cs="仿宋"/>
          <w:b w:val="0"/>
          <w:i w:val="0"/>
          <w:color w:val="auto"/>
          <w:spacing w:val="14"/>
          <w:kern w:val="2"/>
          <w:sz w:val="32"/>
          <w:szCs w:val="28"/>
          <w:lang w:val="en-US" w:eastAsia="zh-CN" w:bidi="ar-SA"/>
        </w:rPr>
        <w:t>特许权</w:t>
      </w:r>
      <w:r>
        <w:rPr>
          <w:rFonts w:hint="default" w:ascii="仿宋" w:hAnsi="仿宋" w:eastAsia="仿宋_GB2312" w:cs="仿宋"/>
          <w:b w:val="0"/>
          <w:i w:val="0"/>
          <w:color w:val="auto"/>
          <w:spacing w:val="14"/>
          <w:kern w:val="2"/>
          <w:sz w:val="32"/>
          <w:szCs w:val="28"/>
          <w:lang w:val="en-US" w:eastAsia="zh-CN" w:bidi="ar-SA"/>
        </w:rPr>
        <w:t>，然后通过组建专门的项目公司，负责项目的融资、建设和经营；在特许权期内，项目公司通过向项目使用者收取费用来获取合理的回报；在特许权期满后，项目公司再将项目转让给相应的政府机构。在该模式中，项目资产的所有权归政府所有。具体的运作模式是，政府或政府授权部门通过采购程序，选择合适的社会资本方与政府指定的出资主体共同设立项目公司（SPV），政府或政府授权部门授予项目公司特许经营权，在特许经营期内由项目公司负责养老项目的建设及运营管理。</w:t>
      </w:r>
    </w:p>
    <w:p>
      <w:pPr>
        <w:pageBreakBefore w:val="0"/>
        <w:widowControl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项目建设完成后，项目公司将相关养老设施提供给政府设立养老机构，并由项目公司负责项目设施的维修养护；进入运营期后，养老机构由项目公司进行托管运营，向养老人群提供养老服务，并向服务对象收取一定的费用；特许经营期满后，项目公司需将项目资产无偿移交给政府或政府指定部门。</w:t>
      </w:r>
    </w:p>
    <w:p>
      <w:pPr>
        <w:pageBreakBefore w:val="0"/>
        <w:widowControl w:val="0"/>
        <w:numPr>
          <w:ilvl w:val="0"/>
          <w:numId w:val="0"/>
        </w:numPr>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三、</w:t>
      </w:r>
      <w:r>
        <w:rPr>
          <w:rFonts w:hint="default" w:ascii="仿宋" w:hAnsi="仿宋" w:eastAsia="仿宋" w:cs="仿宋"/>
          <w:b/>
          <w:bCs/>
          <w:color w:val="auto"/>
          <w:spacing w:val="14"/>
          <w:kern w:val="2"/>
          <w:sz w:val="28"/>
          <w:szCs w:val="28"/>
          <w:lang w:val="en-US" w:eastAsia="zh-CN" w:bidi="ar-SA"/>
        </w:rPr>
        <w:t>资产租赁</w:t>
      </w:r>
    </w:p>
    <w:p>
      <w:pPr>
        <w:pageBreakBefore w:val="0"/>
        <w:widowControl w:val="0"/>
        <w:numPr>
          <w:ilvl w:val="0"/>
          <w:numId w:val="0"/>
        </w:numPr>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公办养老机构的资产租赁方式是指政府机构将养老机构的场地和硬件设施以租赁的形式交付社会力量使用，政府机构根据租赁协议获得租金收益。</w:t>
      </w:r>
    </w:p>
    <w:p>
      <w:pPr>
        <w:keepNext w:val="0"/>
        <w:keepLines w:val="0"/>
        <w:pageBreakBefore w:val="0"/>
        <w:widowControl w:val="0"/>
        <w:numPr>
          <w:ilvl w:val="0"/>
          <w:numId w:val="0"/>
        </w:numPr>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该方式的优势是操作程序简单、政府机构与社会力量责任明确，是我国公办养老机构领域最早采用的公私合作制的方式之一。</w:t>
      </w:r>
    </w:p>
    <w:p>
      <w:pPr>
        <w:keepNext w:val="0"/>
        <w:keepLines w:val="0"/>
        <w:pageBreakBefore w:val="0"/>
        <w:widowControl w:val="0"/>
        <w:numPr>
          <w:ilvl w:val="0"/>
          <w:numId w:val="0"/>
        </w:numPr>
        <w:kinsoku/>
        <w:wordWrap/>
        <w:overflowPunct/>
        <w:topLinePunct w:val="0"/>
        <w:autoSpaceDE/>
        <w:autoSpaceDN/>
        <w:bidi w:val="0"/>
        <w:adjustRightInd/>
        <w:snapToGrid/>
        <w:spacing w:beforeLines="0" w:afterLines="0" w:line="360" w:lineRule="auto"/>
        <w:ind w:firstLine="618" w:firstLineChars="200"/>
        <w:jc w:val="both"/>
        <w:textAlignment w:val="auto"/>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四、</w:t>
      </w:r>
      <w:r>
        <w:rPr>
          <w:rFonts w:hint="default" w:ascii="仿宋" w:hAnsi="仿宋" w:eastAsia="仿宋" w:cs="仿宋"/>
          <w:b/>
          <w:bCs/>
          <w:color w:val="auto"/>
          <w:spacing w:val="14"/>
          <w:kern w:val="2"/>
          <w:sz w:val="28"/>
          <w:szCs w:val="28"/>
          <w:lang w:val="en-US" w:eastAsia="zh-CN" w:bidi="ar-SA"/>
        </w:rPr>
        <w:t>三种方式比较分析</w:t>
      </w:r>
    </w:p>
    <w:p>
      <w:pPr>
        <w:keepNext w:val="0"/>
        <w:keepLines w:val="0"/>
        <w:pageBreakBefore w:val="0"/>
        <w:widowControl w:val="0"/>
        <w:kinsoku/>
        <w:wordWrap/>
        <w:overflowPunct/>
        <w:topLinePunct w:val="0"/>
        <w:autoSpaceDE/>
        <w:autoSpaceDN/>
        <w:bidi w:val="0"/>
        <w:adjustRightInd/>
        <w:snapToGrid/>
        <w:spacing w:beforeLines="0" w:afterLines="0" w:line="360" w:lineRule="auto"/>
        <w:jc w:val="center"/>
        <w:textAlignment w:val="auto"/>
        <w:rPr>
          <w:rFonts w:hint="default" w:ascii="仿宋" w:hAnsi="仿宋" w:eastAsia="仿宋" w:cs="仿宋"/>
          <w:color w:val="auto"/>
          <w:spacing w:val="14"/>
          <w:kern w:val="2"/>
          <w:sz w:val="28"/>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表2.4</w:t>
      </w:r>
      <w:r>
        <w:rPr>
          <w:rFonts w:hint="eastAsia" w:ascii="仿宋" w:hAnsi="仿宋" w:eastAsia="仿宋_GB2312" w:cs="仿宋"/>
          <w:b w:val="0"/>
          <w:i w:val="0"/>
          <w:color w:val="auto"/>
          <w:spacing w:val="14"/>
          <w:kern w:val="2"/>
          <w:sz w:val="32"/>
          <w:szCs w:val="28"/>
          <w:lang w:val="en-US" w:eastAsia="zh-CN" w:bidi="ar-SA"/>
        </w:rPr>
        <w:t>.1</w:t>
      </w:r>
      <w:r>
        <w:rPr>
          <w:rFonts w:hint="default" w:ascii="仿宋" w:hAnsi="仿宋" w:eastAsia="仿宋_GB2312" w:cs="仿宋"/>
          <w:b w:val="0"/>
          <w:i w:val="0"/>
          <w:color w:val="auto"/>
          <w:spacing w:val="14"/>
          <w:kern w:val="2"/>
          <w:sz w:val="32"/>
          <w:szCs w:val="28"/>
          <w:lang w:val="en-US" w:eastAsia="zh-CN" w:bidi="ar-SA"/>
        </w:rPr>
        <w:t>-1三种公建民营社会资本方式比较分析</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5"/>
        <w:gridCol w:w="1100"/>
        <w:gridCol w:w="2433"/>
        <w:gridCol w:w="2383"/>
        <w:gridCol w:w="1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765" w:type="dxa"/>
            <w:noWrap w:val="0"/>
            <w:vAlign w:val="top"/>
          </w:tcPr>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序号</w:t>
            </w:r>
          </w:p>
        </w:tc>
        <w:tc>
          <w:tcPr>
            <w:tcW w:w="1100" w:type="dxa"/>
            <w:noWrap w:val="0"/>
            <w:vAlign w:val="top"/>
          </w:tcPr>
          <w:p>
            <w:pPr>
              <w:pStyle w:val="20"/>
              <w:spacing w:before="55" w:line="227"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社会资本方式</w:t>
            </w:r>
          </w:p>
        </w:tc>
        <w:tc>
          <w:tcPr>
            <w:tcW w:w="2433" w:type="dxa"/>
            <w:noWrap w:val="0"/>
            <w:vAlign w:val="top"/>
          </w:tcPr>
          <w:p>
            <w:pPr>
              <w:pStyle w:val="20"/>
              <w:spacing w:before="211" w:line="228"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操作方式</w:t>
            </w:r>
          </w:p>
        </w:tc>
        <w:tc>
          <w:tcPr>
            <w:tcW w:w="2383" w:type="dxa"/>
            <w:noWrap w:val="0"/>
            <w:vAlign w:val="top"/>
          </w:tcPr>
          <w:p>
            <w:pPr>
              <w:pStyle w:val="20"/>
              <w:spacing w:before="211" w:line="228"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优势</w:t>
            </w:r>
          </w:p>
        </w:tc>
        <w:tc>
          <w:tcPr>
            <w:tcW w:w="1841" w:type="dxa"/>
            <w:noWrap w:val="0"/>
            <w:vAlign w:val="top"/>
          </w:tcPr>
          <w:p>
            <w:pPr>
              <w:pStyle w:val="20"/>
              <w:spacing w:before="211" w:line="228"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劣势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dxa"/>
            <w:noWrap w:val="0"/>
            <w:vAlign w:val="top"/>
          </w:tcPr>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1</w:t>
            </w:r>
          </w:p>
        </w:tc>
        <w:tc>
          <w:tcPr>
            <w:tcW w:w="1100" w:type="dxa"/>
            <w:noWrap w:val="0"/>
            <w:vAlign w:val="top"/>
          </w:tcPr>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委托经营方式</w:t>
            </w:r>
          </w:p>
        </w:tc>
        <w:tc>
          <w:tcPr>
            <w:tcW w:w="2433" w:type="dxa"/>
            <w:noWrap w:val="0"/>
            <w:vAlign w:val="top"/>
          </w:tcPr>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政府部门通过招标发包，选择合适的合作对象，将其投资兴建的公办养老机构的部分或全部委托给社会力量经营和管理。由政府进行付费。</w:t>
            </w:r>
          </w:p>
        </w:tc>
        <w:tc>
          <w:tcPr>
            <w:tcW w:w="2383" w:type="dxa"/>
            <w:noWrap w:val="0"/>
            <w:vAlign w:val="top"/>
          </w:tcPr>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1）可将不同的部分的内容分包，较为灵活；</w:t>
            </w:r>
          </w:p>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2）一般通过招标选取社会力量进行经营，竞争较为激烈，能确保社会力量能够提供较强的专业服务能力；</w:t>
            </w:r>
          </w:p>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3）政府可根据需求自主选择租赁期限。</w:t>
            </w:r>
          </w:p>
        </w:tc>
        <w:tc>
          <w:tcPr>
            <w:tcW w:w="1841" w:type="dxa"/>
            <w:noWrap w:val="0"/>
            <w:vAlign w:val="top"/>
          </w:tcPr>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1）社会力量不拥有资产，保障资产安全的责任由政府承担；</w:t>
            </w:r>
          </w:p>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2）由政府进行付费，政府压力较大。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dxa"/>
            <w:noWrap w:val="0"/>
            <w:vAlign w:val="top"/>
          </w:tcPr>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eastAsia" w:ascii="仿宋" w:hAnsi="仿宋" w:eastAsia="仿宋" w:cs="仿宋"/>
                <w:color w:val="auto"/>
                <w:spacing w:val="14"/>
                <w:kern w:val="2"/>
                <w:sz w:val="21"/>
                <w:szCs w:val="21"/>
                <w:lang w:val="en-US" w:eastAsia="zh-CN" w:bidi="ar-SA"/>
              </w:rPr>
              <w:t>2</w:t>
            </w:r>
          </w:p>
        </w:tc>
        <w:tc>
          <w:tcPr>
            <w:tcW w:w="1100" w:type="dxa"/>
            <w:noWrap w:val="0"/>
            <w:vAlign w:val="top"/>
          </w:tcPr>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特许经营方式</w:t>
            </w:r>
          </w:p>
        </w:tc>
        <w:tc>
          <w:tcPr>
            <w:tcW w:w="2433" w:type="dxa"/>
            <w:noWrap w:val="0"/>
            <w:vAlign w:val="top"/>
          </w:tcPr>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eastAsia" w:ascii="仿宋" w:hAnsi="仿宋" w:eastAsia="仿宋" w:cs="仿宋"/>
                <w:color w:val="auto"/>
                <w:spacing w:val="14"/>
                <w:kern w:val="2"/>
                <w:sz w:val="21"/>
                <w:szCs w:val="21"/>
                <w:lang w:val="en-US" w:eastAsia="zh-CN" w:bidi="ar-SA"/>
              </w:rPr>
              <w:t>政府通过特许经营合同将公办养老机构的经营权转移给投资者。要求在合同规定的特许期限内，投资者拥有投资建造设施的所有权，并可以向使用者收取适当费用，由此回收项目投融资、经营和维护成本并获得合理的回报。特许期限结束，投资者将设施无偿地移交给签约方的政府部门。</w:t>
            </w:r>
          </w:p>
        </w:tc>
        <w:tc>
          <w:tcPr>
            <w:tcW w:w="2383" w:type="dxa"/>
            <w:noWrap w:val="0"/>
            <w:vAlign w:val="top"/>
          </w:tcPr>
          <w:p>
            <w:pPr>
              <w:pStyle w:val="20"/>
              <w:spacing w:before="212" w:line="229" w:lineRule="auto"/>
              <w:jc w:val="left"/>
              <w:rPr>
                <w:rFonts w:hint="eastAsia" w:ascii="仿宋" w:hAnsi="仿宋" w:eastAsia="仿宋" w:cs="仿宋"/>
                <w:color w:val="auto"/>
                <w:spacing w:val="14"/>
                <w:kern w:val="2"/>
                <w:sz w:val="21"/>
                <w:szCs w:val="21"/>
                <w:lang w:val="en-US" w:eastAsia="zh-CN" w:bidi="ar-SA"/>
              </w:rPr>
            </w:pPr>
            <w:r>
              <w:rPr>
                <w:rFonts w:hint="eastAsia" w:ascii="仿宋" w:hAnsi="仿宋" w:eastAsia="仿宋" w:cs="仿宋"/>
                <w:color w:val="auto"/>
                <w:spacing w:val="14"/>
                <w:kern w:val="2"/>
                <w:sz w:val="21"/>
                <w:szCs w:val="21"/>
                <w:lang w:val="en-US" w:eastAsia="zh-CN" w:bidi="ar-SA"/>
              </w:rPr>
              <w:t>1）由同一主体建设经营，政府参与程度较低；</w:t>
            </w:r>
          </w:p>
          <w:p>
            <w:pPr>
              <w:pStyle w:val="20"/>
              <w:spacing w:before="212" w:line="229" w:lineRule="auto"/>
              <w:jc w:val="left"/>
              <w:rPr>
                <w:rFonts w:hint="eastAsia" w:ascii="仿宋" w:hAnsi="仿宋" w:eastAsia="仿宋" w:cs="仿宋"/>
                <w:color w:val="auto"/>
                <w:spacing w:val="14"/>
                <w:kern w:val="2"/>
                <w:sz w:val="21"/>
                <w:szCs w:val="21"/>
                <w:lang w:val="en-US" w:eastAsia="zh-CN" w:bidi="ar-SA"/>
              </w:rPr>
            </w:pPr>
            <w:r>
              <w:rPr>
                <w:rFonts w:hint="eastAsia" w:ascii="仿宋" w:hAnsi="仿宋" w:eastAsia="仿宋" w:cs="仿宋"/>
                <w:color w:val="auto"/>
                <w:spacing w:val="14"/>
                <w:kern w:val="2"/>
                <w:sz w:val="21"/>
                <w:szCs w:val="21"/>
                <w:lang w:val="en-US" w:eastAsia="zh-CN" w:bidi="ar-SA"/>
              </w:rPr>
              <w:t>2）由社会力量拥有资产，社会力量承担较大责任；</w:t>
            </w:r>
          </w:p>
          <w:p>
            <w:pPr>
              <w:pStyle w:val="20"/>
              <w:spacing w:before="212" w:line="229" w:lineRule="auto"/>
              <w:jc w:val="left"/>
              <w:rPr>
                <w:rFonts w:hint="eastAsia" w:ascii="仿宋" w:hAnsi="仿宋" w:eastAsia="仿宋" w:cs="仿宋"/>
                <w:color w:val="auto"/>
                <w:spacing w:val="14"/>
                <w:kern w:val="2"/>
                <w:sz w:val="21"/>
                <w:szCs w:val="21"/>
                <w:lang w:val="en-US" w:eastAsia="zh-CN" w:bidi="ar-SA"/>
              </w:rPr>
            </w:pPr>
            <w:r>
              <w:rPr>
                <w:rFonts w:hint="eastAsia" w:ascii="仿宋" w:hAnsi="仿宋" w:eastAsia="仿宋" w:cs="仿宋"/>
                <w:color w:val="auto"/>
                <w:spacing w:val="14"/>
                <w:kern w:val="2"/>
                <w:sz w:val="21"/>
                <w:szCs w:val="21"/>
                <w:lang w:val="en-US" w:eastAsia="zh-CN" w:bidi="ar-SA"/>
              </w:rPr>
              <w:t>3）由社会力量自行筹集资金进行建设，政府无需投入建设资金；</w:t>
            </w:r>
          </w:p>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eastAsia" w:ascii="仿宋" w:hAnsi="仿宋" w:eastAsia="仿宋" w:cs="仿宋"/>
                <w:color w:val="auto"/>
                <w:spacing w:val="14"/>
                <w:kern w:val="2"/>
                <w:sz w:val="21"/>
                <w:szCs w:val="21"/>
                <w:lang w:val="en-US" w:eastAsia="zh-CN" w:bidi="ar-SA"/>
              </w:rPr>
              <w:t>4）运营期由使用者进行付费，政府无需支付大量费用。</w:t>
            </w:r>
          </w:p>
        </w:tc>
        <w:tc>
          <w:tcPr>
            <w:tcW w:w="1841" w:type="dxa"/>
            <w:noWrap w:val="0"/>
            <w:vAlign w:val="top"/>
          </w:tcPr>
          <w:p>
            <w:pPr>
              <w:pStyle w:val="20"/>
              <w:spacing w:before="212" w:line="229" w:lineRule="auto"/>
              <w:jc w:val="left"/>
              <w:rPr>
                <w:rFonts w:hint="eastAsia" w:ascii="仿宋" w:hAnsi="仿宋" w:eastAsia="仿宋" w:cs="仿宋"/>
                <w:color w:val="auto"/>
                <w:spacing w:val="14"/>
                <w:kern w:val="2"/>
                <w:sz w:val="21"/>
                <w:szCs w:val="21"/>
                <w:lang w:val="en-US" w:eastAsia="zh-CN" w:bidi="ar-SA"/>
              </w:rPr>
            </w:pPr>
            <w:r>
              <w:rPr>
                <w:rFonts w:hint="eastAsia" w:ascii="仿宋" w:hAnsi="仿宋" w:eastAsia="仿宋" w:cs="仿宋"/>
                <w:color w:val="auto"/>
                <w:spacing w:val="14"/>
                <w:kern w:val="2"/>
                <w:sz w:val="21"/>
                <w:szCs w:val="21"/>
                <w:lang w:val="en-US" w:eastAsia="zh-CN" w:bidi="ar-SA"/>
              </w:rPr>
              <w:t>1）具有排他性和唯一性，建设经营由同一主体实施，无法专注施工及服务领域；</w:t>
            </w:r>
          </w:p>
          <w:p>
            <w:pPr>
              <w:pStyle w:val="20"/>
              <w:spacing w:before="212" w:line="229" w:lineRule="auto"/>
              <w:jc w:val="left"/>
              <w:rPr>
                <w:rFonts w:hint="eastAsia" w:ascii="仿宋" w:hAnsi="仿宋" w:eastAsia="仿宋" w:cs="仿宋"/>
                <w:color w:val="auto"/>
                <w:spacing w:val="14"/>
                <w:kern w:val="2"/>
                <w:sz w:val="21"/>
                <w:szCs w:val="21"/>
                <w:lang w:val="en-US" w:eastAsia="zh-CN" w:bidi="ar-SA"/>
              </w:rPr>
            </w:pPr>
            <w:r>
              <w:rPr>
                <w:rFonts w:hint="eastAsia" w:ascii="仿宋" w:hAnsi="仿宋" w:eastAsia="仿宋" w:cs="仿宋"/>
                <w:color w:val="auto"/>
                <w:spacing w:val="14"/>
                <w:kern w:val="2"/>
                <w:sz w:val="21"/>
                <w:szCs w:val="21"/>
                <w:lang w:val="en-US" w:eastAsia="zh-CN" w:bidi="ar-SA"/>
              </w:rPr>
              <w:t>2）一般需要由规模较大的社会力量承建及进行运营，政府选择社会力量的范围较为局限；</w:t>
            </w:r>
          </w:p>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eastAsia" w:ascii="仿宋" w:hAnsi="仿宋" w:eastAsia="仿宋" w:cs="仿宋"/>
                <w:color w:val="auto"/>
                <w:spacing w:val="14"/>
                <w:kern w:val="2"/>
                <w:sz w:val="21"/>
                <w:szCs w:val="21"/>
                <w:lang w:val="en-US" w:eastAsia="zh-CN" w:bidi="ar-SA"/>
              </w:rPr>
              <w:t>3）特许经营期结束后移交政府，政府需要进行运营。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5" w:type="dxa"/>
            <w:noWrap w:val="0"/>
            <w:vAlign w:val="top"/>
          </w:tcPr>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eastAsia" w:ascii="仿宋" w:hAnsi="仿宋" w:eastAsia="仿宋" w:cs="仿宋"/>
                <w:color w:val="auto"/>
                <w:spacing w:val="14"/>
                <w:kern w:val="2"/>
                <w:sz w:val="21"/>
                <w:szCs w:val="21"/>
                <w:lang w:val="en-US" w:eastAsia="zh-CN" w:bidi="ar-SA"/>
              </w:rPr>
              <w:t>3</w:t>
            </w:r>
          </w:p>
        </w:tc>
        <w:tc>
          <w:tcPr>
            <w:tcW w:w="1100" w:type="dxa"/>
            <w:noWrap w:val="0"/>
            <w:vAlign w:val="top"/>
          </w:tcPr>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资产租赁方式</w:t>
            </w:r>
          </w:p>
        </w:tc>
        <w:tc>
          <w:tcPr>
            <w:tcW w:w="2433" w:type="dxa"/>
            <w:noWrap w:val="0"/>
            <w:vAlign w:val="top"/>
          </w:tcPr>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指政府机构将养老机构的场地和硬件设施以租赁的形式交付社会力量使用，政府机构根据租赁协议获得租金收益。</w:t>
            </w:r>
          </w:p>
        </w:tc>
        <w:tc>
          <w:tcPr>
            <w:tcW w:w="2383" w:type="dxa"/>
            <w:noWrap w:val="0"/>
            <w:vAlign w:val="top"/>
          </w:tcPr>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1）操作程序简单；</w:t>
            </w:r>
          </w:p>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2）权责明确。</w:t>
            </w:r>
          </w:p>
        </w:tc>
        <w:tc>
          <w:tcPr>
            <w:tcW w:w="1841" w:type="dxa"/>
            <w:noWrap w:val="0"/>
            <w:vAlign w:val="top"/>
          </w:tcPr>
          <w:p>
            <w:pPr>
              <w:pStyle w:val="20"/>
              <w:spacing w:before="212" w:line="229" w:lineRule="auto"/>
              <w:jc w:val="left"/>
              <w:rPr>
                <w:rFonts w:hint="default" w:ascii="仿宋" w:hAnsi="仿宋" w:eastAsia="仿宋" w:cs="仿宋"/>
                <w:color w:val="auto"/>
                <w:spacing w:val="14"/>
                <w:kern w:val="2"/>
                <w:sz w:val="21"/>
                <w:szCs w:val="21"/>
                <w:lang w:val="en-US" w:eastAsia="zh-CN" w:bidi="ar-SA"/>
              </w:rPr>
            </w:pPr>
            <w:r>
              <w:rPr>
                <w:rFonts w:hint="default" w:ascii="仿宋" w:hAnsi="仿宋" w:eastAsia="仿宋" w:cs="仿宋"/>
                <w:color w:val="auto"/>
                <w:spacing w:val="14"/>
                <w:kern w:val="2"/>
                <w:sz w:val="21"/>
                <w:szCs w:val="21"/>
                <w:lang w:val="en-US" w:eastAsia="zh-CN" w:bidi="ar-SA"/>
              </w:rPr>
              <w:t>1）社会力量不拥有资产，保障资产安全的责任由政府承担。</w:t>
            </w:r>
          </w:p>
        </w:tc>
      </w:tr>
    </w:tbl>
    <w:p>
      <w:pPr>
        <w:pStyle w:val="4"/>
        <w:pageBreakBefore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Times New Roman"/>
          <w:b/>
          <w:color w:val="auto"/>
          <w:szCs w:val="28"/>
          <w:lang w:val="en-US" w:eastAsia="zh-CN"/>
        </w:rPr>
      </w:pPr>
      <w:bookmarkStart w:id="50" w:name="_Toc10973"/>
      <w:r>
        <w:rPr>
          <w:rFonts w:hint="default" w:ascii="仿宋" w:hAnsi="仿宋" w:eastAsia="仿宋" w:cs="Times New Roman"/>
          <w:b/>
          <w:color w:val="auto"/>
          <w:szCs w:val="28"/>
          <w:lang w:val="en-US" w:eastAsia="zh-CN"/>
        </w:rPr>
        <w:t>2.4.2本项目公建民营运作方式的选择</w:t>
      </w:r>
      <w:bookmarkEnd w:id="50"/>
    </w:p>
    <w:p>
      <w:pPr>
        <w:pageBreakBefore w:val="0"/>
        <w:numPr>
          <w:ilvl w:val="0"/>
          <w:numId w:val="0"/>
        </w:numPr>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一、</w:t>
      </w:r>
      <w:r>
        <w:rPr>
          <w:rFonts w:hint="default" w:ascii="仿宋" w:hAnsi="仿宋" w:eastAsia="仿宋_GB2312" w:cs="仿宋"/>
          <w:b w:val="0"/>
          <w:i w:val="0"/>
          <w:color w:val="auto"/>
          <w:spacing w:val="14"/>
          <w:kern w:val="2"/>
          <w:sz w:val="32"/>
          <w:szCs w:val="28"/>
          <w:lang w:val="en-US" w:eastAsia="zh-CN" w:bidi="ar-SA"/>
        </w:rPr>
        <w:t>项目特点</w:t>
      </w:r>
    </w:p>
    <w:p>
      <w:pPr>
        <w:pageBreakBefore w:val="0"/>
        <w:numPr>
          <w:ilvl w:val="0"/>
          <w:numId w:val="0"/>
        </w:numPr>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1、场地和硬件设施已建造完成，无需投入建设资金。目前，本项目建筑安装工程、装修工程、基本设备设施配置等已完成建设，社会资本方只需要购置部分办公设备、招聘员工等即可开业，无需再投入大量资金进行建设，对运营资金要求较低。</w:t>
      </w:r>
    </w:p>
    <w:p>
      <w:pPr>
        <w:pageBreakBefore w:val="0"/>
        <w:numPr>
          <w:ilvl w:val="0"/>
          <w:numId w:val="0"/>
        </w:numPr>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二、</w:t>
      </w:r>
      <w:r>
        <w:rPr>
          <w:rFonts w:hint="default" w:ascii="仿宋" w:hAnsi="仿宋" w:eastAsia="仿宋_GB2312" w:cs="仿宋"/>
          <w:b w:val="0"/>
          <w:i w:val="0"/>
          <w:color w:val="auto"/>
          <w:spacing w:val="14"/>
          <w:kern w:val="2"/>
          <w:sz w:val="32"/>
          <w:szCs w:val="28"/>
          <w:lang w:val="en-US" w:eastAsia="zh-CN" w:bidi="ar-SA"/>
        </w:rPr>
        <w:t>本项目运作方式选择</w:t>
      </w:r>
    </w:p>
    <w:p>
      <w:pPr>
        <w:pageBreakBefore w:val="0"/>
        <w:numPr>
          <w:ilvl w:val="0"/>
          <w:numId w:val="0"/>
        </w:numPr>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本项目已于202</w:t>
      </w:r>
      <w:r>
        <w:rPr>
          <w:rFonts w:hint="eastAsia" w:ascii="仿宋" w:hAnsi="仿宋" w:eastAsia="仿宋_GB2312" w:cs="仿宋"/>
          <w:b w:val="0"/>
          <w:i w:val="0"/>
          <w:color w:val="auto"/>
          <w:spacing w:val="14"/>
          <w:kern w:val="2"/>
          <w:sz w:val="32"/>
          <w:szCs w:val="28"/>
          <w:lang w:val="en-US" w:eastAsia="zh-CN" w:bidi="ar-SA"/>
        </w:rPr>
        <w:t>3</w:t>
      </w:r>
      <w:r>
        <w:rPr>
          <w:rFonts w:hint="default" w:ascii="仿宋" w:hAnsi="仿宋" w:eastAsia="仿宋_GB2312" w:cs="仿宋"/>
          <w:b w:val="0"/>
          <w:i w:val="0"/>
          <w:color w:val="auto"/>
          <w:spacing w:val="14"/>
          <w:kern w:val="2"/>
          <w:sz w:val="32"/>
          <w:szCs w:val="28"/>
          <w:lang w:val="en-US" w:eastAsia="zh-CN" w:bidi="ar-SA"/>
        </w:rPr>
        <w:t>年</w:t>
      </w:r>
      <w:r>
        <w:rPr>
          <w:rFonts w:hint="eastAsia" w:ascii="仿宋" w:hAnsi="仿宋" w:eastAsia="仿宋_GB2312" w:cs="仿宋"/>
          <w:b w:val="0"/>
          <w:i w:val="0"/>
          <w:color w:val="auto"/>
          <w:spacing w:val="14"/>
          <w:kern w:val="2"/>
          <w:sz w:val="32"/>
          <w:szCs w:val="28"/>
          <w:lang w:val="en-US" w:eastAsia="zh-CN" w:bidi="ar-SA"/>
        </w:rPr>
        <w:t>11</w:t>
      </w:r>
      <w:r>
        <w:rPr>
          <w:rFonts w:hint="default" w:ascii="仿宋" w:hAnsi="仿宋" w:eastAsia="仿宋_GB2312" w:cs="仿宋"/>
          <w:b w:val="0"/>
          <w:i w:val="0"/>
          <w:color w:val="auto"/>
          <w:spacing w:val="14"/>
          <w:kern w:val="2"/>
          <w:sz w:val="32"/>
          <w:szCs w:val="28"/>
          <w:lang w:val="en-US" w:eastAsia="zh-CN" w:bidi="ar-SA"/>
        </w:rPr>
        <w:t>月开工。截止202</w:t>
      </w:r>
      <w:r>
        <w:rPr>
          <w:rFonts w:hint="eastAsia" w:ascii="仿宋" w:hAnsi="仿宋" w:eastAsia="仿宋_GB2312" w:cs="仿宋"/>
          <w:b w:val="0"/>
          <w:i w:val="0"/>
          <w:color w:val="auto"/>
          <w:spacing w:val="14"/>
          <w:kern w:val="2"/>
          <w:sz w:val="32"/>
          <w:szCs w:val="28"/>
          <w:lang w:val="en-US" w:eastAsia="zh-CN" w:bidi="ar-SA"/>
        </w:rPr>
        <w:t>5</w:t>
      </w:r>
      <w:r>
        <w:rPr>
          <w:rFonts w:hint="default" w:ascii="仿宋" w:hAnsi="仿宋" w:eastAsia="仿宋_GB2312" w:cs="仿宋"/>
          <w:b w:val="0"/>
          <w:i w:val="0"/>
          <w:color w:val="auto"/>
          <w:spacing w:val="14"/>
          <w:kern w:val="2"/>
          <w:sz w:val="32"/>
          <w:szCs w:val="28"/>
          <w:lang w:val="en-US" w:eastAsia="zh-CN" w:bidi="ar-SA"/>
        </w:rPr>
        <w:t>年</w:t>
      </w:r>
      <w:r>
        <w:rPr>
          <w:rFonts w:hint="eastAsia" w:ascii="仿宋" w:hAnsi="仿宋" w:eastAsia="仿宋_GB2312" w:cs="仿宋"/>
          <w:b w:val="0"/>
          <w:i w:val="0"/>
          <w:color w:val="auto"/>
          <w:spacing w:val="14"/>
          <w:kern w:val="2"/>
          <w:sz w:val="32"/>
          <w:szCs w:val="28"/>
          <w:lang w:val="en-US" w:eastAsia="zh-CN" w:bidi="ar-SA"/>
        </w:rPr>
        <w:t>3</w:t>
      </w:r>
      <w:r>
        <w:rPr>
          <w:rFonts w:hint="default" w:ascii="仿宋" w:hAnsi="仿宋" w:eastAsia="仿宋_GB2312" w:cs="仿宋"/>
          <w:b w:val="0"/>
          <w:i w:val="0"/>
          <w:color w:val="auto"/>
          <w:spacing w:val="14"/>
          <w:kern w:val="2"/>
          <w:sz w:val="32"/>
          <w:szCs w:val="28"/>
          <w:lang w:val="en-US" w:eastAsia="zh-CN" w:bidi="ar-SA"/>
        </w:rPr>
        <w:t>月，项目总体工程进度</w:t>
      </w:r>
      <w:r>
        <w:rPr>
          <w:rFonts w:hint="eastAsia" w:ascii="仿宋" w:hAnsi="仿宋" w:eastAsia="仿宋_GB2312" w:cs="仿宋"/>
          <w:b w:val="0"/>
          <w:i w:val="0"/>
          <w:color w:val="auto"/>
          <w:spacing w:val="14"/>
          <w:kern w:val="2"/>
          <w:sz w:val="32"/>
          <w:szCs w:val="28"/>
          <w:lang w:val="en-US" w:eastAsia="zh-CN" w:bidi="ar-SA"/>
        </w:rPr>
        <w:t>70</w:t>
      </w:r>
      <w:r>
        <w:rPr>
          <w:rFonts w:hint="default" w:ascii="仿宋" w:hAnsi="仿宋" w:eastAsia="仿宋_GB2312" w:cs="仿宋"/>
          <w:b w:val="0"/>
          <w:i w:val="0"/>
          <w:color w:val="auto"/>
          <w:spacing w:val="14"/>
          <w:kern w:val="2"/>
          <w:sz w:val="32"/>
          <w:szCs w:val="28"/>
          <w:lang w:val="en-US" w:eastAsia="zh-CN" w:bidi="ar-SA"/>
        </w:rPr>
        <w:t>%，目前已</w:t>
      </w:r>
      <w:r>
        <w:rPr>
          <w:rFonts w:hint="eastAsia" w:ascii="仿宋" w:hAnsi="仿宋" w:eastAsia="仿宋_GB2312" w:cs="仿宋"/>
          <w:b w:val="0"/>
          <w:i w:val="0"/>
          <w:color w:val="auto"/>
          <w:spacing w:val="14"/>
          <w:kern w:val="2"/>
          <w:sz w:val="32"/>
          <w:szCs w:val="28"/>
          <w:lang w:val="en-US" w:eastAsia="zh-CN" w:bidi="ar-SA"/>
        </w:rPr>
        <w:t>完成结构封顶，进入装修阶段</w:t>
      </w:r>
      <w:r>
        <w:rPr>
          <w:rFonts w:hint="default" w:ascii="仿宋" w:hAnsi="仿宋" w:eastAsia="仿宋_GB2312" w:cs="仿宋"/>
          <w:b w:val="0"/>
          <w:i w:val="0"/>
          <w:color w:val="auto"/>
          <w:spacing w:val="14"/>
          <w:kern w:val="2"/>
          <w:sz w:val="32"/>
          <w:szCs w:val="28"/>
          <w:lang w:val="en-US" w:eastAsia="zh-CN" w:bidi="ar-SA"/>
        </w:rPr>
        <w:t>，社会化运营单位在运营时不需要再投入大量的资金进行建设，因此特许经营方式不适合本项目。</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目前</w:t>
      </w:r>
      <w:r>
        <w:rPr>
          <w:rFonts w:hint="eastAsia" w:ascii="仿宋" w:hAnsi="仿宋" w:eastAsia="仿宋_GB2312" w:cs="仿宋"/>
          <w:b w:val="0"/>
          <w:i w:val="0"/>
          <w:color w:val="auto"/>
          <w:spacing w:val="14"/>
          <w:kern w:val="2"/>
          <w:sz w:val="32"/>
          <w:szCs w:val="28"/>
          <w:lang w:val="en-US" w:eastAsia="zh-CN" w:bidi="ar-SA"/>
        </w:rPr>
        <w:t>仁化</w:t>
      </w:r>
      <w:r>
        <w:rPr>
          <w:rFonts w:hint="default" w:ascii="仿宋" w:hAnsi="仿宋" w:eastAsia="仿宋_GB2312" w:cs="仿宋"/>
          <w:b w:val="0"/>
          <w:i w:val="0"/>
          <w:color w:val="auto"/>
          <w:spacing w:val="14"/>
          <w:kern w:val="2"/>
          <w:sz w:val="32"/>
          <w:szCs w:val="28"/>
          <w:lang w:val="en-US" w:eastAsia="zh-CN" w:bidi="ar-SA"/>
        </w:rPr>
        <w:t>县政府的财政预算较为紧张，2023年公共预算收入约较去年有所下降。若选择委托经营方式，政府方可能没有足够的预算费用支付给社会化运营单位，导致社会化运营单位无法持续经营，不利于项目的开展，因此委托经营方式不适合本项目。</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相较之下，资产租赁方式比较适合本项目。在此方式下，政府方无需再成立项目公司，参与养老护理中心的建设、运营、管理，由社会化运营单位对养老护理中心负责全面运营管理与维护，自主经营、自负盈亏，并根据租赁协议，每年支付租金给政府方。政府方定期对社会化运营单位进行监管，在租赁期满后，政府方可根据情况延长租赁合同，或重新选择社会化运营单位经营。政府方不参与日常的运营，无需派出工作人员参与日常工作，节约人员成本。无需承担经营风险，在项目亏损时，不需要承担亏损金额，增加公共预算支出。政府方每年通过收取租金获得稳定的现金流入，增加当地的财政收入。</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综上，采用公建民营模式下的资产租赁方式，政府无需承担运营风险，且每年能获得稳定的租金收入，该方式对政府方来说责任最小，经济价值最高，优于其他两种方式，因此本项目宜选择公建民营模式下的资产租赁方式实施项目的运营。</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p>
    <w:p>
      <w:pPr>
        <w:pStyle w:val="2"/>
        <w:pageBreakBefore w:val="0"/>
        <w:numPr>
          <w:ilvl w:val="0"/>
          <w:numId w:val="0"/>
        </w:numPr>
        <w:kinsoku/>
        <w:wordWrap/>
        <w:overflowPunct/>
        <w:topLinePunct w:val="0"/>
        <w:autoSpaceDE/>
        <w:autoSpaceDN/>
        <w:bidi w:val="0"/>
        <w:adjustRightInd/>
        <w:snapToGrid/>
        <w:spacing w:line="360" w:lineRule="auto"/>
        <w:ind w:left="922" w:leftChars="0" w:hanging="432" w:firstLineChars="0"/>
        <w:jc w:val="center"/>
        <w:textAlignment w:val="auto"/>
        <w:rPr>
          <w:rFonts w:hint="eastAsia"/>
          <w:color w:val="auto"/>
        </w:rPr>
      </w:pPr>
      <w:bookmarkStart w:id="51" w:name="_Toc18796"/>
      <w:r>
        <w:rPr>
          <w:rFonts w:hint="eastAsia" w:ascii="微软雅黑" w:hAnsi="微软雅黑" w:eastAsia="微软雅黑"/>
          <w:b/>
          <w:color w:val="auto"/>
          <w:kern w:val="44"/>
          <w:sz w:val="32"/>
          <w:szCs w:val="32"/>
          <w:lang w:val="en-US" w:eastAsia="zh-CN" w:bidi="ar-SA"/>
        </w:rPr>
        <w:t xml:space="preserve">第三章 </w:t>
      </w:r>
      <w:r>
        <w:rPr>
          <w:rFonts w:hint="eastAsia" w:ascii="微软雅黑" w:hAnsi="微软雅黑" w:eastAsia="微软雅黑"/>
          <w:color w:val="auto"/>
          <w:szCs w:val="32"/>
          <w:lang w:val="en-US" w:eastAsia="zh-CN"/>
        </w:rPr>
        <w:t>公建民营主要内容</w:t>
      </w:r>
      <w:bookmarkEnd w:id="51"/>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olor w:val="auto"/>
          <w:szCs w:val="28"/>
          <w:lang w:val="en-US" w:eastAsia="zh-CN"/>
        </w:rPr>
      </w:pP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olor w:val="auto"/>
          <w:szCs w:val="28"/>
        </w:rPr>
      </w:pPr>
      <w:bookmarkStart w:id="52" w:name="_Toc989"/>
      <w:r>
        <w:rPr>
          <w:rFonts w:hint="eastAsia" w:ascii="仿宋" w:hAnsi="仿宋" w:eastAsia="仿宋"/>
          <w:color w:val="auto"/>
          <w:szCs w:val="28"/>
          <w:lang w:val="en-US" w:eastAsia="zh-CN"/>
        </w:rPr>
        <w:t>3</w:t>
      </w:r>
      <w:r>
        <w:rPr>
          <w:rFonts w:hint="eastAsia" w:ascii="仿宋" w:hAnsi="仿宋" w:eastAsia="仿宋"/>
          <w:color w:val="auto"/>
          <w:szCs w:val="28"/>
        </w:rPr>
        <w:t>.1项目运作方式</w:t>
      </w:r>
      <w:bookmarkEnd w:id="52"/>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选用公建民营模式下的资产租赁方式实施运营。政府投资新建养老服务中心，在不改变权属的情况下，通过招标的方式将部分或全部场所和设施租赁给具有一定资质的社会化运营单位进行运营管理与维护，在租赁期到期后，政府收回场所及设施。</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仁化县政府批准授权仁化县民政和退役军人事务局作为本项目的实施机构，负责本项目运营前期准备工作；通过公开招标选定本项目社会化运营单位，与中标单位签订《公建民营项目租赁运营合同》（以下简称“租赁合同”）；租赁期间对社会资本方进行监管、组织对社会资本方进行绩效考核。</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中标社会资本作为社会资本方对项目进行运营维护管理，向公众提供持续的养老服务。对社会资本方设置奖惩机制，奖惩机制与绩效考核结果挂钩。</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在项目租赁期结束后，社会资本方按相关规定将相关设施无偿移交实施机构或政府指定的其他机构，社会资本方与实施机构各自承担并做好移交工作。实施机构仁化县民政和退役军人事务局有权对社会资本方在项目实施过程中进行全过程监管。</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spacing w:val="14"/>
          <w:kern w:val="2"/>
          <w:sz w:val="28"/>
          <w:szCs w:val="28"/>
          <w:lang w:val="en-US" w:eastAsia="zh-CN" w:bidi="ar-SA"/>
        </w:rPr>
      </w:pPr>
      <w:bookmarkStart w:id="53" w:name="_Toc32733"/>
      <w:r>
        <w:rPr>
          <w:rFonts w:hint="eastAsia" w:ascii="仿宋" w:hAnsi="仿宋" w:eastAsia="仿宋" w:cs="Times New Roman"/>
          <w:b/>
          <w:color w:val="auto"/>
          <w:szCs w:val="28"/>
          <w:lang w:val="en-US" w:eastAsia="zh-CN"/>
        </w:rPr>
        <w:t>3.2相关主体及责权</w:t>
      </w:r>
      <w:bookmarkEnd w:id="53"/>
    </w:p>
    <w:p>
      <w:pPr>
        <w:pageBreakBefore w:val="0"/>
        <w:kinsoku/>
        <w:wordWrap/>
        <w:overflowPunct/>
        <w:topLinePunct w:val="0"/>
        <w:autoSpaceDE/>
        <w:autoSpaceDN/>
        <w:bidi w:val="0"/>
        <w:adjustRightInd/>
        <w:snapToGrid/>
        <w:spacing w:beforeLines="0" w:afterLines="0" w:line="360" w:lineRule="auto"/>
        <w:ind w:firstLine="618"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 w:cs="仿宋"/>
          <w:b/>
          <w:bCs/>
          <w:color w:val="auto"/>
          <w:spacing w:val="14"/>
          <w:kern w:val="2"/>
          <w:sz w:val="28"/>
          <w:szCs w:val="28"/>
          <w:lang w:val="en-US" w:eastAsia="zh-CN" w:bidi="ar-SA"/>
        </w:rPr>
        <w:t>仁化县民政和退役军人事务局：</w:t>
      </w:r>
      <w:r>
        <w:rPr>
          <w:rFonts w:hint="eastAsia" w:ascii="仿宋" w:hAnsi="仿宋" w:eastAsia="仿宋_GB2312" w:cs="仿宋"/>
          <w:b w:val="0"/>
          <w:i w:val="0"/>
          <w:color w:val="auto"/>
          <w:spacing w:val="14"/>
          <w:kern w:val="2"/>
          <w:sz w:val="32"/>
          <w:szCs w:val="28"/>
          <w:lang w:val="en-US" w:eastAsia="zh-CN" w:bidi="ar-SA"/>
        </w:rPr>
        <w:t>作为本项目的实施机构，在项目运营准备期负责本项目社会资本的招选工作、与社会化运营单位签订《公建民营租赁运营合同》。在项目运营期负责对项目进行运维监管、绩效考核组织工作、项目移交时的组织工作。同时，仁化县民政和退役军人事务局作为行业主管部门有权对社会化运营单位在本项目实施过程进行全过程监管（包含调价机制、绩效考核等范围）。实施机构依据《项目租赁运营合同》有权向社会化运营单位收取租金。</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社会化运营单位：在租赁期间对养老服务中心进行运营、管理；根据实施机构批准的服务范围提供养护服务；对运营期内设备设施的维修承担维护和管理的责任；承担租赁期内由于运营养老服务中心引起的债权债务和经济、安全、法律责任。社会化运营单位依据《项目租赁运营合同》向实施机构支付租金。社会化运营单位依据政府补贴政策有权向政府收取政策性床位托养服务费补贴；依据政府批准的服务定价标准，有权向入住养老服务中心的老人收取养老服务费。</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其他政府行政部门：仁化县发改局、财政局、住建局、司法局、规划和自然资源局、环保局、市场监督管理局等相关部门在各自职权范围内的政府审批及接管事宜，包括项目立项、项目变更调整、安全生产、设计监管、概预算监管、绩效评价、移交期交接工作等。</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spacing w:val="14"/>
          <w:kern w:val="2"/>
          <w:sz w:val="28"/>
          <w:szCs w:val="28"/>
          <w:lang w:val="en-US" w:eastAsia="zh-CN" w:bidi="ar-SA"/>
        </w:rPr>
      </w:pPr>
      <w:bookmarkStart w:id="54" w:name="_Toc217"/>
      <w:r>
        <w:rPr>
          <w:rFonts w:hint="eastAsia" w:ascii="仿宋" w:hAnsi="仿宋" w:eastAsia="仿宋" w:cs="Times New Roman"/>
          <w:b/>
          <w:color w:val="auto"/>
          <w:szCs w:val="28"/>
          <w:lang w:val="en-US" w:eastAsia="zh-CN"/>
        </w:rPr>
        <w:t>3.3资产权属</w:t>
      </w:r>
      <w:bookmarkEnd w:id="54"/>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55" w:name="_Toc31260"/>
      <w:r>
        <w:rPr>
          <w:rFonts w:hint="eastAsia" w:ascii="仿宋" w:hAnsi="仿宋" w:eastAsia="仿宋" w:cs="Times New Roman"/>
          <w:b/>
          <w:color w:val="auto"/>
          <w:szCs w:val="28"/>
          <w:lang w:val="en-US" w:eastAsia="zh-CN"/>
        </w:rPr>
        <w:t>3.3.1土地权属</w:t>
      </w:r>
      <w:bookmarkEnd w:id="55"/>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项目的土地所有权归政府所有，社会资本方依据《公建民营租赁运营合同》享有土地使用权。未经政府部门或其授权机构批准，社会资本方不得随意转让、出租、抵押土地使用权或者改变土地用途。</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56" w:name="_Toc18457"/>
      <w:r>
        <w:rPr>
          <w:rFonts w:hint="eastAsia" w:ascii="仿宋" w:hAnsi="仿宋" w:eastAsia="仿宋" w:cs="Times New Roman"/>
          <w:b/>
          <w:color w:val="auto"/>
          <w:szCs w:val="28"/>
          <w:lang w:val="en-US" w:eastAsia="zh-CN"/>
        </w:rPr>
        <w:t>3.3.2场地设施</w:t>
      </w:r>
      <w:bookmarkEnd w:id="56"/>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项目的场地设施（建筑、设备）所有权归政府所有，社会资本方依据《公建民营租赁运营合同》享有场地设施使用权。租赁期结束后，社会资本方应向实施机构移交场地，并应确保移交的场地设施（建筑、设备）不存在任何抵押、质押等担保权益的约束，也不得存在任何第三方可主张的债权。</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实施机构编制“政府方项目设备、设施资产清单”，在租赁运营合同中载明向社会资本方正向移交的全部设备设施，包括建筑物、构筑物、设备、设施、道路、绿化、空地等。</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项目运营期内，社会资本方享有项目设备、设施的使用权和收益权。除本项目租赁合同约定的使用用途及经政府批准的其他衍生业务外，社会资本方不得用于其他任何用途。未经实施机构书面同意，不得将项目所有设备、设施、土地等设置任何债权（担保、抵押、质押等）。社会资本方在运营期内对本项目投入的提升改造及设备、设施形成的资产，以及添附于仁化县养老服务中心房屋上不可移动资产的所有权归属政府方，可移动部分的所有权归属社会资本方。</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租赁运营期满或合同提前终止，社会化经营单位应按合同约定，将项目场地范围内原有资产的使用权、经营权以及租赁运营期内社会化经营单位投入的设备、设施等不可移动资产实物（包括社会化经营单位为更好提供养老服务而投入的提升改造及设备、设施形成的资产）无偿移交给实施机构，其余可移动资产（非移交物品）由社会化经营单位自行处理。</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spacing w:val="14"/>
          <w:kern w:val="2"/>
          <w:sz w:val="28"/>
          <w:szCs w:val="28"/>
          <w:lang w:val="en-US" w:eastAsia="zh-CN" w:bidi="ar-SA"/>
        </w:rPr>
      </w:pPr>
      <w:bookmarkStart w:id="57" w:name="_Toc25987"/>
      <w:r>
        <w:rPr>
          <w:rFonts w:hint="eastAsia" w:ascii="仿宋" w:hAnsi="仿宋" w:eastAsia="仿宋" w:cs="Times New Roman"/>
          <w:b/>
          <w:color w:val="auto"/>
          <w:szCs w:val="28"/>
          <w:lang w:val="en-US" w:eastAsia="zh-CN"/>
        </w:rPr>
        <w:t>3.4租赁期限</w:t>
      </w:r>
      <w:bookmarkEnd w:id="57"/>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收益率参考《韶关市财政局关于进一步规范政府和社会资本合作项目管理的通知》（穗财债〔2019〕90号）中“合理设定投资回报水平。项目合理利润率原则上以同期商业银行中长期贷款基准利率为参考，对租赁期较长的项目可适当上浮”。</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目前，同期商业银行年期以上贷款市场报价利率（LPR）为4.9%，考虑本项目的风险因素，合理收益率适当上浮取整5.5%。</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根据本项目的收费标准和运营成本结合本项目公共服务性质，在本项目利润率约为5.5%的前提下，测算得出租赁期大约为15年。</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spacing w:val="14"/>
          <w:kern w:val="2"/>
          <w:sz w:val="28"/>
          <w:szCs w:val="28"/>
          <w:lang w:val="en-US" w:eastAsia="zh-CN" w:bidi="ar-SA"/>
        </w:rPr>
      </w:pPr>
      <w:bookmarkStart w:id="58" w:name="_Toc6421"/>
      <w:r>
        <w:rPr>
          <w:rFonts w:hint="eastAsia" w:ascii="仿宋" w:hAnsi="仿宋" w:eastAsia="仿宋" w:cs="Times New Roman"/>
          <w:b/>
          <w:color w:val="auto"/>
          <w:szCs w:val="28"/>
          <w:lang w:val="en-US" w:eastAsia="zh-CN"/>
        </w:rPr>
        <w:t>3.5租金计取方式</w:t>
      </w:r>
      <w:bookmarkEnd w:id="58"/>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本项目的租金定价以项目资产评估的租金价格为准。</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spacing w:val="14"/>
          <w:kern w:val="2"/>
          <w:sz w:val="28"/>
          <w:szCs w:val="28"/>
          <w:lang w:val="en-US" w:eastAsia="zh-CN" w:bidi="ar-SA"/>
        </w:rPr>
      </w:pPr>
      <w:bookmarkStart w:id="59" w:name="_Toc13597"/>
      <w:r>
        <w:rPr>
          <w:rFonts w:hint="eastAsia" w:ascii="仿宋" w:hAnsi="仿宋" w:eastAsia="仿宋" w:cs="Times New Roman"/>
          <w:b/>
          <w:color w:val="auto"/>
          <w:szCs w:val="28"/>
          <w:lang w:val="en-US" w:eastAsia="zh-CN"/>
        </w:rPr>
        <w:t>3.6服务定价机制</w:t>
      </w:r>
      <w:bookmarkEnd w:id="59"/>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60" w:name="_Toc28221"/>
      <w:r>
        <w:rPr>
          <w:rFonts w:hint="eastAsia" w:ascii="仿宋" w:hAnsi="仿宋" w:eastAsia="仿宋" w:cs="Times New Roman"/>
          <w:b/>
          <w:color w:val="auto"/>
          <w:szCs w:val="28"/>
          <w:lang w:val="en-US" w:eastAsia="zh-CN"/>
        </w:rPr>
        <w:t>3.6.1养老服务费</w:t>
      </w:r>
      <w:bookmarkEnd w:id="60"/>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本项目养老服务费包括政策性床位托养费及普惠性床位养老服务两部分。</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政策性床位托养收费参考第四章第4.2.3节，普惠性床位养老服务收费参考第四章第4.2.4节。</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61" w:name="_Toc18151"/>
      <w:r>
        <w:rPr>
          <w:rFonts w:hint="eastAsia" w:ascii="仿宋" w:hAnsi="仿宋" w:eastAsia="仿宋" w:cs="Times New Roman"/>
          <w:b/>
          <w:color w:val="auto"/>
          <w:szCs w:val="28"/>
          <w:lang w:val="en-US" w:eastAsia="zh-CN"/>
        </w:rPr>
        <w:t>3.6.2其他收费限制及调整</w:t>
      </w:r>
      <w:bookmarkEnd w:id="61"/>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除养老服务费外，社会资本方开展经政府同意其他收费服务项目时，应当按照下述要求定价，并在开展或调整前对外公示、报县民政局备案：</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一、有政策指导价的项目按政策指导价定价。</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二、无政策指导价的项目，按照“成本+合理利润”的原则进行定价及调整。</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62" w:name="_Toc28089"/>
      <w:r>
        <w:rPr>
          <w:rFonts w:hint="eastAsia" w:ascii="仿宋" w:hAnsi="仿宋" w:eastAsia="仿宋" w:cs="Times New Roman"/>
          <w:b/>
          <w:color w:val="auto"/>
          <w:szCs w:val="28"/>
          <w:lang w:val="en-US" w:eastAsia="zh-CN"/>
        </w:rPr>
        <w:t>3.6.3收费公示及备案</w:t>
      </w:r>
      <w:bookmarkEnd w:id="62"/>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社会资本方严格按照《项目租赁运营合同》约定的收费标准进行收费，向社会公众公示各项服务收费标准。未履行《项目租赁运营合同》约定的备案程序，不得擅自新增其他收费项目。</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spacing w:val="14"/>
          <w:kern w:val="2"/>
          <w:sz w:val="28"/>
          <w:szCs w:val="28"/>
          <w:lang w:val="en-US" w:eastAsia="zh-CN" w:bidi="ar-SA"/>
        </w:rPr>
      </w:pPr>
      <w:bookmarkStart w:id="63" w:name="_Toc28672"/>
      <w:r>
        <w:rPr>
          <w:rFonts w:hint="eastAsia" w:ascii="仿宋" w:hAnsi="仿宋" w:eastAsia="仿宋" w:cs="Times New Roman"/>
          <w:b/>
          <w:color w:val="auto"/>
          <w:szCs w:val="28"/>
          <w:lang w:val="en-US" w:eastAsia="zh-CN"/>
        </w:rPr>
        <w:t>3.7政府需要提供的保障条件</w:t>
      </w:r>
      <w:bookmarkEnd w:id="63"/>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一、依法授予社会化运营单位经营权和使用权；</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二、协调社会化运营单位与政府相关部门的关系，协助社会化运营单位进行项目未完成的审批和取得必需的支持性文件等工作（或有）；项目未完成的审批依法应由建设方办理的由实施机构方负责完成并取得相关审批文件。</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三、协助社会化运营单位取得法律法规规定的可适用于项目的各项减、免税和优惠政策；</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四、按时支付缴纳政策性床位托养服务费；</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五、协调城市供水、排水、燃气、供电、通信、水利、消防、园林等相关职能部门，为本项目的市政配套工作进行协调和手续办理，以保证项目的提升改造进度和后续运营时的市政配套需求；</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六、支持社会化运营单位开展政府许可的其他经营活动；</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七、养老服务中心用电、用水、用气、用热（如有）按居民生活类价格或工商业服务业价格的较低价格执行，并免收相应的配套费。</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八、协议提前终止时，接收项目设备、设施，并按本合同约定向社会化运营单位支付补偿费用；因政府方原因导致项目关键时间进度延误，有关进度相应延长，租赁运营期延长。</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spacing w:val="14"/>
          <w:kern w:val="2"/>
          <w:sz w:val="28"/>
          <w:szCs w:val="28"/>
          <w:lang w:val="en-US" w:eastAsia="zh-CN" w:bidi="ar-SA"/>
        </w:rPr>
      </w:pPr>
      <w:bookmarkStart w:id="64" w:name="_Toc10593"/>
      <w:r>
        <w:rPr>
          <w:rFonts w:hint="eastAsia" w:ascii="仿宋" w:hAnsi="仿宋" w:eastAsia="仿宋" w:cs="Times New Roman"/>
          <w:b/>
          <w:color w:val="auto"/>
          <w:szCs w:val="28"/>
          <w:lang w:val="en-US" w:eastAsia="zh-CN"/>
        </w:rPr>
        <w:t>3.8租赁期额外收益分配原则</w:t>
      </w:r>
      <w:bookmarkEnd w:id="64"/>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65" w:name="_Toc3921"/>
      <w:r>
        <w:rPr>
          <w:rFonts w:hint="eastAsia" w:ascii="仿宋" w:hAnsi="仿宋" w:eastAsia="仿宋" w:cs="Times New Roman"/>
          <w:b/>
          <w:color w:val="auto"/>
          <w:szCs w:val="28"/>
          <w:lang w:val="en-US" w:eastAsia="zh-CN"/>
        </w:rPr>
        <w:t>3.8.1关于项目租赁期的补贴收入</w:t>
      </w:r>
      <w:bookmarkEnd w:id="65"/>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本项目可申请到如申请到可用的中央、地方预算内资金、省、市或区级专项资金等补助资金，且该等资金用于本项目运营的，则应计算在本项目的补贴收入中。上级资金有使用限制的，从其规定。</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运营期内本项目通过申请而获取的各级政府相关资金或补贴、补助收入应归社会资本方所有（此补贴费用为符合政策范围的补贴，以当时的政策为准）。</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66" w:name="_Toc28477"/>
      <w:r>
        <w:rPr>
          <w:rFonts w:hint="eastAsia" w:ascii="仿宋" w:hAnsi="仿宋" w:eastAsia="仿宋" w:cs="Times New Roman"/>
          <w:b/>
          <w:color w:val="auto"/>
          <w:szCs w:val="28"/>
          <w:lang w:val="en-US" w:eastAsia="zh-CN"/>
        </w:rPr>
        <w:t>3.8.2收益分配机制</w:t>
      </w:r>
      <w:bookmarkEnd w:id="66"/>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社会资本方应在支付生产各项应付费用（包括工人工资、福利等）、税金等后，方可进行分红。</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社会资本方股东可按所占股权比例，以及按公司章程的约定获得股东分红。</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spacing w:val="14"/>
          <w:kern w:val="2"/>
          <w:sz w:val="28"/>
          <w:szCs w:val="28"/>
          <w:lang w:val="en-US" w:eastAsia="zh-CN" w:bidi="ar-SA"/>
        </w:rPr>
      </w:pPr>
      <w:bookmarkStart w:id="67" w:name="_Toc626"/>
      <w:r>
        <w:rPr>
          <w:rFonts w:hint="eastAsia" w:ascii="仿宋" w:hAnsi="仿宋" w:eastAsia="仿宋" w:cs="Times New Roman"/>
          <w:b/>
          <w:color w:val="auto"/>
          <w:szCs w:val="28"/>
          <w:lang w:val="en-US" w:eastAsia="zh-CN"/>
        </w:rPr>
        <w:t>3.9项目监管</w:t>
      </w:r>
      <w:bookmarkEnd w:id="67"/>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对社会资本方的监管包括行政监管、协议监管以及公众监督。县财政局、卫健局、民政局、环保局、审计局、发改局、市场监督管理局等政府部门依据职能分工对社会资本方行使监管权；县政府授权民政和退役军人事务局以《项目租赁运营合同》为依据，对社会资本方进行履约管理和行业监督；社会公众对社会资本方进行群众监督。</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spacing w:val="14"/>
          <w:kern w:val="2"/>
          <w:sz w:val="28"/>
          <w:szCs w:val="28"/>
          <w:lang w:val="en-US" w:eastAsia="zh-CN" w:bidi="ar-SA"/>
        </w:rPr>
      </w:pPr>
      <w:bookmarkStart w:id="68" w:name="_Toc14163"/>
      <w:r>
        <w:rPr>
          <w:rFonts w:hint="eastAsia" w:ascii="仿宋" w:hAnsi="仿宋" w:eastAsia="仿宋" w:cs="Times New Roman"/>
          <w:b/>
          <w:color w:val="auto"/>
          <w:szCs w:val="28"/>
          <w:lang w:val="en-US" w:eastAsia="zh-CN"/>
        </w:rPr>
        <w:t>3.10激励机制</w:t>
      </w:r>
      <w:bookmarkEnd w:id="68"/>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69" w:name="_Toc30434"/>
      <w:r>
        <w:rPr>
          <w:rFonts w:hint="eastAsia" w:ascii="仿宋" w:hAnsi="仿宋" w:eastAsia="仿宋" w:cs="Times New Roman"/>
          <w:b/>
          <w:color w:val="auto"/>
          <w:szCs w:val="28"/>
          <w:lang w:val="en-US" w:eastAsia="zh-CN"/>
        </w:rPr>
        <w:t>3.10.1激励相容原则</w:t>
      </w:r>
      <w:bookmarkEnd w:id="69"/>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通过激励相容机制的设计，使社会资本方利己的经济理性行为产生有利于政府和社会公众总体利益的结果。本项目中包含的激励兼容机制主要体现在两个方面：</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其一，社会资本方承担本项目的运营维护，政府方设置运营绩效考核指标，公建民营项目合同中设置明确的奖惩机制，社会资本方需提交一定比例金额的履约保证。项目运营实际绩效优于约定标准的，项目实施机构将执行项目合同约定的奖励条款，并可将其作为项目期满合同能否展期的依据。项目实际绩效未达到约定标准的，项目实施机构应执行项目合同约定的惩处条款。如果社会资本方违反项目合同约定，威胁公共产品和服务持续稳定安全供给，或危及国家安全和重大公共利益的，政府有权临时接管项目，直至启动项目提前终止程序。</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其二，通过公开竞争程序将服务费用金额确定在一个合理区间内，并鼓励社会资本方通过改善管理以提升服务质量、提高效率以增加收益，有利于达到社会资本方、政府方及社会公众等多方共赢的局面。</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70" w:name="_Toc24713"/>
      <w:r>
        <w:rPr>
          <w:rFonts w:hint="eastAsia" w:ascii="仿宋" w:hAnsi="仿宋" w:eastAsia="仿宋" w:cs="Times New Roman"/>
          <w:b/>
          <w:color w:val="auto"/>
          <w:szCs w:val="28"/>
          <w:lang w:val="en-US" w:eastAsia="zh-CN"/>
        </w:rPr>
        <w:t>3.10.2项目奖惩机制</w:t>
      </w:r>
      <w:bookmarkEnd w:id="70"/>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为促进社会资本方不断优化服务质量、提升服务水平以及确保安全生产，为社会和政府带来更多的社会效益、政治效益和经济效益，县民政局结合绩效考核、机构星级评定、履约情况等设定项目奖惩机制，具体由县民政局根据实际情况制定。</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奖励机制设置方面，可以考虑给予社会资本方优先续租、荣誉奖励、加大信息的公开程度、扶持政策等奖励。处罚机制设置方面，可以考虑从增加运营保证金、停发运营补贴、强制退出项目等设置。</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设置如下奖惩机制：</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(1)为促进本项目尽快打造成广东省“五星级”养老机构，若社会资本方在运营期内评上广东省“五星级”养老机构，合同到期后，社会资本方可享有优先续租的权利。</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(2)运营期内每年对社会资本方进行一次绩效考核，如社会资本方绩效考核不合格（低于80分），则实施机构有权向社会资本方收取该项目物业当年市场租金评估价值的六个月租金。</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(3)社会资本方如连续两次运营绩效考核不合格，则实施机构有权全部提取履约保证金或提前终止合同。</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71" w:name="_Toc8649"/>
      <w:r>
        <w:rPr>
          <w:rFonts w:hint="eastAsia" w:ascii="仿宋" w:hAnsi="仿宋" w:eastAsia="仿宋" w:cs="Times New Roman"/>
          <w:b/>
          <w:color w:val="auto"/>
          <w:szCs w:val="28"/>
          <w:lang w:val="en-US" w:eastAsia="zh-CN"/>
        </w:rPr>
        <w:t>3.10.3免租期设定原则</w:t>
      </w:r>
      <w:bookmarkEnd w:id="71"/>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考虑到本项目属于公共服务项目，为了提高社会资本参与本项目的积极性，以及鼓励社会资本为民众提供价廉质优的养老服务，本项目可以为社会资本设定免租期，免租期时间的设定原则上应与通过公开程序招标确定的条件进行挂钩。</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同类项目经验，运营期前半年一般为试运营期，试运营期因涉及养老服务人员的招聘和培训、养老市场的培育、智慧养老系统的搭建与调试等，为鼓励社会资本为民众提供价廉质优的养老服务，本项目免租期定为半年。</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72" w:name="_Toc15839"/>
      <w:r>
        <w:rPr>
          <w:rFonts w:hint="eastAsia" w:ascii="仿宋" w:hAnsi="仿宋" w:eastAsia="仿宋" w:cs="Times New Roman"/>
          <w:b/>
          <w:color w:val="auto"/>
          <w:szCs w:val="28"/>
          <w:lang w:val="en-US" w:eastAsia="zh-CN"/>
        </w:rPr>
        <w:t>3.10.4租金减免原则</w:t>
      </w:r>
      <w:bookmarkEnd w:id="72"/>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为促进本项目尽快打造成广东省“四星级”标准或以上养老机构，考虑设置租金减免的奖励机制，租金减免的比例设置原则上应与本项目达到广东省养老机构星级评定的级别挂钩。</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初步拟定本项目租金减免奖励机制如下：</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如果社会资本方在运营期前五年达到广东省养老机构星级评定标准中四星级标准，则自评定后的下一年起政府减免当年租金20%。如果社会资本方在运营期前五年达到广东省养老机构星级评定标准五星级标准，则自评定后的下一年起政府减免当年租金30%。如果社会资本方在运营期前五年未能达到广东省养老机构星级评定标准中五星级养老机构标准，则租金没有任何减免</w:t>
      </w:r>
      <w:r>
        <w:rPr>
          <w:rFonts w:hint="default" w:ascii="仿宋" w:hAnsi="仿宋" w:eastAsia="仿宋_GB2312" w:cs="仿宋"/>
          <w:b w:val="0"/>
          <w:i w:val="0"/>
          <w:color w:val="auto"/>
          <w:spacing w:val="14"/>
          <w:kern w:val="2"/>
          <w:sz w:val="32"/>
          <w:szCs w:val="28"/>
          <w:lang w:val="en-US" w:eastAsia="zh-CN" w:bidi="ar-SA"/>
        </w:rPr>
        <w:t>,</w:t>
      </w:r>
      <w:r>
        <w:rPr>
          <w:rFonts w:hint="eastAsia" w:ascii="仿宋" w:hAnsi="仿宋" w:eastAsia="仿宋_GB2312" w:cs="仿宋"/>
          <w:b w:val="0"/>
          <w:i w:val="0"/>
          <w:color w:val="auto"/>
          <w:spacing w:val="14"/>
          <w:kern w:val="2"/>
          <w:sz w:val="32"/>
          <w:szCs w:val="28"/>
          <w:lang w:val="en-US" w:eastAsia="zh-CN" w:bidi="ar-SA"/>
        </w:rPr>
        <w:t>减免政策应符合</w:t>
      </w:r>
      <w:r>
        <w:rPr>
          <w:rFonts w:hint="default" w:ascii="仿宋" w:hAnsi="仿宋" w:eastAsia="仿宋_GB2312" w:cs="仿宋"/>
          <w:b w:val="0"/>
          <w:i w:val="0"/>
          <w:color w:val="auto"/>
          <w:spacing w:val="14"/>
          <w:kern w:val="2"/>
          <w:sz w:val="32"/>
          <w:szCs w:val="28"/>
          <w:lang w:val="en-US" w:eastAsia="zh-CN" w:bidi="ar-SA"/>
        </w:rPr>
        <w:t>《韶关市民办养老服务机构扶持资助办法》</w:t>
      </w:r>
      <w:r>
        <w:rPr>
          <w:rFonts w:hint="eastAsia" w:ascii="仿宋" w:hAnsi="仿宋" w:eastAsia="仿宋_GB2312" w:cs="仿宋"/>
          <w:b w:val="0"/>
          <w:i w:val="0"/>
          <w:color w:val="auto"/>
          <w:spacing w:val="14"/>
          <w:kern w:val="2"/>
          <w:sz w:val="32"/>
          <w:szCs w:val="28"/>
          <w:lang w:val="en-US" w:eastAsia="zh-CN" w:bidi="ar-SA"/>
        </w:rPr>
        <w:t>。</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73" w:name="_Toc31438"/>
      <w:r>
        <w:rPr>
          <w:rFonts w:hint="eastAsia" w:ascii="仿宋" w:hAnsi="仿宋" w:eastAsia="仿宋" w:cs="Times New Roman"/>
          <w:b/>
          <w:color w:val="auto"/>
          <w:szCs w:val="28"/>
          <w:lang w:val="en-US" w:eastAsia="zh-CN"/>
        </w:rPr>
        <w:t>3.11移交机制</w:t>
      </w:r>
      <w:bookmarkEnd w:id="73"/>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项目运营期结束或者协议提前终止，社会化运营单位应按《项目运营合同》约定，将政企双方确定的移交资产清单中包含的场地范围内原有资产的使用权和经营权以及运营期内社会化运营单位投入的设备、设施等不可移动资产实物，无偿移交给县民政局或政府指定部门。</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移交资产清单待项目正式运营后确定，由实施机构及社会资本方每年对资产变化情况进行确定和更新。</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资产移交范围及标准如下：</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资产移交范围包括场地范围内原有资产的使用权和经营权，以及运营期内社会资本方投入的设备、设施等不可移动资产实物，社会资本方取得的相关土地使用权，各类技术图纸、规程、规范、资料、生产运营的有关图纸、资料等；</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2、相关运营管理与维护文件资料：包括与入住老人签订的合同或协议、在院老人的个人档案、医疗档案、护理评估报告、日常护理记录等；</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3、在资产移交范围内的资产不应附带任何其他或有债务、留置权、质押权、抵押权和其他担保权益及第三方权益；</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4、社会资本方应在资产移交时确保资产正常使用，政府应在接收资产前对项目资产进行检验，以保证资产移交后整体项目的可行；</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社会资本方应确保最后一次运维绩效考核指标达到正常使用要求，保证项目服务设备、设施能正常使用。如发现存在缺陷未能达到移交标准的，社会资本方应及时修复达到移交标准，修复费用由社会资本方承担。如任一方对是否达到移交标准有异议，由移交委员会聘请第三方机构进行评定，评定费用由社会资本方承担或由县民政局兑付运营保证金相应金额。</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74" w:name="_Toc15963"/>
      <w:r>
        <w:rPr>
          <w:rFonts w:hint="eastAsia" w:ascii="仿宋" w:hAnsi="仿宋" w:eastAsia="仿宋" w:cs="Times New Roman"/>
          <w:b/>
          <w:color w:val="auto"/>
          <w:szCs w:val="28"/>
          <w:lang w:val="en-US" w:eastAsia="zh-CN"/>
        </w:rPr>
        <w:t>3.12.退出机制</w:t>
      </w:r>
      <w:bookmarkEnd w:id="74"/>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75" w:name="_Toc15068"/>
      <w:r>
        <w:rPr>
          <w:rFonts w:hint="eastAsia" w:ascii="仿宋" w:hAnsi="仿宋" w:eastAsia="仿宋" w:cs="Times New Roman"/>
          <w:b/>
          <w:color w:val="auto"/>
          <w:szCs w:val="28"/>
          <w:lang w:val="en-US" w:eastAsia="zh-CN"/>
        </w:rPr>
        <w:t>3.12.1合同期满的退出</w:t>
      </w:r>
      <w:bookmarkEnd w:id="75"/>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在合同期满时，社会化运营单位享有优先续约权，若社会化运营单位选择不续约，则按照合同约定退出本项目。在经营期结束6个月前，由社会化运营单位和实施机构各自派员组成移交委员会，具体负责办理移交工作，由社会化运营单位向政府主管部门无偿移交。至此，社会化运营单位完全退出该项目，项目所有权益全部归属政府主管部门，项目回归其公共服务设施性质。</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76" w:name="_Toc3406"/>
      <w:r>
        <w:rPr>
          <w:rFonts w:hint="eastAsia" w:ascii="仿宋" w:hAnsi="仿宋" w:eastAsia="仿宋" w:cs="Times New Roman"/>
          <w:b/>
          <w:color w:val="auto"/>
          <w:szCs w:val="28"/>
          <w:lang w:val="en-US" w:eastAsia="zh-CN"/>
        </w:rPr>
        <w:t>3.12.2合同提前终止的退出</w:t>
      </w:r>
      <w:bookmarkEnd w:id="76"/>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在以下情形下，项目可提前终止：一方违约导致的提前终止、不可抗力导致的提前终止。</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若公建民营项目合同提前终止，需区分社会化运营单位违约（政府发出终止）、政府方违约（社会化运营单位发出终止）、不可抗力（包括不限于地震、台风、洪水、火灾、战争等）等不同的情形下分别处理，并依据项目合同计算合理的费用或赔偿金额。</w:t>
      </w:r>
    </w:p>
    <w:p>
      <w:pPr>
        <w:pageBreakBefore w:val="0"/>
        <w:kinsoku/>
        <w:wordWrap/>
        <w:overflowPunct/>
        <w:topLinePunct w:val="0"/>
        <w:autoSpaceDE/>
        <w:autoSpaceDN/>
        <w:bidi w:val="0"/>
        <w:adjustRightInd/>
        <w:snapToGrid/>
        <w:spacing w:beforeLines="0" w:afterLines="0" w:line="360" w:lineRule="auto"/>
        <w:ind w:firstLine="618" w:firstLineChars="200"/>
        <w:jc w:val="both"/>
        <w:textAlignment w:val="auto"/>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一、社会化运营单位违约</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存在如下社会化运营单位违约事件时，政府方有权立即发出终止意向通知，并兑取履约保证金或维护保证金：</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1）社会化运营单位擅自转让、出租经营权；</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2）社会化运营单位擅自将所经营的项目财产进行处置或者抵押；</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3）社会化运营单位因管理不善，发生特别重大质量、生产安全事故（如运营期内发生重大责任事故、医疗事故、消防安全事故、重大食品安全事故或侵犯老人合法权益等）或从事超过其经营范围的活动；</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4）社会化运营单位擅自停业、歇业，严重影响社会公共利益和安全；</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5）根据中国法律社会化运营单位进行清算或资不抵债；</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6）社会化运营单位在签订合同时的任何声明被证明在做出时即有严重错误，使社会化运营单位履行合同的能力受到严重的不利影响；</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7）社会化运营单位未能根据合同规定提交并保持履约保证金和维护保证金足额有效；</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根据监管考核办法和标准进行绩效考核评分，考核得分不合格（低于80分）的需在限期30日内整改完毕，限期30日内整改不到位的、或限期30日内整改次数＞2次、连续两次项目考核总分&lt;80分、或租赁期内考核分数累计六次以上低于80分时；</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9）社会化运营单位未履行合同项下的其他义务，构成对合同的实质性违约，并且在收到实施机构说明其违约并要求补救的书面通知5日内仍未能补救该实质性违约。</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10）项目运营至第五年年末，未评上星级养老机构或发生重大事故。</w:t>
      </w:r>
    </w:p>
    <w:p>
      <w:pPr>
        <w:pageBreakBefore w:val="0"/>
        <w:kinsoku/>
        <w:wordWrap/>
        <w:overflowPunct/>
        <w:topLinePunct w:val="0"/>
        <w:autoSpaceDE/>
        <w:autoSpaceDN/>
        <w:bidi w:val="0"/>
        <w:adjustRightInd/>
        <w:snapToGrid/>
        <w:spacing w:beforeLines="0" w:afterLines="0" w:line="360" w:lineRule="auto"/>
        <w:ind w:firstLine="618" w:firstLineChars="200"/>
        <w:jc w:val="both"/>
        <w:textAlignment w:val="auto"/>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二、政府方违约</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存在如下政府方违约事件时，社会化运营单位有权立即发出终止意向通知，并有权按照实际损失要求政府方赔偿：</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1）因政府原因要求社会化运营单位强制退出；</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2）政府方不按项目合同的约定向中标人支付政策性床位补贴；</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3）政府方在合同签订时的任何声明被证明在做出时即有严重错误，使政府方履行合同的能力受到严重的不利影响；</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4）政府方未履行其在合同项下的任何其他义务构成对合同的实质性违约。</w:t>
      </w:r>
    </w:p>
    <w:p>
      <w:pPr>
        <w:pageBreakBefore w:val="0"/>
        <w:kinsoku/>
        <w:wordWrap/>
        <w:overflowPunct/>
        <w:topLinePunct w:val="0"/>
        <w:autoSpaceDE/>
        <w:autoSpaceDN/>
        <w:bidi w:val="0"/>
        <w:adjustRightInd/>
        <w:snapToGrid/>
        <w:spacing w:beforeLines="0" w:afterLines="0" w:line="360" w:lineRule="auto"/>
        <w:ind w:firstLine="618" w:firstLineChars="200"/>
        <w:jc w:val="both"/>
        <w:textAlignment w:val="auto"/>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三、因不可抗力事件导致退出</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在合同执行过程中，确系人力不可抗拒因素影响合同执行时，双方视具体情况酌情处理。</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spacing w:val="14"/>
          <w:kern w:val="2"/>
          <w:sz w:val="28"/>
          <w:szCs w:val="28"/>
          <w:lang w:val="en-US" w:eastAsia="zh-CN" w:bidi="ar-SA"/>
        </w:rPr>
      </w:pPr>
      <w:bookmarkStart w:id="77" w:name="_Toc9669"/>
      <w:r>
        <w:rPr>
          <w:rFonts w:hint="eastAsia" w:ascii="仿宋" w:hAnsi="仿宋" w:eastAsia="仿宋" w:cs="Times New Roman"/>
          <w:b/>
          <w:color w:val="auto"/>
          <w:szCs w:val="28"/>
          <w:lang w:val="en-US" w:eastAsia="zh-CN"/>
        </w:rPr>
        <w:t>3.13租赁期届满后续管理</w:t>
      </w:r>
      <w:bookmarkEnd w:id="77"/>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项目实施机构作为本项目的最终接收方，在租赁合同到期后，一般有三种后续管理思路：</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一、根据实际情况、租赁运营合同相关规定及届时适用的相关法律法规，与社会化运营单位签订租赁补充协议；</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二、由政府行业主管部门（现为民政局）或其指定机构接管，提供公共服务；</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三、对该项目的后续运营维护重新通过竞争性方式聘请新的运营维护单位。</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就本项目而言，在项目租赁运营期限届满后，可以由县政府、实施机构根据项目社会价值最大化、维护公共利益的原则、社会化运营单位运营维护情况进行选择。</w:t>
      </w:r>
    </w:p>
    <w:p>
      <w:pPr>
        <w:pageBreakBefore w:val="0"/>
        <w:kinsoku/>
        <w:wordWrap/>
        <w:overflowPunct/>
        <w:topLinePunct w:val="0"/>
        <w:autoSpaceDE/>
        <w:autoSpaceDN/>
        <w:bidi w:val="0"/>
        <w:adjustRightInd/>
        <w:snapToGrid/>
        <w:spacing w:beforeLines="0" w:afterLines="0" w:line="360" w:lineRule="auto"/>
        <w:ind w:firstLine="696" w:firstLineChars="200"/>
        <w:jc w:val="both"/>
        <w:textAlignment w:val="auto"/>
        <w:rPr>
          <w:rFonts w:hint="default" w:ascii="仿宋" w:hAnsi="仿宋" w:eastAsia="仿宋_GB2312" w:cs="仿宋"/>
          <w:b w:val="0"/>
          <w:i w:val="0"/>
          <w:color w:val="auto"/>
          <w:spacing w:val="14"/>
          <w:kern w:val="2"/>
          <w:sz w:val="32"/>
          <w:szCs w:val="28"/>
          <w:lang w:val="en-US" w:eastAsia="zh-CN" w:bidi="ar-SA"/>
        </w:rPr>
      </w:pPr>
    </w:p>
    <w:p>
      <w:pPr>
        <w:pStyle w:val="2"/>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仿宋" w:hAnsi="仿宋" w:eastAsia="仿宋"/>
          <w:color w:val="auto"/>
          <w:szCs w:val="28"/>
        </w:rPr>
      </w:pPr>
      <w:bookmarkStart w:id="78" w:name="_Toc13800"/>
      <w:r>
        <w:rPr>
          <w:rFonts w:hint="eastAsia" w:ascii="微软雅黑" w:hAnsi="微软雅黑" w:eastAsia="微软雅黑"/>
          <w:color w:val="auto"/>
          <w:szCs w:val="32"/>
        </w:rPr>
        <w:t>第</w:t>
      </w:r>
      <w:r>
        <w:rPr>
          <w:rFonts w:hint="eastAsia" w:ascii="微软雅黑" w:hAnsi="微软雅黑" w:eastAsia="微软雅黑"/>
          <w:color w:val="auto"/>
          <w:szCs w:val="32"/>
          <w:lang w:val="en-US" w:eastAsia="zh-CN"/>
        </w:rPr>
        <w:t>四</w:t>
      </w:r>
      <w:r>
        <w:rPr>
          <w:rFonts w:hint="eastAsia" w:ascii="微软雅黑" w:hAnsi="微软雅黑" w:eastAsia="微软雅黑"/>
          <w:color w:val="auto"/>
          <w:szCs w:val="32"/>
        </w:rPr>
        <w:t>章 项目财务分析</w:t>
      </w:r>
      <w:bookmarkEnd w:id="78"/>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olor w:val="auto"/>
          <w:szCs w:val="28"/>
        </w:rPr>
      </w:pP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spacing w:val="14"/>
          <w:sz w:val="28"/>
          <w:szCs w:val="28"/>
          <w:lang w:val="en-US" w:eastAsia="zh-CN"/>
        </w:rPr>
      </w:pPr>
      <w:bookmarkStart w:id="79" w:name="_Toc7704"/>
      <w:r>
        <w:rPr>
          <w:rFonts w:hint="eastAsia" w:ascii="仿宋" w:hAnsi="仿宋" w:eastAsia="仿宋"/>
          <w:color w:val="auto"/>
          <w:szCs w:val="28"/>
          <w:lang w:val="en-US" w:eastAsia="zh-CN"/>
        </w:rPr>
        <w:t>4</w:t>
      </w:r>
      <w:r>
        <w:rPr>
          <w:rFonts w:hint="eastAsia" w:ascii="仿宋" w:hAnsi="仿宋" w:eastAsia="仿宋"/>
          <w:color w:val="auto"/>
          <w:szCs w:val="28"/>
        </w:rPr>
        <w:t>.1财务测算范围</w:t>
      </w:r>
      <w:bookmarkEnd w:id="79"/>
    </w:p>
    <w:p>
      <w:pPr>
        <w:pStyle w:val="18"/>
        <w:pageBreakBefore w:val="0"/>
        <w:kinsoku/>
        <w:wordWrap/>
        <w:overflowPunct/>
        <w:topLinePunct w:val="0"/>
        <w:autoSpaceDE/>
        <w:autoSpaceDN/>
        <w:bidi w:val="0"/>
        <w:adjustRightInd/>
        <w:snapToGrid/>
        <w:spacing w:line="360" w:lineRule="auto"/>
        <w:ind w:left="0" w:leftChars="0"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本项目公建民营租赁运营期拟定为15年，因此财务分析按15年进行测算。</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spacing w:val="14"/>
          <w:kern w:val="2"/>
          <w:sz w:val="28"/>
          <w:szCs w:val="28"/>
          <w:lang w:val="en-US" w:eastAsia="zh-CN" w:bidi="ar-SA"/>
        </w:rPr>
      </w:pPr>
      <w:bookmarkStart w:id="80" w:name="_Toc27693"/>
      <w:r>
        <w:rPr>
          <w:rFonts w:hint="eastAsia" w:ascii="仿宋" w:hAnsi="仿宋" w:eastAsia="仿宋" w:cs="Times New Roman"/>
          <w:b/>
          <w:color w:val="auto"/>
          <w:szCs w:val="28"/>
          <w:lang w:val="en-US" w:eastAsia="zh-CN"/>
        </w:rPr>
        <w:t>4.2收入预测</w:t>
      </w:r>
      <w:bookmarkEnd w:id="80"/>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81" w:name="_Toc15538"/>
      <w:r>
        <w:rPr>
          <w:rFonts w:hint="eastAsia" w:ascii="仿宋" w:hAnsi="仿宋" w:eastAsia="仿宋" w:cs="Times New Roman"/>
          <w:b/>
          <w:color w:val="auto"/>
          <w:szCs w:val="28"/>
          <w:lang w:val="en-US" w:eastAsia="zh-CN"/>
        </w:rPr>
        <w:t>4.2.1社会资本方收入来源</w:t>
      </w:r>
      <w:bookmarkEnd w:id="81"/>
    </w:p>
    <w:p>
      <w:pPr>
        <w:pStyle w:val="18"/>
        <w:pageBreakBefore w:val="0"/>
        <w:kinsoku/>
        <w:wordWrap/>
        <w:overflowPunct/>
        <w:topLinePunct w:val="0"/>
        <w:autoSpaceDE/>
        <w:autoSpaceDN/>
        <w:bidi w:val="0"/>
        <w:adjustRightInd/>
        <w:snapToGrid/>
        <w:spacing w:line="360" w:lineRule="auto"/>
        <w:ind w:left="0" w:leftChars="0"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本项目收入由四部分组成：政府补贴、政策性床位托养费、普惠性床位服务费。</w:t>
      </w:r>
    </w:p>
    <w:p>
      <w:pPr>
        <w:pStyle w:val="18"/>
        <w:spacing w:line="360" w:lineRule="auto"/>
        <w:ind w:left="0" w:leftChars="0" w:firstLine="618"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 w:cs="仿宋"/>
          <w:b/>
          <w:bCs/>
          <w:color w:val="auto"/>
          <w:spacing w:val="14"/>
          <w:kern w:val="2"/>
          <w:sz w:val="28"/>
          <w:szCs w:val="28"/>
          <w:lang w:val="en-US" w:eastAsia="zh-CN" w:bidi="ar-SA"/>
        </w:rPr>
        <w:t>政府补贴</w:t>
      </w:r>
      <w:r>
        <w:rPr>
          <w:rFonts w:hint="eastAsia" w:ascii="仿宋" w:hAnsi="仿宋" w:eastAsia="仿宋_GB2312" w:cs="仿宋"/>
          <w:b w:val="0"/>
          <w:i w:val="0"/>
          <w:color w:val="auto"/>
          <w:spacing w:val="14"/>
          <w:kern w:val="2"/>
          <w:sz w:val="32"/>
          <w:szCs w:val="28"/>
          <w:lang w:val="en-US" w:eastAsia="zh-CN" w:bidi="ar-SA"/>
        </w:rPr>
        <w:t>：指政府或任何公共机构向企业或产业提供财政捐助或对价格、收入的支持。政府补贴通常以财政拨款的形式直接从财政支出，支持特定的工作、行业或政府鼓励的方向，其目的性较强。政府补贴的主要形式包括财政贴息、研究开发补贴、政策性补贴等。</w:t>
      </w:r>
    </w:p>
    <w:p>
      <w:pPr>
        <w:pStyle w:val="18"/>
        <w:spacing w:line="360" w:lineRule="auto"/>
        <w:ind w:left="0" w:leftChars="0" w:firstLine="618"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 w:cs="仿宋"/>
          <w:b/>
          <w:bCs/>
          <w:color w:val="auto"/>
          <w:spacing w:val="14"/>
          <w:kern w:val="2"/>
          <w:sz w:val="28"/>
          <w:szCs w:val="28"/>
          <w:lang w:val="en-US" w:eastAsia="zh-CN" w:bidi="ar-SA"/>
        </w:rPr>
        <w:t>政策性床位托养费：</w:t>
      </w:r>
      <w:r>
        <w:rPr>
          <w:rFonts w:hint="eastAsia" w:ascii="仿宋" w:hAnsi="仿宋" w:eastAsia="仿宋_GB2312" w:cs="仿宋"/>
          <w:b w:val="0"/>
          <w:i w:val="0"/>
          <w:color w:val="auto"/>
          <w:spacing w:val="14"/>
          <w:kern w:val="2"/>
          <w:sz w:val="32"/>
          <w:szCs w:val="28"/>
          <w:lang w:val="en-US" w:eastAsia="zh-CN" w:bidi="ar-SA"/>
        </w:rPr>
        <w:t>指社会资本方向入住政策性床位的政府兜底人员（农村特困人员、城市特困人员等）收取的托养服务费，包括：床位使用费、膳食费、照料护理费。该费用由政府代为支付。</w:t>
      </w:r>
    </w:p>
    <w:p>
      <w:pPr>
        <w:pStyle w:val="18"/>
        <w:spacing w:line="360" w:lineRule="auto"/>
        <w:ind w:left="0" w:leftChars="0" w:firstLine="618"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 w:cs="仿宋"/>
          <w:b/>
          <w:bCs/>
          <w:color w:val="auto"/>
          <w:spacing w:val="14"/>
          <w:kern w:val="2"/>
          <w:sz w:val="28"/>
          <w:szCs w:val="28"/>
          <w:lang w:val="en-US" w:eastAsia="zh-CN" w:bidi="ar-SA"/>
        </w:rPr>
        <w:t>普惠性床位服务费：</w:t>
      </w:r>
      <w:r>
        <w:rPr>
          <w:rFonts w:hint="eastAsia" w:ascii="仿宋" w:hAnsi="仿宋" w:eastAsia="仿宋_GB2312" w:cs="仿宋"/>
          <w:b w:val="0"/>
          <w:i w:val="0"/>
          <w:color w:val="auto"/>
          <w:spacing w:val="14"/>
          <w:kern w:val="2"/>
          <w:sz w:val="32"/>
          <w:szCs w:val="28"/>
          <w:lang w:val="en-US" w:eastAsia="zh-CN" w:bidi="ar-SA"/>
        </w:rPr>
        <w:t>指社会资本方向入住普惠性床位的老人收取的养老服务费，包括床位使用费、膳食费、照料护理费等。该费用由入住的老人自行承担支付。</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82" w:name="_Toc28358"/>
      <w:r>
        <w:rPr>
          <w:rFonts w:hint="eastAsia" w:ascii="仿宋" w:hAnsi="仿宋" w:eastAsia="仿宋" w:cs="Times New Roman"/>
          <w:b/>
          <w:color w:val="auto"/>
          <w:szCs w:val="28"/>
          <w:lang w:val="en-US" w:eastAsia="zh-CN"/>
        </w:rPr>
        <w:t>4.2.2政府补贴</w:t>
      </w:r>
      <w:bookmarkEnd w:id="82"/>
    </w:p>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有关政府补贴的政策为2022年10月17日韶关市人民政府发布的《韶关市民办养老服务机构扶持资助办法》（韶府规审〔2022〕17号）（详见附件3），根据该文件，本项目可获得的补贴有医养结合补贴、等级评价补贴。</w:t>
      </w:r>
    </w:p>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618" w:firstLineChars="200"/>
        <w:jc w:val="both"/>
        <w:textAlignment w:val="auto"/>
        <w:rPr>
          <w:rFonts w:hint="eastAsia" w:ascii="仿宋" w:hAnsi="仿宋" w:eastAsia="仿宋" w:cs="仿宋"/>
          <w:b/>
          <w:bCs/>
          <w:color w:val="FF0000"/>
          <w:spacing w:val="14"/>
          <w:kern w:val="2"/>
          <w:sz w:val="28"/>
          <w:szCs w:val="28"/>
          <w:lang w:val="en-US" w:eastAsia="zh-CN" w:bidi="ar-SA"/>
        </w:rPr>
      </w:pPr>
      <w:r>
        <w:rPr>
          <w:rFonts w:hint="eastAsia" w:ascii="仿宋" w:hAnsi="仿宋" w:eastAsia="仿宋" w:cs="仿宋"/>
          <w:b/>
          <w:bCs/>
          <w:color w:val="FF0000"/>
          <w:spacing w:val="14"/>
          <w:kern w:val="2"/>
          <w:sz w:val="28"/>
          <w:szCs w:val="28"/>
          <w:lang w:val="en-US" w:eastAsia="zh-CN" w:bidi="ar-SA"/>
        </w:rPr>
        <w:t>一、医养结合补贴</w:t>
      </w:r>
    </w:p>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696" w:firstLineChars="200"/>
        <w:jc w:val="both"/>
        <w:textAlignment w:val="auto"/>
        <w:rPr>
          <w:rFonts w:hint="eastAsia" w:ascii="仿宋" w:hAnsi="仿宋" w:eastAsia="仿宋_GB2312" w:cs="仿宋"/>
          <w:b w:val="0"/>
          <w:i w:val="0"/>
          <w:color w:val="FF0000"/>
          <w:spacing w:val="14"/>
          <w:kern w:val="2"/>
          <w:sz w:val="32"/>
          <w:szCs w:val="28"/>
          <w:lang w:val="en-US" w:eastAsia="zh-CN" w:bidi="ar-SA"/>
        </w:rPr>
      </w:pPr>
      <w:r>
        <w:rPr>
          <w:rFonts w:hint="eastAsia" w:ascii="仿宋" w:hAnsi="仿宋" w:eastAsia="仿宋_GB2312" w:cs="仿宋"/>
          <w:b w:val="0"/>
          <w:i w:val="0"/>
          <w:color w:val="FF0000"/>
          <w:spacing w:val="14"/>
          <w:kern w:val="2"/>
          <w:sz w:val="32"/>
          <w:szCs w:val="28"/>
          <w:lang w:val="en-US" w:eastAsia="zh-CN" w:bidi="ar-SA"/>
        </w:rPr>
        <w:t>根据2022年10月17日韶关市人民政府发布的《韶关市民办养老服务机构扶持资助办法》（韶府规审〔2022〕17号）（详见附件3）第五章“医养结合补贴”，第十二条“医养结合机构已实际收助服务对象，并具备医保定点资格的，按照10万元的标准给予一次性资助；未具备医保定点资格的，按照5万元的标准给予一次性资助，取得医保定点资格后，按照5万元的补偿标准给予一次性资助。若本项目规划运营期内取得医保定点资格，因此可一次性获得10万元资助。</w:t>
      </w:r>
    </w:p>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fldChar w:fldCharType="begin"/>
      </w:r>
      <w:r>
        <w:rPr>
          <w:rFonts w:hint="eastAsia" w:ascii="仿宋" w:hAnsi="仿宋" w:eastAsia="仿宋_GB2312" w:cs="仿宋"/>
          <w:b w:val="0"/>
          <w:i w:val="0"/>
          <w:color w:val="auto"/>
          <w:spacing w:val="14"/>
          <w:kern w:val="2"/>
          <w:sz w:val="32"/>
          <w:szCs w:val="28"/>
          <w:lang w:val="en-US" w:eastAsia="zh-CN" w:bidi="ar-SA"/>
        </w:rPr>
        <w:instrText xml:space="preserve"> HYPERLINK "https://baike.baidu.com/item/%E5%8C%BB%E5%85%BB%E7%BB%93%E5%90%88/16569066" \t "https://cn.bing.com/_blank" </w:instrText>
      </w:r>
      <w:r>
        <w:rPr>
          <w:rFonts w:hint="eastAsia" w:ascii="仿宋" w:hAnsi="仿宋" w:eastAsia="仿宋_GB2312" w:cs="仿宋"/>
          <w:b w:val="0"/>
          <w:i w:val="0"/>
          <w:color w:val="auto"/>
          <w:spacing w:val="14"/>
          <w:kern w:val="2"/>
          <w:sz w:val="32"/>
          <w:szCs w:val="28"/>
          <w:lang w:val="en-US" w:eastAsia="zh-CN" w:bidi="ar-SA"/>
        </w:rPr>
        <w:fldChar w:fldCharType="separate"/>
      </w:r>
      <w:r>
        <w:rPr>
          <w:rFonts w:hint="eastAsia" w:ascii="仿宋" w:hAnsi="仿宋" w:eastAsia="仿宋_GB2312" w:cs="仿宋"/>
          <w:b w:val="0"/>
          <w:i w:val="0"/>
          <w:color w:val="auto"/>
          <w:spacing w:val="14"/>
          <w:kern w:val="2"/>
          <w:sz w:val="32"/>
          <w:szCs w:val="28"/>
          <w:lang w:val="en-US" w:eastAsia="zh-CN" w:bidi="ar-SA"/>
        </w:rPr>
        <w:t>医养结合是指整合医疗资源与养老资源，通过医疗检查、康复训练与生活照护的有机衔接，为老年人提供疾病诊治、健康管理等服务。这一模式主要服务于失能、慢性病、高龄及残疾老年人，整合预防、治疗、康复等全周期健康服务。</w:t>
      </w:r>
      <w:r>
        <w:rPr>
          <w:rFonts w:hint="eastAsia" w:ascii="仿宋" w:hAnsi="仿宋" w:eastAsia="仿宋_GB2312" w:cs="仿宋"/>
          <w:b w:val="0"/>
          <w:i w:val="0"/>
          <w:color w:val="auto"/>
          <w:spacing w:val="14"/>
          <w:kern w:val="2"/>
          <w:sz w:val="32"/>
          <w:szCs w:val="28"/>
          <w:lang w:val="en-US" w:eastAsia="zh-CN" w:bidi="ar-SA"/>
        </w:rPr>
        <w:fldChar w:fldCharType="end"/>
      </w:r>
    </w:p>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fldChar w:fldCharType="begin"/>
      </w:r>
      <w:r>
        <w:rPr>
          <w:rFonts w:hint="eastAsia" w:ascii="仿宋" w:hAnsi="仿宋" w:eastAsia="仿宋_GB2312" w:cs="仿宋"/>
          <w:b w:val="0"/>
          <w:i w:val="0"/>
          <w:color w:val="auto"/>
          <w:spacing w:val="14"/>
          <w:kern w:val="2"/>
          <w:sz w:val="32"/>
          <w:szCs w:val="28"/>
          <w:lang w:val="en-US" w:eastAsia="zh-CN" w:bidi="ar-SA"/>
        </w:rPr>
        <w:instrText xml:space="preserve"> HYPERLINK "http://theory.people.com.cn/n1/2025/0221/c40531-40422835.html" \t "https://cn.bing.com/_blank" </w:instrText>
      </w:r>
      <w:r>
        <w:rPr>
          <w:rFonts w:hint="eastAsia" w:ascii="仿宋" w:hAnsi="仿宋" w:eastAsia="仿宋_GB2312" w:cs="仿宋"/>
          <w:b w:val="0"/>
          <w:i w:val="0"/>
          <w:color w:val="auto"/>
          <w:spacing w:val="14"/>
          <w:kern w:val="2"/>
          <w:sz w:val="32"/>
          <w:szCs w:val="28"/>
          <w:lang w:val="en-US" w:eastAsia="zh-CN" w:bidi="ar-SA"/>
        </w:rPr>
        <w:fldChar w:fldCharType="separate"/>
      </w:r>
      <w:r>
        <w:rPr>
          <w:rFonts w:hint="eastAsia" w:ascii="仿宋" w:hAnsi="仿宋" w:eastAsia="仿宋_GB2312" w:cs="仿宋"/>
          <w:b w:val="0"/>
          <w:i w:val="0"/>
          <w:color w:val="auto"/>
          <w:spacing w:val="14"/>
          <w:kern w:val="2"/>
          <w:sz w:val="32"/>
          <w:szCs w:val="28"/>
          <w:lang w:val="en-US" w:eastAsia="zh-CN" w:bidi="ar-SA"/>
        </w:rPr>
        <w:t>随着我国人口老龄化的加速，老年人对医疗和生活照护的需求日益增加。根据统计，截至2024年末，我国60岁及以上老年人口超过3.1亿，占总人口的22%。面对这一挑战，医养结合被视为优化老年健康和养老服务供给的重要举措，旨在提升老年人的生活质量和健康水平。</w:t>
      </w:r>
      <w:r>
        <w:rPr>
          <w:rFonts w:hint="eastAsia" w:ascii="仿宋" w:hAnsi="仿宋" w:eastAsia="仿宋_GB2312" w:cs="仿宋"/>
          <w:b w:val="0"/>
          <w:i w:val="0"/>
          <w:color w:val="auto"/>
          <w:spacing w:val="14"/>
          <w:kern w:val="2"/>
          <w:sz w:val="32"/>
          <w:szCs w:val="28"/>
          <w:lang w:val="en-US" w:eastAsia="zh-CN" w:bidi="ar-SA"/>
        </w:rPr>
        <w:fldChar w:fldCharType="end"/>
      </w:r>
    </w:p>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fldChar w:fldCharType="begin"/>
      </w:r>
      <w:r>
        <w:rPr>
          <w:rFonts w:hint="eastAsia" w:ascii="仿宋" w:hAnsi="仿宋" w:eastAsia="仿宋_GB2312" w:cs="仿宋"/>
          <w:b w:val="0"/>
          <w:i w:val="0"/>
          <w:color w:val="auto"/>
          <w:spacing w:val="14"/>
          <w:kern w:val="2"/>
          <w:sz w:val="32"/>
          <w:szCs w:val="28"/>
          <w:lang w:val="en-US" w:eastAsia="zh-CN" w:bidi="ar-SA"/>
        </w:rPr>
        <w:instrText xml:space="preserve"> HYPERLINK "https://www.chinairn.com/scfx/20251009/175210449.shtml" \t "https://cn.bing.com/_blank" </w:instrText>
      </w:r>
      <w:r>
        <w:rPr>
          <w:rFonts w:hint="eastAsia" w:ascii="仿宋" w:hAnsi="仿宋" w:eastAsia="仿宋_GB2312" w:cs="仿宋"/>
          <w:b w:val="0"/>
          <w:i w:val="0"/>
          <w:color w:val="auto"/>
          <w:spacing w:val="14"/>
          <w:kern w:val="2"/>
          <w:sz w:val="32"/>
          <w:szCs w:val="28"/>
          <w:lang w:val="en-US" w:eastAsia="zh-CN" w:bidi="ar-SA"/>
        </w:rPr>
        <w:fldChar w:fldCharType="separate"/>
      </w:r>
      <w:r>
        <w:rPr>
          <w:rFonts w:hint="eastAsia" w:ascii="仿宋" w:hAnsi="仿宋" w:eastAsia="仿宋_GB2312" w:cs="仿宋"/>
          <w:b w:val="0"/>
          <w:i w:val="0"/>
          <w:color w:val="auto"/>
          <w:spacing w:val="14"/>
          <w:kern w:val="2"/>
          <w:sz w:val="32"/>
          <w:szCs w:val="28"/>
          <w:lang w:val="en-US" w:eastAsia="zh-CN" w:bidi="ar-SA"/>
        </w:rPr>
        <w:t>截至2024年，全国具备医疗卫生机构资质并进行养老机构备案的医养结合机构超过7800家，床位总数达200万张。医养结合的服务模式主要包括“养老机构内设医疗”、“医疗机构延伸养老”、“医养签约合作”和“社区居家医养”等类型。这些模式在服务半径、专业能力和成本控制上形成互补，能够更好地满足老年人的多样化需求。</w:t>
      </w:r>
      <w:r>
        <w:rPr>
          <w:rFonts w:hint="eastAsia" w:ascii="仿宋" w:hAnsi="仿宋" w:eastAsia="仿宋_GB2312" w:cs="仿宋"/>
          <w:b w:val="0"/>
          <w:i w:val="0"/>
          <w:color w:val="auto"/>
          <w:spacing w:val="14"/>
          <w:kern w:val="2"/>
          <w:sz w:val="32"/>
          <w:szCs w:val="28"/>
          <w:lang w:val="en-US" w:eastAsia="zh-CN" w:bidi="ar-SA"/>
        </w:rPr>
        <w:fldChar w:fldCharType="end"/>
      </w:r>
    </w:p>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fldChar w:fldCharType="begin"/>
      </w:r>
      <w:r>
        <w:rPr>
          <w:rFonts w:hint="eastAsia" w:ascii="仿宋" w:hAnsi="仿宋" w:eastAsia="仿宋_GB2312" w:cs="仿宋"/>
          <w:b w:val="0"/>
          <w:i w:val="0"/>
          <w:color w:val="auto"/>
          <w:spacing w:val="14"/>
          <w:kern w:val="2"/>
          <w:sz w:val="32"/>
          <w:szCs w:val="28"/>
          <w:lang w:val="en-US" w:eastAsia="zh-CN" w:bidi="ar-SA"/>
        </w:rPr>
        <w:instrText xml:space="preserve"> HYPERLINK "https://www.chinairn.com/scfx/20251009/175210449.shtml" \t "https://cn.bing.com/_blank" </w:instrText>
      </w:r>
      <w:r>
        <w:rPr>
          <w:rFonts w:hint="eastAsia" w:ascii="仿宋" w:hAnsi="仿宋" w:eastAsia="仿宋_GB2312" w:cs="仿宋"/>
          <w:b w:val="0"/>
          <w:i w:val="0"/>
          <w:color w:val="auto"/>
          <w:spacing w:val="14"/>
          <w:kern w:val="2"/>
          <w:sz w:val="32"/>
          <w:szCs w:val="28"/>
          <w:lang w:val="en-US" w:eastAsia="zh-CN" w:bidi="ar-SA"/>
        </w:rPr>
        <w:fldChar w:fldCharType="separate"/>
      </w:r>
      <w:r>
        <w:rPr>
          <w:rFonts w:hint="eastAsia" w:ascii="仿宋" w:hAnsi="仿宋" w:eastAsia="仿宋_GB2312" w:cs="仿宋"/>
          <w:b w:val="0"/>
          <w:i w:val="0"/>
          <w:color w:val="auto"/>
          <w:spacing w:val="14"/>
          <w:kern w:val="2"/>
          <w:sz w:val="32"/>
          <w:szCs w:val="28"/>
          <w:lang w:val="en-US" w:eastAsia="zh-CN" w:bidi="ar-SA"/>
        </w:rPr>
        <w:t>随着政策的持续推动和市场需求的增长，医养结合产业正逐步从初步探索走向规模化发展。未来，医养结合将继续发挥其在应对人口老龄化、提升老年人生活质量方面的重要作用。通过创建全国医养结合示范县（市、区）和示范机构，进一步推广好的经验和做法，促进医养结合服务的高质量发展。</w:t>
      </w:r>
      <w:r>
        <w:rPr>
          <w:rFonts w:hint="eastAsia" w:ascii="仿宋" w:hAnsi="仿宋" w:eastAsia="仿宋_GB2312" w:cs="仿宋"/>
          <w:b w:val="0"/>
          <w:i w:val="0"/>
          <w:color w:val="auto"/>
          <w:spacing w:val="14"/>
          <w:kern w:val="2"/>
          <w:sz w:val="32"/>
          <w:szCs w:val="28"/>
          <w:lang w:val="en-US" w:eastAsia="zh-CN" w:bidi="ar-SA"/>
        </w:rPr>
        <w:fldChar w:fldCharType="end"/>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二、关于政府补贴费用的建议</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由于上述文件《韶关市民办养老服务机构扶持资助办法》（韶府规审〔2022〕17号）目前尚未正式执行，对该部分的补贴收入尚未明确，因此本次测算暂不将政府补贴费用计入社会资本方收益部分。</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建议可将政府补贴费用在《租赁合同》中单列一个条款进行说明：“甲方、乙方双方应积极配合做好上级补助资金的争取和申报工作，对于所得的政府补贴费用双方届时另行协商确定，原则上，若上级补助资金为项目建设资金时，补贴应归政府所有，若上级补助资金为运营资金时，相关补贴归社会资本方所有，用于该项目的运营补贴。”</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83" w:name="_Toc12752"/>
      <w:r>
        <w:rPr>
          <w:rFonts w:hint="eastAsia" w:ascii="仿宋" w:hAnsi="仿宋" w:eastAsia="仿宋" w:cs="Times New Roman"/>
          <w:b/>
          <w:color w:val="auto"/>
          <w:szCs w:val="28"/>
          <w:lang w:val="en-US" w:eastAsia="zh-CN"/>
        </w:rPr>
        <w:t>4.2.3政策性床位托养费</w:t>
      </w:r>
      <w:bookmarkEnd w:id="83"/>
    </w:p>
    <w:p>
      <w:pPr>
        <w:pStyle w:val="18"/>
        <w:spacing w:line="360" w:lineRule="auto"/>
        <w:ind w:left="0" w:leftChars="0" w:firstLine="618"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 w:cs="仿宋"/>
          <w:b/>
          <w:bCs/>
          <w:color w:val="auto"/>
          <w:spacing w:val="14"/>
          <w:kern w:val="2"/>
          <w:sz w:val="28"/>
          <w:szCs w:val="28"/>
          <w:lang w:val="en-US" w:eastAsia="zh-CN" w:bidi="ar-SA"/>
        </w:rPr>
        <w:t>政策性床位：</w:t>
      </w:r>
      <w:r>
        <w:rPr>
          <w:rFonts w:hint="eastAsia" w:ascii="仿宋" w:hAnsi="仿宋" w:eastAsia="仿宋_GB2312" w:cs="仿宋"/>
          <w:b w:val="0"/>
          <w:i w:val="0"/>
          <w:color w:val="auto"/>
          <w:spacing w:val="14"/>
          <w:kern w:val="2"/>
          <w:sz w:val="32"/>
          <w:szCs w:val="28"/>
          <w:lang w:val="en-US" w:eastAsia="zh-CN" w:bidi="ar-SA"/>
        </w:rPr>
        <w:t>主要为仁化县政府为当地户籍兜底人员（仁化县农村特困人员、城市特困人员）提供集中照料护理的床位。</w:t>
      </w:r>
    </w:p>
    <w:p>
      <w:pPr>
        <w:pStyle w:val="18"/>
        <w:spacing w:line="360" w:lineRule="auto"/>
        <w:ind w:left="0" w:leftChars="0" w:firstLine="618"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 w:cs="仿宋"/>
          <w:b/>
          <w:bCs/>
          <w:color w:val="auto"/>
          <w:spacing w:val="14"/>
          <w:kern w:val="2"/>
          <w:sz w:val="28"/>
          <w:szCs w:val="28"/>
          <w:lang w:val="en-US" w:eastAsia="zh-CN" w:bidi="ar-SA"/>
        </w:rPr>
        <w:t>政策性床位托养费：</w:t>
      </w:r>
      <w:r>
        <w:rPr>
          <w:rFonts w:hint="eastAsia" w:ascii="仿宋" w:hAnsi="仿宋" w:eastAsia="仿宋_GB2312" w:cs="仿宋"/>
          <w:b w:val="0"/>
          <w:i w:val="0"/>
          <w:color w:val="auto"/>
          <w:spacing w:val="14"/>
          <w:kern w:val="2"/>
          <w:sz w:val="32"/>
          <w:szCs w:val="28"/>
          <w:lang w:val="en-US" w:eastAsia="zh-CN" w:bidi="ar-SA"/>
        </w:rPr>
        <w:t>指社会资本方向入住政策性床位的政府兜底人员（农村特困人员、城市特困人员等）收取的托养服务费。该费用由两部分组成：1、依据韶关市城乡特困人员供养最低标准收取的费用；2、依据韶关市特困人员照料护理标准收取的费用。</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以上费用由政府代收代缴，政府按照相关的补贴政策标准，代为收取，在扣除10%给政府兜底人员作为日常开支后，剩余90%的补贴全部缴付给社会</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资本方作为政策性床位托养服务费。若租赁运营期内相关补贴政策调整，届时再根据新的补贴政策执行。</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除以上政府代收代缴的费用外，政府不再额外支付任何服务费用给社会资本方。</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一、城乡低保标准及特困人员供养费</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根据仁化县《关于提高全县2025年度城乡低保标准及特困人员供养标准的通知》仁民政和退役军人〔2025〕37号）：</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1、2025年最低生活保障标准调整为城镇887元/人月:农村692元/人月，城乡低保补差水平调整为城镇700元/人月，农村370元/人月;</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2、2025年城镇特困人员供养标准调整为1420元/人月，农村特困人员供养标准调整为1108元/人月:</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3、以上标准从2025年1月1日起执行，对未达标的月份按更新至2025年6月1日的低保、特困人员名册予以补发。其中2025年新纳保的按实际批准月份计发。</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二、特困人员照料护理</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根据仁化县民政和退役军人事务局《关于调整仁化县特困人员照料护理费标准的通知》，目前仁化县对特困人员照料护理费提供的补贴标准为：</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vertAlign w:val="baseline"/>
          <w:lang w:val="en-US" w:eastAsia="zh-CN" w:bidi="ar-SA"/>
        </w:rPr>
      </w:pPr>
      <w:r>
        <w:rPr>
          <w:rFonts w:hint="eastAsia" w:ascii="仿宋" w:hAnsi="仿宋" w:eastAsia="仿宋_GB2312" w:cs="仿宋"/>
          <w:b w:val="0"/>
          <w:i w:val="0"/>
          <w:color w:val="auto"/>
          <w:spacing w:val="14"/>
          <w:kern w:val="2"/>
          <w:sz w:val="32"/>
          <w:szCs w:val="28"/>
          <w:lang w:val="en-US" w:eastAsia="zh-CN" w:bidi="ar-SA"/>
        </w:rPr>
        <w:t>1、日常照料护理费标准从全自理100元/人/月、半自理(半失能)600元/人/月、全护理(全失能)1000元/人/月分别调整到全自理100元/人/月、半自理(半失能)600元/人/月、全护理(全失能)1050元/人/月。</w:t>
      </w:r>
    </w:p>
    <w:p>
      <w:pPr>
        <w:pStyle w:val="18"/>
        <w:spacing w:line="360" w:lineRule="auto"/>
        <w:ind w:left="0" w:leftChars="0" w:firstLine="696" w:firstLineChars="20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2、住院期间照料护理费标准原则上按不高于以下标准确定。</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noWrap w:val="0"/>
            <w:vAlign w:val="top"/>
          </w:tcPr>
          <w:p>
            <w:pPr>
              <w:pStyle w:val="18"/>
              <w:spacing w:line="360" w:lineRule="auto"/>
              <w:jc w:val="both"/>
              <w:rPr>
                <w:rFonts w:hint="eastAsia" w:ascii="仿宋" w:hAnsi="仿宋" w:eastAsia="仿宋" w:cs="仿宋"/>
                <w:color w:val="auto"/>
                <w:spacing w:val="14"/>
                <w:kern w:val="2"/>
                <w:sz w:val="28"/>
                <w:szCs w:val="28"/>
                <w:vertAlign w:val="baseline"/>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照护等级</w:t>
            </w:r>
          </w:p>
        </w:tc>
        <w:tc>
          <w:tcPr>
            <w:tcW w:w="2130" w:type="dxa"/>
            <w:noWrap w:val="0"/>
            <w:vAlign w:val="top"/>
          </w:tcPr>
          <w:p>
            <w:pPr>
              <w:pStyle w:val="18"/>
              <w:spacing w:line="360" w:lineRule="auto"/>
              <w:jc w:val="both"/>
              <w:rPr>
                <w:rFonts w:hint="eastAsia" w:ascii="仿宋" w:hAnsi="仿宋" w:eastAsia="仿宋" w:cs="仿宋"/>
                <w:color w:val="auto"/>
                <w:spacing w:val="14"/>
                <w:kern w:val="2"/>
                <w:sz w:val="28"/>
                <w:szCs w:val="28"/>
                <w:vertAlign w:val="baseline"/>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自理</w:t>
            </w:r>
          </w:p>
        </w:tc>
        <w:tc>
          <w:tcPr>
            <w:tcW w:w="2131" w:type="dxa"/>
            <w:noWrap w:val="0"/>
            <w:vAlign w:val="top"/>
          </w:tcPr>
          <w:p>
            <w:pPr>
              <w:pStyle w:val="18"/>
              <w:spacing w:line="360" w:lineRule="auto"/>
              <w:jc w:val="both"/>
              <w:rPr>
                <w:rFonts w:hint="eastAsia" w:ascii="仿宋" w:hAnsi="仿宋" w:eastAsia="仿宋" w:cs="仿宋"/>
                <w:color w:val="auto"/>
                <w:spacing w:val="14"/>
                <w:kern w:val="2"/>
                <w:sz w:val="28"/>
                <w:szCs w:val="28"/>
                <w:vertAlign w:val="baseline"/>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中度失能</w:t>
            </w:r>
          </w:p>
        </w:tc>
        <w:tc>
          <w:tcPr>
            <w:tcW w:w="2131" w:type="dxa"/>
            <w:noWrap w:val="0"/>
            <w:vAlign w:val="top"/>
          </w:tcPr>
          <w:p>
            <w:pPr>
              <w:pStyle w:val="18"/>
              <w:spacing w:line="360" w:lineRule="auto"/>
              <w:jc w:val="both"/>
              <w:rPr>
                <w:rFonts w:hint="eastAsia" w:ascii="仿宋" w:hAnsi="仿宋" w:eastAsia="仿宋" w:cs="仿宋"/>
                <w:color w:val="auto"/>
                <w:spacing w:val="14"/>
                <w:kern w:val="2"/>
                <w:sz w:val="28"/>
                <w:szCs w:val="28"/>
                <w:vertAlign w:val="baseline"/>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重度失能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noWrap w:val="0"/>
            <w:vAlign w:val="top"/>
          </w:tcPr>
          <w:p>
            <w:pPr>
              <w:pStyle w:val="18"/>
              <w:spacing w:line="360" w:lineRule="auto"/>
              <w:jc w:val="both"/>
              <w:rPr>
                <w:rFonts w:hint="eastAsia" w:ascii="仿宋" w:hAnsi="仿宋" w:eastAsia="仿宋" w:cs="仿宋"/>
                <w:color w:val="auto"/>
                <w:spacing w:val="14"/>
                <w:kern w:val="2"/>
                <w:sz w:val="28"/>
                <w:szCs w:val="28"/>
                <w:vertAlign w:val="baseline"/>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县、镇级医疗机构</w:t>
            </w:r>
          </w:p>
        </w:tc>
        <w:tc>
          <w:tcPr>
            <w:tcW w:w="2130" w:type="dxa"/>
            <w:noWrap w:val="0"/>
            <w:vAlign w:val="top"/>
          </w:tcPr>
          <w:p>
            <w:pPr>
              <w:pStyle w:val="18"/>
              <w:spacing w:line="360" w:lineRule="auto"/>
              <w:jc w:val="both"/>
              <w:rPr>
                <w:rFonts w:hint="eastAsia" w:ascii="仿宋" w:hAnsi="仿宋" w:eastAsia="仿宋" w:cs="仿宋"/>
                <w:color w:val="auto"/>
                <w:spacing w:val="14"/>
                <w:kern w:val="2"/>
                <w:sz w:val="28"/>
                <w:szCs w:val="28"/>
                <w:vertAlign w:val="baseline"/>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60元/天</w:t>
            </w:r>
          </w:p>
        </w:tc>
        <w:tc>
          <w:tcPr>
            <w:tcW w:w="2131" w:type="dxa"/>
            <w:noWrap w:val="0"/>
            <w:vAlign w:val="top"/>
          </w:tcPr>
          <w:p>
            <w:pPr>
              <w:pStyle w:val="18"/>
              <w:spacing w:line="360" w:lineRule="auto"/>
              <w:jc w:val="both"/>
              <w:rPr>
                <w:rFonts w:hint="eastAsia" w:ascii="仿宋" w:hAnsi="仿宋" w:eastAsia="仿宋" w:cs="仿宋"/>
                <w:color w:val="auto"/>
                <w:spacing w:val="14"/>
                <w:kern w:val="2"/>
                <w:sz w:val="28"/>
                <w:szCs w:val="28"/>
                <w:vertAlign w:val="baseline"/>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150元/天</w:t>
            </w:r>
          </w:p>
        </w:tc>
        <w:tc>
          <w:tcPr>
            <w:tcW w:w="2131" w:type="dxa"/>
            <w:noWrap w:val="0"/>
            <w:vAlign w:val="top"/>
          </w:tcPr>
          <w:p>
            <w:pPr>
              <w:pStyle w:val="18"/>
              <w:spacing w:line="360" w:lineRule="auto"/>
              <w:jc w:val="both"/>
              <w:rPr>
                <w:rFonts w:hint="eastAsia" w:ascii="仿宋" w:hAnsi="仿宋" w:eastAsia="仿宋" w:cs="仿宋"/>
                <w:color w:val="auto"/>
                <w:spacing w:val="14"/>
                <w:kern w:val="2"/>
                <w:sz w:val="28"/>
                <w:szCs w:val="28"/>
                <w:vertAlign w:val="baseline"/>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180元/天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noWrap w:val="0"/>
            <w:vAlign w:val="top"/>
          </w:tcPr>
          <w:p>
            <w:pPr>
              <w:pStyle w:val="18"/>
              <w:spacing w:line="360" w:lineRule="auto"/>
              <w:jc w:val="both"/>
              <w:rPr>
                <w:rFonts w:hint="default" w:ascii="仿宋" w:hAnsi="仿宋" w:eastAsia="仿宋" w:cs="仿宋"/>
                <w:color w:val="auto"/>
                <w:spacing w:val="14"/>
                <w:kern w:val="2"/>
                <w:sz w:val="28"/>
                <w:szCs w:val="28"/>
                <w:vertAlign w:val="baseline"/>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市级及以上医疗机构</w:t>
            </w:r>
          </w:p>
        </w:tc>
        <w:tc>
          <w:tcPr>
            <w:tcW w:w="6392" w:type="dxa"/>
            <w:gridSpan w:val="3"/>
            <w:noWrap w:val="0"/>
            <w:vAlign w:val="top"/>
          </w:tcPr>
          <w:p>
            <w:pPr>
              <w:pStyle w:val="18"/>
              <w:spacing w:line="360" w:lineRule="auto"/>
              <w:jc w:val="both"/>
              <w:rPr>
                <w:rFonts w:hint="default" w:ascii="仿宋" w:hAnsi="仿宋" w:eastAsia="仿宋" w:cs="仿宋"/>
                <w:color w:val="auto"/>
                <w:spacing w:val="14"/>
                <w:kern w:val="2"/>
                <w:sz w:val="28"/>
                <w:szCs w:val="28"/>
                <w:vertAlign w:val="baseline"/>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以当地市场价格为准，不高于241元/天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4"/>
            <w:noWrap w:val="0"/>
            <w:vAlign w:val="top"/>
          </w:tcPr>
          <w:p>
            <w:pPr>
              <w:pStyle w:val="18"/>
              <w:spacing w:line="360" w:lineRule="auto"/>
              <w:jc w:val="both"/>
              <w:rPr>
                <w:rFonts w:hint="eastAsia" w:ascii="仿宋" w:hAnsi="仿宋" w:eastAsia="仿宋_GB2312" w:cs="仿宋"/>
                <w:b w:val="0"/>
                <w:i w:val="0"/>
                <w:color w:val="auto"/>
                <w:spacing w:val="14"/>
                <w:kern w:val="2"/>
                <w:sz w:val="32"/>
                <w:szCs w:val="28"/>
                <w:vertAlign w:val="baseline"/>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备注:1、照护等级以实际特困人员身体状况评定，可参考自理能力等级以及医疗机构护理等级综合评估;</w:t>
            </w:r>
          </w:p>
          <w:p>
            <w:pPr>
              <w:pStyle w:val="18"/>
              <w:spacing w:line="360" w:lineRule="auto"/>
              <w:jc w:val="both"/>
              <w:rPr>
                <w:rFonts w:hint="eastAsia" w:ascii="仿宋" w:hAnsi="仿宋" w:eastAsia="仿宋" w:cs="仿宋"/>
                <w:color w:val="auto"/>
                <w:spacing w:val="14"/>
                <w:kern w:val="2"/>
                <w:sz w:val="28"/>
                <w:szCs w:val="28"/>
                <w:vertAlign w:val="baseline"/>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2、鼓励日常照料护理人在有条件的情况下继续承担住院照料护理服务。</w:t>
            </w:r>
          </w:p>
        </w:tc>
      </w:tr>
    </w:tbl>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三、政府兜底人员托养费汇总</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汇总以上补贴标准得到现行政府兜底人员托养费汇总表，见下表。</w:t>
      </w:r>
    </w:p>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表4.2.3-1仁化县现行政府兜底人员托养费汇总表（单位：元/月人）</w:t>
      </w:r>
    </w:p>
    <w:tbl>
      <w:tblPr>
        <w:tblStyle w:val="19"/>
        <w:tblW w:w="8310" w:type="dxa"/>
        <w:tblInd w:w="11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98"/>
        <w:gridCol w:w="2281"/>
        <w:gridCol w:w="1859"/>
        <w:gridCol w:w="197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1" w:hRule="atLeast"/>
        </w:trPr>
        <w:tc>
          <w:tcPr>
            <w:tcW w:w="4479" w:type="dxa"/>
            <w:gridSpan w:val="2"/>
            <w:tcBorders>
              <w:tl2br w:val="nil"/>
              <w:tr2bl w:val="nil"/>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每月补贴金额</w:t>
            </w:r>
          </w:p>
        </w:tc>
        <w:tc>
          <w:tcPr>
            <w:tcW w:w="1859" w:type="dxa"/>
            <w:tcBorders>
              <w:tl2br w:val="nil"/>
              <w:tr2bl w:val="nil"/>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农村特困人员</w:t>
            </w:r>
          </w:p>
        </w:tc>
        <w:tc>
          <w:tcPr>
            <w:tcW w:w="1972" w:type="dxa"/>
            <w:tcBorders>
              <w:tl2br w:val="nil"/>
              <w:tr2bl w:val="nil"/>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城市特困人员</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0" w:hRule="atLeast"/>
        </w:trPr>
        <w:tc>
          <w:tcPr>
            <w:tcW w:w="4479" w:type="dxa"/>
            <w:gridSpan w:val="2"/>
            <w:tcBorders>
              <w:tl2br w:val="nil"/>
              <w:tr2bl w:val="nil"/>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供养费</w:t>
            </w:r>
          </w:p>
        </w:tc>
        <w:tc>
          <w:tcPr>
            <w:tcW w:w="1859" w:type="dxa"/>
            <w:tcBorders>
              <w:tl2br w:val="nil"/>
              <w:tr2bl w:val="nil"/>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1108元</w:t>
            </w:r>
          </w:p>
        </w:tc>
        <w:tc>
          <w:tcPr>
            <w:tcW w:w="1972" w:type="dxa"/>
            <w:tcBorders>
              <w:tl2br w:val="nil"/>
              <w:tr2bl w:val="nil"/>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1420元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8" w:hRule="atLeast"/>
        </w:trPr>
        <w:tc>
          <w:tcPr>
            <w:tcW w:w="2198" w:type="dxa"/>
            <w:vMerge w:val="restart"/>
            <w:tcBorders>
              <w:tl2br w:val="nil"/>
              <w:tr2bl w:val="nil"/>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集中照料护理费</w:t>
            </w:r>
          </w:p>
        </w:tc>
        <w:tc>
          <w:tcPr>
            <w:tcW w:w="2281" w:type="dxa"/>
            <w:tcBorders>
              <w:tl2br w:val="nil"/>
              <w:tr2bl w:val="nil"/>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全自理</w:t>
            </w:r>
          </w:p>
        </w:tc>
        <w:tc>
          <w:tcPr>
            <w:tcW w:w="1859" w:type="dxa"/>
            <w:tcBorders>
              <w:tl2br w:val="nil"/>
              <w:tr2bl w:val="nil"/>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100元</w:t>
            </w:r>
          </w:p>
        </w:tc>
        <w:tc>
          <w:tcPr>
            <w:tcW w:w="1972" w:type="dxa"/>
            <w:tcBorders>
              <w:tl2br w:val="nil"/>
              <w:tr2bl w:val="nil"/>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100元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9" w:hRule="atLeast"/>
        </w:trPr>
        <w:tc>
          <w:tcPr>
            <w:tcW w:w="2198" w:type="dxa"/>
            <w:vMerge w:val="continue"/>
            <w:tcBorders>
              <w:tl2br w:val="nil"/>
              <w:tr2bl w:val="nil"/>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p>
        </w:tc>
        <w:tc>
          <w:tcPr>
            <w:tcW w:w="2281" w:type="dxa"/>
            <w:tcBorders>
              <w:tl2br w:val="nil"/>
              <w:tr2bl w:val="nil"/>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半自理</w:t>
            </w:r>
          </w:p>
        </w:tc>
        <w:tc>
          <w:tcPr>
            <w:tcW w:w="1859" w:type="dxa"/>
            <w:tcBorders>
              <w:tl2br w:val="nil"/>
              <w:tr2bl w:val="nil"/>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600元</w:t>
            </w:r>
          </w:p>
        </w:tc>
        <w:tc>
          <w:tcPr>
            <w:tcW w:w="1972" w:type="dxa"/>
            <w:tcBorders>
              <w:tl2br w:val="nil"/>
              <w:tr2bl w:val="nil"/>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600元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3" w:hRule="atLeast"/>
        </w:trPr>
        <w:tc>
          <w:tcPr>
            <w:tcW w:w="2198" w:type="dxa"/>
            <w:vMerge w:val="continue"/>
            <w:tcBorders>
              <w:tl2br w:val="nil"/>
              <w:tr2bl w:val="nil"/>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p>
        </w:tc>
        <w:tc>
          <w:tcPr>
            <w:tcW w:w="2281" w:type="dxa"/>
            <w:tcBorders>
              <w:tl2br w:val="nil"/>
              <w:tr2bl w:val="nil"/>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全护理</w:t>
            </w:r>
          </w:p>
        </w:tc>
        <w:tc>
          <w:tcPr>
            <w:tcW w:w="1859" w:type="dxa"/>
            <w:tcBorders>
              <w:tl2br w:val="nil"/>
              <w:tr2bl w:val="nil"/>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1050元</w:t>
            </w:r>
          </w:p>
        </w:tc>
        <w:tc>
          <w:tcPr>
            <w:tcW w:w="1972" w:type="dxa"/>
            <w:tcBorders>
              <w:tl2br w:val="nil"/>
              <w:tr2bl w:val="nil"/>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vertAlign w:val="baseline"/>
                <w:lang w:val="en-US" w:eastAsia="zh-CN" w:bidi="ar-SA"/>
              </w:rPr>
              <w:t>1050元</w:t>
            </w:r>
          </w:p>
        </w:tc>
      </w:tr>
    </w:tbl>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政策性床位主要收住失能长者。按照表4.2.3-2统计得出：城市全失能特困人员每月补贴总额为2344元/月人（1420+1050=2470），农村全失能特困人员每月补贴总额为1971元/月人（1108+1050=2158）。</w:t>
      </w:r>
    </w:p>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表4.2.3-2社会资本方可收取的政策性床位托养费（单位：元/月人）</w:t>
      </w:r>
    </w:p>
    <w:tbl>
      <w:tblPr>
        <w:tblStyle w:val="19"/>
        <w:tblW w:w="852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419"/>
        <w:gridCol w:w="1107"/>
        <w:gridCol w:w="1210"/>
        <w:gridCol w:w="1005"/>
        <w:gridCol w:w="1470"/>
        <w:gridCol w:w="131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87" w:hRule="atLeast"/>
        </w:trPr>
        <w:tc>
          <w:tcPr>
            <w:tcW w:w="2419" w:type="dxa"/>
            <w:tcBorders>
              <w:tl2br w:val="single" w:color="000000" w:sz="4" w:space="0"/>
            </w:tcBorders>
            <w:noWrap w:val="0"/>
            <w:vAlign w:val="top"/>
          </w:tcPr>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p>
          <w:p>
            <w:pPr>
              <w:pStyle w:val="18"/>
              <w:spacing w:line="360" w:lineRule="auto"/>
              <w:ind w:left="0" w:leftChars="0" w:firstLine="1740" w:firstLineChars="5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金额</w:t>
            </w:r>
          </w:p>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人员类别</w:t>
            </w:r>
          </w:p>
        </w:tc>
        <w:tc>
          <w:tcPr>
            <w:tcW w:w="1107"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供养金（元/月人）</w:t>
            </w:r>
          </w:p>
        </w:tc>
        <w:tc>
          <w:tcPr>
            <w:tcW w:w="1210"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集中照料护理费（元/月人）</w:t>
            </w:r>
          </w:p>
        </w:tc>
        <w:tc>
          <w:tcPr>
            <w:tcW w:w="100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每月补贴总额（元/   月人）</w:t>
            </w:r>
          </w:p>
        </w:tc>
        <w:tc>
          <w:tcPr>
            <w:tcW w:w="1470"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扣除10%做为零花钱</w:t>
            </w:r>
          </w:p>
        </w:tc>
        <w:tc>
          <w:tcPr>
            <w:tcW w:w="131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可支付的费用（元/月人）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2419" w:type="dxa"/>
            <w:noWrap w:val="0"/>
            <w:vAlign w:val="top"/>
          </w:tcPr>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城市特困、全失能人员</w:t>
            </w:r>
          </w:p>
        </w:tc>
        <w:tc>
          <w:tcPr>
            <w:tcW w:w="1107" w:type="dxa"/>
            <w:noWrap w:val="0"/>
            <w:vAlign w:val="top"/>
          </w:tcPr>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1420</w:t>
            </w:r>
          </w:p>
        </w:tc>
        <w:tc>
          <w:tcPr>
            <w:tcW w:w="1210" w:type="dxa"/>
            <w:noWrap w:val="0"/>
            <w:vAlign w:val="top"/>
          </w:tcPr>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1050</w:t>
            </w:r>
          </w:p>
        </w:tc>
        <w:tc>
          <w:tcPr>
            <w:tcW w:w="1005" w:type="dxa"/>
            <w:noWrap w:val="0"/>
            <w:vAlign w:val="top"/>
          </w:tcPr>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2470</w:t>
            </w:r>
          </w:p>
        </w:tc>
        <w:tc>
          <w:tcPr>
            <w:tcW w:w="1470" w:type="dxa"/>
            <w:noWrap w:val="0"/>
            <w:vAlign w:val="top"/>
          </w:tcPr>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247.0</w:t>
            </w:r>
          </w:p>
        </w:tc>
        <w:tc>
          <w:tcPr>
            <w:tcW w:w="1315" w:type="dxa"/>
            <w:noWrap w:val="0"/>
            <w:vAlign w:val="top"/>
          </w:tcPr>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2223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6" w:hRule="atLeast"/>
        </w:trPr>
        <w:tc>
          <w:tcPr>
            <w:tcW w:w="2419" w:type="dxa"/>
            <w:noWrap w:val="0"/>
            <w:vAlign w:val="top"/>
          </w:tcPr>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both"/>
              <w:textAlignment w:val="auto"/>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农村特困、全失能人员</w:t>
            </w:r>
          </w:p>
        </w:tc>
        <w:tc>
          <w:tcPr>
            <w:tcW w:w="1107" w:type="dxa"/>
            <w:noWrap w:val="0"/>
            <w:vAlign w:val="top"/>
          </w:tcPr>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1108</w:t>
            </w:r>
          </w:p>
        </w:tc>
        <w:tc>
          <w:tcPr>
            <w:tcW w:w="1210" w:type="dxa"/>
            <w:noWrap w:val="0"/>
            <w:vAlign w:val="top"/>
          </w:tcPr>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1050</w:t>
            </w:r>
          </w:p>
        </w:tc>
        <w:tc>
          <w:tcPr>
            <w:tcW w:w="1005" w:type="dxa"/>
            <w:noWrap w:val="0"/>
            <w:vAlign w:val="top"/>
          </w:tcPr>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2158</w:t>
            </w:r>
          </w:p>
        </w:tc>
        <w:tc>
          <w:tcPr>
            <w:tcW w:w="1470" w:type="dxa"/>
            <w:noWrap w:val="0"/>
            <w:vAlign w:val="top"/>
          </w:tcPr>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215.8</w:t>
            </w:r>
          </w:p>
        </w:tc>
        <w:tc>
          <w:tcPr>
            <w:tcW w:w="1315" w:type="dxa"/>
            <w:noWrap w:val="0"/>
            <w:vAlign w:val="top"/>
          </w:tcPr>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both"/>
              <w:textAlignment w:val="auto"/>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1942.2</w:t>
            </w:r>
          </w:p>
        </w:tc>
      </w:tr>
    </w:tbl>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政府扣除以上补贴总和的10%给老人作日常开支（零用钱），剩余的90%用于支付政策性床位托养费，即本项目社会资本方可收取的政策性床位托养费（包括床位费、膳食费、集中照料护理费等）为：城市特困全失能人员2223元/月床，农村特困全失能人员1942.2元/月床。</w:t>
      </w:r>
    </w:p>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696" w:firstLineChars="200"/>
        <w:jc w:val="both"/>
        <w:textAlignment w:val="auto"/>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关于“城乡特困人员供养费”及“特困人员照料护理”的相关补贴政策标准将按照政策动态调整，以入住老人实际获得的政府补贴为准。</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84" w:name="_Toc20560"/>
      <w:r>
        <w:rPr>
          <w:rFonts w:hint="eastAsia" w:ascii="仿宋" w:hAnsi="仿宋" w:eastAsia="仿宋" w:cs="Times New Roman"/>
          <w:b/>
          <w:color w:val="auto"/>
          <w:szCs w:val="28"/>
          <w:lang w:val="en-US" w:eastAsia="zh-CN"/>
        </w:rPr>
        <w:t>4.2.4普惠性床位服务费</w:t>
      </w:r>
      <w:bookmarkEnd w:id="84"/>
    </w:p>
    <w:p>
      <w:pPr>
        <w:pStyle w:val="18"/>
        <w:spacing w:line="360" w:lineRule="auto"/>
        <w:ind w:left="0" w:leftChars="0" w:firstLine="618"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 w:cs="仿宋"/>
          <w:b/>
          <w:bCs/>
          <w:color w:val="auto"/>
          <w:spacing w:val="14"/>
          <w:kern w:val="2"/>
          <w:sz w:val="28"/>
          <w:szCs w:val="28"/>
          <w:lang w:val="en-US" w:eastAsia="zh-CN" w:bidi="ar-SA"/>
        </w:rPr>
        <w:t>普惠性床位：</w:t>
      </w:r>
      <w:r>
        <w:rPr>
          <w:rFonts w:hint="eastAsia" w:ascii="仿宋" w:hAnsi="仿宋" w:eastAsia="仿宋_GB2312" w:cs="仿宋"/>
          <w:b w:val="0"/>
          <w:i w:val="0"/>
          <w:color w:val="auto"/>
          <w:spacing w:val="14"/>
          <w:kern w:val="2"/>
          <w:sz w:val="32"/>
          <w:szCs w:val="28"/>
          <w:lang w:val="en-US" w:eastAsia="zh-CN" w:bidi="ar-SA"/>
        </w:rPr>
        <w:t>指由社会资本方以普惠性价格为辖区长者提供的床位。</w:t>
      </w:r>
    </w:p>
    <w:p>
      <w:pPr>
        <w:pStyle w:val="18"/>
        <w:spacing w:line="360" w:lineRule="auto"/>
        <w:ind w:left="0" w:leftChars="0" w:firstLine="618"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 w:cs="仿宋"/>
          <w:b/>
          <w:bCs/>
          <w:color w:val="auto"/>
          <w:spacing w:val="14"/>
          <w:kern w:val="2"/>
          <w:sz w:val="28"/>
          <w:szCs w:val="28"/>
          <w:lang w:val="en-US" w:eastAsia="zh-CN" w:bidi="ar-SA"/>
        </w:rPr>
        <w:t>普惠性床位服务费：</w:t>
      </w:r>
      <w:r>
        <w:rPr>
          <w:rFonts w:hint="eastAsia" w:ascii="仿宋" w:hAnsi="仿宋" w:eastAsia="仿宋_GB2312" w:cs="仿宋"/>
          <w:b w:val="0"/>
          <w:i w:val="0"/>
          <w:color w:val="auto"/>
          <w:spacing w:val="14"/>
          <w:kern w:val="2"/>
          <w:sz w:val="32"/>
          <w:szCs w:val="28"/>
          <w:lang w:val="en-US" w:eastAsia="zh-CN" w:bidi="ar-SA"/>
        </w:rPr>
        <w:t>指社会资本方向入住普惠性床位的老人收取的养老服务费，包括床位使用费、膳食费、照料护理费。根据《国家发展改革委民政部关于规范养老机构服务收费管理促进养老服务业健康发展的指导意见》（发改价格〔2015〕129号）：“（三）积极探索公建民营等方式运营的养老机构收费管理模式。以公建民营方式运行的养老机构，应采用招投标、委托运营等竞争性方式确定社会资本方，具体服务收费标准由社会资本方依据委托协议等合理确定。鼓励政府通过向民办养老机构购买服务的方式承担保障对象养老服务，相关收费政策由各地根据本地实际情况确定。”</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普惠性床位养老服务费由社会资本方综合考虑企业运营成本、政策支持情况、消费者承受能力等因素设定，同时兼顾公正、公平、社会公益性、有利于吸引人群入住的原则，且需要向县民政局等相关政府部门报备同意，向社会公示后执行。</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一、项目价格设定依据</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1、参考同类型经营模式公建民营项目收费标准</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2、参考临县始兴县当地养老机构收费标准；</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3、参考仁化县当地的退休金水平；</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4、参考仁化县当地的城镇居民可支配收入。</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二、参考同类型经营模式公建民营项目收费标准</w:t>
      </w: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我司项目组调研了博罗县长者安养中心公建民营项目收费标准，收费情况具体如下：</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1、博罗县长者安养中心公建民营项目</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表4.2.4-1博罗县长者安养中心公建民营项目普惠性床位收费标准</w:t>
      </w:r>
    </w:p>
    <w:tbl>
      <w:tblPr>
        <w:tblStyle w:val="19"/>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593"/>
        <w:gridCol w:w="1426"/>
        <w:gridCol w:w="1426"/>
        <w:gridCol w:w="1427"/>
        <w:gridCol w:w="143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2" w:hRule="atLeast"/>
        </w:trPr>
        <w:tc>
          <w:tcPr>
            <w:tcW w:w="156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项目</w:t>
            </w:r>
          </w:p>
        </w:tc>
        <w:tc>
          <w:tcPr>
            <w:tcW w:w="858" w:type="pct"/>
            <w:tcBorders>
              <w:bottom w:val="single" w:color="000000" w:sz="2"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床位费（元/月人）</w:t>
            </w:r>
          </w:p>
        </w:tc>
        <w:tc>
          <w:tcPr>
            <w:tcW w:w="858" w:type="pct"/>
            <w:tcBorders>
              <w:bottom w:val="single" w:color="000000" w:sz="2"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膳食费（元/月人）</w:t>
            </w:r>
          </w:p>
        </w:tc>
        <w:tc>
          <w:tcPr>
            <w:tcW w:w="858"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护理费（元/月人）</w:t>
            </w:r>
          </w:p>
        </w:tc>
        <w:tc>
          <w:tcPr>
            <w:tcW w:w="864"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费用合计（元/月人）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2" w:hRule="atLeast"/>
        </w:trPr>
        <w:tc>
          <w:tcPr>
            <w:tcW w:w="156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三级护理（自理类）</w:t>
            </w:r>
          </w:p>
        </w:tc>
        <w:tc>
          <w:tcPr>
            <w:tcW w:w="858" w:type="pct"/>
            <w:vMerge w:val="restart"/>
            <w:tcBorders>
              <w:top w:val="single" w:color="000000" w:sz="2" w:space="0"/>
              <w:bottom w:val="single" w:color="000000" w:sz="2" w:space="0"/>
            </w:tcBorders>
            <w:noWrap w:val="0"/>
            <w:vAlign w:val="top"/>
          </w:tcPr>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p>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1600</w:t>
            </w:r>
          </w:p>
        </w:tc>
        <w:tc>
          <w:tcPr>
            <w:tcW w:w="858" w:type="pct"/>
            <w:vMerge w:val="restart"/>
            <w:tcBorders>
              <w:top w:val="single" w:color="000000" w:sz="2" w:space="0"/>
              <w:bottom w:val="single" w:color="000000" w:sz="2" w:space="0"/>
            </w:tcBorders>
            <w:noWrap w:val="0"/>
            <w:vAlign w:val="top"/>
          </w:tcPr>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p>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900</w:t>
            </w:r>
          </w:p>
        </w:tc>
        <w:tc>
          <w:tcPr>
            <w:tcW w:w="858"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1000</w:t>
            </w:r>
          </w:p>
        </w:tc>
        <w:tc>
          <w:tcPr>
            <w:tcW w:w="864"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3500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trPr>
        <w:tc>
          <w:tcPr>
            <w:tcW w:w="156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二级护理（轻度失能类）</w:t>
            </w:r>
          </w:p>
        </w:tc>
        <w:tc>
          <w:tcPr>
            <w:tcW w:w="858" w:type="pct"/>
            <w:vMerge w:val="continue"/>
            <w:tcBorders>
              <w:top w:val="single" w:color="000000" w:sz="2" w:space="0"/>
              <w:bottom w:val="single" w:color="000000" w:sz="2"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p>
        </w:tc>
        <w:tc>
          <w:tcPr>
            <w:tcW w:w="858" w:type="pct"/>
            <w:vMerge w:val="continue"/>
            <w:tcBorders>
              <w:top w:val="single" w:color="000000" w:sz="2" w:space="0"/>
              <w:bottom w:val="single" w:color="000000" w:sz="2"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p>
        </w:tc>
        <w:tc>
          <w:tcPr>
            <w:tcW w:w="858"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2000</w:t>
            </w:r>
          </w:p>
        </w:tc>
        <w:tc>
          <w:tcPr>
            <w:tcW w:w="864"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4500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trPr>
        <w:tc>
          <w:tcPr>
            <w:tcW w:w="156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一级护理（中度失能类）</w:t>
            </w:r>
          </w:p>
        </w:tc>
        <w:tc>
          <w:tcPr>
            <w:tcW w:w="858" w:type="pct"/>
            <w:vMerge w:val="continue"/>
            <w:tcBorders>
              <w:top w:val="single" w:color="000000" w:sz="2" w:space="0"/>
              <w:bottom w:val="single" w:color="000000" w:sz="2"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p>
        </w:tc>
        <w:tc>
          <w:tcPr>
            <w:tcW w:w="858" w:type="pct"/>
            <w:vMerge w:val="continue"/>
            <w:tcBorders>
              <w:top w:val="single" w:color="000000" w:sz="2" w:space="0"/>
              <w:bottom w:val="single" w:color="000000" w:sz="2"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p>
        </w:tc>
        <w:tc>
          <w:tcPr>
            <w:tcW w:w="858"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2700</w:t>
            </w:r>
          </w:p>
        </w:tc>
        <w:tc>
          <w:tcPr>
            <w:tcW w:w="864"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5200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5" w:hRule="atLeast"/>
        </w:trPr>
        <w:tc>
          <w:tcPr>
            <w:tcW w:w="156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特级护理（重度失能类）</w:t>
            </w:r>
          </w:p>
        </w:tc>
        <w:tc>
          <w:tcPr>
            <w:tcW w:w="858" w:type="pct"/>
            <w:vMerge w:val="continue"/>
            <w:tcBorders>
              <w:top w:val="single" w:color="000000" w:sz="2" w:space="0"/>
              <w:bottom w:val="single" w:color="000000" w:sz="2"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p>
        </w:tc>
        <w:tc>
          <w:tcPr>
            <w:tcW w:w="858" w:type="pct"/>
            <w:vMerge w:val="continue"/>
            <w:tcBorders>
              <w:top w:val="single" w:color="000000" w:sz="2" w:space="0"/>
              <w:bottom w:val="single" w:color="000000" w:sz="2"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p>
        </w:tc>
        <w:tc>
          <w:tcPr>
            <w:tcW w:w="858"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3400</w:t>
            </w:r>
          </w:p>
        </w:tc>
        <w:tc>
          <w:tcPr>
            <w:tcW w:w="864"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5900</w:t>
            </w:r>
          </w:p>
        </w:tc>
      </w:tr>
    </w:tbl>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博罗县长者安养中心通过公建民营合作运营模式，由博罗县民政局携手全国性连锁养老企业——华邦美好家园养老集团，按照国家五星级养老机构标准建设运营。博罗县长者安养中心采用的运营模式和运营定位，与本项目的经营模式和 运营定位相同，因此其收费标准对本项目具有较大的参考性。本项目普惠性床位收费标准原则上不宜超过博罗县长者安养中心的收费标准。</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三、参考仁化县幸福里养老机构收费标准</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1、仁化县幸福里养老机构</w:t>
      </w:r>
    </w:p>
    <w:p>
      <w:pPr>
        <w:pStyle w:val="18"/>
        <w:spacing w:line="360" w:lineRule="auto"/>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仁化县幸福里养老机构占地总面积约10000平方米，室外花园式活动场地超过5000平方米，设床位200多张。为了满足老人日常娱乐所需，院内还有多功能活动室、茶室，设有健身器材、棋牌室等。</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由于仁化县幸福里养老机构地理位置位于仁化县中心城区，且临近本项目，因此其收费标准对本项目具有较大的参考性，可以作为本项目的对标参考价。考虑到其运营标准没有定位为五星级，以及提供的居住环境及整体环境不如本项目，因此本项目的普惠性床位收费标准可以在此基础上适当上浮。</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表4.2.4-2仁化县幸福里养老机构收费标准</w:t>
      </w:r>
    </w:p>
    <w:tbl>
      <w:tblPr>
        <w:tblStyle w:val="19"/>
        <w:tblW w:w="5016"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362"/>
        <w:gridCol w:w="1698"/>
        <w:gridCol w:w="2755"/>
        <w:gridCol w:w="1253"/>
        <w:gridCol w:w="127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3" w:hRule="atLeast"/>
        </w:trPr>
        <w:tc>
          <w:tcPr>
            <w:tcW w:w="817"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项目</w:t>
            </w:r>
          </w:p>
        </w:tc>
        <w:tc>
          <w:tcPr>
            <w:tcW w:w="1018" w:type="pct"/>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床位</w:t>
            </w:r>
          </w:p>
        </w:tc>
        <w:tc>
          <w:tcPr>
            <w:tcW w:w="1652" w:type="pct"/>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护理</w:t>
            </w:r>
          </w:p>
        </w:tc>
        <w:tc>
          <w:tcPr>
            <w:tcW w:w="751"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伙食</w:t>
            </w:r>
          </w:p>
        </w:tc>
        <w:tc>
          <w:tcPr>
            <w:tcW w:w="759" w:type="pct"/>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合计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trPr>
        <w:tc>
          <w:tcPr>
            <w:tcW w:w="817" w:type="pct"/>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全自理</w:t>
            </w:r>
          </w:p>
        </w:tc>
        <w:tc>
          <w:tcPr>
            <w:tcW w:w="1018" w:type="pct"/>
            <w:tcBorders>
              <w:bottom w:val="single" w:color="auto" w:sz="4" w:space="0"/>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1500元</w:t>
            </w:r>
          </w:p>
        </w:tc>
        <w:tc>
          <w:tcPr>
            <w:tcW w:w="1652" w:type="pct"/>
            <w:tcBorders>
              <w:bottom w:val="single" w:color="auto" w:sz="4" w:space="0"/>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1000元</w:t>
            </w:r>
          </w:p>
        </w:tc>
        <w:tc>
          <w:tcPr>
            <w:tcW w:w="751" w:type="pct"/>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500元</w:t>
            </w:r>
          </w:p>
        </w:tc>
        <w:tc>
          <w:tcPr>
            <w:tcW w:w="759" w:type="pct"/>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3000元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trPr>
        <w:tc>
          <w:tcPr>
            <w:tcW w:w="817" w:type="pct"/>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半护理</w:t>
            </w:r>
          </w:p>
        </w:tc>
        <w:tc>
          <w:tcPr>
            <w:tcW w:w="1018" w:type="pct"/>
            <w:tcBorders>
              <w:top w:val="single" w:color="auto" w:sz="4" w:space="0"/>
              <w:bottom w:val="single" w:color="auto" w:sz="4" w:space="0"/>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1500元</w:t>
            </w:r>
          </w:p>
        </w:tc>
        <w:tc>
          <w:tcPr>
            <w:tcW w:w="1652" w:type="pct"/>
            <w:tcBorders>
              <w:top w:val="single" w:color="auto" w:sz="4" w:space="0"/>
              <w:bottom w:val="single" w:color="auto" w:sz="4" w:space="0"/>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1500元</w:t>
            </w:r>
          </w:p>
        </w:tc>
        <w:tc>
          <w:tcPr>
            <w:tcW w:w="751" w:type="pct"/>
            <w:tcBorders>
              <w:bottom w:val="single" w:color="auto" w:sz="4" w:space="0"/>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500元</w:t>
            </w:r>
          </w:p>
        </w:tc>
        <w:tc>
          <w:tcPr>
            <w:tcW w:w="759" w:type="pct"/>
            <w:tcBorders>
              <w:bottom w:val="single" w:color="auto" w:sz="4" w:space="0"/>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3500元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trPr>
        <w:tc>
          <w:tcPr>
            <w:tcW w:w="817" w:type="pct"/>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全护理</w:t>
            </w:r>
          </w:p>
        </w:tc>
        <w:tc>
          <w:tcPr>
            <w:tcW w:w="1018" w:type="pct"/>
            <w:tcBorders>
              <w:top w:val="single" w:color="auto" w:sz="4" w:space="0"/>
              <w:bottom w:val="single" w:color="auto" w:sz="4" w:space="0"/>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1500元</w:t>
            </w:r>
          </w:p>
        </w:tc>
        <w:tc>
          <w:tcPr>
            <w:tcW w:w="1652" w:type="pct"/>
            <w:tcBorders>
              <w:top w:val="single" w:color="auto" w:sz="4" w:space="0"/>
              <w:bottom w:val="single" w:color="auto" w:sz="4" w:space="0"/>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1800元</w:t>
            </w:r>
          </w:p>
        </w:tc>
        <w:tc>
          <w:tcPr>
            <w:tcW w:w="751" w:type="pct"/>
            <w:tcBorders>
              <w:top w:val="single" w:color="auto" w:sz="4" w:space="0"/>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500元</w:t>
            </w:r>
          </w:p>
        </w:tc>
        <w:tc>
          <w:tcPr>
            <w:tcW w:w="759" w:type="pct"/>
            <w:tcBorders>
              <w:top w:val="single" w:color="auto" w:sz="4" w:space="0"/>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3800元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6" w:hRule="atLeast"/>
        </w:trPr>
        <w:tc>
          <w:tcPr>
            <w:tcW w:w="817" w:type="pct"/>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特护</w:t>
            </w:r>
          </w:p>
        </w:tc>
        <w:tc>
          <w:tcPr>
            <w:tcW w:w="1018" w:type="pct"/>
            <w:tcBorders>
              <w:top w:val="single" w:color="auto" w:sz="4" w:space="0"/>
              <w:bottom w:val="single" w:color="auto" w:sz="4" w:space="0"/>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1500元</w:t>
            </w:r>
          </w:p>
        </w:tc>
        <w:tc>
          <w:tcPr>
            <w:tcW w:w="1652" w:type="pct"/>
            <w:tcBorders>
              <w:top w:val="single" w:color="auto" w:sz="4" w:space="0"/>
              <w:bottom w:val="single" w:color="auto" w:sz="4" w:space="0"/>
            </w:tcBorders>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2000元</w:t>
            </w:r>
          </w:p>
        </w:tc>
        <w:tc>
          <w:tcPr>
            <w:tcW w:w="751" w:type="pct"/>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500元</w:t>
            </w:r>
          </w:p>
        </w:tc>
        <w:tc>
          <w:tcPr>
            <w:tcW w:w="759" w:type="pct"/>
            <w:noWrap w:val="0"/>
            <w:vAlign w:val="top"/>
          </w:tcPr>
          <w:p>
            <w:pPr>
              <w:pStyle w:val="18"/>
              <w:spacing w:line="360" w:lineRule="auto"/>
              <w:ind w:left="0" w:leftChars="0" w:firstLine="0" w:firstLineChars="0"/>
              <w:jc w:val="both"/>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4000元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76" w:hRule="atLeast"/>
        </w:trPr>
        <w:tc>
          <w:tcPr>
            <w:tcW w:w="5000" w:type="pct"/>
            <w:gridSpan w:val="5"/>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临终关怀/30天为一周期5000元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6" w:hRule="atLeast"/>
        </w:trPr>
        <w:tc>
          <w:tcPr>
            <w:tcW w:w="5000" w:type="pct"/>
            <w:gridSpan w:val="5"/>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一次性公共设施及物品租赁费2000元档案建设费180元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6" w:hRule="atLeast"/>
        </w:trPr>
        <w:tc>
          <w:tcPr>
            <w:tcW w:w="5000" w:type="pct"/>
            <w:gridSpan w:val="5"/>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备注:</w:t>
            </w:r>
            <w:r>
              <w:rPr>
                <w:rFonts w:hint="eastAsia" w:ascii="仿宋" w:hAnsi="仿宋" w:eastAsia="仿宋_GB2312" w:cs="仿宋"/>
                <w:b w:val="0"/>
                <w:i w:val="0"/>
                <w:color w:val="auto"/>
                <w:spacing w:val="14"/>
                <w:kern w:val="2"/>
                <w:sz w:val="32"/>
                <w:szCs w:val="28"/>
                <w:lang w:val="en-US" w:eastAsia="zh-CN" w:bidi="ar-SA"/>
              </w:rPr>
              <w:br w:type="textWrapping"/>
            </w:r>
            <w:r>
              <w:rPr>
                <w:rFonts w:hint="eastAsia" w:ascii="仿宋" w:hAnsi="仿宋" w:eastAsia="仿宋_GB2312" w:cs="仿宋"/>
                <w:b w:val="0"/>
                <w:i w:val="0"/>
                <w:color w:val="auto"/>
                <w:spacing w:val="14"/>
                <w:kern w:val="2"/>
                <w:sz w:val="32"/>
                <w:szCs w:val="28"/>
                <w:lang w:val="en-US" w:eastAsia="zh-CN" w:bidi="ar-SA"/>
              </w:rPr>
              <w:t>1.单独房间床位费加收500元/月</w:t>
            </w:r>
            <w:r>
              <w:rPr>
                <w:rFonts w:hint="eastAsia" w:ascii="仿宋" w:hAnsi="仿宋" w:eastAsia="仿宋_GB2312" w:cs="仿宋"/>
                <w:b w:val="0"/>
                <w:i w:val="0"/>
                <w:color w:val="auto"/>
                <w:spacing w:val="14"/>
                <w:kern w:val="2"/>
                <w:sz w:val="32"/>
                <w:szCs w:val="28"/>
                <w:lang w:val="en-US" w:eastAsia="zh-CN" w:bidi="ar-SA"/>
              </w:rPr>
              <w:br w:type="textWrapping"/>
            </w:r>
            <w:r>
              <w:rPr>
                <w:rFonts w:hint="eastAsia" w:ascii="仿宋" w:hAnsi="仿宋" w:eastAsia="仿宋_GB2312" w:cs="仿宋"/>
                <w:b w:val="0"/>
                <w:i w:val="0"/>
                <w:color w:val="auto"/>
                <w:spacing w:val="14"/>
                <w:kern w:val="2"/>
                <w:sz w:val="32"/>
                <w:szCs w:val="28"/>
                <w:lang w:val="en-US" w:eastAsia="zh-CN" w:bidi="ar-SA"/>
              </w:rPr>
              <w:t>2.房间电费按每月使用量收取</w:t>
            </w:r>
          </w:p>
        </w:tc>
      </w:tr>
    </w:tbl>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四、参考仁化县当地退休金水平</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根据公开资料，仁化县当地企业、机关及事业单位退休人员的退休金水平为：2400~6000元/月。我司项目组从仁化县人社局了解到，2023年度各类长者退休金收入情况如下表所示。</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表4.2.4-3仁化县各类长者退休金收入情况</w:t>
      </w:r>
    </w:p>
    <w:tbl>
      <w:tblPr>
        <w:tblStyle w:val="19"/>
        <w:tblW w:w="8620"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63"/>
        <w:gridCol w:w="4197"/>
        <w:gridCol w:w="326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5" w:hRule="atLeast"/>
        </w:trPr>
        <w:tc>
          <w:tcPr>
            <w:tcW w:w="116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编号</w:t>
            </w:r>
          </w:p>
        </w:tc>
        <w:tc>
          <w:tcPr>
            <w:tcW w:w="4197"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群体类别</w:t>
            </w:r>
          </w:p>
        </w:tc>
        <w:tc>
          <w:tcPr>
            <w:tcW w:w="3260"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平均退休金收入（元/月）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trPr>
        <w:tc>
          <w:tcPr>
            <w:tcW w:w="116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w:t>
            </w:r>
          </w:p>
        </w:tc>
        <w:tc>
          <w:tcPr>
            <w:tcW w:w="4197"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机关、事业单位退休人员</w:t>
            </w:r>
          </w:p>
        </w:tc>
        <w:tc>
          <w:tcPr>
            <w:tcW w:w="3260" w:type="dxa"/>
            <w:noWrap w:val="0"/>
            <w:vAlign w:val="top"/>
          </w:tcPr>
          <w:p>
            <w:pPr>
              <w:pStyle w:val="18"/>
              <w:spacing w:line="360" w:lineRule="auto"/>
              <w:ind w:left="0" w:leftChars="0" w:firstLine="0" w:firstLineChars="0"/>
              <w:jc w:val="both"/>
              <w:rPr>
                <w:rFonts w:hint="eastAsia"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5536.57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trPr>
        <w:tc>
          <w:tcPr>
            <w:tcW w:w="116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w:t>
            </w:r>
          </w:p>
        </w:tc>
        <w:tc>
          <w:tcPr>
            <w:tcW w:w="4197"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企业退休人员</w:t>
            </w:r>
          </w:p>
        </w:tc>
        <w:tc>
          <w:tcPr>
            <w:tcW w:w="3260" w:type="dxa"/>
            <w:noWrap w:val="0"/>
            <w:vAlign w:val="top"/>
          </w:tcPr>
          <w:p>
            <w:pPr>
              <w:pStyle w:val="18"/>
              <w:spacing w:line="360" w:lineRule="auto"/>
              <w:ind w:left="0" w:leftChars="0" w:firstLine="0" w:firstLineChars="0"/>
              <w:jc w:val="both"/>
              <w:rPr>
                <w:rFonts w:hint="eastAsia"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2583.00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5" w:hRule="atLeast"/>
        </w:trPr>
        <w:tc>
          <w:tcPr>
            <w:tcW w:w="116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w:t>
            </w:r>
          </w:p>
        </w:tc>
        <w:tc>
          <w:tcPr>
            <w:tcW w:w="4197"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城乡居民（非职工退休）</w:t>
            </w:r>
          </w:p>
        </w:tc>
        <w:tc>
          <w:tcPr>
            <w:tcW w:w="3260" w:type="dxa"/>
            <w:noWrap w:val="0"/>
            <w:vAlign w:val="top"/>
          </w:tcPr>
          <w:p>
            <w:pPr>
              <w:pStyle w:val="18"/>
              <w:spacing w:line="360" w:lineRule="auto"/>
              <w:ind w:left="0" w:leftChars="0" w:firstLine="0" w:firstLineChars="0"/>
              <w:jc w:val="both"/>
              <w:rPr>
                <w:rFonts w:hint="eastAsia"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213.34</w:t>
            </w:r>
          </w:p>
        </w:tc>
      </w:tr>
    </w:tbl>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参考同类型项目定价原则，普惠性床位服务费（全自理类）不宜超过当地退休人员上一年平均退休金收入的1.3倍。</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根据统计，2024年韶关市各类机构组织类型的在职人员数，统计出机关及事业单位退休人员、企业退休人员、城乡居民（非职工退休）的人员占比分别为15%、72%、13%。</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参考以上人员比例，计算出仁化县全县各类人员退休金的加权平均值为2718元/月，该平均值的1.3倍为3533元/月</w:t>
      </w:r>
      <w:r>
        <w:rPr>
          <w:rFonts w:hint="eastAsia" w:ascii="仿宋" w:hAnsi="仿宋" w:eastAsia="仿宋_GB2312" w:cs="仿宋"/>
          <w:b w:val="0"/>
          <w:i w:val="0"/>
          <w:color w:val="auto"/>
          <w:spacing w:val="14"/>
          <w:kern w:val="2"/>
          <w:sz w:val="32"/>
          <w:szCs w:val="28"/>
          <w:lang w:val="en-US" w:eastAsia="zh-CN" w:bidi="ar-SA"/>
        </w:rPr>
        <w:t>，详见下表：</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表4.2.4-5仁化县各类人员退休金的加权平均值</w:t>
      </w:r>
    </w:p>
    <w:tbl>
      <w:tblPr>
        <w:tblStyle w:val="19"/>
        <w:tblW w:w="8421"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49"/>
        <w:gridCol w:w="2231"/>
        <w:gridCol w:w="1259"/>
        <w:gridCol w:w="1319"/>
        <w:gridCol w:w="1481"/>
        <w:gridCol w:w="158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4" w:hRule="atLeast"/>
        </w:trPr>
        <w:tc>
          <w:tcPr>
            <w:tcW w:w="549" w:type="dxa"/>
            <w:noWrap w:val="0"/>
            <w:textDirection w:val="tbRlV"/>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编号</w:t>
            </w:r>
          </w:p>
        </w:tc>
        <w:tc>
          <w:tcPr>
            <w:tcW w:w="2231" w:type="dxa"/>
            <w:noWrap w:val="0"/>
            <w:vAlign w:val="top"/>
          </w:tcPr>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p>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群体类别</w:t>
            </w:r>
          </w:p>
        </w:tc>
        <w:tc>
          <w:tcPr>
            <w:tcW w:w="1259"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人均退休金收入（元/月）</w:t>
            </w:r>
          </w:p>
        </w:tc>
        <w:tc>
          <w:tcPr>
            <w:tcW w:w="1319"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人数占比（权重值）</w:t>
            </w:r>
          </w:p>
        </w:tc>
        <w:tc>
          <w:tcPr>
            <w:tcW w:w="148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退休金全县加权平均值（元/月）</w:t>
            </w:r>
          </w:p>
        </w:tc>
        <w:tc>
          <w:tcPr>
            <w:tcW w:w="1582"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加权平均退休金的1.3倍（元/月）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549"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w:t>
            </w:r>
          </w:p>
        </w:tc>
        <w:tc>
          <w:tcPr>
            <w:tcW w:w="223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机关、事业单位退休人员</w:t>
            </w:r>
          </w:p>
        </w:tc>
        <w:tc>
          <w:tcPr>
            <w:tcW w:w="1259" w:type="dxa"/>
            <w:noWrap w:val="0"/>
            <w:vAlign w:val="top"/>
          </w:tcPr>
          <w:p>
            <w:pPr>
              <w:pStyle w:val="18"/>
              <w:spacing w:line="360" w:lineRule="auto"/>
              <w:ind w:left="0" w:leftChars="0" w:firstLine="0" w:firstLineChars="0"/>
              <w:jc w:val="both"/>
              <w:rPr>
                <w:rFonts w:hint="eastAsia"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5536.57</w:t>
            </w:r>
          </w:p>
        </w:tc>
        <w:tc>
          <w:tcPr>
            <w:tcW w:w="1319" w:type="dxa"/>
            <w:noWrap w:val="0"/>
            <w:vAlign w:val="top"/>
          </w:tcPr>
          <w:p>
            <w:pPr>
              <w:pStyle w:val="18"/>
              <w:spacing w:line="360" w:lineRule="auto"/>
              <w:ind w:left="0" w:leftChars="0" w:firstLine="0" w:firstLineChars="0"/>
              <w:jc w:val="both"/>
              <w:rPr>
                <w:rFonts w:hint="eastAsia"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15%</w:t>
            </w:r>
          </w:p>
        </w:tc>
        <w:tc>
          <w:tcPr>
            <w:tcW w:w="1481" w:type="dxa"/>
            <w:vMerge w:val="restart"/>
            <w:tcBorders>
              <w:bottom w:val="nil"/>
            </w:tcBorders>
            <w:noWrap w:val="0"/>
            <w:vAlign w:val="top"/>
          </w:tcPr>
          <w:p>
            <w:pPr>
              <w:pStyle w:val="18"/>
              <w:spacing w:line="360" w:lineRule="auto"/>
              <w:ind w:left="0" w:leftChars="0" w:firstLine="0" w:firstLineChars="0"/>
              <w:jc w:val="both"/>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pPr>
          </w:p>
          <w:p>
            <w:pPr>
              <w:pStyle w:val="18"/>
              <w:spacing w:line="360" w:lineRule="auto"/>
              <w:ind w:left="0" w:leftChars="0" w:firstLine="0" w:firstLineChars="0"/>
              <w:jc w:val="both"/>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pPr>
          </w:p>
          <w:p>
            <w:pPr>
              <w:pStyle w:val="18"/>
              <w:spacing w:line="360" w:lineRule="auto"/>
              <w:ind w:left="0" w:leftChars="0" w:firstLine="0" w:firstLineChars="0"/>
              <w:jc w:val="both"/>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pPr>
          </w:p>
          <w:p>
            <w:pPr>
              <w:pStyle w:val="18"/>
              <w:spacing w:line="360" w:lineRule="auto"/>
              <w:ind w:left="0" w:leftChars="0" w:firstLine="0" w:firstLineChars="0"/>
              <w:jc w:val="both"/>
              <w:rPr>
                <w:rFonts w:hint="eastAsia"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2718</w:t>
            </w:r>
          </w:p>
        </w:tc>
        <w:tc>
          <w:tcPr>
            <w:tcW w:w="1582" w:type="dxa"/>
            <w:vMerge w:val="restart"/>
            <w:tcBorders>
              <w:bottom w:val="nil"/>
            </w:tcBorders>
            <w:noWrap w:val="0"/>
            <w:vAlign w:val="top"/>
          </w:tcPr>
          <w:p>
            <w:pPr>
              <w:pStyle w:val="18"/>
              <w:spacing w:line="360" w:lineRule="auto"/>
              <w:ind w:left="0" w:leftChars="0" w:firstLine="0" w:firstLineChars="0"/>
              <w:jc w:val="both"/>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pPr>
          </w:p>
          <w:p>
            <w:pPr>
              <w:pStyle w:val="18"/>
              <w:spacing w:line="360" w:lineRule="auto"/>
              <w:ind w:left="0" w:leftChars="0" w:firstLine="0" w:firstLineChars="0"/>
              <w:jc w:val="both"/>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pPr>
          </w:p>
          <w:p>
            <w:pPr>
              <w:pStyle w:val="18"/>
              <w:spacing w:line="360" w:lineRule="auto"/>
              <w:ind w:left="0" w:leftChars="0" w:firstLine="0" w:firstLineChars="0"/>
              <w:jc w:val="both"/>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pPr>
          </w:p>
          <w:p>
            <w:pPr>
              <w:pStyle w:val="18"/>
              <w:spacing w:line="360" w:lineRule="auto"/>
              <w:ind w:left="0" w:leftChars="0" w:firstLine="0" w:firstLineChars="0"/>
              <w:jc w:val="both"/>
              <w:rPr>
                <w:rFonts w:hint="default"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3533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9" w:hRule="atLeast"/>
        </w:trPr>
        <w:tc>
          <w:tcPr>
            <w:tcW w:w="549"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w:t>
            </w:r>
          </w:p>
        </w:tc>
        <w:tc>
          <w:tcPr>
            <w:tcW w:w="223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企业退休人员</w:t>
            </w:r>
          </w:p>
        </w:tc>
        <w:tc>
          <w:tcPr>
            <w:tcW w:w="1259" w:type="dxa"/>
            <w:noWrap w:val="0"/>
            <w:vAlign w:val="top"/>
          </w:tcPr>
          <w:p>
            <w:pPr>
              <w:pStyle w:val="18"/>
              <w:spacing w:line="360" w:lineRule="auto"/>
              <w:ind w:left="0" w:leftChars="0" w:firstLine="0" w:firstLineChars="0"/>
              <w:jc w:val="both"/>
              <w:rPr>
                <w:rFonts w:hint="eastAsia"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2583.00</w:t>
            </w:r>
          </w:p>
        </w:tc>
        <w:tc>
          <w:tcPr>
            <w:tcW w:w="1319" w:type="dxa"/>
            <w:noWrap w:val="0"/>
            <w:vAlign w:val="top"/>
          </w:tcPr>
          <w:p>
            <w:pPr>
              <w:pStyle w:val="18"/>
              <w:spacing w:line="360" w:lineRule="auto"/>
              <w:ind w:left="0" w:leftChars="0" w:firstLine="0" w:firstLineChars="0"/>
              <w:jc w:val="both"/>
              <w:rPr>
                <w:rFonts w:hint="eastAsia"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72%</w:t>
            </w:r>
          </w:p>
        </w:tc>
        <w:tc>
          <w:tcPr>
            <w:tcW w:w="1481" w:type="dxa"/>
            <w:vMerge w:val="continue"/>
            <w:tcBorders>
              <w:top w:val="nil"/>
              <w:bottom w:val="nil"/>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p>
        </w:tc>
        <w:tc>
          <w:tcPr>
            <w:tcW w:w="1582" w:type="dxa"/>
            <w:vMerge w:val="continue"/>
            <w:tcBorders>
              <w:top w:val="nil"/>
              <w:bottom w:val="nil"/>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2" w:hRule="atLeast"/>
        </w:trPr>
        <w:tc>
          <w:tcPr>
            <w:tcW w:w="549"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w:t>
            </w:r>
          </w:p>
        </w:tc>
        <w:tc>
          <w:tcPr>
            <w:tcW w:w="223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城乡居民（非职工退休）</w:t>
            </w:r>
          </w:p>
        </w:tc>
        <w:tc>
          <w:tcPr>
            <w:tcW w:w="1259" w:type="dxa"/>
            <w:noWrap w:val="0"/>
            <w:vAlign w:val="top"/>
          </w:tcPr>
          <w:p>
            <w:pPr>
              <w:pStyle w:val="18"/>
              <w:spacing w:line="360" w:lineRule="auto"/>
              <w:ind w:left="0" w:leftChars="0" w:firstLine="0" w:firstLineChars="0"/>
              <w:jc w:val="both"/>
              <w:rPr>
                <w:rFonts w:hint="eastAsia"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213.34</w:t>
            </w:r>
          </w:p>
        </w:tc>
        <w:tc>
          <w:tcPr>
            <w:tcW w:w="1319" w:type="dxa"/>
            <w:noWrap w:val="0"/>
            <w:vAlign w:val="top"/>
          </w:tcPr>
          <w:p>
            <w:pPr>
              <w:pStyle w:val="18"/>
              <w:spacing w:line="360" w:lineRule="auto"/>
              <w:ind w:left="0" w:leftChars="0" w:firstLine="0" w:firstLineChars="0"/>
              <w:jc w:val="both"/>
              <w:rPr>
                <w:rFonts w:hint="eastAsia"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13%</w:t>
            </w:r>
          </w:p>
        </w:tc>
        <w:tc>
          <w:tcPr>
            <w:tcW w:w="1481" w:type="dxa"/>
            <w:vMerge w:val="continue"/>
            <w:tcBorders>
              <w:top w:val="nil"/>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p>
        </w:tc>
        <w:tc>
          <w:tcPr>
            <w:tcW w:w="1582" w:type="dxa"/>
            <w:vMerge w:val="continue"/>
            <w:tcBorders>
              <w:top w:val="nil"/>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p>
        </w:tc>
      </w:tr>
    </w:tbl>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4、参考仁化县当地城镇居民可支配收入</w:t>
      </w:r>
    </w:p>
    <w:p>
      <w:pPr>
        <w:pStyle w:val="18"/>
        <w:numPr>
          <w:ilvl w:val="0"/>
          <w:numId w:val="0"/>
        </w:numPr>
        <w:spacing w:line="360" w:lineRule="auto"/>
        <w:ind w:left="0" w:leftChars="0" w:firstLine="696" w:firstLineChars="200"/>
        <w:jc w:val="both"/>
        <w:rPr>
          <w:rFonts w:hint="eastAsia" w:ascii="仿宋" w:hAnsi="仿宋" w:eastAsia="仿宋_GB2312" w:cs="仿宋"/>
          <w:b w:val="0"/>
          <w:i w:val="0"/>
          <w:color w:val="FF0000"/>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根据《仁化县2024年国民经济和社会发展统计公报》，2024年韶关市仁化县城镇居民人均可支配收入为30517元，折合月均收入为2513元/月，</w:t>
      </w:r>
      <w:r>
        <w:rPr>
          <w:rFonts w:hint="eastAsia" w:ascii="仿宋" w:hAnsi="仿宋" w:eastAsia="仿宋_GB2312" w:cs="仿宋"/>
          <w:b w:val="0"/>
          <w:i w:val="0"/>
          <w:color w:val="FF0000"/>
          <w:spacing w:val="14"/>
          <w:kern w:val="2"/>
          <w:sz w:val="32"/>
          <w:szCs w:val="28"/>
          <w:lang w:val="en-US" w:eastAsia="zh-CN" w:bidi="ar-SA"/>
        </w:rPr>
        <w:t>普惠性床位服务费（全自理类）不宜超过当地上一年城镇居民可支配收入的1.3倍，即3267元/月（2513*1.3=3267）。</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六、本项目普惠性服务收费设定</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参考以上各家养老机构收费标准，结合仁化县当地的退休金水平、城镇居民可支配收入，本项目普惠性床位服务收费具体设定如下：</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1）床位费设定</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参考博罗县长者安养中心公建民营项目政府指导价水平，</w:t>
      </w: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结合仁化县的经济情况，本项目床位费暂定1500元/人月。</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2）膳食费设定</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参考博罗县长者安养中心公建民营项目政府指导价水平，</w:t>
      </w: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结合仁化县的经济情况，本项目膳食费收费暂按800元/人月设定。</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3）护理费设定</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护理级别设六个档次：三级护理、二级护理、一级护理、特级护理B、特级护理A、专护。</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各护理级别的服务标准及内容如下表所示：</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表4.2.4-6仁化养老服务中心护理级别标准及护理内容</w:t>
      </w:r>
    </w:p>
    <w:tbl>
      <w:tblPr>
        <w:tblStyle w:val="1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12"/>
        <w:gridCol w:w="3844"/>
        <w:gridCol w:w="376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5" w:hRule="atLeast"/>
        </w:trPr>
        <w:tc>
          <w:tcPr>
            <w:tcW w:w="535"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护理级别</w:t>
            </w:r>
          </w:p>
        </w:tc>
        <w:tc>
          <w:tcPr>
            <w:tcW w:w="2255"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护理依据</w:t>
            </w:r>
          </w:p>
        </w:tc>
        <w:tc>
          <w:tcPr>
            <w:tcW w:w="2209"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护理标准内容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50" w:hRule="atLeast"/>
        </w:trPr>
        <w:tc>
          <w:tcPr>
            <w:tcW w:w="535"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三级护理（双人间）</w:t>
            </w:r>
          </w:p>
        </w:tc>
        <w:tc>
          <w:tcPr>
            <w:tcW w:w="2255"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1.生活能力行为完全自理者或可基本自理；</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2.身体健康或基本健康；思维正常，沟通判断力正常；</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3.一般慢性病，病情较轻；不需要他人帮助的，无器质性 疾病的长者；</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4.MMSE评分正常。</w:t>
            </w:r>
          </w:p>
        </w:tc>
        <w:tc>
          <w:tcPr>
            <w:tcW w:w="2209"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1.每天打扫室内环境卫生一次，保持环境清洁，空气清新无味；</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2.每天督促长者整理床铺，定期或必要时更换床上用品；</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3.同老人问好，送水到房间，必要时餐厅送餐，登记营养餐，督促老人睡觉洗漱穿衣，提醒服药等；</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4.组织老人参加各种文娱活动。收发老人换洗衣物；</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5.护理人员24小时值班，每 4 小时巡视房间一次，及时了解长者老人的身心变化；</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6.根据医嘱定时监测生命体征，原则上一周一次；</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7.每周消毒居室1—2次，督促老人做好“三短六洁”（每二周修指趾甲，每月理发；男性长者每天或隔天剃须）。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75" w:hRule="atLeast"/>
        </w:trPr>
        <w:tc>
          <w:tcPr>
            <w:tcW w:w="535"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二级护理（双人间）</w:t>
            </w:r>
          </w:p>
        </w:tc>
        <w:tc>
          <w:tcPr>
            <w:tcW w:w="2255"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1.生活行为需要部分协助，需要借助扶手、拐杖和升降等</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设施；</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2.思维正常，沟通判断力正 常；慢性疾病康复期；</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3.大小便自控，但需要协助 清理便盆或冲厕所；</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4.身体较弱，日常生活部分需要协助和提醒（如厕、洗头和洗澡），但自己可完成洗脸吃饭漱口等日常生活；</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5.年龄在80岁以下（包括80岁）；</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6.MMSE评分正常。</w:t>
            </w:r>
          </w:p>
        </w:tc>
        <w:tc>
          <w:tcPr>
            <w:tcW w:w="2209"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1.完成三级护理的各项服务项目；</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2.提醒协助老人做好个人卫生（淋浴、</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洗头剪指/趾甲、剃须等）；</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3.做好老人各类生活用品的消毒工作；</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4.鼓励老人到餐桌就餐，按需协助进餐；</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5.协助督促参加适当的文娱活动和康乐活动，户外活动（根据天气和场地限制，一周两次），开展心理护理，处于接受疗养的最佳状态；</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6.视病情定时监测生命体征，协助位置转移，协助睡眠；</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7.24小时有护理人员值班。每2小时巡房一次，及时了解老人的身心变化。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75" w:hRule="atLeast"/>
        </w:trPr>
        <w:tc>
          <w:tcPr>
            <w:tcW w:w="535"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一级护理（双人间）</w:t>
            </w:r>
          </w:p>
        </w:tc>
        <w:tc>
          <w:tcPr>
            <w:tcW w:w="2255"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1.生活行为大部分依赖他人护理者；</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2.便尿自控、自知，需协助完成者；</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3.日常生活需大部分协助完成；在疾病恢复期，病情好转，但生活需要照顾的老人；</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4.年龄在81-85岁，患有三种以上一类疾病；</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5.轻度认知障碍。</w:t>
            </w:r>
          </w:p>
        </w:tc>
        <w:tc>
          <w:tcPr>
            <w:tcW w:w="2209"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1.完成二级护理各项服务项目；</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2.帮助老人洗衣、助浴、擦身、洗头；</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3.行动不便的老人搀扶协助行走，上厕所，并清洁局部皮肤；</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4.机体功能部分障碍者，需使用安全带，床栏等保护性器具；</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5.不能自主进餐者提供协助督促进餐，为老人开展常规康乐活动，户外活动（根据天气和场地限制以及是否坐轮椅，一周一次）和心理护理；</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6.协助饮水、喂药（按照自带药品管理协议执行）；</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7.24小时有护理人员值班，实行程序化个案护理，并进行记录，每2小时巡房一次，视情况调整护理计划。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0" w:hRule="atLeast"/>
        </w:trPr>
        <w:tc>
          <w:tcPr>
            <w:tcW w:w="535"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特级护理B（双人间）</w:t>
            </w:r>
          </w:p>
        </w:tc>
        <w:tc>
          <w:tcPr>
            <w:tcW w:w="2255"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1.身体健康状况较差，生活行为完全依赖他人护理的，如视力障碍、听力严重下降、肢体残疾、不能进食、大小便失禁；</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2.使用失禁用品、卧床不能自行调整体位、需防褥疮、需要24小时护理者；</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3.年龄85-90岁，并患有三种以上一类疾病以及二类疾病；</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4.中度认知障碍。</w:t>
            </w:r>
          </w:p>
        </w:tc>
        <w:tc>
          <w:tcPr>
            <w:tcW w:w="2209"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1.完成一级护理各项服务项目；</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2.做好老人口腔、皮肤和大小便护理，保持老人清洁无异味并清倒；</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3.卧床者每2小时翻身拍背一次，预防坠积性肺炎和压疮发生；</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4.提供24小时照料，细心观察，掌握老人用药、饮食起居、情绪及精神状况，每1小时巡房一次，并做好记录与跟踪；</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5.制定个性化护理计划；</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6.协助护士做好护理，在护士指导下做 好病情观察，保持呼吸道通畅等，每天记录长者情况。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00" w:hRule="atLeast"/>
        </w:trPr>
        <w:tc>
          <w:tcPr>
            <w:tcW w:w="535"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特级A护理（双人间）</w:t>
            </w:r>
          </w:p>
        </w:tc>
        <w:tc>
          <w:tcPr>
            <w:tcW w:w="2255"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1.身体情况极差；生命体征变化大、需要严密监控和重点照顾、体型大、不配合、需护理员两人配合完成护理操作者；</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2.植物人、长期卧床需翻身 者；带有管道（如：尿管、胃 管）或其他医疗护理问题；</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3.失智老人不会按呼叫铃者、随地大小便、经常自行出走者、失智老人找不到自己房间者；</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4.身体情况极差；病情有较大的波动或病情尚不稳定，需要24小时护理者；生活行为完全依赖他人护理；或思维功能中度以上障碍者；</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5.在生活服务、康复护理等方面要求给予特殊护理老人；</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6.年龄在90岁以上，患有重症疾患；</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7.重度认知障碍。</w:t>
            </w:r>
          </w:p>
        </w:tc>
        <w:tc>
          <w:tcPr>
            <w:tcW w:w="2209"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1.完成一级护理各项服务项目；</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2.不能自行排便者，进行大便疏通护 理。</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3.认知障碍训练及时为老人开展针对性个体康复活动（按照康复运动管理协议执行），防走失，并做好各种安全措施；</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4.定时喂水，及更换失禁品，保持清洁干燥；</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5.定时翻身，每1次/2小时，必要时每1小时一次，预防褥疮；</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6.做好各管道的护理，鼻饲管予喂食6餐/日；</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7.每0.5—1小时查房一次，密切观察生命体征，并做好记录，强化安全防护。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0" w:hRule="atLeast"/>
        </w:trPr>
        <w:tc>
          <w:tcPr>
            <w:tcW w:w="535"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专护（单人套房）</w:t>
            </w:r>
          </w:p>
        </w:tc>
        <w:tc>
          <w:tcPr>
            <w:tcW w:w="2255"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1.需要24小时陪护者；</w:t>
            </w:r>
          </w:p>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2.生活行为完全依赖他人护理，3.需要全面照顾者；</w:t>
            </w:r>
          </w:p>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4.留置尿管、胃管、各种引流管、人工造口等老人，以及医疗护理问题、或特殊需求的老人；</w:t>
            </w:r>
          </w:p>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5.在生活服务、康复护理等方面要求给予特殊护理者；</w:t>
            </w:r>
          </w:p>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6.第三方提出特别要求照护者；</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7.重度认知障碍。</w:t>
            </w:r>
          </w:p>
        </w:tc>
        <w:tc>
          <w:tcPr>
            <w:tcW w:w="2209" w:type="pct"/>
            <w:tcBorders>
              <w:tl2br w:val="nil"/>
              <w:tr2bl w:val="nil"/>
            </w:tcBorders>
            <w:noWrap w:val="0"/>
            <w:vAlign w:val="top"/>
          </w:tcPr>
          <w:p>
            <w:pPr>
              <w:pStyle w:val="18"/>
              <w:tabs>
                <w:tab w:val="left" w:pos="4907"/>
              </w:tabs>
              <w:spacing w:line="360" w:lineRule="auto"/>
              <w:ind w:left="0" w:leftChars="0" w:firstLine="0" w:firstLineChars="0"/>
              <w:jc w:val="both"/>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1.完成特级护理各项服务项目；</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2.24小时有护理计划一对一服务；</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3.根据老人情况提供各类饮食（流质、半流质食物等）；</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4.根据老人情况（病历）与原医疗机构或家属对接，定期沟通维护老人健康；</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5.营造良好的生活环境和人际环境帮助老人及时与家属联系与沟通，运用沟通技巧维护老人自尊，保护隐私；</w:t>
            </w:r>
            <w:r>
              <w:rPr>
                <w:rFonts w:hint="eastAsia" w:ascii="仿宋" w:hAnsi="仿宋" w:eastAsia="仿宋" w:cs="仿宋"/>
                <w:color w:val="auto"/>
                <w:spacing w:val="14"/>
                <w:kern w:val="2"/>
                <w:sz w:val="24"/>
                <w:szCs w:val="24"/>
                <w:lang w:val="en-US" w:eastAsia="zh-CN" w:bidi="ar-SA"/>
              </w:rPr>
              <w:br w:type="textWrapping"/>
            </w:r>
            <w:r>
              <w:rPr>
                <w:rFonts w:hint="eastAsia" w:ascii="仿宋" w:hAnsi="仿宋" w:eastAsia="仿宋" w:cs="仿宋"/>
                <w:color w:val="auto"/>
                <w:spacing w:val="14"/>
                <w:kern w:val="2"/>
                <w:sz w:val="24"/>
                <w:szCs w:val="24"/>
                <w:lang w:val="en-US" w:eastAsia="zh-CN" w:bidi="ar-SA"/>
              </w:rPr>
              <w:t>6.定期根据程序对生活照料服务每日自查、每月进行效果评估且有记录。</w:t>
            </w:r>
          </w:p>
        </w:tc>
      </w:tr>
    </w:tbl>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参考博罗县长者安养中心公建民营项目政府指导价水平，</w:t>
      </w:r>
      <w:r>
        <w:rPr>
          <w:rFonts w:hint="eastAsia" w:ascii="仿宋" w:hAnsi="仿宋" w:eastAsia="仿宋_GB2312" w:cs="仿宋"/>
          <w:b w:val="0"/>
          <w:i w:val="0"/>
          <w:color w:val="FF0000"/>
          <w:spacing w:val="14"/>
          <w:kern w:val="2"/>
          <w:sz w:val="32"/>
          <w:szCs w:val="28"/>
          <w:lang w:val="en-US" w:eastAsia="zh-CN" w:bidi="ar-SA"/>
        </w:rPr>
        <w:t>结合仁化县的经济情况，</w:t>
      </w:r>
      <w:r>
        <w:rPr>
          <w:rFonts w:hint="eastAsia" w:ascii="仿宋" w:hAnsi="仿宋" w:eastAsia="仿宋_GB2312" w:cs="仿宋"/>
          <w:b w:val="0"/>
          <w:i w:val="0"/>
          <w:color w:val="auto"/>
          <w:spacing w:val="14"/>
          <w:kern w:val="2"/>
          <w:sz w:val="32"/>
          <w:szCs w:val="28"/>
          <w:lang w:val="en-US" w:eastAsia="zh-CN" w:bidi="ar-SA"/>
        </w:rPr>
        <w:t>本项目各护理级别收费标准设定如表4.2.4-8所示：</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表4.2.4-8仁化养老服务中心各护理级别收费标准设定</w:t>
      </w:r>
    </w:p>
    <w:tbl>
      <w:tblPr>
        <w:tblStyle w:val="19"/>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156"/>
        <w:gridCol w:w="415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250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收费内容</w:t>
            </w:r>
          </w:p>
        </w:tc>
        <w:tc>
          <w:tcPr>
            <w:tcW w:w="250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收费标准（元/人/月）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250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三级护理</w:t>
            </w:r>
          </w:p>
        </w:tc>
        <w:tc>
          <w:tcPr>
            <w:tcW w:w="250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250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二级护理</w:t>
            </w:r>
          </w:p>
        </w:tc>
        <w:tc>
          <w:tcPr>
            <w:tcW w:w="250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1400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250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一级护理</w:t>
            </w:r>
          </w:p>
        </w:tc>
        <w:tc>
          <w:tcPr>
            <w:tcW w:w="250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250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特级护理B</w:t>
            </w:r>
          </w:p>
        </w:tc>
        <w:tc>
          <w:tcPr>
            <w:tcW w:w="250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3000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250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特级护理A</w:t>
            </w:r>
          </w:p>
        </w:tc>
        <w:tc>
          <w:tcPr>
            <w:tcW w:w="250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4000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250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专护</w:t>
            </w:r>
          </w:p>
        </w:tc>
        <w:tc>
          <w:tcPr>
            <w:tcW w:w="2500" w:type="pct"/>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6700</w:t>
            </w:r>
          </w:p>
        </w:tc>
      </w:tr>
    </w:tbl>
    <w:p>
      <w:pPr>
        <w:pStyle w:val="18"/>
        <w:keepNext w:val="0"/>
        <w:keepLines w:val="0"/>
        <w:pageBreakBefore w:val="0"/>
        <w:widowControl/>
        <w:kinsoku/>
        <w:wordWrap/>
        <w:overflowPunct/>
        <w:topLinePunct w:val="0"/>
        <w:autoSpaceDE/>
        <w:autoSpaceDN/>
        <w:bidi w:val="0"/>
        <w:adjustRightInd/>
        <w:snapToGrid/>
        <w:spacing w:line="360" w:lineRule="auto"/>
        <w:ind w:left="0" w:leftChars="0" w:firstLine="618" w:firstLineChars="200"/>
        <w:jc w:val="both"/>
        <w:textAlignment w:val="auto"/>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4）普惠性床位收费汇总</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对以上普惠性床位费、膳食费、护理费进行汇总得出本项目普惠性床位收费标准，三级护理全包价为3200元/月人、二级护理全包价为3700元/月人、一级护理全包价为4300元/月人、特级护理B全包价为5300元/月人、特级护理A全包价为6300元/月人、专护全包价为9000元/月人。</w:t>
      </w: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详情如表4.2.4-9所示：</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表4.2.4-9本项目普惠性床位收费标准</w:t>
      </w:r>
    </w:p>
    <w:tbl>
      <w:tblPr>
        <w:tblStyle w:val="12"/>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795"/>
        <w:gridCol w:w="1630"/>
        <w:gridCol w:w="1630"/>
        <w:gridCol w:w="1630"/>
        <w:gridCol w:w="183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0" w:hRule="atLeast"/>
        </w:trPr>
        <w:tc>
          <w:tcPr>
            <w:tcW w:w="1053" w:type="pct"/>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auto"/>
                <w:kern w:val="0"/>
                <w:sz w:val="28"/>
                <w:szCs w:val="28"/>
                <w:u w:val="none"/>
                <w:lang w:val="en-US" w:eastAsia="zh-CN" w:bidi="ar"/>
              </w:rPr>
            </w:pPr>
            <w:r>
              <w:rPr>
                <w:rFonts w:hint="eastAsia" w:ascii="仿宋" w:hAnsi="仿宋" w:eastAsia="仿宋_GB2312" w:cs="仿宋"/>
                <w:b w:val="0"/>
                <w:i w:val="0"/>
                <w:iCs w:val="0"/>
                <w:color w:val="auto"/>
                <w:kern w:val="0"/>
                <w:sz w:val="32"/>
                <w:szCs w:val="28"/>
                <w:u w:val="none"/>
                <w:lang w:val="en-US" w:eastAsia="zh-CN" w:bidi="ar"/>
              </w:rPr>
              <w:t>项目</w:t>
            </w:r>
          </w:p>
        </w:tc>
        <w:tc>
          <w:tcPr>
            <w:tcW w:w="956" w:type="pct"/>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auto"/>
                <w:kern w:val="0"/>
                <w:sz w:val="28"/>
                <w:szCs w:val="28"/>
                <w:u w:val="none"/>
                <w:lang w:val="en-US" w:eastAsia="zh-CN" w:bidi="ar"/>
              </w:rPr>
            </w:pPr>
            <w:r>
              <w:rPr>
                <w:rFonts w:hint="eastAsia" w:ascii="仿宋" w:hAnsi="仿宋" w:eastAsia="仿宋_GB2312" w:cs="仿宋"/>
                <w:b w:val="0"/>
                <w:i w:val="0"/>
                <w:iCs w:val="0"/>
                <w:color w:val="auto"/>
                <w:kern w:val="0"/>
                <w:sz w:val="32"/>
                <w:szCs w:val="28"/>
                <w:u w:val="none"/>
                <w:lang w:val="en-US" w:eastAsia="zh-CN" w:bidi="ar"/>
              </w:rPr>
              <w:t>床位费（元/月人）</w:t>
            </w:r>
          </w:p>
        </w:tc>
        <w:tc>
          <w:tcPr>
            <w:tcW w:w="956" w:type="pct"/>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auto"/>
                <w:kern w:val="0"/>
                <w:sz w:val="28"/>
                <w:szCs w:val="28"/>
                <w:u w:val="none"/>
                <w:lang w:val="en-US" w:eastAsia="zh-CN" w:bidi="ar"/>
              </w:rPr>
            </w:pPr>
            <w:r>
              <w:rPr>
                <w:rFonts w:hint="eastAsia" w:ascii="仿宋" w:hAnsi="仿宋" w:eastAsia="仿宋_GB2312" w:cs="仿宋"/>
                <w:b w:val="0"/>
                <w:i w:val="0"/>
                <w:iCs w:val="0"/>
                <w:color w:val="auto"/>
                <w:kern w:val="0"/>
                <w:sz w:val="32"/>
                <w:szCs w:val="28"/>
                <w:u w:val="none"/>
                <w:lang w:val="en-US" w:eastAsia="zh-CN" w:bidi="ar"/>
              </w:rPr>
              <w:t>膳食费（元/月人）</w:t>
            </w:r>
          </w:p>
        </w:tc>
        <w:tc>
          <w:tcPr>
            <w:tcW w:w="956" w:type="pct"/>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auto"/>
                <w:kern w:val="0"/>
                <w:sz w:val="28"/>
                <w:szCs w:val="28"/>
                <w:u w:val="none"/>
                <w:lang w:val="en-US" w:eastAsia="zh-CN" w:bidi="ar"/>
              </w:rPr>
            </w:pPr>
            <w:r>
              <w:rPr>
                <w:rFonts w:hint="eastAsia" w:ascii="仿宋" w:hAnsi="仿宋" w:eastAsia="仿宋_GB2312" w:cs="仿宋"/>
                <w:b w:val="0"/>
                <w:i w:val="0"/>
                <w:iCs w:val="0"/>
                <w:color w:val="auto"/>
                <w:kern w:val="0"/>
                <w:sz w:val="32"/>
                <w:szCs w:val="28"/>
                <w:u w:val="none"/>
                <w:lang w:val="en-US" w:eastAsia="zh-CN" w:bidi="ar"/>
              </w:rPr>
              <w:t>护理费（元/月人）</w:t>
            </w:r>
          </w:p>
        </w:tc>
        <w:tc>
          <w:tcPr>
            <w:tcW w:w="1077" w:type="pct"/>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auto"/>
                <w:kern w:val="0"/>
                <w:sz w:val="28"/>
                <w:szCs w:val="28"/>
                <w:u w:val="none"/>
                <w:lang w:val="en-US" w:eastAsia="zh-CN" w:bidi="ar"/>
              </w:rPr>
            </w:pPr>
            <w:r>
              <w:rPr>
                <w:rFonts w:hint="eastAsia" w:ascii="仿宋" w:hAnsi="仿宋" w:eastAsia="仿宋_GB2312" w:cs="仿宋"/>
                <w:b w:val="0"/>
                <w:i w:val="0"/>
                <w:iCs w:val="0"/>
                <w:color w:val="auto"/>
                <w:kern w:val="0"/>
                <w:sz w:val="32"/>
                <w:szCs w:val="28"/>
                <w:u w:val="none"/>
                <w:lang w:val="en-US" w:eastAsia="zh-CN" w:bidi="ar"/>
              </w:rPr>
              <w:t>费用合计（元/月人）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0" w:hRule="atLeast"/>
        </w:trPr>
        <w:tc>
          <w:tcPr>
            <w:tcW w:w="1053" w:type="pct"/>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auto"/>
                <w:kern w:val="0"/>
                <w:sz w:val="28"/>
                <w:szCs w:val="28"/>
                <w:u w:val="none"/>
                <w:lang w:val="en-US" w:eastAsia="zh-CN" w:bidi="ar"/>
              </w:rPr>
            </w:pPr>
            <w:r>
              <w:rPr>
                <w:rFonts w:hint="eastAsia" w:ascii="仿宋" w:hAnsi="仿宋" w:eastAsia="仿宋_GB2312" w:cs="仿宋"/>
                <w:b w:val="0"/>
                <w:i w:val="0"/>
                <w:iCs w:val="0"/>
                <w:color w:val="auto"/>
                <w:kern w:val="0"/>
                <w:sz w:val="32"/>
                <w:szCs w:val="28"/>
                <w:u w:val="none"/>
                <w:lang w:val="en-US" w:eastAsia="zh-CN" w:bidi="ar"/>
              </w:rPr>
              <w:t>三级护理（双人房）</w:t>
            </w:r>
          </w:p>
        </w:tc>
        <w:tc>
          <w:tcPr>
            <w:tcW w:w="956"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r>
              <w:rPr>
                <w:rFonts w:hint="eastAsia" w:ascii="仿宋" w:hAnsi="仿宋" w:eastAsia="仿宋_GB2312" w:cs="仿宋"/>
                <w:b w:val="0"/>
                <w:i w:val="0"/>
                <w:iCs w:val="0"/>
                <w:color w:val="5B9BD5" w:themeColor="accent1"/>
                <w:kern w:val="0"/>
                <w:sz w:val="32"/>
                <w:szCs w:val="28"/>
                <w:u w:val="none"/>
                <w:lang w:val="en-US" w:eastAsia="zh-CN" w:bidi="ar"/>
                <w14:textFill>
                  <w14:solidFill>
                    <w14:schemeClr w14:val="accent1"/>
                  </w14:solidFill>
                </w14:textFill>
              </w:rPr>
              <w:t>1500</w:t>
            </w:r>
          </w:p>
        </w:tc>
        <w:tc>
          <w:tcPr>
            <w:tcW w:w="956"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r>
              <w:rPr>
                <w:rFonts w:hint="eastAsia" w:ascii="仿宋" w:hAnsi="仿宋" w:eastAsia="仿宋_GB2312" w:cs="仿宋"/>
                <w:b w:val="0"/>
                <w:i w:val="0"/>
                <w:iCs w:val="0"/>
                <w:color w:val="5B9BD5" w:themeColor="accent1"/>
                <w:kern w:val="0"/>
                <w:sz w:val="32"/>
                <w:szCs w:val="28"/>
                <w:u w:val="none"/>
                <w:lang w:val="en-US" w:eastAsia="zh-CN" w:bidi="ar"/>
                <w14:textFill>
                  <w14:solidFill>
                    <w14:schemeClr w14:val="accent1"/>
                  </w14:solidFill>
                </w14:textFill>
              </w:rPr>
              <w:t>800</w:t>
            </w:r>
          </w:p>
        </w:tc>
        <w:tc>
          <w:tcPr>
            <w:tcW w:w="956"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r>
              <w:rPr>
                <w:rFonts w:hint="eastAsia" w:ascii="仿宋" w:hAnsi="仿宋" w:eastAsia="仿宋_GB2312" w:cs="仿宋"/>
                <w:b w:val="0"/>
                <w:i w:val="0"/>
                <w:iCs w:val="0"/>
                <w:color w:val="5B9BD5" w:themeColor="accent1"/>
                <w:kern w:val="0"/>
                <w:sz w:val="32"/>
                <w:szCs w:val="28"/>
                <w:u w:val="none"/>
                <w:lang w:val="en-US" w:eastAsia="zh-CN" w:bidi="ar"/>
                <w14:textFill>
                  <w14:solidFill>
                    <w14:schemeClr w14:val="accent1"/>
                  </w14:solidFill>
                </w14:textFill>
              </w:rPr>
              <w:t>900</w:t>
            </w:r>
          </w:p>
        </w:tc>
        <w:tc>
          <w:tcPr>
            <w:tcW w:w="107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r>
              <w:rPr>
                <w:rFonts w:hint="eastAsia" w:ascii="仿宋" w:hAnsi="仿宋" w:eastAsia="仿宋_GB2312" w:cs="仿宋"/>
                <w:b w:val="0"/>
                <w:i w:val="0"/>
                <w:iCs w:val="0"/>
                <w:color w:val="5B9BD5" w:themeColor="accent1"/>
                <w:kern w:val="0"/>
                <w:sz w:val="32"/>
                <w:szCs w:val="28"/>
                <w:u w:val="none"/>
                <w:lang w:val="en-US" w:eastAsia="zh-CN" w:bidi="ar"/>
                <w14:textFill>
                  <w14:solidFill>
                    <w14:schemeClr w14:val="accent1"/>
                  </w14:solidFill>
                </w14:textFill>
              </w:rPr>
              <w:t>3200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5" w:hRule="atLeast"/>
        </w:trPr>
        <w:tc>
          <w:tcPr>
            <w:tcW w:w="105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auto"/>
                <w:kern w:val="0"/>
                <w:sz w:val="28"/>
                <w:szCs w:val="28"/>
                <w:u w:val="none"/>
                <w:lang w:val="en-US" w:eastAsia="zh-CN" w:bidi="ar"/>
              </w:rPr>
            </w:pPr>
            <w:r>
              <w:rPr>
                <w:rFonts w:hint="eastAsia" w:ascii="仿宋" w:hAnsi="仿宋" w:eastAsia="仿宋_GB2312" w:cs="仿宋"/>
                <w:b w:val="0"/>
                <w:i w:val="0"/>
                <w:iCs w:val="0"/>
                <w:color w:val="auto"/>
                <w:kern w:val="0"/>
                <w:sz w:val="32"/>
                <w:szCs w:val="28"/>
                <w:u w:val="none"/>
                <w:lang w:val="en-US" w:eastAsia="zh-CN" w:bidi="ar"/>
              </w:rPr>
              <w:t>二级护理（双人房）</w:t>
            </w:r>
          </w:p>
        </w:tc>
        <w:tc>
          <w:tcPr>
            <w:tcW w:w="956"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p>
        </w:tc>
        <w:tc>
          <w:tcPr>
            <w:tcW w:w="956"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p>
        </w:tc>
        <w:tc>
          <w:tcPr>
            <w:tcW w:w="956"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r>
              <w:rPr>
                <w:rFonts w:hint="eastAsia" w:ascii="仿宋" w:hAnsi="仿宋" w:eastAsia="仿宋_GB2312" w:cs="仿宋"/>
                <w:b w:val="0"/>
                <w:i w:val="0"/>
                <w:iCs w:val="0"/>
                <w:color w:val="5B9BD5" w:themeColor="accent1"/>
                <w:kern w:val="0"/>
                <w:sz w:val="32"/>
                <w:szCs w:val="28"/>
                <w:u w:val="none"/>
                <w:lang w:val="en-US" w:eastAsia="zh-CN" w:bidi="ar"/>
                <w14:textFill>
                  <w14:solidFill>
                    <w14:schemeClr w14:val="accent1"/>
                  </w14:solidFill>
                </w14:textFill>
              </w:rPr>
              <w:t>1400</w:t>
            </w:r>
          </w:p>
        </w:tc>
        <w:tc>
          <w:tcPr>
            <w:tcW w:w="107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r>
              <w:rPr>
                <w:rFonts w:hint="eastAsia" w:ascii="仿宋" w:hAnsi="仿宋" w:eastAsia="仿宋_GB2312" w:cs="仿宋"/>
                <w:b w:val="0"/>
                <w:i w:val="0"/>
                <w:iCs w:val="0"/>
                <w:color w:val="5B9BD5" w:themeColor="accent1"/>
                <w:kern w:val="0"/>
                <w:sz w:val="32"/>
                <w:szCs w:val="28"/>
                <w:u w:val="none"/>
                <w:lang w:val="en-US" w:eastAsia="zh-CN" w:bidi="ar"/>
                <w14:textFill>
                  <w14:solidFill>
                    <w14:schemeClr w14:val="accent1"/>
                  </w14:solidFill>
                </w14:textFill>
              </w:rPr>
              <w:t>3700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5" w:hRule="atLeast"/>
        </w:trPr>
        <w:tc>
          <w:tcPr>
            <w:tcW w:w="105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auto"/>
                <w:kern w:val="0"/>
                <w:sz w:val="28"/>
                <w:szCs w:val="28"/>
                <w:u w:val="none"/>
                <w:lang w:val="en-US" w:eastAsia="zh-CN" w:bidi="ar"/>
              </w:rPr>
            </w:pPr>
            <w:r>
              <w:rPr>
                <w:rFonts w:hint="eastAsia" w:ascii="仿宋" w:hAnsi="仿宋" w:eastAsia="仿宋_GB2312" w:cs="仿宋"/>
                <w:b w:val="0"/>
                <w:i w:val="0"/>
                <w:iCs w:val="0"/>
                <w:color w:val="auto"/>
                <w:kern w:val="0"/>
                <w:sz w:val="32"/>
                <w:szCs w:val="28"/>
                <w:u w:val="none"/>
                <w:lang w:val="en-US" w:eastAsia="zh-CN" w:bidi="ar"/>
              </w:rPr>
              <w:t>一级护理（双人房）</w:t>
            </w:r>
          </w:p>
        </w:tc>
        <w:tc>
          <w:tcPr>
            <w:tcW w:w="956"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p>
        </w:tc>
        <w:tc>
          <w:tcPr>
            <w:tcW w:w="956"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p>
        </w:tc>
        <w:tc>
          <w:tcPr>
            <w:tcW w:w="956"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r>
              <w:rPr>
                <w:rFonts w:hint="eastAsia" w:ascii="仿宋" w:hAnsi="仿宋" w:eastAsia="仿宋_GB2312" w:cs="仿宋"/>
                <w:b w:val="0"/>
                <w:i w:val="0"/>
                <w:iCs w:val="0"/>
                <w:color w:val="5B9BD5" w:themeColor="accent1"/>
                <w:kern w:val="0"/>
                <w:sz w:val="32"/>
                <w:szCs w:val="28"/>
                <w:u w:val="none"/>
                <w:lang w:val="en-US" w:eastAsia="zh-CN" w:bidi="ar"/>
                <w14:textFill>
                  <w14:solidFill>
                    <w14:schemeClr w14:val="accent1"/>
                  </w14:solidFill>
                </w14:textFill>
              </w:rPr>
              <w:t>2000</w:t>
            </w:r>
          </w:p>
        </w:tc>
        <w:tc>
          <w:tcPr>
            <w:tcW w:w="107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r>
              <w:rPr>
                <w:rFonts w:hint="eastAsia" w:ascii="仿宋" w:hAnsi="仿宋" w:eastAsia="仿宋_GB2312" w:cs="仿宋"/>
                <w:b w:val="0"/>
                <w:i w:val="0"/>
                <w:iCs w:val="0"/>
                <w:color w:val="5B9BD5" w:themeColor="accent1"/>
                <w:kern w:val="0"/>
                <w:sz w:val="32"/>
                <w:szCs w:val="28"/>
                <w:u w:val="none"/>
                <w:lang w:val="en-US" w:eastAsia="zh-CN" w:bidi="ar"/>
                <w14:textFill>
                  <w14:solidFill>
                    <w14:schemeClr w14:val="accent1"/>
                  </w14:solidFill>
                </w14:textFill>
              </w:rPr>
              <w:t>4300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105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auto"/>
                <w:kern w:val="0"/>
                <w:sz w:val="28"/>
                <w:szCs w:val="28"/>
                <w:u w:val="none"/>
                <w:lang w:val="en-US" w:eastAsia="zh-CN" w:bidi="ar"/>
              </w:rPr>
            </w:pPr>
            <w:r>
              <w:rPr>
                <w:rFonts w:hint="eastAsia" w:ascii="仿宋" w:hAnsi="仿宋" w:eastAsia="仿宋_GB2312" w:cs="仿宋"/>
                <w:b w:val="0"/>
                <w:i w:val="0"/>
                <w:iCs w:val="0"/>
                <w:color w:val="auto"/>
                <w:kern w:val="0"/>
                <w:sz w:val="32"/>
                <w:szCs w:val="28"/>
                <w:u w:val="none"/>
                <w:lang w:val="en-US" w:eastAsia="zh-CN" w:bidi="ar"/>
              </w:rPr>
              <w:t>特级护理B（双人房）</w:t>
            </w:r>
          </w:p>
        </w:tc>
        <w:tc>
          <w:tcPr>
            <w:tcW w:w="956"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p>
        </w:tc>
        <w:tc>
          <w:tcPr>
            <w:tcW w:w="956"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p>
        </w:tc>
        <w:tc>
          <w:tcPr>
            <w:tcW w:w="956"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r>
              <w:rPr>
                <w:rFonts w:hint="eastAsia" w:ascii="仿宋" w:hAnsi="仿宋" w:eastAsia="仿宋_GB2312" w:cs="仿宋"/>
                <w:b w:val="0"/>
                <w:i w:val="0"/>
                <w:iCs w:val="0"/>
                <w:color w:val="5B9BD5" w:themeColor="accent1"/>
                <w:kern w:val="0"/>
                <w:sz w:val="32"/>
                <w:szCs w:val="28"/>
                <w:u w:val="none"/>
                <w:lang w:val="en-US" w:eastAsia="zh-CN" w:bidi="ar"/>
                <w14:textFill>
                  <w14:solidFill>
                    <w14:schemeClr w14:val="accent1"/>
                  </w14:solidFill>
                </w14:textFill>
              </w:rPr>
              <w:t>3000</w:t>
            </w:r>
          </w:p>
        </w:tc>
        <w:tc>
          <w:tcPr>
            <w:tcW w:w="107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r>
              <w:rPr>
                <w:rFonts w:hint="eastAsia" w:ascii="仿宋" w:hAnsi="仿宋" w:eastAsia="仿宋_GB2312" w:cs="仿宋"/>
                <w:b w:val="0"/>
                <w:i w:val="0"/>
                <w:iCs w:val="0"/>
                <w:color w:val="5B9BD5" w:themeColor="accent1"/>
                <w:kern w:val="0"/>
                <w:sz w:val="32"/>
                <w:szCs w:val="28"/>
                <w:u w:val="none"/>
                <w:lang w:val="en-US" w:eastAsia="zh-CN" w:bidi="ar"/>
                <w14:textFill>
                  <w14:solidFill>
                    <w14:schemeClr w14:val="accent1"/>
                  </w14:solidFill>
                </w14:textFill>
              </w:rPr>
              <w:t>5300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trPr>
        <w:tc>
          <w:tcPr>
            <w:tcW w:w="105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auto"/>
                <w:kern w:val="0"/>
                <w:sz w:val="28"/>
                <w:szCs w:val="28"/>
                <w:u w:val="none"/>
                <w:lang w:val="en-US" w:eastAsia="zh-CN" w:bidi="ar"/>
              </w:rPr>
            </w:pPr>
            <w:r>
              <w:rPr>
                <w:rFonts w:hint="eastAsia" w:ascii="仿宋" w:hAnsi="仿宋" w:eastAsia="仿宋_GB2312" w:cs="仿宋"/>
                <w:b w:val="0"/>
                <w:i w:val="0"/>
                <w:iCs w:val="0"/>
                <w:color w:val="auto"/>
                <w:kern w:val="0"/>
                <w:sz w:val="32"/>
                <w:szCs w:val="28"/>
                <w:u w:val="none"/>
                <w:lang w:val="en-US" w:eastAsia="zh-CN" w:bidi="ar"/>
              </w:rPr>
              <w:t>特级护理A（双人房）</w:t>
            </w:r>
          </w:p>
        </w:tc>
        <w:tc>
          <w:tcPr>
            <w:tcW w:w="956"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p>
        </w:tc>
        <w:tc>
          <w:tcPr>
            <w:tcW w:w="956"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p>
        </w:tc>
        <w:tc>
          <w:tcPr>
            <w:tcW w:w="956"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r>
              <w:rPr>
                <w:rFonts w:hint="eastAsia" w:ascii="仿宋" w:hAnsi="仿宋" w:eastAsia="仿宋_GB2312" w:cs="仿宋"/>
                <w:b w:val="0"/>
                <w:i w:val="0"/>
                <w:iCs w:val="0"/>
                <w:color w:val="5B9BD5" w:themeColor="accent1"/>
                <w:kern w:val="0"/>
                <w:sz w:val="32"/>
                <w:szCs w:val="28"/>
                <w:u w:val="none"/>
                <w:lang w:val="en-US" w:eastAsia="zh-CN" w:bidi="ar"/>
                <w14:textFill>
                  <w14:solidFill>
                    <w14:schemeClr w14:val="accent1"/>
                  </w14:solidFill>
                </w14:textFill>
              </w:rPr>
              <w:t>4000</w:t>
            </w:r>
          </w:p>
        </w:tc>
        <w:tc>
          <w:tcPr>
            <w:tcW w:w="107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r>
              <w:rPr>
                <w:rFonts w:hint="eastAsia" w:ascii="仿宋" w:hAnsi="仿宋" w:eastAsia="仿宋_GB2312" w:cs="仿宋"/>
                <w:b w:val="0"/>
                <w:i w:val="0"/>
                <w:iCs w:val="0"/>
                <w:color w:val="5B9BD5" w:themeColor="accent1"/>
                <w:kern w:val="0"/>
                <w:sz w:val="32"/>
                <w:szCs w:val="28"/>
                <w:u w:val="none"/>
                <w:lang w:val="en-US" w:eastAsia="zh-CN" w:bidi="ar"/>
                <w14:textFill>
                  <w14:solidFill>
                    <w14:schemeClr w14:val="accent1"/>
                  </w14:solidFill>
                </w14:textFill>
              </w:rPr>
              <w:t>6300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5" w:hRule="atLeast"/>
        </w:trPr>
        <w:tc>
          <w:tcPr>
            <w:tcW w:w="1053"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auto"/>
                <w:kern w:val="0"/>
                <w:sz w:val="28"/>
                <w:szCs w:val="28"/>
                <w:u w:val="none"/>
                <w:lang w:val="en-US" w:eastAsia="zh-CN" w:bidi="ar"/>
              </w:rPr>
            </w:pPr>
            <w:r>
              <w:rPr>
                <w:rFonts w:hint="eastAsia" w:ascii="仿宋" w:hAnsi="仿宋" w:eastAsia="仿宋_GB2312" w:cs="仿宋"/>
                <w:b w:val="0"/>
                <w:i w:val="0"/>
                <w:iCs w:val="0"/>
                <w:color w:val="auto"/>
                <w:kern w:val="0"/>
                <w:sz w:val="32"/>
                <w:szCs w:val="28"/>
                <w:u w:val="none"/>
                <w:lang w:val="en-US" w:eastAsia="zh-CN" w:bidi="ar"/>
              </w:rPr>
              <w:t>专护（单人套房）</w:t>
            </w:r>
          </w:p>
        </w:tc>
        <w:tc>
          <w:tcPr>
            <w:tcW w:w="956"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p>
        </w:tc>
        <w:tc>
          <w:tcPr>
            <w:tcW w:w="956" w:type="pct"/>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p>
        </w:tc>
        <w:tc>
          <w:tcPr>
            <w:tcW w:w="956"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r>
              <w:rPr>
                <w:rFonts w:hint="eastAsia" w:ascii="仿宋" w:hAnsi="仿宋" w:eastAsia="仿宋_GB2312" w:cs="仿宋"/>
                <w:b w:val="0"/>
                <w:i w:val="0"/>
                <w:iCs w:val="0"/>
                <w:color w:val="5B9BD5" w:themeColor="accent1"/>
                <w:kern w:val="0"/>
                <w:sz w:val="32"/>
                <w:szCs w:val="28"/>
                <w:u w:val="none"/>
                <w:lang w:val="en-US" w:eastAsia="zh-CN" w:bidi="ar"/>
                <w14:textFill>
                  <w14:solidFill>
                    <w14:schemeClr w14:val="accent1"/>
                  </w14:solidFill>
                </w14:textFill>
              </w:rPr>
              <w:t>6700</w:t>
            </w:r>
          </w:p>
        </w:tc>
        <w:tc>
          <w:tcPr>
            <w:tcW w:w="1077"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top"/>
              <w:rPr>
                <w:rFonts w:hint="eastAsia" w:ascii="仿宋" w:hAnsi="仿宋" w:eastAsia="仿宋" w:cs="仿宋"/>
                <w:i w:val="0"/>
                <w:iCs w:val="0"/>
                <w:color w:val="5B9BD5" w:themeColor="accent1"/>
                <w:kern w:val="0"/>
                <w:sz w:val="28"/>
                <w:szCs w:val="28"/>
                <w:u w:val="none"/>
                <w:lang w:val="en-US" w:eastAsia="zh-CN" w:bidi="ar"/>
                <w14:textFill>
                  <w14:solidFill>
                    <w14:schemeClr w14:val="accent1"/>
                  </w14:solidFill>
                </w14:textFill>
              </w:rPr>
            </w:pPr>
            <w:r>
              <w:rPr>
                <w:rFonts w:hint="eastAsia" w:ascii="仿宋" w:hAnsi="仿宋" w:eastAsia="仿宋_GB2312" w:cs="仿宋"/>
                <w:b w:val="0"/>
                <w:i w:val="0"/>
                <w:iCs w:val="0"/>
                <w:color w:val="5B9BD5" w:themeColor="accent1"/>
                <w:kern w:val="0"/>
                <w:sz w:val="32"/>
                <w:szCs w:val="28"/>
                <w:u w:val="none"/>
                <w:lang w:val="en-US" w:eastAsia="zh-CN" w:bidi="ar"/>
                <w14:textFill>
                  <w14:solidFill>
                    <w14:schemeClr w14:val="accent1"/>
                  </w14:solidFill>
                </w14:textFill>
              </w:rPr>
              <w:t>9000</w:t>
            </w:r>
          </w:p>
        </w:tc>
      </w:tr>
    </w:tbl>
    <w:p>
      <w:pPr>
        <w:pStyle w:val="18"/>
        <w:numPr>
          <w:ilvl w:val="0"/>
          <w:numId w:val="0"/>
        </w:numPr>
        <w:spacing w:line="360" w:lineRule="auto"/>
        <w:ind w:firstLine="618" w:firstLineChars="200"/>
        <w:jc w:val="both"/>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 w:cs="仿宋"/>
          <w:b/>
          <w:bCs/>
          <w:color w:val="auto"/>
          <w:spacing w:val="14"/>
          <w:kern w:val="2"/>
          <w:sz w:val="28"/>
          <w:szCs w:val="28"/>
          <w:lang w:val="en-US" w:eastAsia="zh-CN" w:bidi="ar-SA"/>
        </w:rPr>
        <w:t>七、床位比例</w:t>
      </w:r>
    </w:p>
    <w:p>
      <w:pPr>
        <w:pStyle w:val="18"/>
        <w:numPr>
          <w:ilvl w:val="0"/>
          <w:numId w:val="0"/>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本项目设置260张养老床位，分为两种类型床位：政策性床位、普惠型床位。其中30.77%为政策性床位，共80床，69.23%为普惠性床位，共180床。</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表4.2.4-9政策性床位、普惠型床位床位比例</w:t>
      </w:r>
    </w:p>
    <w:tbl>
      <w:tblPr>
        <w:tblStyle w:val="19"/>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666"/>
        <w:gridCol w:w="2396"/>
        <w:gridCol w:w="325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3" w:hRule="atLeast"/>
        </w:trPr>
        <w:tc>
          <w:tcPr>
            <w:tcW w:w="1602" w:type="pct"/>
            <w:tcBorders>
              <w:top w:val="single" w:color="000000" w:sz="6" w:space="0"/>
              <w:left w:val="single" w:color="000000" w:sz="6"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床位类型</w:t>
            </w:r>
          </w:p>
        </w:tc>
        <w:tc>
          <w:tcPr>
            <w:tcW w:w="1440" w:type="pct"/>
            <w:tcBorders>
              <w:top w:val="single" w:color="000000" w:sz="6"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床位数量（张）</w:t>
            </w:r>
          </w:p>
        </w:tc>
        <w:tc>
          <w:tcPr>
            <w:tcW w:w="1957" w:type="pct"/>
            <w:tcBorders>
              <w:top w:val="single" w:color="000000" w:sz="6" w:space="0"/>
              <w:right w:val="single" w:color="000000" w:sz="6"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占比</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1602" w:type="pct"/>
            <w:tcBorders>
              <w:left w:val="single" w:color="000000" w:sz="6"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政策性床位</w:t>
            </w:r>
          </w:p>
        </w:tc>
        <w:tc>
          <w:tcPr>
            <w:tcW w:w="1440" w:type="pct"/>
            <w:noWrap w:val="0"/>
            <w:vAlign w:val="top"/>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80</w:t>
            </w:r>
          </w:p>
        </w:tc>
        <w:tc>
          <w:tcPr>
            <w:tcW w:w="1957" w:type="pct"/>
            <w:tcBorders>
              <w:right w:val="single" w:color="000000" w:sz="6"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30.77%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9" w:hRule="atLeast"/>
        </w:trPr>
        <w:tc>
          <w:tcPr>
            <w:tcW w:w="1602" w:type="pct"/>
            <w:tcBorders>
              <w:left w:val="single" w:color="000000" w:sz="6"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普惠性床位</w:t>
            </w:r>
          </w:p>
        </w:tc>
        <w:tc>
          <w:tcPr>
            <w:tcW w:w="1440" w:type="pct"/>
            <w:noWrap w:val="0"/>
            <w:vAlign w:val="top"/>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180</w:t>
            </w:r>
          </w:p>
        </w:tc>
        <w:tc>
          <w:tcPr>
            <w:tcW w:w="1957" w:type="pct"/>
            <w:tcBorders>
              <w:right w:val="single" w:color="000000" w:sz="6"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69.23%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84" w:hRule="atLeast"/>
        </w:trPr>
        <w:tc>
          <w:tcPr>
            <w:tcW w:w="1602" w:type="pct"/>
            <w:tcBorders>
              <w:left w:val="single" w:color="000000" w:sz="6" w:space="0"/>
              <w:bottom w:val="single" w:color="000000" w:sz="6"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合计</w:t>
            </w:r>
          </w:p>
        </w:tc>
        <w:tc>
          <w:tcPr>
            <w:tcW w:w="1440" w:type="pct"/>
            <w:tcBorders>
              <w:bottom w:val="single" w:color="000000" w:sz="6" w:space="0"/>
            </w:tcBorders>
            <w:noWrap w:val="0"/>
            <w:vAlign w:val="top"/>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260</w:t>
            </w:r>
          </w:p>
        </w:tc>
        <w:tc>
          <w:tcPr>
            <w:tcW w:w="1957" w:type="pct"/>
            <w:tcBorders>
              <w:bottom w:val="single" w:color="000000" w:sz="6" w:space="0"/>
              <w:right w:val="single" w:color="000000" w:sz="6"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100%</w:t>
            </w:r>
          </w:p>
        </w:tc>
      </w:tr>
    </w:tbl>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八、入住率预估</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参考其他运营中的同类型养老机构入住率，结合仁化县当地实际情况，对本项目床位入住率预估如下：运营第一年为20%，第二年为40%，第三年为60%，第四年为80%，第五至第十五年为95%。</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表4.2.4-10本项目床位入住率预估</w:t>
      </w:r>
    </w:p>
    <w:tbl>
      <w:tblPr>
        <w:tblStyle w:val="19"/>
        <w:tblW w:w="5001"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51"/>
        <w:gridCol w:w="1383"/>
        <w:gridCol w:w="2084"/>
        <w:gridCol w:w="2084"/>
        <w:gridCol w:w="16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6" w:hRule="atLeast"/>
          <w:jc w:val="center"/>
        </w:trPr>
        <w:tc>
          <w:tcPr>
            <w:tcW w:w="1155" w:type="dxa"/>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运营年限</w:t>
            </w:r>
          </w:p>
        </w:tc>
        <w:tc>
          <w:tcPr>
            <w:tcW w:w="1388" w:type="dxa"/>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当年入住率</w:t>
            </w:r>
          </w:p>
        </w:tc>
        <w:tc>
          <w:tcPr>
            <w:tcW w:w="2089" w:type="dxa"/>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政策性床位（个）（占30.77%）</w:t>
            </w:r>
          </w:p>
        </w:tc>
        <w:tc>
          <w:tcPr>
            <w:tcW w:w="2089" w:type="dxa"/>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普惠性床位（个）（占69.23%）</w:t>
            </w:r>
          </w:p>
        </w:tc>
        <w:tc>
          <w:tcPr>
            <w:tcW w:w="1618" w:type="dxa"/>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入住床位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jc w:val="center"/>
        </w:trPr>
        <w:tc>
          <w:tcPr>
            <w:tcW w:w="1155" w:type="dxa"/>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1年</w:t>
            </w:r>
          </w:p>
        </w:tc>
        <w:tc>
          <w:tcPr>
            <w:tcW w:w="1388" w:type="dxa"/>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20%</w:t>
            </w:r>
          </w:p>
        </w:tc>
        <w:tc>
          <w:tcPr>
            <w:tcW w:w="2089" w:type="dxa"/>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16</w:t>
            </w:r>
          </w:p>
        </w:tc>
        <w:tc>
          <w:tcPr>
            <w:tcW w:w="2089" w:type="dxa"/>
            <w:noWrap w:val="0"/>
            <w:vAlign w:val="top"/>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36</w:t>
            </w:r>
          </w:p>
        </w:tc>
        <w:tc>
          <w:tcPr>
            <w:tcW w:w="1618" w:type="dxa"/>
            <w:noWrap w:val="0"/>
            <w:vAlign w:val="top"/>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52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jc w:val="center"/>
        </w:trPr>
        <w:tc>
          <w:tcPr>
            <w:tcW w:w="1155" w:type="dxa"/>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2年</w:t>
            </w:r>
          </w:p>
        </w:tc>
        <w:tc>
          <w:tcPr>
            <w:tcW w:w="1388" w:type="dxa"/>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40%</w:t>
            </w:r>
          </w:p>
        </w:tc>
        <w:tc>
          <w:tcPr>
            <w:tcW w:w="2089" w:type="dxa"/>
            <w:noWrap w:val="0"/>
            <w:vAlign w:val="top"/>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32</w:t>
            </w:r>
          </w:p>
        </w:tc>
        <w:tc>
          <w:tcPr>
            <w:tcW w:w="2089" w:type="dxa"/>
            <w:noWrap w:val="0"/>
            <w:vAlign w:val="top"/>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72</w:t>
            </w:r>
          </w:p>
        </w:tc>
        <w:tc>
          <w:tcPr>
            <w:tcW w:w="1618" w:type="dxa"/>
            <w:noWrap w:val="0"/>
            <w:vAlign w:val="top"/>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104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72" w:hRule="atLeast"/>
          <w:jc w:val="center"/>
        </w:trPr>
        <w:tc>
          <w:tcPr>
            <w:tcW w:w="1155" w:type="dxa"/>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3年</w:t>
            </w:r>
          </w:p>
        </w:tc>
        <w:tc>
          <w:tcPr>
            <w:tcW w:w="1388" w:type="dxa"/>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60%</w:t>
            </w:r>
          </w:p>
        </w:tc>
        <w:tc>
          <w:tcPr>
            <w:tcW w:w="2089" w:type="dxa"/>
            <w:noWrap w:val="0"/>
            <w:vAlign w:val="top"/>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48</w:t>
            </w:r>
          </w:p>
        </w:tc>
        <w:tc>
          <w:tcPr>
            <w:tcW w:w="2089" w:type="dxa"/>
            <w:noWrap w:val="0"/>
            <w:vAlign w:val="top"/>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108</w:t>
            </w:r>
          </w:p>
        </w:tc>
        <w:tc>
          <w:tcPr>
            <w:tcW w:w="1618" w:type="dxa"/>
            <w:noWrap w:val="0"/>
            <w:vAlign w:val="top"/>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156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jc w:val="center"/>
        </w:trPr>
        <w:tc>
          <w:tcPr>
            <w:tcW w:w="1155" w:type="dxa"/>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4年</w:t>
            </w:r>
          </w:p>
        </w:tc>
        <w:tc>
          <w:tcPr>
            <w:tcW w:w="1388" w:type="dxa"/>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80%</w:t>
            </w:r>
          </w:p>
        </w:tc>
        <w:tc>
          <w:tcPr>
            <w:tcW w:w="2089" w:type="dxa"/>
            <w:noWrap w:val="0"/>
            <w:vAlign w:val="top"/>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64</w:t>
            </w:r>
          </w:p>
        </w:tc>
        <w:tc>
          <w:tcPr>
            <w:tcW w:w="2089" w:type="dxa"/>
            <w:noWrap w:val="0"/>
            <w:vAlign w:val="top"/>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144</w:t>
            </w:r>
          </w:p>
        </w:tc>
        <w:tc>
          <w:tcPr>
            <w:tcW w:w="1618" w:type="dxa"/>
            <w:noWrap w:val="0"/>
            <w:vAlign w:val="top"/>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208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jc w:val="center"/>
        </w:trPr>
        <w:tc>
          <w:tcPr>
            <w:tcW w:w="1155" w:type="dxa"/>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5～15年</w:t>
            </w:r>
          </w:p>
        </w:tc>
        <w:tc>
          <w:tcPr>
            <w:tcW w:w="1388" w:type="dxa"/>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95%</w:t>
            </w:r>
          </w:p>
        </w:tc>
        <w:tc>
          <w:tcPr>
            <w:tcW w:w="2089" w:type="dxa"/>
            <w:noWrap w:val="0"/>
            <w:vAlign w:val="top"/>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76</w:t>
            </w:r>
          </w:p>
        </w:tc>
        <w:tc>
          <w:tcPr>
            <w:tcW w:w="2089" w:type="dxa"/>
            <w:noWrap w:val="0"/>
            <w:vAlign w:val="top"/>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171</w:t>
            </w:r>
          </w:p>
        </w:tc>
        <w:tc>
          <w:tcPr>
            <w:tcW w:w="1618" w:type="dxa"/>
            <w:noWrap w:val="0"/>
            <w:vAlign w:val="top"/>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iCs w:val="0"/>
                <w:color w:val="auto"/>
                <w:kern w:val="0"/>
                <w:sz w:val="32"/>
                <w:szCs w:val="28"/>
                <w:u w:val="none"/>
                <w:lang w:val="en-US" w:eastAsia="zh-CN" w:bidi="ar"/>
              </w:rPr>
              <w:t>247</w:t>
            </w:r>
          </w:p>
        </w:tc>
      </w:tr>
    </w:tbl>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85" w:name="_Toc9128"/>
      <w:r>
        <w:rPr>
          <w:rFonts w:hint="eastAsia" w:ascii="仿宋" w:hAnsi="仿宋" w:eastAsia="仿宋" w:cs="Times New Roman"/>
          <w:b/>
          <w:color w:val="auto"/>
          <w:szCs w:val="28"/>
          <w:lang w:val="en-US" w:eastAsia="zh-CN"/>
        </w:rPr>
        <w:t>4.2.5居民消费价格增长率预估</w:t>
      </w:r>
      <w:bookmarkEnd w:id="85"/>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根据《2023韶关统计年鉴》）韶关市区价格指数（见下图），统计最近10年（2014年—2023年）的韶关市区居民消费价格总指数CPI同比增长率，得到近10年CPI增长率的平均值为1.58%，详见下表：</w:t>
      </w:r>
    </w:p>
    <w:p>
      <w:pPr>
        <w:pStyle w:val="18"/>
        <w:spacing w:line="360" w:lineRule="auto"/>
        <w:ind w:left="0" w:leftChars="0" w:firstLine="0" w:firstLineChars="0"/>
        <w:jc w:val="center"/>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表4.2.5-1韶关市区居民消费价格总指数CPI</w:t>
      </w: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drawing>
          <wp:inline distT="0" distB="0" distL="114300" distR="114300">
            <wp:extent cx="5271770" cy="2269490"/>
            <wp:effectExtent l="0" t="0" r="5080" b="16510"/>
            <wp:docPr id="19" name="图片 15"/>
            <wp:cNvGraphicFramePr/>
            <a:graphic xmlns:a="http://schemas.openxmlformats.org/drawingml/2006/main">
              <a:graphicData uri="http://schemas.openxmlformats.org/drawingml/2006/picture">
                <pic:pic xmlns:pic="http://schemas.openxmlformats.org/drawingml/2006/picture">
                  <pic:nvPicPr>
                    <pic:cNvPr id="19" name="图片 15"/>
                    <pic:cNvPicPr/>
                  </pic:nvPicPr>
                  <pic:blipFill>
                    <a:blip r:embed="rId33"/>
                    <a:stretch>
                      <a:fillRect/>
                    </a:stretch>
                  </pic:blipFill>
                  <pic:spPr>
                    <a:xfrm>
                      <a:off x="0" y="0"/>
                      <a:ext cx="5271770" cy="2269490"/>
                    </a:xfrm>
                    <a:prstGeom prst="rect">
                      <a:avLst/>
                    </a:prstGeom>
                    <a:noFill/>
                    <a:ln>
                      <a:noFill/>
                    </a:ln>
                  </pic:spPr>
                </pic:pic>
              </a:graphicData>
            </a:graphic>
          </wp:inline>
        </w:drawing>
      </w:r>
    </w:p>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表4.2.5-2韶关市区居民消费价格总指数（CPI）同比增长率（2014年—2023年）</w:t>
      </w:r>
    </w:p>
    <w:tbl>
      <w:tblPr>
        <w:tblStyle w:val="19"/>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027"/>
        <w:gridCol w:w="1709"/>
        <w:gridCol w:w="3245"/>
        <w:gridCol w:w="232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61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p>
        </w:tc>
        <w:tc>
          <w:tcPr>
            <w:tcW w:w="102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年份</w:t>
            </w:r>
          </w:p>
        </w:tc>
        <w:tc>
          <w:tcPr>
            <w:tcW w:w="1952"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居民消费价格指数总指数（CPI）</w:t>
            </w:r>
          </w:p>
        </w:tc>
        <w:tc>
          <w:tcPr>
            <w:tcW w:w="1400"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CPI增长率（%）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61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w:t>
            </w:r>
          </w:p>
        </w:tc>
        <w:tc>
          <w:tcPr>
            <w:tcW w:w="102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2014</w:t>
            </w:r>
          </w:p>
        </w:tc>
        <w:tc>
          <w:tcPr>
            <w:tcW w:w="1952"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102.10</w:t>
            </w:r>
          </w:p>
        </w:tc>
        <w:tc>
          <w:tcPr>
            <w:tcW w:w="1400"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61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w:t>
            </w:r>
          </w:p>
        </w:tc>
        <w:tc>
          <w:tcPr>
            <w:tcW w:w="102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2015</w:t>
            </w:r>
          </w:p>
        </w:tc>
        <w:tc>
          <w:tcPr>
            <w:tcW w:w="1952"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101.20</w:t>
            </w:r>
          </w:p>
        </w:tc>
        <w:tc>
          <w:tcPr>
            <w:tcW w:w="1400"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61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w:t>
            </w:r>
          </w:p>
        </w:tc>
        <w:tc>
          <w:tcPr>
            <w:tcW w:w="102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2016</w:t>
            </w:r>
          </w:p>
        </w:tc>
        <w:tc>
          <w:tcPr>
            <w:tcW w:w="1952"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101.90</w:t>
            </w:r>
          </w:p>
        </w:tc>
        <w:tc>
          <w:tcPr>
            <w:tcW w:w="1400"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61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w:t>
            </w:r>
          </w:p>
        </w:tc>
        <w:tc>
          <w:tcPr>
            <w:tcW w:w="102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2017</w:t>
            </w:r>
          </w:p>
        </w:tc>
        <w:tc>
          <w:tcPr>
            <w:tcW w:w="1952"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101.60</w:t>
            </w:r>
          </w:p>
        </w:tc>
        <w:tc>
          <w:tcPr>
            <w:tcW w:w="1400"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61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w:t>
            </w:r>
          </w:p>
        </w:tc>
        <w:tc>
          <w:tcPr>
            <w:tcW w:w="102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2018</w:t>
            </w:r>
          </w:p>
        </w:tc>
        <w:tc>
          <w:tcPr>
            <w:tcW w:w="1952"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102.10</w:t>
            </w:r>
          </w:p>
        </w:tc>
        <w:tc>
          <w:tcPr>
            <w:tcW w:w="1400"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61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w:t>
            </w:r>
          </w:p>
        </w:tc>
        <w:tc>
          <w:tcPr>
            <w:tcW w:w="102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2019</w:t>
            </w:r>
          </w:p>
        </w:tc>
        <w:tc>
          <w:tcPr>
            <w:tcW w:w="1952"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102.90</w:t>
            </w:r>
          </w:p>
        </w:tc>
        <w:tc>
          <w:tcPr>
            <w:tcW w:w="1400"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61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7</w:t>
            </w:r>
          </w:p>
        </w:tc>
        <w:tc>
          <w:tcPr>
            <w:tcW w:w="102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2020</w:t>
            </w:r>
          </w:p>
        </w:tc>
        <w:tc>
          <w:tcPr>
            <w:tcW w:w="1952"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102.20</w:t>
            </w:r>
          </w:p>
        </w:tc>
        <w:tc>
          <w:tcPr>
            <w:tcW w:w="1400"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61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w:t>
            </w:r>
          </w:p>
        </w:tc>
        <w:tc>
          <w:tcPr>
            <w:tcW w:w="102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2021</w:t>
            </w:r>
          </w:p>
        </w:tc>
        <w:tc>
          <w:tcPr>
            <w:tcW w:w="1952"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100.20</w:t>
            </w:r>
          </w:p>
        </w:tc>
        <w:tc>
          <w:tcPr>
            <w:tcW w:w="1400"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0.2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61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w:t>
            </w:r>
          </w:p>
        </w:tc>
        <w:tc>
          <w:tcPr>
            <w:tcW w:w="102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2022</w:t>
            </w:r>
          </w:p>
        </w:tc>
        <w:tc>
          <w:tcPr>
            <w:tcW w:w="1952"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101.90</w:t>
            </w:r>
          </w:p>
        </w:tc>
        <w:tc>
          <w:tcPr>
            <w:tcW w:w="1400"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61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w:t>
            </w:r>
          </w:p>
        </w:tc>
        <w:tc>
          <w:tcPr>
            <w:tcW w:w="1028"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2023</w:t>
            </w:r>
          </w:p>
        </w:tc>
        <w:tc>
          <w:tcPr>
            <w:tcW w:w="1952"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99.70</w:t>
            </w:r>
          </w:p>
        </w:tc>
        <w:tc>
          <w:tcPr>
            <w:tcW w:w="1400"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1646" w:type="pct"/>
            <w:gridSpan w:val="2"/>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平均值</w:t>
            </w:r>
          </w:p>
        </w:tc>
        <w:tc>
          <w:tcPr>
            <w:tcW w:w="1952"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101.58</w:t>
            </w:r>
          </w:p>
        </w:tc>
        <w:tc>
          <w:tcPr>
            <w:tcW w:w="1400" w:type="pct"/>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1.58</w:t>
            </w:r>
          </w:p>
        </w:tc>
      </w:tr>
    </w:tbl>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韶关市区居民消费价格总指数CPI近10年的平均增长率1.58%，本项目的人工成本、膳食成本、外购燃动力成本、维修费、管理费等成本每年增长率暂设定为1.58%。本项目的租金增长率、政策性床位托养费、普惠性床位养老服务费收入增长率暂设定为每三年增长5%（（1+1.58%）3-1=5%）。</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86" w:name="_Toc11273"/>
      <w:r>
        <w:rPr>
          <w:rFonts w:hint="eastAsia" w:ascii="仿宋" w:hAnsi="仿宋" w:eastAsia="仿宋" w:cs="Times New Roman"/>
          <w:b/>
          <w:color w:val="auto"/>
          <w:szCs w:val="28"/>
          <w:lang w:val="en-US" w:eastAsia="zh-CN"/>
        </w:rPr>
        <w:t>4.2.6政策性床位托养服务费预估</w:t>
      </w:r>
      <w:bookmarkEnd w:id="86"/>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根据《仁化县2024年国民经济和社会发展统计公报》：</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全年仁化县实现地区生产总值121.29亿元，比上年增长2.2％。全年人均地区生产总值65173元，增长2.0%。</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2024年末，全县户籍人口数23.90万人，比上年末减少0.14万人，其中城镇人口8.84万人，占总人口比重为37%；乡村人口15.06万人，占总人口比重为63%。</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2024年末，全县常住人口18.64万人，比上年末增加0.05万人。其中城镇常住人口8.21万人，占常住人口比重（常住人口城镇化率）44.03%，比上年末提高0.61个百分点。</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根据4.2.3章节统计得出本项目社会资本方可收取的政策性床位托养费（包括床位费、膳食费、集中照料护理费等）为：城市特困全失能人员2223元/月床，农村特困全失能人员1942.2元/月床。</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参考《仁化县2024年国民经济和社会发展统计公报》2024年仁化的人口比例（城镇人口占37%，农业人口占63%）计算仁化县城市特困全失能人员、农村特困全失能人员的政策性床位托养费收入，见下表所示。</w:t>
      </w:r>
    </w:p>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表4.2.6-1本项目政策性床位托养服务费明细（单位：元/月人）</w:t>
      </w:r>
    </w:p>
    <w:tbl>
      <w:tblPr>
        <w:tblStyle w:val="19"/>
        <w:tblW w:w="852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784"/>
        <w:gridCol w:w="3017"/>
        <w:gridCol w:w="272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41" w:hRule="atLeast"/>
        </w:trPr>
        <w:tc>
          <w:tcPr>
            <w:tcW w:w="2784" w:type="dxa"/>
            <w:tcBorders>
              <w:tl2br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p>
        </w:tc>
        <w:tc>
          <w:tcPr>
            <w:tcW w:w="3017" w:type="dxa"/>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社会资本方可收取的政策性床位托养费</w:t>
            </w:r>
          </w:p>
        </w:tc>
        <w:tc>
          <w:tcPr>
            <w:tcW w:w="2722" w:type="dxa"/>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人口占比</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2784" w:type="dxa"/>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城市特困全失能人员</w:t>
            </w:r>
          </w:p>
        </w:tc>
        <w:tc>
          <w:tcPr>
            <w:tcW w:w="3017" w:type="dxa"/>
            <w:noWrap w:val="0"/>
            <w:vAlign w:val="top"/>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2223</w:t>
            </w:r>
          </w:p>
        </w:tc>
        <w:tc>
          <w:tcPr>
            <w:tcW w:w="2722" w:type="dxa"/>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6" w:hRule="atLeast"/>
        </w:trPr>
        <w:tc>
          <w:tcPr>
            <w:tcW w:w="2784" w:type="dxa"/>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农村特困全失能人员</w:t>
            </w:r>
          </w:p>
        </w:tc>
        <w:tc>
          <w:tcPr>
            <w:tcW w:w="3017" w:type="dxa"/>
            <w:noWrap w:val="0"/>
            <w:vAlign w:val="top"/>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1942.2</w:t>
            </w:r>
          </w:p>
        </w:tc>
        <w:tc>
          <w:tcPr>
            <w:tcW w:w="2722" w:type="dxa"/>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63%</w:t>
            </w:r>
          </w:p>
        </w:tc>
      </w:tr>
    </w:tbl>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参考仁化县历年CPI增长水平，预测本项目政策性床位托养费每三年增长5%，计算得出各年政策性床位托养服务费预估表，如下表所示。</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表4.2.6-2政策性床位托养服务费预估表</w:t>
      </w:r>
    </w:p>
    <w:tbl>
      <w:tblPr>
        <w:tblStyle w:val="12"/>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46"/>
        <w:gridCol w:w="749"/>
        <w:gridCol w:w="720"/>
        <w:gridCol w:w="897"/>
        <w:gridCol w:w="897"/>
        <w:gridCol w:w="984"/>
        <w:gridCol w:w="778"/>
        <w:gridCol w:w="984"/>
        <w:gridCol w:w="880"/>
        <w:gridCol w:w="9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379" w:type="pct"/>
            <w:tcBorders>
              <w:top w:val="single" w:color="000000" w:sz="4" w:space="0"/>
              <w:left w:val="single" w:color="000000" w:sz="4" w:space="0"/>
              <w:bottom w:val="nil"/>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运营年限</w:t>
            </w:r>
          </w:p>
        </w:tc>
        <w:tc>
          <w:tcPr>
            <w:tcW w:w="439" w:type="pct"/>
            <w:tcBorders>
              <w:top w:val="single" w:color="000000" w:sz="4" w:space="0"/>
              <w:left w:val="single" w:color="000000" w:sz="4" w:space="0"/>
              <w:bottom w:val="nil"/>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当年入住率</w:t>
            </w:r>
          </w:p>
        </w:tc>
        <w:tc>
          <w:tcPr>
            <w:tcW w:w="422" w:type="pct"/>
            <w:tcBorders>
              <w:top w:val="single" w:color="000000" w:sz="4" w:space="0"/>
              <w:left w:val="single" w:color="000000" w:sz="4" w:space="0"/>
              <w:bottom w:val="nil"/>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当年入住床位（个）</w:t>
            </w:r>
          </w:p>
        </w:tc>
        <w:tc>
          <w:tcPr>
            <w:tcW w:w="526" w:type="pct"/>
            <w:tcBorders>
              <w:top w:val="single" w:color="000000" w:sz="4" w:space="0"/>
              <w:left w:val="single" w:color="000000" w:sz="4" w:space="0"/>
              <w:bottom w:val="nil"/>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当年入住政策床位（个）（城市特困全失能人员）</w:t>
            </w:r>
          </w:p>
        </w:tc>
        <w:tc>
          <w:tcPr>
            <w:tcW w:w="526" w:type="pct"/>
            <w:tcBorders>
              <w:top w:val="single" w:color="000000" w:sz="4" w:space="0"/>
              <w:left w:val="single" w:color="000000" w:sz="4" w:space="0"/>
              <w:bottom w:val="nil"/>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当年入住政策床位（个）（农村特困全失能人员）</w:t>
            </w:r>
          </w:p>
        </w:tc>
        <w:tc>
          <w:tcPr>
            <w:tcW w:w="577" w:type="pct"/>
            <w:tcBorders>
              <w:top w:val="single" w:color="000000" w:sz="4" w:space="0"/>
              <w:left w:val="single" w:color="000000" w:sz="4" w:space="0"/>
              <w:bottom w:val="nil"/>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城市特困全失能人员托养费（元/月）</w:t>
            </w:r>
          </w:p>
        </w:tc>
        <w:tc>
          <w:tcPr>
            <w:tcW w:w="456" w:type="pct"/>
            <w:tcBorders>
              <w:top w:val="single" w:color="000000" w:sz="4" w:space="0"/>
              <w:left w:val="single" w:color="000000" w:sz="4" w:space="0"/>
              <w:bottom w:val="nil"/>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城市特困全失能人员托养费（万元/年）</w:t>
            </w:r>
          </w:p>
        </w:tc>
        <w:tc>
          <w:tcPr>
            <w:tcW w:w="577" w:type="pct"/>
            <w:tcBorders>
              <w:top w:val="single" w:color="000000" w:sz="4" w:space="0"/>
              <w:left w:val="single" w:color="000000" w:sz="4" w:space="0"/>
              <w:bottom w:val="nil"/>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农村特困全失能人员托养（万元/月）</w:t>
            </w:r>
          </w:p>
        </w:tc>
        <w:tc>
          <w:tcPr>
            <w:tcW w:w="516" w:type="pct"/>
            <w:tcBorders>
              <w:top w:val="single" w:color="000000" w:sz="4" w:space="0"/>
              <w:left w:val="single" w:color="000000" w:sz="4" w:space="0"/>
              <w:bottom w:val="nil"/>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农村特困全失能人员托养（万元/年）</w:t>
            </w:r>
          </w:p>
        </w:tc>
        <w:tc>
          <w:tcPr>
            <w:tcW w:w="576" w:type="pct"/>
            <w:tcBorders>
              <w:top w:val="single" w:color="000000" w:sz="4" w:space="0"/>
              <w:left w:val="single" w:color="000000" w:sz="4" w:space="0"/>
              <w:bottom w:val="nil"/>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政策性床位托养费合计（万元/年）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0" w:hRule="atLeast"/>
        </w:trPr>
        <w:tc>
          <w:tcPr>
            <w:tcW w:w="37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w:t>
            </w:r>
          </w:p>
        </w:tc>
        <w:tc>
          <w:tcPr>
            <w:tcW w:w="43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0.2</w:t>
            </w:r>
          </w:p>
        </w:tc>
        <w:tc>
          <w:tcPr>
            <w:tcW w:w="422"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52</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6</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10</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2223.00</w:t>
            </w:r>
          </w:p>
        </w:tc>
        <w:tc>
          <w:tcPr>
            <w:tcW w:w="45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16.01 </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1773.90 </w:t>
            </w:r>
          </w:p>
        </w:tc>
        <w:tc>
          <w:tcPr>
            <w:tcW w:w="51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21.29 </w:t>
            </w:r>
          </w:p>
        </w:tc>
        <w:tc>
          <w:tcPr>
            <w:tcW w:w="57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37.29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w:t>
            </w:r>
          </w:p>
        </w:tc>
        <w:tc>
          <w:tcPr>
            <w:tcW w:w="43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0.4</w:t>
            </w:r>
          </w:p>
        </w:tc>
        <w:tc>
          <w:tcPr>
            <w:tcW w:w="422"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104</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11</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21</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2223.00 </w:t>
            </w:r>
          </w:p>
        </w:tc>
        <w:tc>
          <w:tcPr>
            <w:tcW w:w="45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29.34 </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1773.90 </w:t>
            </w:r>
          </w:p>
        </w:tc>
        <w:tc>
          <w:tcPr>
            <w:tcW w:w="51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44.70 </w:t>
            </w:r>
          </w:p>
        </w:tc>
        <w:tc>
          <w:tcPr>
            <w:tcW w:w="57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74.05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w:t>
            </w:r>
          </w:p>
        </w:tc>
        <w:tc>
          <w:tcPr>
            <w:tcW w:w="43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0.6</w:t>
            </w:r>
          </w:p>
        </w:tc>
        <w:tc>
          <w:tcPr>
            <w:tcW w:w="422"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156</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17</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31</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2223.00 </w:t>
            </w:r>
          </w:p>
        </w:tc>
        <w:tc>
          <w:tcPr>
            <w:tcW w:w="45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45.35 </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1773.90 </w:t>
            </w:r>
          </w:p>
        </w:tc>
        <w:tc>
          <w:tcPr>
            <w:tcW w:w="51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65.99 </w:t>
            </w:r>
          </w:p>
        </w:tc>
        <w:tc>
          <w:tcPr>
            <w:tcW w:w="57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111.34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4</w:t>
            </w:r>
          </w:p>
        </w:tc>
        <w:tc>
          <w:tcPr>
            <w:tcW w:w="43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0.8</w:t>
            </w:r>
          </w:p>
        </w:tc>
        <w:tc>
          <w:tcPr>
            <w:tcW w:w="422"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208</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23</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41</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2334.15 </w:t>
            </w:r>
          </w:p>
        </w:tc>
        <w:tc>
          <w:tcPr>
            <w:tcW w:w="45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64.42 </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1862.60 </w:t>
            </w:r>
          </w:p>
        </w:tc>
        <w:tc>
          <w:tcPr>
            <w:tcW w:w="51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91.64 </w:t>
            </w:r>
          </w:p>
        </w:tc>
        <w:tc>
          <w:tcPr>
            <w:tcW w:w="57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156.06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5</w:t>
            </w:r>
          </w:p>
        </w:tc>
        <w:tc>
          <w:tcPr>
            <w:tcW w:w="43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0.95</w:t>
            </w:r>
          </w:p>
        </w:tc>
        <w:tc>
          <w:tcPr>
            <w:tcW w:w="422"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247</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28</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48</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2334.15 </w:t>
            </w:r>
          </w:p>
        </w:tc>
        <w:tc>
          <w:tcPr>
            <w:tcW w:w="45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78.43 </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1862.60 </w:t>
            </w:r>
          </w:p>
        </w:tc>
        <w:tc>
          <w:tcPr>
            <w:tcW w:w="51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107.29 </w:t>
            </w:r>
          </w:p>
        </w:tc>
        <w:tc>
          <w:tcPr>
            <w:tcW w:w="57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185.71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6</w:t>
            </w:r>
          </w:p>
        </w:tc>
        <w:tc>
          <w:tcPr>
            <w:tcW w:w="43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0.95</w:t>
            </w:r>
          </w:p>
        </w:tc>
        <w:tc>
          <w:tcPr>
            <w:tcW w:w="422"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247</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28</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48</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2334.15 </w:t>
            </w:r>
          </w:p>
        </w:tc>
        <w:tc>
          <w:tcPr>
            <w:tcW w:w="45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78.43 </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1862.60 </w:t>
            </w:r>
          </w:p>
        </w:tc>
        <w:tc>
          <w:tcPr>
            <w:tcW w:w="51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107.29 </w:t>
            </w:r>
          </w:p>
        </w:tc>
        <w:tc>
          <w:tcPr>
            <w:tcW w:w="57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185.71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7</w:t>
            </w:r>
          </w:p>
        </w:tc>
        <w:tc>
          <w:tcPr>
            <w:tcW w:w="43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0.95</w:t>
            </w:r>
          </w:p>
        </w:tc>
        <w:tc>
          <w:tcPr>
            <w:tcW w:w="422"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247</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28</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48</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2450.86 </w:t>
            </w:r>
          </w:p>
        </w:tc>
        <w:tc>
          <w:tcPr>
            <w:tcW w:w="45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82.35 </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1955.72 </w:t>
            </w:r>
          </w:p>
        </w:tc>
        <w:tc>
          <w:tcPr>
            <w:tcW w:w="51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112.65 </w:t>
            </w:r>
          </w:p>
        </w:tc>
        <w:tc>
          <w:tcPr>
            <w:tcW w:w="57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195.00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8</w:t>
            </w:r>
          </w:p>
        </w:tc>
        <w:tc>
          <w:tcPr>
            <w:tcW w:w="43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0.95</w:t>
            </w:r>
          </w:p>
        </w:tc>
        <w:tc>
          <w:tcPr>
            <w:tcW w:w="422"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247</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28</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48</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2450.86 </w:t>
            </w:r>
          </w:p>
        </w:tc>
        <w:tc>
          <w:tcPr>
            <w:tcW w:w="45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82.35 </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1955.72 </w:t>
            </w:r>
          </w:p>
        </w:tc>
        <w:tc>
          <w:tcPr>
            <w:tcW w:w="51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112.65 </w:t>
            </w:r>
          </w:p>
        </w:tc>
        <w:tc>
          <w:tcPr>
            <w:tcW w:w="57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195.00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9</w:t>
            </w:r>
          </w:p>
        </w:tc>
        <w:tc>
          <w:tcPr>
            <w:tcW w:w="43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0.95</w:t>
            </w:r>
          </w:p>
        </w:tc>
        <w:tc>
          <w:tcPr>
            <w:tcW w:w="422"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247</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28</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48</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2450.86 </w:t>
            </w:r>
          </w:p>
        </w:tc>
        <w:tc>
          <w:tcPr>
            <w:tcW w:w="45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82.35 </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1955.72 </w:t>
            </w:r>
          </w:p>
        </w:tc>
        <w:tc>
          <w:tcPr>
            <w:tcW w:w="51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112.65 </w:t>
            </w:r>
          </w:p>
        </w:tc>
        <w:tc>
          <w:tcPr>
            <w:tcW w:w="57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195.00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10</w:t>
            </w:r>
          </w:p>
        </w:tc>
        <w:tc>
          <w:tcPr>
            <w:tcW w:w="43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0.95</w:t>
            </w:r>
          </w:p>
        </w:tc>
        <w:tc>
          <w:tcPr>
            <w:tcW w:w="422"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247</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28</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48</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2573.40 </w:t>
            </w:r>
          </w:p>
        </w:tc>
        <w:tc>
          <w:tcPr>
            <w:tcW w:w="45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86.47 </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2053.51 </w:t>
            </w:r>
          </w:p>
        </w:tc>
        <w:tc>
          <w:tcPr>
            <w:tcW w:w="51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118.28 </w:t>
            </w:r>
          </w:p>
        </w:tc>
        <w:tc>
          <w:tcPr>
            <w:tcW w:w="57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204.75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11</w:t>
            </w:r>
          </w:p>
        </w:tc>
        <w:tc>
          <w:tcPr>
            <w:tcW w:w="43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0.95</w:t>
            </w:r>
          </w:p>
        </w:tc>
        <w:tc>
          <w:tcPr>
            <w:tcW w:w="422"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247</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28</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48</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2573.40 </w:t>
            </w:r>
          </w:p>
        </w:tc>
        <w:tc>
          <w:tcPr>
            <w:tcW w:w="45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86.47 </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2053.51 </w:t>
            </w:r>
          </w:p>
        </w:tc>
        <w:tc>
          <w:tcPr>
            <w:tcW w:w="51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118.28 </w:t>
            </w:r>
          </w:p>
        </w:tc>
        <w:tc>
          <w:tcPr>
            <w:tcW w:w="57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204.75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12</w:t>
            </w:r>
          </w:p>
        </w:tc>
        <w:tc>
          <w:tcPr>
            <w:tcW w:w="43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0.95</w:t>
            </w:r>
          </w:p>
        </w:tc>
        <w:tc>
          <w:tcPr>
            <w:tcW w:w="422"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247</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28</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48</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2573.40 </w:t>
            </w:r>
          </w:p>
        </w:tc>
        <w:tc>
          <w:tcPr>
            <w:tcW w:w="45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86.47 </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2053.51 </w:t>
            </w:r>
          </w:p>
        </w:tc>
        <w:tc>
          <w:tcPr>
            <w:tcW w:w="51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118.28 </w:t>
            </w:r>
          </w:p>
        </w:tc>
        <w:tc>
          <w:tcPr>
            <w:tcW w:w="57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204.75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13</w:t>
            </w:r>
          </w:p>
        </w:tc>
        <w:tc>
          <w:tcPr>
            <w:tcW w:w="43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0.95</w:t>
            </w:r>
          </w:p>
        </w:tc>
        <w:tc>
          <w:tcPr>
            <w:tcW w:w="422"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247</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28</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48</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2702.07 </w:t>
            </w:r>
          </w:p>
        </w:tc>
        <w:tc>
          <w:tcPr>
            <w:tcW w:w="45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90.79 </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2156.19 </w:t>
            </w:r>
          </w:p>
        </w:tc>
        <w:tc>
          <w:tcPr>
            <w:tcW w:w="51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124.20 </w:t>
            </w:r>
          </w:p>
        </w:tc>
        <w:tc>
          <w:tcPr>
            <w:tcW w:w="57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214.99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14</w:t>
            </w:r>
          </w:p>
        </w:tc>
        <w:tc>
          <w:tcPr>
            <w:tcW w:w="43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0.95</w:t>
            </w:r>
          </w:p>
        </w:tc>
        <w:tc>
          <w:tcPr>
            <w:tcW w:w="422"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247</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28</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48</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2702.07 </w:t>
            </w:r>
          </w:p>
        </w:tc>
        <w:tc>
          <w:tcPr>
            <w:tcW w:w="45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90.79 </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2156.19 </w:t>
            </w:r>
          </w:p>
        </w:tc>
        <w:tc>
          <w:tcPr>
            <w:tcW w:w="51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124.20 </w:t>
            </w:r>
          </w:p>
        </w:tc>
        <w:tc>
          <w:tcPr>
            <w:tcW w:w="57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214.99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15</w:t>
            </w:r>
          </w:p>
        </w:tc>
        <w:tc>
          <w:tcPr>
            <w:tcW w:w="43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0.95</w:t>
            </w:r>
          </w:p>
        </w:tc>
        <w:tc>
          <w:tcPr>
            <w:tcW w:w="422"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247</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28</w:t>
            </w: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48</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2702.07 </w:t>
            </w:r>
          </w:p>
        </w:tc>
        <w:tc>
          <w:tcPr>
            <w:tcW w:w="45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90.79 </w:t>
            </w: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2156.19 </w:t>
            </w:r>
          </w:p>
        </w:tc>
        <w:tc>
          <w:tcPr>
            <w:tcW w:w="51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124.20 </w:t>
            </w:r>
          </w:p>
        </w:tc>
        <w:tc>
          <w:tcPr>
            <w:tcW w:w="57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214.99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7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合计</w:t>
            </w:r>
          </w:p>
        </w:tc>
        <w:tc>
          <w:tcPr>
            <w:tcW w:w="439"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p>
        </w:tc>
        <w:tc>
          <w:tcPr>
            <w:tcW w:w="422"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p>
        </w:tc>
        <w:tc>
          <w:tcPr>
            <w:tcW w:w="52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p>
        </w:tc>
        <w:tc>
          <w:tcPr>
            <w:tcW w:w="45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p>
        </w:tc>
        <w:tc>
          <w:tcPr>
            <w:tcW w:w="577"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p>
        </w:tc>
        <w:tc>
          <w:tcPr>
            <w:tcW w:w="51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p>
        </w:tc>
        <w:tc>
          <w:tcPr>
            <w:tcW w:w="576" w:type="pct"/>
            <w:tcBorders>
              <w:top w:val="single" w:color="000000" w:sz="4" w:space="0"/>
              <w:left w:val="single" w:color="000000" w:sz="4" w:space="0"/>
              <w:bottom w:val="single" w:color="000000" w:sz="4" w:space="0"/>
              <w:right w:val="single" w:color="000000" w:sz="4" w:space="0"/>
            </w:tcBorders>
            <w:noWrap w:val="0"/>
            <w:vAlign w:val="top"/>
          </w:tcPr>
          <w:p>
            <w:pPr>
              <w:pStyle w:val="18"/>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2594.36 </w:t>
            </w:r>
          </w:p>
        </w:tc>
      </w:tr>
    </w:tbl>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租赁期15年内，社会资本方可得的政策性床位托养服务收入预计为2594.36万元。</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87" w:name="_Toc7893"/>
      <w:r>
        <w:rPr>
          <w:rFonts w:hint="eastAsia" w:ascii="仿宋" w:hAnsi="仿宋" w:eastAsia="仿宋" w:cs="Times New Roman"/>
          <w:b/>
          <w:color w:val="auto"/>
          <w:szCs w:val="28"/>
          <w:lang w:val="en-US" w:eastAsia="zh-CN"/>
        </w:rPr>
        <w:t>4.2.7普惠性床位服务费预估</w:t>
      </w:r>
      <w:bookmarkEnd w:id="87"/>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普惠性床位服务费收入主要取决于入住率、护理级别、物价上涨水平等因素相关。</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同类型其他养老机构选择各级护理级别的人数比例，结合仁化县当地老人对养老服务中心护理级别的需求情况，对本项目各护理级别人数比例预估如下：选择三级护理的人数预计10%，选择二级护理的人数预计30%，选择一级护理的人数预计50%，选择特级护理B的人数预计7%，选择特级护理A的人数预计2%，选择专护的人数预计1%。</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表4.2.7-1普惠性各护理级别人数预估表</w:t>
      </w:r>
    </w:p>
    <w:tbl>
      <w:tblPr>
        <w:tblStyle w:val="19"/>
        <w:tblW w:w="852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907"/>
        <w:gridCol w:w="2056"/>
        <w:gridCol w:w="1732"/>
        <w:gridCol w:w="182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9" w:hRule="atLeast"/>
        </w:trPr>
        <w:tc>
          <w:tcPr>
            <w:tcW w:w="2907" w:type="dxa"/>
            <w:tcBorders>
              <w:tl2br w:val="single" w:color="000000" w:sz="4" w:space="0"/>
            </w:tcBorders>
            <w:noWrap w:val="0"/>
            <w:vAlign w:val="center"/>
          </w:tcPr>
          <w:p>
            <w:pPr>
              <w:jc w:val="center"/>
              <w:rPr>
                <w:rFonts w:hint="eastAsia" w:ascii="仿宋" w:hAnsi="仿宋" w:eastAsia="仿宋" w:cs="仿宋"/>
                <w:color w:val="auto"/>
                <w:spacing w:val="14"/>
                <w:kern w:val="2"/>
                <w:sz w:val="28"/>
                <w:szCs w:val="28"/>
                <w:lang w:val="en-US" w:eastAsia="zh-CN" w:bidi="ar-SA"/>
              </w:rPr>
            </w:pPr>
          </w:p>
        </w:tc>
        <w:tc>
          <w:tcPr>
            <w:tcW w:w="2056" w:type="dxa"/>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服务全包价（元/月人）</w:t>
            </w:r>
          </w:p>
        </w:tc>
        <w:tc>
          <w:tcPr>
            <w:tcW w:w="1732" w:type="dxa"/>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入住比例</w:t>
            </w:r>
          </w:p>
        </w:tc>
        <w:tc>
          <w:tcPr>
            <w:tcW w:w="1828" w:type="dxa"/>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入住人数（人）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2907" w:type="dxa"/>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三级护理</w:t>
            </w:r>
          </w:p>
        </w:tc>
        <w:tc>
          <w:tcPr>
            <w:tcW w:w="2056" w:type="dxa"/>
            <w:noWrap w:val="0"/>
            <w:vAlign w:val="top"/>
          </w:tcPr>
          <w:p>
            <w:pPr>
              <w:keepNext w:val="0"/>
              <w:keepLines w:val="0"/>
              <w:widowControl/>
              <w:suppressLineNumbers w:val="0"/>
              <w:jc w:val="center"/>
              <w:textAlignment w:val="top"/>
              <w:rPr>
                <w:rFonts w:hint="eastAsia"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3200</w:t>
            </w:r>
          </w:p>
        </w:tc>
        <w:tc>
          <w:tcPr>
            <w:tcW w:w="1732" w:type="dxa"/>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w:t>
            </w:r>
          </w:p>
        </w:tc>
        <w:tc>
          <w:tcPr>
            <w:tcW w:w="1828" w:type="dxa"/>
            <w:noWrap w:val="0"/>
            <w:vAlign w:val="center"/>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2907" w:type="dxa"/>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二级护理</w:t>
            </w:r>
          </w:p>
        </w:tc>
        <w:tc>
          <w:tcPr>
            <w:tcW w:w="2056" w:type="dxa"/>
            <w:noWrap w:val="0"/>
            <w:vAlign w:val="top"/>
          </w:tcPr>
          <w:p>
            <w:pPr>
              <w:keepNext w:val="0"/>
              <w:keepLines w:val="0"/>
              <w:widowControl/>
              <w:suppressLineNumbers w:val="0"/>
              <w:jc w:val="center"/>
              <w:textAlignment w:val="top"/>
              <w:rPr>
                <w:rFonts w:hint="eastAsia"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3700</w:t>
            </w:r>
          </w:p>
        </w:tc>
        <w:tc>
          <w:tcPr>
            <w:tcW w:w="1732" w:type="dxa"/>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30%</w:t>
            </w:r>
          </w:p>
        </w:tc>
        <w:tc>
          <w:tcPr>
            <w:tcW w:w="1828" w:type="dxa"/>
            <w:noWrap w:val="0"/>
            <w:vAlign w:val="center"/>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74" w:hRule="atLeast"/>
        </w:trPr>
        <w:tc>
          <w:tcPr>
            <w:tcW w:w="2907" w:type="dxa"/>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一级护理</w:t>
            </w:r>
          </w:p>
        </w:tc>
        <w:tc>
          <w:tcPr>
            <w:tcW w:w="2056" w:type="dxa"/>
            <w:noWrap w:val="0"/>
            <w:vAlign w:val="top"/>
          </w:tcPr>
          <w:p>
            <w:pPr>
              <w:keepNext w:val="0"/>
              <w:keepLines w:val="0"/>
              <w:widowControl/>
              <w:suppressLineNumbers w:val="0"/>
              <w:jc w:val="center"/>
              <w:textAlignment w:val="top"/>
              <w:rPr>
                <w:rFonts w:hint="eastAsia"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4300</w:t>
            </w:r>
          </w:p>
        </w:tc>
        <w:tc>
          <w:tcPr>
            <w:tcW w:w="1732" w:type="dxa"/>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50%</w:t>
            </w:r>
          </w:p>
        </w:tc>
        <w:tc>
          <w:tcPr>
            <w:tcW w:w="1828" w:type="dxa"/>
            <w:noWrap w:val="0"/>
            <w:vAlign w:val="center"/>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74" w:hRule="atLeast"/>
        </w:trPr>
        <w:tc>
          <w:tcPr>
            <w:tcW w:w="2907" w:type="dxa"/>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特级护理B</w:t>
            </w:r>
          </w:p>
        </w:tc>
        <w:tc>
          <w:tcPr>
            <w:tcW w:w="2056" w:type="dxa"/>
            <w:noWrap w:val="0"/>
            <w:vAlign w:val="top"/>
          </w:tcPr>
          <w:p>
            <w:pPr>
              <w:keepNext w:val="0"/>
              <w:keepLines w:val="0"/>
              <w:widowControl/>
              <w:suppressLineNumbers w:val="0"/>
              <w:jc w:val="center"/>
              <w:textAlignment w:val="top"/>
              <w:rPr>
                <w:rFonts w:hint="eastAsia"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5300</w:t>
            </w:r>
          </w:p>
        </w:tc>
        <w:tc>
          <w:tcPr>
            <w:tcW w:w="1732" w:type="dxa"/>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7%</w:t>
            </w:r>
          </w:p>
        </w:tc>
        <w:tc>
          <w:tcPr>
            <w:tcW w:w="1828" w:type="dxa"/>
            <w:noWrap w:val="0"/>
            <w:vAlign w:val="center"/>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74" w:hRule="atLeast"/>
        </w:trPr>
        <w:tc>
          <w:tcPr>
            <w:tcW w:w="2907" w:type="dxa"/>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特级护理A</w:t>
            </w:r>
          </w:p>
        </w:tc>
        <w:tc>
          <w:tcPr>
            <w:tcW w:w="2056" w:type="dxa"/>
            <w:noWrap w:val="0"/>
            <w:vAlign w:val="top"/>
          </w:tcPr>
          <w:p>
            <w:pPr>
              <w:keepNext w:val="0"/>
              <w:keepLines w:val="0"/>
              <w:widowControl/>
              <w:suppressLineNumbers w:val="0"/>
              <w:jc w:val="center"/>
              <w:textAlignment w:val="top"/>
              <w:rPr>
                <w:rFonts w:hint="eastAsia"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6300</w:t>
            </w:r>
          </w:p>
        </w:tc>
        <w:tc>
          <w:tcPr>
            <w:tcW w:w="1732" w:type="dxa"/>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w:t>
            </w:r>
          </w:p>
        </w:tc>
        <w:tc>
          <w:tcPr>
            <w:tcW w:w="1828" w:type="dxa"/>
            <w:noWrap w:val="0"/>
            <w:vAlign w:val="center"/>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4" w:hRule="atLeast"/>
        </w:trPr>
        <w:tc>
          <w:tcPr>
            <w:tcW w:w="2907" w:type="dxa"/>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专护</w:t>
            </w:r>
          </w:p>
        </w:tc>
        <w:tc>
          <w:tcPr>
            <w:tcW w:w="2056" w:type="dxa"/>
            <w:noWrap w:val="0"/>
            <w:vAlign w:val="top"/>
          </w:tcPr>
          <w:p>
            <w:pPr>
              <w:keepNext w:val="0"/>
              <w:keepLines w:val="0"/>
              <w:widowControl/>
              <w:suppressLineNumbers w:val="0"/>
              <w:jc w:val="center"/>
              <w:textAlignment w:val="top"/>
              <w:rPr>
                <w:rFonts w:hint="eastAsia" w:ascii="仿宋" w:hAnsi="仿宋" w:eastAsia="仿宋" w:cs="仿宋"/>
                <w:color w:val="5B9BD5" w:themeColor="accent1"/>
                <w:spacing w:val="14"/>
                <w:kern w:val="2"/>
                <w:sz w:val="28"/>
                <w:szCs w:val="28"/>
                <w:lang w:val="en-US" w:eastAsia="zh-CN" w:bidi="ar-SA"/>
                <w14:textFill>
                  <w14:solidFill>
                    <w14:schemeClr w14:val="accent1"/>
                  </w14:solidFill>
                </w14:textFill>
              </w:rPr>
            </w:pPr>
            <w:r>
              <w:rPr>
                <w:rFonts w:hint="eastAsia" w:ascii="仿宋" w:hAnsi="仿宋" w:eastAsia="仿宋_GB2312" w:cs="仿宋"/>
                <w:b w:val="0"/>
                <w:i w:val="0"/>
                <w:color w:val="5B9BD5" w:themeColor="accent1"/>
                <w:spacing w:val="14"/>
                <w:kern w:val="2"/>
                <w:sz w:val="32"/>
                <w:szCs w:val="28"/>
                <w:lang w:val="en-US" w:eastAsia="zh-CN" w:bidi="ar-SA"/>
                <w14:textFill>
                  <w14:solidFill>
                    <w14:schemeClr w14:val="accent1"/>
                  </w14:solidFill>
                </w14:textFill>
              </w:rPr>
              <w:t>9000</w:t>
            </w:r>
          </w:p>
        </w:tc>
        <w:tc>
          <w:tcPr>
            <w:tcW w:w="1732" w:type="dxa"/>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w:t>
            </w:r>
          </w:p>
        </w:tc>
        <w:tc>
          <w:tcPr>
            <w:tcW w:w="1828" w:type="dxa"/>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74" w:hRule="atLeast"/>
        </w:trPr>
        <w:tc>
          <w:tcPr>
            <w:tcW w:w="6695" w:type="dxa"/>
            <w:gridSpan w:val="3"/>
            <w:noWrap w:val="0"/>
            <w:vAlign w:val="center"/>
          </w:tcPr>
          <w:p>
            <w:pPr>
              <w:keepNext w:val="0"/>
              <w:keepLines w:val="0"/>
              <w:widowControl/>
              <w:suppressLineNumbers w:val="0"/>
              <w:jc w:val="center"/>
              <w:textAlignment w:val="top"/>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合计</w:t>
            </w:r>
          </w:p>
        </w:tc>
        <w:tc>
          <w:tcPr>
            <w:tcW w:w="1828" w:type="dxa"/>
            <w:noWrap w:val="0"/>
            <w:vAlign w:val="center"/>
          </w:tcPr>
          <w:p>
            <w:pPr>
              <w:keepNext w:val="0"/>
              <w:keepLines w:val="0"/>
              <w:widowControl/>
              <w:suppressLineNumbers w:val="0"/>
              <w:jc w:val="center"/>
              <w:textAlignment w:val="top"/>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180</w:t>
            </w:r>
          </w:p>
        </w:tc>
      </w:tr>
    </w:tbl>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根据上表中入住率及各护理级别人数预估，考虑物价上涨因素，参考仁化县历年CPI增长水平，预测本项目普惠性床位服务费每三年增长5%，可计算出本项目普惠性床位服务收入预估情况，详见下表。</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表4.2.7-2普惠性床位服务收入预估表</w:t>
      </w:r>
    </w:p>
    <w:tbl>
      <w:tblPr>
        <w:tblStyle w:val="12"/>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0"/>
        <w:gridCol w:w="522"/>
        <w:gridCol w:w="828"/>
        <w:gridCol w:w="828"/>
        <w:gridCol w:w="954"/>
        <w:gridCol w:w="816"/>
        <w:gridCol w:w="816"/>
        <w:gridCol w:w="740"/>
        <w:gridCol w:w="830"/>
        <w:gridCol w:w="750"/>
        <w:gridCol w:w="101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vMerge w:val="restart"/>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运营年限</w:t>
            </w:r>
          </w:p>
        </w:tc>
        <w:tc>
          <w:tcPr>
            <w:tcW w:w="528" w:type="dxa"/>
            <w:vMerge w:val="restart"/>
            <w:tcBorders>
              <w:top w:val="single" w:color="000000" w:sz="4" w:space="0"/>
              <w:left w:val="single" w:color="000000" w:sz="4" w:space="0"/>
              <w:bottom w:val="nil"/>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当年入住率</w:t>
            </w:r>
          </w:p>
        </w:tc>
        <w:tc>
          <w:tcPr>
            <w:tcW w:w="840" w:type="dxa"/>
            <w:vMerge w:val="restart"/>
            <w:tcBorders>
              <w:top w:val="single" w:color="000000" w:sz="4" w:space="0"/>
              <w:left w:val="single" w:color="000000" w:sz="4" w:space="0"/>
              <w:bottom w:val="nil"/>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当年入住床位（个）</w:t>
            </w:r>
          </w:p>
        </w:tc>
        <w:tc>
          <w:tcPr>
            <w:tcW w:w="840" w:type="dxa"/>
            <w:vMerge w:val="restart"/>
            <w:tcBorders>
              <w:top w:val="single" w:color="000000" w:sz="4" w:space="0"/>
              <w:left w:val="single" w:color="000000" w:sz="4" w:space="0"/>
              <w:bottom w:val="nil"/>
              <w:right w:val="single" w:color="000000" w:sz="4" w:space="0"/>
            </w:tcBorders>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当年普惠性床（个）</w:t>
            </w:r>
          </w:p>
        </w:tc>
        <w:tc>
          <w:tcPr>
            <w:tcW w:w="5889" w:type="dxa"/>
            <w:gridSpan w:val="7"/>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center"/>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普惠性床位收入（万元/年）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vMerge w:val="continue"/>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color w:val="auto"/>
                <w:spacing w:val="14"/>
                <w:kern w:val="2"/>
                <w:sz w:val="18"/>
                <w:szCs w:val="18"/>
                <w:lang w:val="en-US" w:eastAsia="zh-CN" w:bidi="ar-SA"/>
              </w:rPr>
            </w:pPr>
          </w:p>
        </w:tc>
        <w:tc>
          <w:tcPr>
            <w:tcW w:w="528" w:type="dxa"/>
            <w:vMerge w:val="continue"/>
            <w:tcBorders>
              <w:top w:val="single" w:color="000000" w:sz="4" w:space="0"/>
              <w:left w:val="single" w:color="000000" w:sz="4" w:space="0"/>
              <w:bottom w:val="nil"/>
              <w:right w:val="single" w:color="000000" w:sz="4" w:space="0"/>
            </w:tcBorders>
            <w:noWrap w:val="0"/>
            <w:vAlign w:val="top"/>
          </w:tcPr>
          <w:p>
            <w:pPr>
              <w:jc w:val="both"/>
              <w:rPr>
                <w:rFonts w:hint="eastAsia" w:ascii="仿宋" w:hAnsi="仿宋" w:eastAsia="仿宋" w:cs="仿宋"/>
                <w:color w:val="auto"/>
                <w:spacing w:val="14"/>
                <w:kern w:val="2"/>
                <w:sz w:val="18"/>
                <w:szCs w:val="18"/>
                <w:lang w:val="en-US" w:eastAsia="zh-CN" w:bidi="ar-SA"/>
              </w:rPr>
            </w:pPr>
          </w:p>
        </w:tc>
        <w:tc>
          <w:tcPr>
            <w:tcW w:w="840" w:type="dxa"/>
            <w:vMerge w:val="continue"/>
            <w:tcBorders>
              <w:top w:val="single" w:color="000000" w:sz="4" w:space="0"/>
              <w:left w:val="single" w:color="000000" w:sz="4" w:space="0"/>
              <w:bottom w:val="nil"/>
              <w:right w:val="single" w:color="000000" w:sz="4" w:space="0"/>
            </w:tcBorders>
            <w:noWrap w:val="0"/>
            <w:vAlign w:val="top"/>
          </w:tcPr>
          <w:p>
            <w:pPr>
              <w:jc w:val="both"/>
              <w:rPr>
                <w:rFonts w:hint="eastAsia" w:ascii="仿宋" w:hAnsi="仿宋" w:eastAsia="仿宋" w:cs="仿宋"/>
                <w:color w:val="auto"/>
                <w:spacing w:val="14"/>
                <w:kern w:val="2"/>
                <w:sz w:val="18"/>
                <w:szCs w:val="18"/>
                <w:lang w:val="en-US" w:eastAsia="zh-CN" w:bidi="ar-SA"/>
              </w:rPr>
            </w:pPr>
          </w:p>
        </w:tc>
        <w:tc>
          <w:tcPr>
            <w:tcW w:w="840" w:type="dxa"/>
            <w:vMerge w:val="continue"/>
            <w:tcBorders>
              <w:top w:val="single" w:color="000000" w:sz="4" w:space="0"/>
              <w:left w:val="single" w:color="000000" w:sz="4" w:space="0"/>
              <w:bottom w:val="nil"/>
              <w:right w:val="single" w:color="000000" w:sz="4" w:space="0"/>
            </w:tcBorders>
            <w:noWrap w:val="0"/>
            <w:vAlign w:val="top"/>
          </w:tcPr>
          <w:p>
            <w:pPr>
              <w:jc w:val="center"/>
              <w:rPr>
                <w:rFonts w:hint="eastAsia" w:ascii="仿宋" w:hAnsi="仿宋" w:eastAsia="仿宋" w:cs="仿宋"/>
                <w:color w:val="auto"/>
                <w:spacing w:val="14"/>
                <w:kern w:val="2"/>
                <w:sz w:val="18"/>
                <w:szCs w:val="18"/>
                <w:lang w:val="en-US" w:eastAsia="zh-CN" w:bidi="ar-SA"/>
              </w:rPr>
            </w:pPr>
          </w:p>
        </w:tc>
        <w:tc>
          <w:tcPr>
            <w:tcW w:w="1187" w:type="dxa"/>
            <w:tcBorders>
              <w:top w:val="single" w:color="000000" w:sz="4" w:space="0"/>
              <w:left w:val="single" w:color="000000" w:sz="4" w:space="0"/>
              <w:bottom w:val="nil"/>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三级护理</w:t>
            </w:r>
          </w:p>
        </w:tc>
        <w:tc>
          <w:tcPr>
            <w:tcW w:w="764" w:type="dxa"/>
            <w:tcBorders>
              <w:top w:val="single" w:color="000000" w:sz="4" w:space="0"/>
              <w:left w:val="single" w:color="000000" w:sz="4" w:space="0"/>
              <w:bottom w:val="nil"/>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二级护理</w:t>
            </w:r>
          </w:p>
        </w:tc>
        <w:tc>
          <w:tcPr>
            <w:tcW w:w="816" w:type="dxa"/>
            <w:tcBorders>
              <w:top w:val="single" w:color="000000" w:sz="4" w:space="0"/>
              <w:left w:val="single" w:color="000000" w:sz="4" w:space="0"/>
              <w:bottom w:val="nil"/>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一级护理</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特级护理B</w:t>
            </w:r>
          </w:p>
        </w:tc>
        <w:tc>
          <w:tcPr>
            <w:tcW w:w="94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特级护理A</w:t>
            </w:r>
          </w:p>
        </w:tc>
        <w:tc>
          <w:tcPr>
            <w:tcW w:w="784" w:type="dxa"/>
            <w:tcBorders>
              <w:top w:val="single" w:color="000000" w:sz="4" w:space="0"/>
              <w:left w:val="single" w:color="000000" w:sz="4" w:space="0"/>
              <w:bottom w:val="nil"/>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专护床位</w:t>
            </w:r>
          </w:p>
        </w:tc>
        <w:tc>
          <w:tcPr>
            <w:tcW w:w="666" w:type="dxa"/>
            <w:tcBorders>
              <w:top w:val="single" w:color="000000" w:sz="4" w:space="0"/>
              <w:left w:val="single" w:color="000000" w:sz="4" w:space="0"/>
              <w:bottom w:val="nil"/>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收入合计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1</w:t>
            </w:r>
          </w:p>
        </w:tc>
        <w:tc>
          <w:tcPr>
            <w:tcW w:w="52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20%</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52 </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36 </w:t>
            </w:r>
          </w:p>
        </w:tc>
        <w:tc>
          <w:tcPr>
            <w:tcW w:w="118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13.82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47.95 </w:t>
            </w:r>
          </w:p>
        </w:tc>
        <w:tc>
          <w:tcPr>
            <w:tcW w:w="8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92.88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16.03 </w:t>
            </w:r>
          </w:p>
        </w:tc>
        <w:tc>
          <w:tcPr>
            <w:tcW w:w="94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5.44 </w:t>
            </w:r>
          </w:p>
        </w:tc>
        <w:tc>
          <w:tcPr>
            <w:tcW w:w="78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3.89 </w:t>
            </w:r>
          </w:p>
        </w:tc>
        <w:tc>
          <w:tcPr>
            <w:tcW w:w="66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180.01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2</w:t>
            </w:r>
          </w:p>
        </w:tc>
        <w:tc>
          <w:tcPr>
            <w:tcW w:w="52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40%</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104 </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72 </w:t>
            </w:r>
          </w:p>
        </w:tc>
        <w:tc>
          <w:tcPr>
            <w:tcW w:w="118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27.65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95.90 </w:t>
            </w:r>
          </w:p>
        </w:tc>
        <w:tc>
          <w:tcPr>
            <w:tcW w:w="8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185.76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32.05 </w:t>
            </w:r>
          </w:p>
        </w:tc>
        <w:tc>
          <w:tcPr>
            <w:tcW w:w="94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10.89 </w:t>
            </w:r>
          </w:p>
        </w:tc>
        <w:tc>
          <w:tcPr>
            <w:tcW w:w="78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7.78 </w:t>
            </w:r>
          </w:p>
        </w:tc>
        <w:tc>
          <w:tcPr>
            <w:tcW w:w="66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360.03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3</w:t>
            </w:r>
          </w:p>
        </w:tc>
        <w:tc>
          <w:tcPr>
            <w:tcW w:w="52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60%</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156 </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108 </w:t>
            </w:r>
          </w:p>
        </w:tc>
        <w:tc>
          <w:tcPr>
            <w:tcW w:w="118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41.47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143.86 </w:t>
            </w:r>
          </w:p>
        </w:tc>
        <w:tc>
          <w:tcPr>
            <w:tcW w:w="8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278.64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48.08 </w:t>
            </w:r>
          </w:p>
        </w:tc>
        <w:tc>
          <w:tcPr>
            <w:tcW w:w="94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16.33 </w:t>
            </w:r>
          </w:p>
        </w:tc>
        <w:tc>
          <w:tcPr>
            <w:tcW w:w="78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11.66 </w:t>
            </w:r>
          </w:p>
        </w:tc>
        <w:tc>
          <w:tcPr>
            <w:tcW w:w="66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540.04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4</w:t>
            </w:r>
          </w:p>
        </w:tc>
        <w:tc>
          <w:tcPr>
            <w:tcW w:w="52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80%</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208 </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144 </w:t>
            </w:r>
          </w:p>
        </w:tc>
        <w:tc>
          <w:tcPr>
            <w:tcW w:w="118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58.06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201.40 </w:t>
            </w:r>
          </w:p>
        </w:tc>
        <w:tc>
          <w:tcPr>
            <w:tcW w:w="8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390.10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67.31 </w:t>
            </w:r>
          </w:p>
        </w:tc>
        <w:tc>
          <w:tcPr>
            <w:tcW w:w="94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22.86 </w:t>
            </w:r>
          </w:p>
        </w:tc>
        <w:tc>
          <w:tcPr>
            <w:tcW w:w="78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16.33 </w:t>
            </w:r>
          </w:p>
        </w:tc>
        <w:tc>
          <w:tcPr>
            <w:tcW w:w="66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756.06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5</w:t>
            </w:r>
          </w:p>
        </w:tc>
        <w:tc>
          <w:tcPr>
            <w:tcW w:w="52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118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68.95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239.16 </w:t>
            </w:r>
          </w:p>
        </w:tc>
        <w:tc>
          <w:tcPr>
            <w:tcW w:w="8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463.24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79.94 </w:t>
            </w:r>
          </w:p>
        </w:tc>
        <w:tc>
          <w:tcPr>
            <w:tcW w:w="94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27.15 </w:t>
            </w:r>
          </w:p>
        </w:tc>
        <w:tc>
          <w:tcPr>
            <w:tcW w:w="78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19.39 </w:t>
            </w:r>
          </w:p>
        </w:tc>
        <w:tc>
          <w:tcPr>
            <w:tcW w:w="66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897.82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6</w:t>
            </w:r>
          </w:p>
        </w:tc>
        <w:tc>
          <w:tcPr>
            <w:tcW w:w="52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118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68.95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239.16 </w:t>
            </w:r>
          </w:p>
        </w:tc>
        <w:tc>
          <w:tcPr>
            <w:tcW w:w="8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463.24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79.94 </w:t>
            </w:r>
          </w:p>
        </w:tc>
        <w:tc>
          <w:tcPr>
            <w:tcW w:w="94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27.15 </w:t>
            </w:r>
          </w:p>
        </w:tc>
        <w:tc>
          <w:tcPr>
            <w:tcW w:w="78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19.39 </w:t>
            </w:r>
          </w:p>
        </w:tc>
        <w:tc>
          <w:tcPr>
            <w:tcW w:w="66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897.82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7</w:t>
            </w:r>
          </w:p>
        </w:tc>
        <w:tc>
          <w:tcPr>
            <w:tcW w:w="52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118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72.39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251.12 </w:t>
            </w:r>
          </w:p>
        </w:tc>
        <w:tc>
          <w:tcPr>
            <w:tcW w:w="8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486.40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83.93 </w:t>
            </w:r>
          </w:p>
        </w:tc>
        <w:tc>
          <w:tcPr>
            <w:tcW w:w="94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24.00 </w:t>
            </w:r>
          </w:p>
        </w:tc>
        <w:tc>
          <w:tcPr>
            <w:tcW w:w="78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20.36 </w:t>
            </w:r>
          </w:p>
        </w:tc>
        <w:tc>
          <w:tcPr>
            <w:tcW w:w="66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938.21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8</w:t>
            </w:r>
          </w:p>
        </w:tc>
        <w:tc>
          <w:tcPr>
            <w:tcW w:w="52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118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72.39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251.12 </w:t>
            </w:r>
          </w:p>
        </w:tc>
        <w:tc>
          <w:tcPr>
            <w:tcW w:w="8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486.40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83.93 </w:t>
            </w:r>
          </w:p>
        </w:tc>
        <w:tc>
          <w:tcPr>
            <w:tcW w:w="94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24.00 </w:t>
            </w:r>
          </w:p>
        </w:tc>
        <w:tc>
          <w:tcPr>
            <w:tcW w:w="78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20.36 </w:t>
            </w:r>
          </w:p>
        </w:tc>
        <w:tc>
          <w:tcPr>
            <w:tcW w:w="66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938.21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9</w:t>
            </w:r>
          </w:p>
        </w:tc>
        <w:tc>
          <w:tcPr>
            <w:tcW w:w="52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118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72.39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251.12 </w:t>
            </w:r>
          </w:p>
        </w:tc>
        <w:tc>
          <w:tcPr>
            <w:tcW w:w="8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486.40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83.93 </w:t>
            </w:r>
          </w:p>
        </w:tc>
        <w:tc>
          <w:tcPr>
            <w:tcW w:w="94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24.00 </w:t>
            </w:r>
          </w:p>
        </w:tc>
        <w:tc>
          <w:tcPr>
            <w:tcW w:w="78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20.36 </w:t>
            </w:r>
          </w:p>
        </w:tc>
        <w:tc>
          <w:tcPr>
            <w:tcW w:w="66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938.21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10</w:t>
            </w:r>
          </w:p>
        </w:tc>
        <w:tc>
          <w:tcPr>
            <w:tcW w:w="52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118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76.01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263.67 </w:t>
            </w:r>
          </w:p>
        </w:tc>
        <w:tc>
          <w:tcPr>
            <w:tcW w:w="8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510.72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88.13 </w:t>
            </w:r>
          </w:p>
        </w:tc>
        <w:tc>
          <w:tcPr>
            <w:tcW w:w="94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25.20 </w:t>
            </w:r>
          </w:p>
        </w:tc>
        <w:tc>
          <w:tcPr>
            <w:tcW w:w="78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21.38 </w:t>
            </w:r>
          </w:p>
        </w:tc>
        <w:tc>
          <w:tcPr>
            <w:tcW w:w="66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985.12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11</w:t>
            </w:r>
          </w:p>
        </w:tc>
        <w:tc>
          <w:tcPr>
            <w:tcW w:w="52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118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76.01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263.67 </w:t>
            </w:r>
          </w:p>
        </w:tc>
        <w:tc>
          <w:tcPr>
            <w:tcW w:w="8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510.72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88.13 </w:t>
            </w:r>
          </w:p>
        </w:tc>
        <w:tc>
          <w:tcPr>
            <w:tcW w:w="94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25.20 </w:t>
            </w:r>
          </w:p>
        </w:tc>
        <w:tc>
          <w:tcPr>
            <w:tcW w:w="78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21.38 </w:t>
            </w:r>
          </w:p>
        </w:tc>
        <w:tc>
          <w:tcPr>
            <w:tcW w:w="66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985.12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12</w:t>
            </w:r>
          </w:p>
        </w:tc>
        <w:tc>
          <w:tcPr>
            <w:tcW w:w="52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118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76.01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263.67 </w:t>
            </w:r>
          </w:p>
        </w:tc>
        <w:tc>
          <w:tcPr>
            <w:tcW w:w="8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510.72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88.13 </w:t>
            </w:r>
          </w:p>
        </w:tc>
        <w:tc>
          <w:tcPr>
            <w:tcW w:w="94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25.20 </w:t>
            </w:r>
          </w:p>
        </w:tc>
        <w:tc>
          <w:tcPr>
            <w:tcW w:w="78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21.38 </w:t>
            </w:r>
          </w:p>
        </w:tc>
        <w:tc>
          <w:tcPr>
            <w:tcW w:w="66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985.12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13</w:t>
            </w:r>
          </w:p>
        </w:tc>
        <w:tc>
          <w:tcPr>
            <w:tcW w:w="52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118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79.82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276.86 </w:t>
            </w:r>
          </w:p>
        </w:tc>
        <w:tc>
          <w:tcPr>
            <w:tcW w:w="8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536.26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92.54 </w:t>
            </w:r>
          </w:p>
        </w:tc>
        <w:tc>
          <w:tcPr>
            <w:tcW w:w="94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26.46 </w:t>
            </w:r>
          </w:p>
        </w:tc>
        <w:tc>
          <w:tcPr>
            <w:tcW w:w="78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22.45 </w:t>
            </w:r>
          </w:p>
        </w:tc>
        <w:tc>
          <w:tcPr>
            <w:tcW w:w="66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1034.38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14</w:t>
            </w:r>
          </w:p>
        </w:tc>
        <w:tc>
          <w:tcPr>
            <w:tcW w:w="52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118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79.82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276.86 </w:t>
            </w:r>
          </w:p>
        </w:tc>
        <w:tc>
          <w:tcPr>
            <w:tcW w:w="8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536.26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92.54 </w:t>
            </w:r>
          </w:p>
        </w:tc>
        <w:tc>
          <w:tcPr>
            <w:tcW w:w="94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26.46 </w:t>
            </w:r>
          </w:p>
        </w:tc>
        <w:tc>
          <w:tcPr>
            <w:tcW w:w="78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22.45 </w:t>
            </w:r>
          </w:p>
        </w:tc>
        <w:tc>
          <w:tcPr>
            <w:tcW w:w="66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1034.38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15</w:t>
            </w:r>
          </w:p>
        </w:tc>
        <w:tc>
          <w:tcPr>
            <w:tcW w:w="52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4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118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79.82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276.86 </w:t>
            </w:r>
          </w:p>
        </w:tc>
        <w:tc>
          <w:tcPr>
            <w:tcW w:w="8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536.26 </w:t>
            </w:r>
          </w:p>
        </w:tc>
        <w:tc>
          <w:tcPr>
            <w:tcW w:w="76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92.54 </w:t>
            </w:r>
          </w:p>
        </w:tc>
        <w:tc>
          <w:tcPr>
            <w:tcW w:w="94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26.46 </w:t>
            </w:r>
          </w:p>
        </w:tc>
        <w:tc>
          <w:tcPr>
            <w:tcW w:w="784"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22.45 </w:t>
            </w:r>
          </w:p>
        </w:tc>
        <w:tc>
          <w:tcPr>
            <w:tcW w:w="66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1034.38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854" w:type="dxa"/>
            <w:gridSpan w:val="10"/>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left"/>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合计</w:t>
            </w:r>
          </w:p>
        </w:tc>
        <w:tc>
          <w:tcPr>
            <w:tcW w:w="66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12504.93 </w:t>
            </w:r>
          </w:p>
        </w:tc>
      </w:tr>
    </w:tbl>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租赁期15年内，社会资本方可得的普惠性床位服务收入预计为12504.93万元。</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88" w:name="_Toc10518"/>
      <w:r>
        <w:rPr>
          <w:rFonts w:hint="eastAsia" w:ascii="仿宋" w:hAnsi="仿宋" w:eastAsia="仿宋" w:cs="Times New Roman"/>
          <w:b/>
          <w:color w:val="auto"/>
          <w:szCs w:val="28"/>
          <w:lang w:val="en-US" w:eastAsia="zh-CN"/>
        </w:rPr>
        <w:t>4.3成本预测</w:t>
      </w:r>
      <w:bookmarkEnd w:id="88"/>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89" w:name="_Toc3865"/>
      <w:r>
        <w:rPr>
          <w:rFonts w:hint="eastAsia" w:ascii="仿宋" w:hAnsi="仿宋" w:eastAsia="仿宋" w:cs="Times New Roman"/>
          <w:b/>
          <w:color w:val="auto"/>
          <w:szCs w:val="28"/>
          <w:lang w:val="en-US" w:eastAsia="zh-CN"/>
        </w:rPr>
        <w:t>4.3.1社会资本方总成本费用</w:t>
      </w:r>
      <w:bookmarkEnd w:id="89"/>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本项目社会资本方总成本费用由八部分组成：租金、人工成本、配餐成本、外购燃动力成本、维修费、管理费、停车场经营成本、税费。</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韶关市区居民消费价格总指数CPI近10年的平均增长率1.58%，本项目的人工成本、配餐成本、外购燃动力成本、维修费、管理费等成本每年增长率暂设定为1.58%。租金按照每三年递增5%计算，企业所得税率按25%，增值税率为0%。</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以入住率95%时的年经营成本为计算基础值，各年的运营成本以计算基础值乘以当年入住率来计算。</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90" w:name="_Toc2221"/>
      <w:r>
        <w:rPr>
          <w:rFonts w:hint="eastAsia" w:ascii="仿宋" w:hAnsi="仿宋" w:eastAsia="仿宋" w:cs="Times New Roman"/>
          <w:b/>
          <w:color w:val="auto"/>
          <w:szCs w:val="28"/>
          <w:lang w:val="en-US" w:eastAsia="zh-CN"/>
        </w:rPr>
        <w:t>4.3.2租金</w:t>
      </w:r>
      <w:bookmarkEnd w:id="90"/>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一、定价依据</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依据国家财政部发布的《国有资产评估管理若干问题的规定》（财政部第14号令）“第三条占有单位有下列行为之一的，应当对相关国有资产进行评估：</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1、整体或部分改建为有限责任公司或者股份有限公司；</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2、以非货币资产对外投资；</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3、合并、分立、清算；</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4、除上市公司以外的原股东股权比例变动；</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5、除上市公司以外的整体或者部分产权（股权）转让；</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6、资产转让、置换、拍卖；</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7、整体资产或者部分资产租赁给非国有单位；</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8、确定涉讼资产价值；</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9、法律、行政法规规定的其他需要进行评估的事项。”</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采用公建民营方式运营，养老服务中心产权为政府所有，以租赁形式将养老服务中心租赁给社会资本方运营，属于“整体资产或者部分资产租赁给非国有单位”，需要对相关的国有资产进行评估。因此本项目的租金定价应以项目资产评估的租金价格为准。</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由于本项目尚未做资产评估，因此本次财务分析仅从社会资本方收入、成本的角度对租金及利润率的变量关系进行分析，具体租金的定价建议以项目最终资产评估的租金价格为准。</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二、租金增长率</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2022年3月31日韶关市国资委关于印发《韶关市市直经营性国有资产租赁管理暂行办法（修订稿）》的通知，“第九条国有资产租赁期限内各年度的租金标准，应当根据租赁期限，结合资产实际情况、市场租金水平、经济社会发展预期趋势等因素设置合理的租金增幅。”“租赁期限或临时出租累计存续期超过3年的，应当设置合理的租金增幅，同一物业标的每3年的租金增幅一般不低于4%。”</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参考韶关市区居民消费价格总指数CPI近10年的平均增长率1.58%，本项目的租金增长率暂设定为每三年增长5%（1+1.58%）3-1=5%）。</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根据项目情况，本项目前三年租金固定不变，为基础租金，后续每三年增长5%。</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三、计租面积</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本项目总建筑面积为</w:t>
      </w:r>
      <w:r>
        <w:rPr>
          <w:rFonts w:hint="eastAsia" w:ascii="仿宋" w:hAnsi="仿宋" w:eastAsia="仿宋_GB2312" w:cs="仿宋"/>
          <w:b w:val="0"/>
          <w:i w:val="0"/>
          <w:color w:val="auto"/>
          <w:spacing w:val="14"/>
          <w:sz w:val="32"/>
          <w:szCs w:val="28"/>
          <w:lang w:val="en-US" w:eastAsia="zh-CN"/>
        </w:rPr>
        <w:t>7574.95</w:t>
      </w:r>
      <w:r>
        <w:rPr>
          <w:rFonts w:hint="eastAsia" w:ascii="仿宋" w:hAnsi="仿宋" w:eastAsia="仿宋_GB2312" w:cs="仿宋"/>
          <w:b w:val="0"/>
          <w:i w:val="0"/>
          <w:color w:val="auto"/>
          <w:spacing w:val="14"/>
          <w:kern w:val="2"/>
          <w:sz w:val="32"/>
          <w:szCs w:val="28"/>
          <w:lang w:val="en-US" w:eastAsia="zh-CN" w:bidi="ar-SA"/>
        </w:rPr>
        <w:t>平方米，租金总收入约为</w:t>
      </w:r>
      <w:r>
        <w:rPr>
          <w:rFonts w:hint="default" w:ascii="仿宋" w:hAnsi="仿宋" w:eastAsia="仿宋_GB2312" w:cs="仿宋"/>
          <w:b w:val="0"/>
          <w:i w:val="0"/>
          <w:color w:val="auto"/>
          <w:spacing w:val="14"/>
          <w:kern w:val="2"/>
          <w:sz w:val="32"/>
          <w:szCs w:val="28"/>
          <w:lang w:val="en-US" w:eastAsia="zh-CN" w:bidi="ar-SA"/>
        </w:rPr>
        <w:t>1356.15</w:t>
      </w:r>
      <w:r>
        <w:rPr>
          <w:rFonts w:hint="eastAsia" w:ascii="仿宋" w:hAnsi="仿宋" w:eastAsia="仿宋_GB2312" w:cs="仿宋"/>
          <w:b w:val="0"/>
          <w:i w:val="0"/>
          <w:color w:val="auto"/>
          <w:spacing w:val="14"/>
          <w:kern w:val="2"/>
          <w:sz w:val="32"/>
          <w:szCs w:val="28"/>
          <w:lang w:val="en-US" w:eastAsia="zh-CN" w:bidi="ar-SA"/>
        </w:rPr>
        <w:t>万元。</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四、租金价格</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本项目租金单价参考项目资产评估报告，按9元/㎡月计取，租金每三年递增5%。</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如果社会资本方在运营期前五年达到广东省养老机构星级评定标准中四星级/五星级养老机构标准，则自评定后返还</w:t>
      </w:r>
      <w:r>
        <w:rPr>
          <w:rFonts w:hint="eastAsia" w:ascii="仿宋" w:hAnsi="仿宋" w:eastAsia="仿宋_GB2312" w:cs="仿宋"/>
          <w:b w:val="0"/>
          <w:i w:val="0"/>
          <w:color w:val="FF0000"/>
          <w:spacing w:val="14"/>
          <w:kern w:val="2"/>
          <w:sz w:val="32"/>
          <w:szCs w:val="28"/>
          <w:lang w:val="en-US" w:eastAsia="zh-CN" w:bidi="ar-SA"/>
        </w:rPr>
        <w:t>当年</w:t>
      </w:r>
      <w:r>
        <w:rPr>
          <w:rFonts w:hint="eastAsia" w:ascii="仿宋" w:hAnsi="仿宋" w:eastAsia="仿宋_GB2312" w:cs="仿宋"/>
          <w:b w:val="0"/>
          <w:i w:val="0"/>
          <w:color w:val="auto"/>
          <w:spacing w:val="14"/>
          <w:kern w:val="2"/>
          <w:sz w:val="32"/>
          <w:szCs w:val="28"/>
          <w:lang w:val="en-US" w:eastAsia="zh-CN" w:bidi="ar-SA"/>
        </w:rPr>
        <w:t>租金20%/30%，其他年份租金不返还。如果社会资本方在运营期前五年未能达到广东省养老机构星级评定标准中四星级或以上等级的养老机构标准，则租金没有任何返还。</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基准年（第1年）租金为</w:t>
      </w:r>
      <w:r>
        <w:rPr>
          <w:rFonts w:hint="default" w:ascii="仿宋" w:hAnsi="仿宋" w:eastAsia="仿宋_GB2312" w:cs="仿宋"/>
          <w:b w:val="0"/>
          <w:i w:val="0"/>
          <w:color w:val="auto"/>
          <w:spacing w:val="14"/>
          <w:kern w:val="2"/>
          <w:sz w:val="32"/>
          <w:szCs w:val="28"/>
          <w:lang w:val="en-US" w:eastAsia="zh-CN" w:bidi="ar-SA"/>
        </w:rPr>
        <w:t>81.81</w:t>
      </w:r>
      <w:r>
        <w:rPr>
          <w:rFonts w:hint="eastAsia" w:ascii="仿宋" w:hAnsi="仿宋" w:eastAsia="仿宋_GB2312" w:cs="仿宋"/>
          <w:b w:val="0"/>
          <w:i w:val="0"/>
          <w:color w:val="auto"/>
          <w:spacing w:val="14"/>
          <w:kern w:val="2"/>
          <w:sz w:val="32"/>
          <w:szCs w:val="28"/>
          <w:lang w:val="en-US" w:eastAsia="zh-CN" w:bidi="ar-SA"/>
        </w:rPr>
        <w:t>万元/年，其余各年租金情况详见表4.3.2-1。</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租赁期15年内，如无任何租金减免，则政府共收租金</w:t>
      </w:r>
      <w:r>
        <w:rPr>
          <w:rFonts w:hint="default" w:ascii="仿宋" w:hAnsi="仿宋" w:eastAsia="仿宋_GB2312" w:cs="仿宋"/>
          <w:b w:val="0"/>
          <w:i w:val="0"/>
          <w:color w:val="auto"/>
          <w:spacing w:val="14"/>
          <w:kern w:val="2"/>
          <w:sz w:val="32"/>
          <w:szCs w:val="28"/>
          <w:lang w:val="en-US" w:eastAsia="zh-CN" w:bidi="ar-SA"/>
        </w:rPr>
        <w:t>1356.15</w:t>
      </w:r>
      <w:r>
        <w:rPr>
          <w:rFonts w:hint="eastAsia" w:ascii="仿宋" w:hAnsi="仿宋" w:eastAsia="仿宋_GB2312" w:cs="仿宋"/>
          <w:b w:val="0"/>
          <w:i w:val="0"/>
          <w:color w:val="auto"/>
          <w:spacing w:val="14"/>
          <w:kern w:val="2"/>
          <w:sz w:val="32"/>
          <w:szCs w:val="28"/>
          <w:lang w:val="en-US" w:eastAsia="zh-CN" w:bidi="ar-SA"/>
        </w:rPr>
        <w:t>万元。</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表4.3.2-1各年租金情况表</w:t>
      </w:r>
    </w:p>
    <w:tbl>
      <w:tblPr>
        <w:tblStyle w:val="19"/>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442"/>
        <w:gridCol w:w="3250"/>
        <w:gridCol w:w="361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序号</w:t>
            </w:r>
          </w:p>
        </w:tc>
        <w:tc>
          <w:tcPr>
            <w:tcW w:w="1955"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年份</w:t>
            </w:r>
          </w:p>
        </w:tc>
        <w:tc>
          <w:tcPr>
            <w:tcW w:w="2176" w:type="pct"/>
            <w:noWrap w:val="0"/>
            <w:vAlign w:val="center"/>
          </w:tcPr>
          <w:p>
            <w:pPr>
              <w:pStyle w:val="18"/>
              <w:spacing w:line="360" w:lineRule="auto"/>
              <w:ind w:left="0" w:leftChars="0" w:firstLine="0" w:firstLineChars="0"/>
              <w:jc w:val="center"/>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标准租金</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（万元）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w:t>
            </w:r>
          </w:p>
        </w:tc>
        <w:tc>
          <w:tcPr>
            <w:tcW w:w="325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2024年</w:t>
            </w:r>
          </w:p>
        </w:tc>
        <w:tc>
          <w:tcPr>
            <w:tcW w:w="3617"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81.81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w:t>
            </w:r>
          </w:p>
        </w:tc>
        <w:tc>
          <w:tcPr>
            <w:tcW w:w="325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2025年</w:t>
            </w:r>
          </w:p>
        </w:tc>
        <w:tc>
          <w:tcPr>
            <w:tcW w:w="3617"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81.81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w:t>
            </w:r>
          </w:p>
        </w:tc>
        <w:tc>
          <w:tcPr>
            <w:tcW w:w="325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2026年</w:t>
            </w:r>
          </w:p>
        </w:tc>
        <w:tc>
          <w:tcPr>
            <w:tcW w:w="3617"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81.81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w:t>
            </w:r>
          </w:p>
        </w:tc>
        <w:tc>
          <w:tcPr>
            <w:tcW w:w="325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2027年</w:t>
            </w:r>
          </w:p>
        </w:tc>
        <w:tc>
          <w:tcPr>
            <w:tcW w:w="3617"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85.90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w:t>
            </w:r>
          </w:p>
        </w:tc>
        <w:tc>
          <w:tcPr>
            <w:tcW w:w="325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2028年</w:t>
            </w:r>
          </w:p>
        </w:tc>
        <w:tc>
          <w:tcPr>
            <w:tcW w:w="3617"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85.90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73"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w:t>
            </w:r>
          </w:p>
        </w:tc>
        <w:tc>
          <w:tcPr>
            <w:tcW w:w="325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2029年</w:t>
            </w:r>
          </w:p>
        </w:tc>
        <w:tc>
          <w:tcPr>
            <w:tcW w:w="3617"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85.90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7</w:t>
            </w:r>
          </w:p>
        </w:tc>
        <w:tc>
          <w:tcPr>
            <w:tcW w:w="325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2030年</w:t>
            </w:r>
          </w:p>
        </w:tc>
        <w:tc>
          <w:tcPr>
            <w:tcW w:w="3617"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90.19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72"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w:t>
            </w:r>
          </w:p>
        </w:tc>
        <w:tc>
          <w:tcPr>
            <w:tcW w:w="325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2031年</w:t>
            </w:r>
          </w:p>
        </w:tc>
        <w:tc>
          <w:tcPr>
            <w:tcW w:w="3617"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90.19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w:t>
            </w:r>
          </w:p>
        </w:tc>
        <w:tc>
          <w:tcPr>
            <w:tcW w:w="325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2032年</w:t>
            </w:r>
          </w:p>
        </w:tc>
        <w:tc>
          <w:tcPr>
            <w:tcW w:w="3617"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90.19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w:t>
            </w:r>
          </w:p>
        </w:tc>
        <w:tc>
          <w:tcPr>
            <w:tcW w:w="325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2033年</w:t>
            </w:r>
          </w:p>
        </w:tc>
        <w:tc>
          <w:tcPr>
            <w:tcW w:w="3617"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94.70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11</w:t>
            </w:r>
          </w:p>
        </w:tc>
        <w:tc>
          <w:tcPr>
            <w:tcW w:w="325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2034年</w:t>
            </w:r>
          </w:p>
        </w:tc>
        <w:tc>
          <w:tcPr>
            <w:tcW w:w="3617"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94.70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12</w:t>
            </w:r>
          </w:p>
        </w:tc>
        <w:tc>
          <w:tcPr>
            <w:tcW w:w="325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2035年</w:t>
            </w:r>
          </w:p>
        </w:tc>
        <w:tc>
          <w:tcPr>
            <w:tcW w:w="3617"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94.70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13</w:t>
            </w:r>
          </w:p>
        </w:tc>
        <w:tc>
          <w:tcPr>
            <w:tcW w:w="325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2036年</w:t>
            </w:r>
          </w:p>
        </w:tc>
        <w:tc>
          <w:tcPr>
            <w:tcW w:w="3617"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99.44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14</w:t>
            </w:r>
          </w:p>
        </w:tc>
        <w:tc>
          <w:tcPr>
            <w:tcW w:w="325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2037年</w:t>
            </w:r>
          </w:p>
        </w:tc>
        <w:tc>
          <w:tcPr>
            <w:tcW w:w="3617"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99.44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73"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15</w:t>
            </w:r>
          </w:p>
        </w:tc>
        <w:tc>
          <w:tcPr>
            <w:tcW w:w="325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2038年</w:t>
            </w:r>
          </w:p>
        </w:tc>
        <w:tc>
          <w:tcPr>
            <w:tcW w:w="3617"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99.44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868"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合计</w:t>
            </w:r>
          </w:p>
        </w:tc>
        <w:tc>
          <w:tcPr>
            <w:tcW w:w="1955" w:type="pct"/>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p>
        </w:tc>
        <w:tc>
          <w:tcPr>
            <w:tcW w:w="3617"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1356.15</w:t>
            </w:r>
          </w:p>
        </w:tc>
      </w:tr>
    </w:tbl>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91" w:name="_Toc11079"/>
      <w:r>
        <w:rPr>
          <w:rFonts w:hint="eastAsia" w:ascii="仿宋" w:hAnsi="仿宋" w:eastAsia="仿宋" w:cs="Times New Roman"/>
          <w:b/>
          <w:color w:val="auto"/>
          <w:szCs w:val="28"/>
          <w:lang w:val="en-US" w:eastAsia="zh-CN"/>
        </w:rPr>
        <w:t>4.3.3人工成本</w:t>
      </w:r>
      <w:bookmarkEnd w:id="91"/>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养老机构岗位设置及人员配备规范》（MZ/T187-2021）（以下简称“配备规范”），养老机构应根据行业特点设置管理岗位、专业技术岗位和工勤技能岗位等岗位，现有敬老院工作人员继续在院里工作，工作待遇不低于仁化县公办敬老院工作人员的待遇标准。</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管理岗位为承担领导职责或管理任务的工作岗位，包括但不限于养老机构院长、副院长、内设部门负责人岗位。</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专业技术岗位为承担专业技术工作职责、具有相应专业技术水平和能力要求的工作岗位，包括但不限于医疗、护理、康复、社会工作、健康管理岗位。</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工勤技能岗位为承担技能操作和维护、后勤保障、服务等职责的工作岗位，包括但不限于养老护理、维修维护、保洁绿化、特种作业、消防设施操作、信息管理、档案管理、接待管理、会计、出纳、厨师、门卫、洗涤岗位。</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其中，养老机构应按照实际入住老年人数量配备提供直接护理服务的专职养老护理员，配备比例应不低于下表中下限值的要求。</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表4.3.3-1养老护理员配备比例表</w:t>
      </w:r>
    </w:p>
    <w:tbl>
      <w:tblPr>
        <w:tblStyle w:val="19"/>
        <w:tblW w:w="8463" w:type="dxa"/>
        <w:tblInd w:w="3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547"/>
        <w:gridCol w:w="2652"/>
        <w:gridCol w:w="326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2547"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自理老年人</w:t>
            </w:r>
          </w:p>
        </w:tc>
        <w:tc>
          <w:tcPr>
            <w:tcW w:w="2652"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部分自理老年人</w:t>
            </w:r>
          </w:p>
        </w:tc>
        <w:tc>
          <w:tcPr>
            <w:tcW w:w="3264"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完全不能自理老年人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1" w:hRule="atLeast"/>
        </w:trPr>
        <w:tc>
          <w:tcPr>
            <w:tcW w:w="2547"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1:15-1:20</w:t>
            </w:r>
          </w:p>
        </w:tc>
        <w:tc>
          <w:tcPr>
            <w:tcW w:w="2652"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1:8-1:12</w:t>
            </w:r>
          </w:p>
        </w:tc>
        <w:tc>
          <w:tcPr>
            <w:tcW w:w="3264"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1:3-1:5</w:t>
            </w:r>
          </w:p>
        </w:tc>
      </w:tr>
    </w:tbl>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民政部2023年7月发布的《养老机构等级划分与评定》国家标准实施指南（2023版），五星级养老机构的养老护理员与重度失能老年人配比不低于1:3，与中度失能老年人配比不低于1:8，与轻度失能及能力完好老年人配比不低于1:15。本项目的运营定位为五星级养老机构，因此对于自理老年人护理员比例取1:15，对于部分自理老年人护理员比例取1:8，对于完全不能自理老年人护理员比例取1:3。计算得出本项目需要的养老护理员如下表所示：</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表4.3.3-2本项目养老护理员配备表（入住率100%时）</w:t>
      </w:r>
    </w:p>
    <w:tbl>
      <w:tblPr>
        <w:tblStyle w:val="19"/>
        <w:tblW w:w="852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929"/>
        <w:gridCol w:w="1199"/>
        <w:gridCol w:w="1124"/>
        <w:gridCol w:w="1483"/>
        <w:gridCol w:w="178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7" w:hRule="atLeast"/>
        </w:trPr>
        <w:tc>
          <w:tcPr>
            <w:tcW w:w="2929"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入住老人类型</w:t>
            </w:r>
          </w:p>
        </w:tc>
        <w:tc>
          <w:tcPr>
            <w:tcW w:w="1199"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比例</w:t>
            </w:r>
          </w:p>
        </w:tc>
        <w:tc>
          <w:tcPr>
            <w:tcW w:w="1124"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入住比例</w:t>
            </w:r>
          </w:p>
        </w:tc>
        <w:tc>
          <w:tcPr>
            <w:tcW w:w="1483"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预计入住老人数（人）</w:t>
            </w:r>
          </w:p>
        </w:tc>
        <w:tc>
          <w:tcPr>
            <w:tcW w:w="178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医护人员配置人数（人）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2929"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自理</w:t>
            </w:r>
          </w:p>
        </w:tc>
        <w:tc>
          <w:tcPr>
            <w:tcW w:w="1199"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1:15</w:t>
            </w:r>
          </w:p>
        </w:tc>
        <w:tc>
          <w:tcPr>
            <w:tcW w:w="1124"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10%</w:t>
            </w:r>
          </w:p>
        </w:tc>
        <w:tc>
          <w:tcPr>
            <w:tcW w:w="1483"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26</w:t>
            </w:r>
          </w:p>
        </w:tc>
        <w:tc>
          <w:tcPr>
            <w:tcW w:w="178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2929"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部分自理</w:t>
            </w:r>
          </w:p>
        </w:tc>
        <w:tc>
          <w:tcPr>
            <w:tcW w:w="1199"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1:8</w:t>
            </w:r>
          </w:p>
        </w:tc>
        <w:tc>
          <w:tcPr>
            <w:tcW w:w="1124"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80%</w:t>
            </w:r>
          </w:p>
        </w:tc>
        <w:tc>
          <w:tcPr>
            <w:tcW w:w="1483"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208</w:t>
            </w:r>
          </w:p>
        </w:tc>
        <w:tc>
          <w:tcPr>
            <w:tcW w:w="1788"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2929"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完全不能自理老年人</w:t>
            </w:r>
          </w:p>
        </w:tc>
        <w:tc>
          <w:tcPr>
            <w:tcW w:w="1199"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1:3</w:t>
            </w:r>
          </w:p>
        </w:tc>
        <w:tc>
          <w:tcPr>
            <w:tcW w:w="1124"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10%</w:t>
            </w:r>
          </w:p>
        </w:tc>
        <w:tc>
          <w:tcPr>
            <w:tcW w:w="1483"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26</w:t>
            </w:r>
          </w:p>
        </w:tc>
        <w:tc>
          <w:tcPr>
            <w:tcW w:w="178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77" w:hRule="atLeast"/>
        </w:trPr>
        <w:tc>
          <w:tcPr>
            <w:tcW w:w="2929"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合计</w:t>
            </w:r>
          </w:p>
        </w:tc>
        <w:tc>
          <w:tcPr>
            <w:tcW w:w="1199"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p>
        </w:tc>
        <w:tc>
          <w:tcPr>
            <w:tcW w:w="1124"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100%</w:t>
            </w:r>
          </w:p>
        </w:tc>
        <w:tc>
          <w:tcPr>
            <w:tcW w:w="1483"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260</w:t>
            </w:r>
          </w:p>
        </w:tc>
        <w:tc>
          <w:tcPr>
            <w:tcW w:w="1788"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30</w:t>
            </w:r>
          </w:p>
        </w:tc>
      </w:tr>
    </w:tbl>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共需养老护理员暂定30人，中标方需原待遇接纳现有敬老院员工14人，另外聘请16人，管理人员暂定为3人（院长、副院长、内设部门负责人），专业技术人员暂定为6人（包括医疗、护理、康复、社会工作、健康管理等岗位），工勤技能人员暂定为21人（包括养老护理、维修维护、保洁绿化、特种作业、消防设施操作、信息管理、档案管理、接待管理、会计、出纳、厨师、门卫、洗涤等岗位）。本项目定员为60人，各岗位设置及人员配备详见下表。</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表4.3.3-3本项目岗位设置及人员配备表（入住率95%时）</w:t>
      </w:r>
    </w:p>
    <w:tbl>
      <w:tblPr>
        <w:tblStyle w:val="19"/>
        <w:tblW w:w="852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848"/>
        <w:gridCol w:w="4358"/>
        <w:gridCol w:w="132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8" w:hRule="atLeast"/>
        </w:trPr>
        <w:tc>
          <w:tcPr>
            <w:tcW w:w="284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人员类型</w:t>
            </w:r>
          </w:p>
        </w:tc>
        <w:tc>
          <w:tcPr>
            <w:tcW w:w="435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岗位</w:t>
            </w:r>
          </w:p>
        </w:tc>
        <w:tc>
          <w:tcPr>
            <w:tcW w:w="132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人数（人）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8" w:hRule="atLeast"/>
        </w:trPr>
        <w:tc>
          <w:tcPr>
            <w:tcW w:w="284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管理人员</w:t>
            </w:r>
          </w:p>
        </w:tc>
        <w:tc>
          <w:tcPr>
            <w:tcW w:w="435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院长、副院长、内设部门负责人</w:t>
            </w:r>
          </w:p>
        </w:tc>
        <w:tc>
          <w:tcPr>
            <w:tcW w:w="132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838" w:hRule="atLeast"/>
        </w:trPr>
        <w:tc>
          <w:tcPr>
            <w:tcW w:w="284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专业技术人员</w:t>
            </w:r>
          </w:p>
        </w:tc>
        <w:tc>
          <w:tcPr>
            <w:tcW w:w="435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医疗、护理、康复、社会工作、健康管理等岗位</w:t>
            </w:r>
          </w:p>
        </w:tc>
        <w:tc>
          <w:tcPr>
            <w:tcW w:w="132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trPr>
        <w:tc>
          <w:tcPr>
            <w:tcW w:w="2848" w:type="dxa"/>
            <w:vMerge w:val="restart"/>
            <w:tcBorders>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工勤技能人员（养老护理、维修维护、保洁绿化、特种作业、消防设施操作、信息管理、档案管理、接待管理、会计、出纳、 厨师、门卫、洗涤等岗位）</w:t>
            </w:r>
          </w:p>
        </w:tc>
        <w:tc>
          <w:tcPr>
            <w:tcW w:w="435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养老护理员（根据入住老人按比例配置）</w:t>
            </w:r>
          </w:p>
        </w:tc>
        <w:tc>
          <w:tcPr>
            <w:tcW w:w="1320"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30（含现有工作人员14人）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trPr>
        <w:tc>
          <w:tcPr>
            <w:tcW w:w="2848" w:type="dxa"/>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p>
        </w:tc>
        <w:tc>
          <w:tcPr>
            <w:tcW w:w="435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维修维护、特种作业、消防设施操作</w:t>
            </w:r>
          </w:p>
        </w:tc>
        <w:tc>
          <w:tcPr>
            <w:tcW w:w="132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2848" w:type="dxa"/>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p>
        </w:tc>
        <w:tc>
          <w:tcPr>
            <w:tcW w:w="435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会计、出纳</w:t>
            </w:r>
          </w:p>
        </w:tc>
        <w:tc>
          <w:tcPr>
            <w:tcW w:w="132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trPr>
        <w:tc>
          <w:tcPr>
            <w:tcW w:w="2848" w:type="dxa"/>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p>
        </w:tc>
        <w:tc>
          <w:tcPr>
            <w:tcW w:w="435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信息管理、档案管理、接待管理</w:t>
            </w:r>
          </w:p>
        </w:tc>
        <w:tc>
          <w:tcPr>
            <w:tcW w:w="132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2848" w:type="dxa"/>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p>
        </w:tc>
        <w:tc>
          <w:tcPr>
            <w:tcW w:w="435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厨师</w:t>
            </w:r>
          </w:p>
        </w:tc>
        <w:tc>
          <w:tcPr>
            <w:tcW w:w="132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59" w:hRule="atLeast"/>
        </w:trPr>
        <w:tc>
          <w:tcPr>
            <w:tcW w:w="2848" w:type="dxa"/>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p>
        </w:tc>
        <w:tc>
          <w:tcPr>
            <w:tcW w:w="435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门卫</w:t>
            </w:r>
          </w:p>
        </w:tc>
        <w:tc>
          <w:tcPr>
            <w:tcW w:w="132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58" w:hRule="atLeast"/>
        </w:trPr>
        <w:tc>
          <w:tcPr>
            <w:tcW w:w="2848" w:type="dxa"/>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p>
        </w:tc>
        <w:tc>
          <w:tcPr>
            <w:tcW w:w="435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保洁绿化</w:t>
            </w:r>
          </w:p>
        </w:tc>
        <w:tc>
          <w:tcPr>
            <w:tcW w:w="132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2848" w:type="dxa"/>
            <w:vMerge w:val="continue"/>
            <w:tcBorders>
              <w:top w:val="nil"/>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p>
        </w:tc>
        <w:tc>
          <w:tcPr>
            <w:tcW w:w="435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洗涤</w:t>
            </w:r>
          </w:p>
        </w:tc>
        <w:tc>
          <w:tcPr>
            <w:tcW w:w="1320"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trPr>
        <w:tc>
          <w:tcPr>
            <w:tcW w:w="284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合计</w:t>
            </w:r>
          </w:p>
        </w:tc>
        <w:tc>
          <w:tcPr>
            <w:tcW w:w="4358" w:type="dxa"/>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p>
        </w:tc>
        <w:tc>
          <w:tcPr>
            <w:tcW w:w="1320" w:type="dxa"/>
            <w:noWrap w:val="0"/>
            <w:vAlign w:val="center"/>
          </w:tcPr>
          <w:p>
            <w:pPr>
              <w:pStyle w:val="18"/>
              <w:spacing w:line="360" w:lineRule="auto"/>
              <w:ind w:left="0" w:leftChars="0" w:firstLine="0" w:firstLineChars="0"/>
              <w:jc w:val="center"/>
              <w:rPr>
                <w:rFonts w:hint="default"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60</w:t>
            </w:r>
          </w:p>
        </w:tc>
      </w:tr>
    </w:tbl>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韶关市人力资源和社会保障局制发《2024年韶关市人力资源市场工资价位及行业人工成本信息》，参考2024年职业工资价位、岗位等级工资价位的中位数（将通过企业薪酬调查获取的数据按由低到高的顺序排序，排在50％中间位置的数据值，反映市场的中等水平）确定本项目各岗位人工成本。</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管理人员”工资参考高等管理人员中位数9536/月，“专业技术人员”工资参考专业技术职称中级（8274元/月）和初级（5900元/月）中位数的平均值7087元/月，“养老护理员”工资参考职业技能中级中位数5508元/月，“维修维护、特种作业、消防设施操作”工资参考特种设备管理和应用工程技术人员中位数5628元/月，“会计、出纳”工资参考会计专业人员中位数5053元/月，“信息管理、档案管理、接待管理员”工资参考打字员中位数3950元/月，“厨师”工资参考中式烹调师中位数4197元/月，“门卫”工资参考保安员中位数2700元/月，“保洁绿化、洗涤人员”工资参考环境卫生服务人员中位数2699元/月。其中养老护理员的人数根据入住老人配置，其人工成本为可变成本。其他人员的人数与入住率无关，为固定人工成本。</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韶关市人力资源和社会保障局制发《2024年韶关市人力资源市场工资价位及行业人工成本信息》行业人工成本构成，全行业从业人员劳动报酬占人工成本的比例为82.59%，其他人工成本合计占总人工成本的比例为17.41%，其他人工成本包括福利费用、教育经费、社会保险费用、劳动保护费用、住房费用和其他人工成本。本项目其他人工成本按总人工成本的比例为17.41%计算，年成本为12.41万/年。</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综上，本项目入住率为100%时，每年总人工成本（包括工资及其他人工成本）为420.93万/年，详见下表。</w:t>
      </w: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sectPr>
          <w:headerReference r:id="rId8" w:type="default"/>
          <w:footerReference r:id="rId9" w:type="default"/>
          <w:pgSz w:w="11906" w:h="16839"/>
          <w:pgMar w:top="1440" w:right="1800" w:bottom="1440" w:left="1800" w:header="829" w:footer="775" w:gutter="0"/>
          <w:pgBorders>
            <w:top w:val="none" w:sz="0" w:space="0"/>
            <w:left w:val="none" w:sz="0" w:space="0"/>
            <w:bottom w:val="none" w:sz="0" w:space="0"/>
            <w:right w:val="none" w:sz="0" w:space="0"/>
          </w:pgBorders>
          <w:pgNumType w:fmt="numberInDash"/>
          <w:cols w:space="720" w:num="1"/>
        </w:sectPr>
      </w:pP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表4.3.3-4本项目各岗位人员配置表（入住率100%时）</w:t>
      </w:r>
    </w:p>
    <w:tbl>
      <w:tblPr>
        <w:tblStyle w:val="12"/>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39"/>
        <w:gridCol w:w="1855"/>
        <w:gridCol w:w="1570"/>
        <w:gridCol w:w="1567"/>
        <w:gridCol w:w="1415"/>
        <w:gridCol w:w="915"/>
        <w:gridCol w:w="977"/>
        <w:gridCol w:w="915"/>
        <w:gridCol w:w="1124"/>
        <w:gridCol w:w="940"/>
        <w:gridCol w:w="799"/>
        <w:gridCol w:w="78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75" w:hRule="atLeast"/>
        </w:trPr>
        <w:tc>
          <w:tcPr>
            <w:tcW w:w="439"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人员类型</w:t>
            </w:r>
          </w:p>
        </w:tc>
        <w:tc>
          <w:tcPr>
            <w:tcW w:w="6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岗位</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人数（人）</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固定工数</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可变人工数</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月均工资（元/月）</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年均工资（万元/年）</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其他人工成本（万元/年）</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人工年成本（万元/年）</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固定人员工资总成本（万元）</w:t>
            </w:r>
          </w:p>
        </w:tc>
        <w:tc>
          <w:tcPr>
            <w:tcW w:w="28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可变人员工资总成本（万元）</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全部人员（固定+可变）人工成本（万元/年）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439"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管理人员</w:t>
            </w:r>
          </w:p>
        </w:tc>
        <w:tc>
          <w:tcPr>
            <w:tcW w:w="6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院长、副院长、内设部门负责人</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3</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3</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0</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9536</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11.44 </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2.41 </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13.86 </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41.57 </w:t>
            </w:r>
          </w:p>
        </w:tc>
        <w:tc>
          <w:tcPr>
            <w:tcW w:w="28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0.00 </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41.57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439"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专业技术人员</w:t>
            </w:r>
          </w:p>
        </w:tc>
        <w:tc>
          <w:tcPr>
            <w:tcW w:w="6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医疗、护理、康复、社会工作、健康管理等岗位</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6</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6</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0</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7087</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8.50 </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1.79 </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10.30 </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61.78 </w:t>
            </w:r>
          </w:p>
        </w:tc>
        <w:tc>
          <w:tcPr>
            <w:tcW w:w="28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0.00 </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61.78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43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工勤技能人员（包括养老护理、维修维护、保洁绿化、特种作业、消防设施操作、信息管理、档案管理、接待管理、会计、出纳、厨师、门卫、洗涤等岗位）</w:t>
            </w:r>
          </w:p>
        </w:tc>
        <w:tc>
          <w:tcPr>
            <w:tcW w:w="6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养老护理员（根据入住率变动）</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16</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0</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16</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5508</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6.61 </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1.39 </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8.00 </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0.00 </w:t>
            </w:r>
          </w:p>
        </w:tc>
        <w:tc>
          <w:tcPr>
            <w:tcW w:w="28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128.05 </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128.05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10" w:hRule="atLeast"/>
        </w:trPr>
        <w:tc>
          <w:tcPr>
            <w:tcW w:w="43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6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维修维护、特种作 业、消防设施操作</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3</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3</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0</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5628</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6.75 </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1.42 </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8.18 </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24.53 </w:t>
            </w:r>
          </w:p>
        </w:tc>
        <w:tc>
          <w:tcPr>
            <w:tcW w:w="28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0.00 </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24.53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3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6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会计、出纳</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2</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2</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0</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5053</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6.06 </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1.28 </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7.34 </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14.68 </w:t>
            </w:r>
          </w:p>
        </w:tc>
        <w:tc>
          <w:tcPr>
            <w:tcW w:w="28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0.00 </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14.68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43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6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信息管理、档案管 理、接待管理</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3</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3</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0</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3950</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4.74 </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1.00 </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5.74 </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17.22 </w:t>
            </w:r>
          </w:p>
        </w:tc>
        <w:tc>
          <w:tcPr>
            <w:tcW w:w="28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0.00 </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17.22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3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6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厨师</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5</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5</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0</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4197</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5.04 </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1.06 </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6.10 </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30.49 </w:t>
            </w:r>
          </w:p>
        </w:tc>
        <w:tc>
          <w:tcPr>
            <w:tcW w:w="28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0.00 </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30.49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3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6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门卫</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4</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4</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0</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2700</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3.24 </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0.68 </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3.92 </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15.69 </w:t>
            </w:r>
          </w:p>
        </w:tc>
        <w:tc>
          <w:tcPr>
            <w:tcW w:w="28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0.00 </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15.69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3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6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保洁绿化</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2</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2</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0</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2699</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3.24 </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0.68 </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3.92 </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7.84 </w:t>
            </w:r>
          </w:p>
        </w:tc>
        <w:tc>
          <w:tcPr>
            <w:tcW w:w="28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0.00 </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7.84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3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6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洗涤</w:t>
            </w: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2</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2</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0</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2699</w:t>
            </w: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3.24 </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0.68 </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3.92 </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7.84 </w:t>
            </w:r>
          </w:p>
        </w:tc>
        <w:tc>
          <w:tcPr>
            <w:tcW w:w="28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0.00 </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7.84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439" w:type="pct"/>
            <w:tcBorders>
              <w:top w:val="nil"/>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现有敬老院养老护理员</w:t>
            </w:r>
          </w:p>
        </w:tc>
        <w:tc>
          <w:tcPr>
            <w:tcW w:w="6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71.23 </w:t>
            </w:r>
          </w:p>
        </w:tc>
        <w:tc>
          <w:tcPr>
            <w:tcW w:w="28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71.23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39"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合计</w:t>
            </w:r>
          </w:p>
        </w:tc>
        <w:tc>
          <w:tcPr>
            <w:tcW w:w="6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5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46</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30</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16</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58.87 </w:t>
            </w:r>
          </w:p>
        </w:tc>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12.41 </w:t>
            </w:r>
          </w:p>
        </w:tc>
        <w:tc>
          <w:tcPr>
            <w:tcW w:w="39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71.28 </w:t>
            </w:r>
          </w:p>
        </w:tc>
        <w:tc>
          <w:tcPr>
            <w:tcW w:w="33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292.88 </w:t>
            </w:r>
          </w:p>
        </w:tc>
        <w:tc>
          <w:tcPr>
            <w:tcW w:w="28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128.05 </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color w:val="auto"/>
                <w:spacing w:val="14"/>
                <w:kern w:val="2"/>
                <w:sz w:val="15"/>
                <w:szCs w:val="15"/>
                <w:lang w:val="en-US" w:eastAsia="zh-CN" w:bidi="ar-SA"/>
              </w:rPr>
              <w:t xml:space="preserve">420.93 </w:t>
            </w:r>
          </w:p>
        </w:tc>
      </w:tr>
    </w:tbl>
    <w:p>
      <w:pPr>
        <w:pStyle w:val="18"/>
        <w:spacing w:line="360" w:lineRule="auto"/>
        <w:ind w:left="0" w:leftChars="0" w:firstLine="0" w:firstLineChars="0"/>
        <w:jc w:val="center"/>
        <w:rPr>
          <w:rFonts w:hint="eastAsia" w:ascii="仿宋" w:hAnsi="仿宋" w:eastAsia="仿宋_GB2312" w:cs="仿宋"/>
          <w:b w:val="0"/>
          <w:i w:val="0"/>
          <w:color w:val="auto"/>
          <w:spacing w:val="14"/>
          <w:kern w:val="2"/>
          <w:sz w:val="32"/>
          <w:szCs w:val="28"/>
          <w:lang w:val="en-US" w:eastAsia="zh-CN" w:bidi="ar-SA"/>
        </w:rPr>
      </w:pPr>
    </w:p>
    <w:p>
      <w:pPr>
        <w:pStyle w:val="18"/>
        <w:spacing w:line="360" w:lineRule="auto"/>
        <w:ind w:left="0" w:leftChars="0" w:firstLine="0" w:firstLineChars="0"/>
        <w:jc w:val="center"/>
        <w:rPr>
          <w:rFonts w:hint="eastAsia" w:ascii="仿宋" w:hAnsi="仿宋" w:eastAsia="仿宋_GB2312" w:cs="仿宋"/>
          <w:b w:val="0"/>
          <w:i w:val="0"/>
          <w:color w:val="auto"/>
          <w:spacing w:val="14"/>
          <w:kern w:val="2"/>
          <w:sz w:val="32"/>
          <w:szCs w:val="28"/>
          <w:lang w:val="en-US" w:eastAsia="zh-CN" w:bidi="ar-SA"/>
        </w:rPr>
      </w:pPr>
    </w:p>
    <w:p>
      <w:pPr>
        <w:pStyle w:val="18"/>
        <w:spacing w:line="360" w:lineRule="auto"/>
        <w:ind w:left="0" w:leftChars="0" w:firstLine="0" w:firstLineChars="0"/>
        <w:jc w:val="center"/>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丹霞街道敬老院工作人员（养老护理员）工资</w:t>
      </w:r>
    </w:p>
    <w:p>
      <w:pPr>
        <w:pStyle w:val="18"/>
        <w:spacing w:line="360" w:lineRule="auto"/>
        <w:ind w:left="0" w:leftChars="0" w:firstLine="0" w:firstLineChars="0"/>
        <w:jc w:val="center"/>
        <w:rPr>
          <w:rFonts w:hint="default" w:ascii="仿宋" w:hAnsi="仿宋" w:eastAsia="仿宋_GB2312" w:cs="仿宋"/>
          <w:b w:val="0"/>
          <w:i w:val="0"/>
          <w:color w:val="auto"/>
          <w:spacing w:val="14"/>
          <w:kern w:val="2"/>
          <w:sz w:val="32"/>
          <w:szCs w:val="28"/>
          <w:lang w:val="en-US" w:eastAsia="zh-CN" w:bidi="ar-SA"/>
        </w:rPr>
      </w:pPr>
      <w:r>
        <w:rPr>
          <w:color w:val="auto"/>
        </w:rPr>
        <w:drawing>
          <wp:inline distT="0" distB="0" distL="114300" distR="114300">
            <wp:extent cx="4167505" cy="4656455"/>
            <wp:effectExtent l="0" t="0" r="4445" b="1079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4"/>
                    <a:stretch>
                      <a:fillRect/>
                    </a:stretch>
                  </pic:blipFill>
                  <pic:spPr>
                    <a:xfrm>
                      <a:off x="0" y="0"/>
                      <a:ext cx="4167505" cy="4656455"/>
                    </a:xfrm>
                    <a:prstGeom prst="rect">
                      <a:avLst/>
                    </a:prstGeom>
                    <a:noFill/>
                    <a:ln>
                      <a:noFill/>
                    </a:ln>
                  </pic:spPr>
                </pic:pic>
              </a:graphicData>
            </a:graphic>
          </wp:inline>
        </w:drawing>
      </w: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sectPr>
          <w:headerReference r:id="rId10" w:type="default"/>
          <w:footerReference r:id="rId11" w:type="default"/>
          <w:pgSz w:w="16839" w:h="11906"/>
          <w:pgMar w:top="1166" w:right="1402" w:bottom="1362" w:left="1544" w:header="829" w:footer="1200" w:gutter="0"/>
          <w:pgBorders>
            <w:top w:val="none" w:sz="0" w:space="0"/>
            <w:left w:val="none" w:sz="0" w:space="0"/>
            <w:bottom w:val="none" w:sz="0" w:space="0"/>
            <w:right w:val="none" w:sz="0" w:space="0"/>
          </w:pgBorders>
          <w:pgNumType w:fmt="numberInDash"/>
          <w:cols w:space="720" w:num="1"/>
        </w:sectPr>
      </w:pP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参考韶关市区居民消费价格总指数CPI近10年的平均增长率1.58%，本项目的人工成本按每年增长1.58%预估，计算出运营期各年的人工成本费用，详见下表。</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表4.3.3-5本项目运营期各年的人工成本费用预估</w:t>
      </w:r>
    </w:p>
    <w:tbl>
      <w:tblPr>
        <w:tblStyle w:val="1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76"/>
        <w:gridCol w:w="1627"/>
        <w:gridCol w:w="1371"/>
        <w:gridCol w:w="1373"/>
        <w:gridCol w:w="1238"/>
        <w:gridCol w:w="917"/>
        <w:gridCol w:w="91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运营期</w:t>
            </w:r>
          </w:p>
        </w:tc>
        <w:tc>
          <w:tcPr>
            <w:tcW w:w="97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入住率</w:t>
            </w:r>
          </w:p>
        </w:tc>
        <w:tc>
          <w:tcPr>
            <w:tcW w:w="164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员工人数（人/年）</w:t>
            </w:r>
          </w:p>
        </w:tc>
        <w:tc>
          <w:tcPr>
            <w:tcW w:w="122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人工成本（万元/年）</w:t>
            </w:r>
          </w:p>
        </w:tc>
        <w:tc>
          <w:tcPr>
            <w:tcW w:w="51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人工成本合计（固定+可变）（万元/年）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（年）</w:t>
            </w:r>
          </w:p>
        </w:tc>
        <w:tc>
          <w:tcPr>
            <w:tcW w:w="9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固定人员</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可变人员</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固定人员</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可变人员</w:t>
            </w:r>
          </w:p>
        </w:tc>
        <w:tc>
          <w:tcPr>
            <w:tcW w:w="51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20%</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 </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292.88 </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25.61 </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318.49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40%</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6 </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297.51 </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51.22 </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348.73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60%</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10 </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302.21 </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76.83 </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379.04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4</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80%</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13 </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306.99 </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102.44 </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409.43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95%</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15 </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311.84 </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121.64 </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433.48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6</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95%</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15 </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316.77 </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121.64 </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438.41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7</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95%</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15 </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321.77 </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121.64 </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443.41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8</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95%</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15 </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326.85 </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121.64 </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448.50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9</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95%</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15 </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332.02 </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121.64 </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453.66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10</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95%</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15 </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337.26 </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121.64 </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458.91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11</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95%</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15 </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342.59 </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121.64 </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464.24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12</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95%</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15 </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348.01 </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121.64 </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469.65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13</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95%</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15 </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353.50 </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121.64 </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475.15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14</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95%</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15 </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359.09 </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121.64 </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480.73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15</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95%</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15 </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364.76 </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121.64 </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486.41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合计</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82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4914.07 </w:t>
            </w:r>
          </w:p>
        </w:tc>
        <w:tc>
          <w:tcPr>
            <w:tcW w:w="4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1594.18 </w:t>
            </w:r>
          </w:p>
        </w:tc>
        <w:tc>
          <w:tcPr>
            <w:tcW w:w="51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6508.25 </w:t>
            </w:r>
          </w:p>
        </w:tc>
      </w:tr>
    </w:tbl>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租赁期15年内，社会资本方的总人工成本费用预计为6508.25万元。</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92" w:name="_Toc7917"/>
      <w:r>
        <w:rPr>
          <w:rFonts w:hint="eastAsia" w:ascii="仿宋" w:hAnsi="仿宋" w:eastAsia="仿宋" w:cs="Times New Roman"/>
          <w:b/>
          <w:color w:val="auto"/>
          <w:szCs w:val="28"/>
          <w:lang w:val="en-US" w:eastAsia="zh-CN"/>
        </w:rPr>
        <w:t>4.3.4配餐成本</w:t>
      </w:r>
      <w:bookmarkEnd w:id="92"/>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配餐成本与入住率、食材成本、物价上涨水平等因素相关。养老服务中入住老人所需食材成本按：早餐3元/人、午餐8元/人、晚餐10元/人计算，入住率100%时，年配餐成本为196万元/年（21元/天*365天*260人/10000=199.29万元）。参考韶关市近10年CPI指数的平均值递增，配餐成本按年均递增1.58%预估。</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经测算，租赁期15年内，社会资本方的配餐成本预计为2812.42万元，详见下表。</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表4.3.4-1本项目运营期各年配餐成本费用预估</w:t>
      </w:r>
    </w:p>
    <w:tbl>
      <w:tblPr>
        <w:tblStyle w:val="1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182"/>
        <w:gridCol w:w="1797"/>
        <w:gridCol w:w="1512"/>
        <w:gridCol w:w="1512"/>
        <w:gridCol w:w="1362"/>
        <w:gridCol w:w="115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运营期（年）</w:t>
            </w:r>
          </w:p>
        </w:tc>
        <w:tc>
          <w:tcPr>
            <w:tcW w:w="108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运营年份</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入住率</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当年入住床位（个）</w:t>
            </w: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食材成本（元/天床）</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配餐年成本（万元/年）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1 </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2024 年</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20.00%</w:t>
            </w:r>
          </w:p>
        </w:tc>
        <w:tc>
          <w:tcPr>
            <w:tcW w:w="916"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52 </w:t>
            </w: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21 </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39.86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 </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2025 年</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40.00%</w:t>
            </w:r>
          </w:p>
        </w:tc>
        <w:tc>
          <w:tcPr>
            <w:tcW w:w="916"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104 </w:t>
            </w: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21.33 </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80.98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3 </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2026 年</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60.00%</w:t>
            </w:r>
          </w:p>
        </w:tc>
        <w:tc>
          <w:tcPr>
            <w:tcW w:w="916"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156 </w:t>
            </w: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21.67 </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123.38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4 </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2027 年</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80.00%</w:t>
            </w:r>
          </w:p>
        </w:tc>
        <w:tc>
          <w:tcPr>
            <w:tcW w:w="916"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208 </w:t>
            </w: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22.01 </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167.11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5 </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2028 年</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95.00%</w:t>
            </w:r>
          </w:p>
        </w:tc>
        <w:tc>
          <w:tcPr>
            <w:tcW w:w="916"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247 </w:t>
            </w: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22.36 </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201.58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6 </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2029 年</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95.00%</w:t>
            </w:r>
          </w:p>
        </w:tc>
        <w:tc>
          <w:tcPr>
            <w:tcW w:w="916"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247 </w:t>
            </w: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22.71 </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204.76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7 </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2030 年</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95.00%</w:t>
            </w:r>
          </w:p>
        </w:tc>
        <w:tc>
          <w:tcPr>
            <w:tcW w:w="916"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247 </w:t>
            </w: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23.07 </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208.00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8 </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2031 年</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95.00%</w:t>
            </w:r>
          </w:p>
        </w:tc>
        <w:tc>
          <w:tcPr>
            <w:tcW w:w="916"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247 </w:t>
            </w: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23.44 </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211.28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9 </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2032 年</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95.00%</w:t>
            </w:r>
          </w:p>
        </w:tc>
        <w:tc>
          <w:tcPr>
            <w:tcW w:w="916"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247 </w:t>
            </w: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23.81 </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214.62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10 </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2033 年</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95.00%</w:t>
            </w:r>
          </w:p>
        </w:tc>
        <w:tc>
          <w:tcPr>
            <w:tcW w:w="916"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247 </w:t>
            </w: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24.18 </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218.01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11 </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2034 年</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95.00%</w:t>
            </w:r>
          </w:p>
        </w:tc>
        <w:tc>
          <w:tcPr>
            <w:tcW w:w="916"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247 </w:t>
            </w: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24.56 </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221.46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12 </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2035 年</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95.00%</w:t>
            </w:r>
          </w:p>
        </w:tc>
        <w:tc>
          <w:tcPr>
            <w:tcW w:w="916"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247 </w:t>
            </w: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24.95 </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224.96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13 </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2036 年</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95.00%</w:t>
            </w:r>
          </w:p>
        </w:tc>
        <w:tc>
          <w:tcPr>
            <w:tcW w:w="916"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247 </w:t>
            </w: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25.35 </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228.51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14 </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2037 年</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95.00%</w:t>
            </w:r>
          </w:p>
        </w:tc>
        <w:tc>
          <w:tcPr>
            <w:tcW w:w="916"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247 </w:t>
            </w: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25.75 </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232.12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15 </w:t>
            </w:r>
          </w:p>
        </w:tc>
        <w:tc>
          <w:tcPr>
            <w:tcW w:w="1797"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2038 年</w:t>
            </w: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95.00%</w:t>
            </w:r>
          </w:p>
        </w:tc>
        <w:tc>
          <w:tcPr>
            <w:tcW w:w="916"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247 </w:t>
            </w: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26.15 </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235.79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72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合计</w:t>
            </w:r>
          </w:p>
        </w:tc>
        <w:tc>
          <w:tcPr>
            <w:tcW w:w="1083"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p>
        </w:tc>
        <w:tc>
          <w:tcPr>
            <w:tcW w:w="916"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p>
        </w:tc>
        <w:tc>
          <w:tcPr>
            <w:tcW w:w="8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center"/>
              <w:rPr>
                <w:rFonts w:hint="eastAsia" w:ascii="仿宋" w:hAnsi="仿宋" w:eastAsia="仿宋" w:cs="仿宋"/>
                <w:color w:val="auto"/>
                <w:spacing w:val="14"/>
                <w:kern w:val="2"/>
                <w:sz w:val="24"/>
                <w:szCs w:val="24"/>
                <w:lang w:val="en-US" w:eastAsia="zh-CN" w:bidi="ar-SA"/>
              </w:rPr>
            </w:pPr>
            <w:r>
              <w:rPr>
                <w:rFonts w:hint="eastAsia" w:ascii="仿宋" w:hAnsi="仿宋" w:eastAsia="仿宋" w:cs="仿宋"/>
                <w:color w:val="auto"/>
                <w:spacing w:val="14"/>
                <w:kern w:val="2"/>
                <w:sz w:val="24"/>
                <w:szCs w:val="24"/>
                <w:lang w:val="en-US" w:eastAsia="zh-CN" w:bidi="ar-SA"/>
              </w:rPr>
              <w:t xml:space="preserve">2812.42 </w:t>
            </w:r>
          </w:p>
        </w:tc>
      </w:tr>
    </w:tbl>
    <w:p>
      <w:pPr>
        <w:pStyle w:val="18"/>
        <w:spacing w:line="360" w:lineRule="auto"/>
        <w:ind w:left="0" w:leftChars="0" w:firstLine="0" w:firstLineChars="0"/>
        <w:jc w:val="center"/>
        <w:rPr>
          <w:rFonts w:hint="eastAsia" w:ascii="仿宋" w:hAnsi="仿宋" w:eastAsia="仿宋_GB2312" w:cs="仿宋"/>
          <w:b w:val="0"/>
          <w:i w:val="0"/>
          <w:color w:val="auto"/>
          <w:spacing w:val="14"/>
          <w:kern w:val="2"/>
          <w:sz w:val="32"/>
          <w:szCs w:val="28"/>
          <w:lang w:val="en-US" w:eastAsia="zh-CN" w:bidi="ar-SA"/>
        </w:rPr>
      </w:pP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93" w:name="_Toc21834"/>
      <w:r>
        <w:rPr>
          <w:rFonts w:hint="eastAsia" w:ascii="仿宋" w:hAnsi="仿宋" w:eastAsia="仿宋" w:cs="Times New Roman"/>
          <w:b/>
          <w:color w:val="auto"/>
          <w:szCs w:val="28"/>
          <w:lang w:val="en-US" w:eastAsia="zh-CN"/>
        </w:rPr>
        <w:t>4.3.5外购燃动力成本</w:t>
      </w:r>
      <w:bookmarkEnd w:id="93"/>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外购燃动力成本包含水费、电费和燃气费。</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一、水费</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本项目用水量主要为入住老人生活用水、工作人员用水、室外绿化及冲洗用水、未预见水量。</w:t>
      </w: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拟建188张床位，建成后最高可收纳188个老年人入住，根据《广东省用水定额》(DB44/T1461-2021)，生活用水按日人均用水量150L/人·d计算该项目用水量，年用水天数按365天计，老人生活用水最高年水量为1.02万m3。工作人员最高人数为56人，用水量按150L/人·d计算，年用水天数按250天计，工作人员用水最高年水量为0.21万m3。</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水费的支出金额与入住率、水费单价、物价上涨等因素有关。</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根据韶关市水务投资集团有限公司2022年3月公布最新水价，经营服务用水自来水价为2.58元/吨、污水处理费为1.4元/吨、垃圾处理费为0.53元/吨，以上三项费用合并在水费中一并收取，水费单价合计为4.51元/吨。</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参考韶关市近10年CPI指数的平均值递增，水费单价按年均递增1.58%预估。</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经测算，租赁期15年内，社会资本方的水费支出预计为156.82万元，详见下表。</w:t>
      </w: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sectPr>
          <w:headerReference r:id="rId12" w:type="default"/>
          <w:footerReference r:id="rId13" w:type="default"/>
          <w:pgSz w:w="11906" w:h="16839"/>
          <w:pgMar w:top="1440" w:right="1800" w:bottom="1440" w:left="1800" w:header="829" w:footer="1200" w:gutter="0"/>
          <w:pgBorders>
            <w:top w:val="none" w:sz="0" w:space="0"/>
            <w:left w:val="none" w:sz="0" w:space="0"/>
            <w:bottom w:val="none" w:sz="0" w:space="0"/>
            <w:right w:val="none" w:sz="0" w:space="0"/>
          </w:pgBorders>
          <w:pgNumType w:fmt="numberInDash"/>
          <w:cols w:space="720" w:num="1"/>
        </w:sectPr>
      </w:pP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表4.3.5-2本项目运营期各年用水费用预估</w:t>
      </w:r>
    </w:p>
    <w:tbl>
      <w:tblPr>
        <w:tblStyle w:val="1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211"/>
        <w:gridCol w:w="1692"/>
        <w:gridCol w:w="1427"/>
        <w:gridCol w:w="1427"/>
        <w:gridCol w:w="1277"/>
        <w:gridCol w:w="850"/>
        <w:gridCol w:w="1048"/>
        <w:gridCol w:w="953"/>
        <w:gridCol w:w="1075"/>
        <w:gridCol w:w="1709"/>
        <w:gridCol w:w="1375"/>
        <w:gridCol w:w="712"/>
        <w:gridCol w:w="85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0" w:hRule="atLeast"/>
        </w:trPr>
        <w:tc>
          <w:tcPr>
            <w:tcW w:w="388" w:type="pct"/>
            <w:vMerge w:val="restar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运营期</w:t>
            </w:r>
            <w:r>
              <w:rPr>
                <w:rFonts w:hint="eastAsia" w:ascii="仿宋" w:hAnsi="仿宋" w:eastAsia="仿宋" w:cs="仿宋"/>
                <w:color w:val="auto"/>
                <w:spacing w:val="14"/>
                <w:kern w:val="2"/>
                <w:sz w:val="18"/>
                <w:szCs w:val="18"/>
                <w:lang w:val="en-US" w:eastAsia="zh-CN" w:bidi="ar-SA"/>
              </w:rPr>
              <w:br w:type="textWrapping"/>
            </w:r>
            <w:r>
              <w:rPr>
                <w:rFonts w:hint="eastAsia" w:ascii="仿宋" w:hAnsi="仿宋" w:eastAsia="仿宋" w:cs="仿宋"/>
                <w:color w:val="auto"/>
                <w:spacing w:val="14"/>
                <w:kern w:val="2"/>
                <w:sz w:val="18"/>
                <w:szCs w:val="18"/>
                <w:lang w:val="en-US" w:eastAsia="zh-CN" w:bidi="ar-SA"/>
              </w:rPr>
              <w:t>（年）</w:t>
            </w:r>
          </w:p>
        </w:tc>
        <w:tc>
          <w:tcPr>
            <w:tcW w:w="542" w:type="pct"/>
            <w:vMerge w:val="restar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运营年份</w:t>
            </w:r>
          </w:p>
        </w:tc>
        <w:tc>
          <w:tcPr>
            <w:tcW w:w="457" w:type="pct"/>
            <w:vMerge w:val="restar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入住率</w:t>
            </w:r>
          </w:p>
        </w:tc>
        <w:tc>
          <w:tcPr>
            <w:tcW w:w="1138" w:type="pct"/>
            <w:gridSpan w:val="3"/>
            <w:vMerge w:val="restar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人数（人/年）</w:t>
            </w:r>
          </w:p>
        </w:tc>
        <w:tc>
          <w:tcPr>
            <w:tcW w:w="983" w:type="pct"/>
            <w:gridSpan w:val="3"/>
            <w:vMerge w:val="restar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用水量（吨/年）</w:t>
            </w:r>
          </w:p>
        </w:tc>
        <w:tc>
          <w:tcPr>
            <w:tcW w:w="547" w:type="pct"/>
            <w:vMerge w:val="restar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④未预见水量（吨/年）(①+②+③)*10%</w:t>
            </w:r>
          </w:p>
        </w:tc>
        <w:tc>
          <w:tcPr>
            <w:tcW w:w="440" w:type="pct"/>
            <w:vMerge w:val="restar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用水量合计 （1+2+3+4） （吨/年）</w:t>
            </w:r>
          </w:p>
        </w:tc>
        <w:tc>
          <w:tcPr>
            <w:tcW w:w="228" w:type="pct"/>
            <w:vMerge w:val="restar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水费单价（元/吨）</w:t>
            </w:r>
          </w:p>
        </w:tc>
        <w:tc>
          <w:tcPr>
            <w:tcW w:w="273" w:type="pct"/>
            <w:vMerge w:val="restar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年水费</w:t>
            </w:r>
            <w:r>
              <w:rPr>
                <w:rFonts w:hint="eastAsia" w:ascii="仿宋" w:hAnsi="仿宋" w:eastAsia="仿宋" w:cs="仿宋"/>
                <w:color w:val="auto"/>
                <w:spacing w:val="14"/>
                <w:kern w:val="2"/>
                <w:sz w:val="18"/>
                <w:szCs w:val="18"/>
                <w:lang w:val="en-US" w:eastAsia="zh-CN" w:bidi="ar-SA"/>
              </w:rPr>
              <w:br w:type="textWrapping"/>
            </w:r>
            <w:r>
              <w:rPr>
                <w:rFonts w:hint="eastAsia" w:ascii="仿宋" w:hAnsi="仿宋" w:eastAsia="仿宋" w:cs="仿宋"/>
                <w:color w:val="auto"/>
                <w:spacing w:val="14"/>
                <w:kern w:val="2"/>
                <w:sz w:val="18"/>
                <w:szCs w:val="18"/>
                <w:lang w:val="en-US" w:eastAsia="zh-CN" w:bidi="ar-SA"/>
              </w:rPr>
              <w:t>（万元/年）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vMerge w:val="continue"/>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542" w:type="pct"/>
            <w:vMerge w:val="continue"/>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457" w:type="pct"/>
            <w:vMerge w:val="continue"/>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1138" w:type="pct"/>
            <w:gridSpan w:val="3"/>
            <w:vMerge w:val="continue"/>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983" w:type="pct"/>
            <w:gridSpan w:val="3"/>
            <w:vMerge w:val="continue"/>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547" w:type="pct"/>
            <w:vMerge w:val="continue"/>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440" w:type="pct"/>
            <w:vMerge w:val="continue"/>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228" w:type="pct"/>
            <w:vMerge w:val="continue"/>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273" w:type="pct"/>
            <w:vMerge w:val="continue"/>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388" w:type="pct"/>
            <w:vMerge w:val="continue"/>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542" w:type="pct"/>
            <w:vMerge w:val="continue"/>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457" w:type="pct"/>
            <w:vMerge w:val="continue"/>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入住老人</w:t>
            </w: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固定工作人员</w:t>
            </w: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可变工作人员</w:t>
            </w: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①入住老人</w:t>
            </w: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②工作人员（固定+可变）</w:t>
            </w: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③室外绿化、冲洗用水</w:t>
            </w:r>
          </w:p>
        </w:tc>
        <w:tc>
          <w:tcPr>
            <w:tcW w:w="547" w:type="pct"/>
            <w:vMerge w:val="continue"/>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440" w:type="pct"/>
            <w:vMerge w:val="continue"/>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228" w:type="pct"/>
            <w:vMerge w:val="continue"/>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273" w:type="pct"/>
            <w:vMerge w:val="continue"/>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w:t>
            </w:r>
          </w:p>
        </w:tc>
        <w:tc>
          <w:tcPr>
            <w:tcW w:w="1692"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2024 年</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52 </w:t>
            </w: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30</w:t>
            </w: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6 </w:t>
            </w: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2847</w:t>
            </w: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1971.00 </w:t>
            </w: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3843</w:t>
            </w:r>
          </w:p>
        </w:tc>
        <w:tc>
          <w:tcPr>
            <w:tcW w:w="54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866.1</w:t>
            </w:r>
          </w:p>
        </w:tc>
        <w:tc>
          <w:tcPr>
            <w:tcW w:w="440"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9527.1</w:t>
            </w:r>
          </w:p>
        </w:tc>
        <w:tc>
          <w:tcPr>
            <w:tcW w:w="2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4.51</w:t>
            </w:r>
          </w:p>
        </w:tc>
        <w:tc>
          <w:tcPr>
            <w:tcW w:w="27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4.30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w:t>
            </w:r>
          </w:p>
        </w:tc>
        <w:tc>
          <w:tcPr>
            <w:tcW w:w="1692"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2025 年</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40%</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104 </w:t>
            </w: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30</w:t>
            </w: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12 </w:t>
            </w: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5694</w:t>
            </w: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2299.50 </w:t>
            </w: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3843</w:t>
            </w:r>
          </w:p>
        </w:tc>
        <w:tc>
          <w:tcPr>
            <w:tcW w:w="54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1183.65</w:t>
            </w:r>
          </w:p>
        </w:tc>
        <w:tc>
          <w:tcPr>
            <w:tcW w:w="440"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13020.15</w:t>
            </w:r>
          </w:p>
        </w:tc>
        <w:tc>
          <w:tcPr>
            <w:tcW w:w="2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4.58 </w:t>
            </w:r>
          </w:p>
        </w:tc>
        <w:tc>
          <w:tcPr>
            <w:tcW w:w="27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5.96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w:t>
            </w:r>
          </w:p>
        </w:tc>
        <w:tc>
          <w:tcPr>
            <w:tcW w:w="1692"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2026 年</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60%</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156 </w:t>
            </w: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30</w:t>
            </w: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18 </w:t>
            </w: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8541</w:t>
            </w: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2628.00 </w:t>
            </w: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3843</w:t>
            </w:r>
          </w:p>
        </w:tc>
        <w:tc>
          <w:tcPr>
            <w:tcW w:w="54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1501.2</w:t>
            </w:r>
          </w:p>
        </w:tc>
        <w:tc>
          <w:tcPr>
            <w:tcW w:w="440"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16513.2</w:t>
            </w:r>
          </w:p>
        </w:tc>
        <w:tc>
          <w:tcPr>
            <w:tcW w:w="2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4.65 </w:t>
            </w:r>
          </w:p>
        </w:tc>
        <w:tc>
          <w:tcPr>
            <w:tcW w:w="27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7.68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4</w:t>
            </w:r>
          </w:p>
        </w:tc>
        <w:tc>
          <w:tcPr>
            <w:tcW w:w="1692"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2027 年</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80%</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208 </w:t>
            </w: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30</w:t>
            </w: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24 </w:t>
            </w: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11388</w:t>
            </w: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2956.50 </w:t>
            </w: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3843</w:t>
            </w:r>
          </w:p>
        </w:tc>
        <w:tc>
          <w:tcPr>
            <w:tcW w:w="54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1818.75</w:t>
            </w:r>
          </w:p>
        </w:tc>
        <w:tc>
          <w:tcPr>
            <w:tcW w:w="440"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20006.25</w:t>
            </w:r>
          </w:p>
        </w:tc>
        <w:tc>
          <w:tcPr>
            <w:tcW w:w="2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4.73 </w:t>
            </w:r>
          </w:p>
        </w:tc>
        <w:tc>
          <w:tcPr>
            <w:tcW w:w="27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9.46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5</w:t>
            </w:r>
          </w:p>
        </w:tc>
        <w:tc>
          <w:tcPr>
            <w:tcW w:w="1692"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2028 年</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95%</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247 </w:t>
            </w: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30</w:t>
            </w: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29 </w:t>
            </w: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13523.25</w:t>
            </w: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3202.88 </w:t>
            </w: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3843</w:t>
            </w:r>
          </w:p>
        </w:tc>
        <w:tc>
          <w:tcPr>
            <w:tcW w:w="54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2056.9125</w:t>
            </w:r>
          </w:p>
        </w:tc>
        <w:tc>
          <w:tcPr>
            <w:tcW w:w="440"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22626.0375</w:t>
            </w:r>
          </w:p>
        </w:tc>
        <w:tc>
          <w:tcPr>
            <w:tcW w:w="2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4.80 </w:t>
            </w:r>
          </w:p>
        </w:tc>
        <w:tc>
          <w:tcPr>
            <w:tcW w:w="27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10.86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6</w:t>
            </w:r>
          </w:p>
        </w:tc>
        <w:tc>
          <w:tcPr>
            <w:tcW w:w="1692"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2029 年</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95%</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247 </w:t>
            </w: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30</w:t>
            </w: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29 </w:t>
            </w: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13523.25</w:t>
            </w: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3202.88 </w:t>
            </w: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3843</w:t>
            </w:r>
          </w:p>
        </w:tc>
        <w:tc>
          <w:tcPr>
            <w:tcW w:w="54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2056.9125</w:t>
            </w:r>
          </w:p>
        </w:tc>
        <w:tc>
          <w:tcPr>
            <w:tcW w:w="440"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22626.0375</w:t>
            </w:r>
          </w:p>
        </w:tc>
        <w:tc>
          <w:tcPr>
            <w:tcW w:w="2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4.88 </w:t>
            </w:r>
          </w:p>
        </w:tc>
        <w:tc>
          <w:tcPr>
            <w:tcW w:w="27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11.04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7</w:t>
            </w:r>
          </w:p>
        </w:tc>
        <w:tc>
          <w:tcPr>
            <w:tcW w:w="1692"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2030 年</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95%</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247 </w:t>
            </w: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30</w:t>
            </w: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29 </w:t>
            </w: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13523.25</w:t>
            </w: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3202.88 </w:t>
            </w: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3843</w:t>
            </w:r>
          </w:p>
        </w:tc>
        <w:tc>
          <w:tcPr>
            <w:tcW w:w="54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2056.9125</w:t>
            </w:r>
          </w:p>
        </w:tc>
        <w:tc>
          <w:tcPr>
            <w:tcW w:w="440"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22626.0375</w:t>
            </w:r>
          </w:p>
        </w:tc>
        <w:tc>
          <w:tcPr>
            <w:tcW w:w="2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4.95 </w:t>
            </w:r>
          </w:p>
        </w:tc>
        <w:tc>
          <w:tcPr>
            <w:tcW w:w="27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11.21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8</w:t>
            </w:r>
          </w:p>
        </w:tc>
        <w:tc>
          <w:tcPr>
            <w:tcW w:w="1692"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2031 年</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95%</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247 </w:t>
            </w: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30</w:t>
            </w: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29 </w:t>
            </w: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13523.25</w:t>
            </w: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3202.88 </w:t>
            </w: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3843</w:t>
            </w:r>
          </w:p>
        </w:tc>
        <w:tc>
          <w:tcPr>
            <w:tcW w:w="54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2056.9125</w:t>
            </w:r>
          </w:p>
        </w:tc>
        <w:tc>
          <w:tcPr>
            <w:tcW w:w="440"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22626.0375</w:t>
            </w:r>
          </w:p>
        </w:tc>
        <w:tc>
          <w:tcPr>
            <w:tcW w:w="2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5.03 </w:t>
            </w:r>
          </w:p>
        </w:tc>
        <w:tc>
          <w:tcPr>
            <w:tcW w:w="27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11.39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9</w:t>
            </w:r>
          </w:p>
        </w:tc>
        <w:tc>
          <w:tcPr>
            <w:tcW w:w="1692"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2032 年</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95%</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247 </w:t>
            </w: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30</w:t>
            </w: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29 </w:t>
            </w: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13523.25</w:t>
            </w: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3202.88 </w:t>
            </w: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3843</w:t>
            </w:r>
          </w:p>
        </w:tc>
        <w:tc>
          <w:tcPr>
            <w:tcW w:w="54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2056.9125</w:t>
            </w:r>
          </w:p>
        </w:tc>
        <w:tc>
          <w:tcPr>
            <w:tcW w:w="440"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22626.0375</w:t>
            </w:r>
          </w:p>
        </w:tc>
        <w:tc>
          <w:tcPr>
            <w:tcW w:w="2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5.11 </w:t>
            </w:r>
          </w:p>
        </w:tc>
        <w:tc>
          <w:tcPr>
            <w:tcW w:w="27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11.57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10</w:t>
            </w:r>
          </w:p>
        </w:tc>
        <w:tc>
          <w:tcPr>
            <w:tcW w:w="1692"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2033 年</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95%</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247 </w:t>
            </w: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30</w:t>
            </w: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29 </w:t>
            </w: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13523.25</w:t>
            </w: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3202.88 </w:t>
            </w: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3843</w:t>
            </w:r>
          </w:p>
        </w:tc>
        <w:tc>
          <w:tcPr>
            <w:tcW w:w="54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2056.9125</w:t>
            </w:r>
          </w:p>
        </w:tc>
        <w:tc>
          <w:tcPr>
            <w:tcW w:w="440"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22626.0375</w:t>
            </w:r>
          </w:p>
        </w:tc>
        <w:tc>
          <w:tcPr>
            <w:tcW w:w="2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5.19 </w:t>
            </w:r>
          </w:p>
        </w:tc>
        <w:tc>
          <w:tcPr>
            <w:tcW w:w="27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11.75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11</w:t>
            </w:r>
          </w:p>
        </w:tc>
        <w:tc>
          <w:tcPr>
            <w:tcW w:w="1692"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2034 年</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95%</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247 </w:t>
            </w: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30</w:t>
            </w: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29 </w:t>
            </w: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13523.25</w:t>
            </w: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3202.88 </w:t>
            </w: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3843</w:t>
            </w:r>
          </w:p>
        </w:tc>
        <w:tc>
          <w:tcPr>
            <w:tcW w:w="54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2056.9125</w:t>
            </w:r>
          </w:p>
        </w:tc>
        <w:tc>
          <w:tcPr>
            <w:tcW w:w="440"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22626.0375</w:t>
            </w:r>
          </w:p>
        </w:tc>
        <w:tc>
          <w:tcPr>
            <w:tcW w:w="2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5.28 </w:t>
            </w:r>
          </w:p>
        </w:tc>
        <w:tc>
          <w:tcPr>
            <w:tcW w:w="27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11.94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12</w:t>
            </w:r>
          </w:p>
        </w:tc>
        <w:tc>
          <w:tcPr>
            <w:tcW w:w="1692"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2035 年</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95%</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247 </w:t>
            </w: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30</w:t>
            </w: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29 </w:t>
            </w: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13523.25</w:t>
            </w: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3202.88 </w:t>
            </w: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3843</w:t>
            </w:r>
          </w:p>
        </w:tc>
        <w:tc>
          <w:tcPr>
            <w:tcW w:w="54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2056.9125</w:t>
            </w:r>
          </w:p>
        </w:tc>
        <w:tc>
          <w:tcPr>
            <w:tcW w:w="440"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22626.0375</w:t>
            </w:r>
          </w:p>
        </w:tc>
        <w:tc>
          <w:tcPr>
            <w:tcW w:w="2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5.36 </w:t>
            </w:r>
          </w:p>
        </w:tc>
        <w:tc>
          <w:tcPr>
            <w:tcW w:w="27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12.12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13</w:t>
            </w:r>
          </w:p>
        </w:tc>
        <w:tc>
          <w:tcPr>
            <w:tcW w:w="1692"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2036 年</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95%</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247 </w:t>
            </w: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30</w:t>
            </w: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29 </w:t>
            </w: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13523.25</w:t>
            </w: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3202.88 </w:t>
            </w: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3843</w:t>
            </w:r>
          </w:p>
        </w:tc>
        <w:tc>
          <w:tcPr>
            <w:tcW w:w="54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2056.9125</w:t>
            </w:r>
          </w:p>
        </w:tc>
        <w:tc>
          <w:tcPr>
            <w:tcW w:w="440"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22626.0375</w:t>
            </w:r>
          </w:p>
        </w:tc>
        <w:tc>
          <w:tcPr>
            <w:tcW w:w="2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5.44 </w:t>
            </w:r>
          </w:p>
        </w:tc>
        <w:tc>
          <w:tcPr>
            <w:tcW w:w="27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12.32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14</w:t>
            </w:r>
          </w:p>
        </w:tc>
        <w:tc>
          <w:tcPr>
            <w:tcW w:w="1692"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2037 年</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95%</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247 </w:t>
            </w: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30</w:t>
            </w: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29 </w:t>
            </w: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13523.25</w:t>
            </w: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3202.88 </w:t>
            </w: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3843</w:t>
            </w:r>
          </w:p>
        </w:tc>
        <w:tc>
          <w:tcPr>
            <w:tcW w:w="54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2056.9125</w:t>
            </w:r>
          </w:p>
        </w:tc>
        <w:tc>
          <w:tcPr>
            <w:tcW w:w="440"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22626.0375</w:t>
            </w:r>
          </w:p>
        </w:tc>
        <w:tc>
          <w:tcPr>
            <w:tcW w:w="2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5.53 </w:t>
            </w:r>
          </w:p>
        </w:tc>
        <w:tc>
          <w:tcPr>
            <w:tcW w:w="27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12.51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15</w:t>
            </w:r>
          </w:p>
        </w:tc>
        <w:tc>
          <w:tcPr>
            <w:tcW w:w="1692" w:type="dxa"/>
            <w:tcBorders>
              <w:top w:val="single" w:color="000000" w:sz="4" w:space="0"/>
              <w:left w:val="single" w:color="000000" w:sz="4" w:space="0"/>
              <w:bottom w:val="single" w:color="000000" w:sz="4" w:space="0"/>
              <w:right w:val="single" w:color="000000" w:sz="4" w:space="0"/>
            </w:tcBorders>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2038 年</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95%</w:t>
            </w: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247 </w:t>
            </w: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30</w:t>
            </w: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29 </w:t>
            </w: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13523.25</w:t>
            </w: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3202.88 </w:t>
            </w: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3843</w:t>
            </w:r>
          </w:p>
        </w:tc>
        <w:tc>
          <w:tcPr>
            <w:tcW w:w="54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2056.9125</w:t>
            </w:r>
          </w:p>
        </w:tc>
        <w:tc>
          <w:tcPr>
            <w:tcW w:w="440"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22626.0375</w:t>
            </w:r>
          </w:p>
        </w:tc>
        <w:tc>
          <w:tcPr>
            <w:tcW w:w="2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5.62 </w:t>
            </w:r>
          </w:p>
        </w:tc>
        <w:tc>
          <w:tcPr>
            <w:tcW w:w="27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12.71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8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合计</w:t>
            </w:r>
          </w:p>
        </w:tc>
        <w:tc>
          <w:tcPr>
            <w:tcW w:w="542"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45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409"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271"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334"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305"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34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547"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440"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228"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p>
        </w:tc>
        <w:tc>
          <w:tcPr>
            <w:tcW w:w="273" w:type="pct"/>
            <w:tcBorders>
              <w:top w:val="single" w:color="000000" w:sz="4" w:space="0"/>
              <w:left w:val="single" w:color="000000" w:sz="4" w:space="0"/>
              <w:bottom w:val="single" w:color="000000" w:sz="4" w:space="0"/>
              <w:right w:val="single" w:color="000000" w:sz="4" w:space="0"/>
            </w:tcBorders>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18"/>
                <w:szCs w:val="18"/>
                <w:lang w:val="en-US" w:eastAsia="zh-CN" w:bidi="ar-SA"/>
              </w:rPr>
            </w:pPr>
            <w:r>
              <w:rPr>
                <w:rFonts w:hint="eastAsia" w:ascii="仿宋" w:hAnsi="仿宋" w:eastAsia="仿宋" w:cs="仿宋"/>
                <w:color w:val="auto"/>
                <w:spacing w:val="14"/>
                <w:kern w:val="2"/>
                <w:sz w:val="18"/>
                <w:szCs w:val="18"/>
                <w:lang w:val="en-US" w:eastAsia="zh-CN" w:bidi="ar-SA"/>
              </w:rPr>
              <w:t xml:space="preserve">156.82 </w:t>
            </w:r>
          </w:p>
        </w:tc>
      </w:tr>
    </w:tbl>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sectPr>
          <w:headerReference r:id="rId14" w:type="default"/>
          <w:footerReference r:id="rId15" w:type="default"/>
          <w:pgSz w:w="16839" w:h="11906"/>
          <w:pgMar w:top="1166" w:right="720" w:bottom="938" w:left="720" w:header="829" w:footer="775" w:gutter="0"/>
          <w:pgBorders>
            <w:top w:val="none" w:sz="0" w:space="0"/>
            <w:left w:val="none" w:sz="0" w:space="0"/>
            <w:bottom w:val="none" w:sz="0" w:space="0"/>
            <w:right w:val="none" w:sz="0" w:space="0"/>
          </w:pgBorders>
          <w:pgNumType w:fmt="numberInDash"/>
          <w:cols w:space="720" w:num="1"/>
        </w:sectPr>
      </w:pP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二、电费</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本项目的用电主要为项目耗电类型主要包括建筑物室内用电、室外用电及其他不可预见用电。室内用电主要为办公区域、居住区域、公共服务中心室内用电，室外用电主要为道路照明。</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城市电力规划规范》(GB/50293-2014)、《分类建筑综合用电指标》《中国南方电网城市配电网技术导则》及仁化县用电实际情况，室内空调季节用电标准按60W/㎡计算，需用系数取0.6，同时系数取0.8，年用电时间1980小时；室内非空调季节用电标准按26W/㎡计算，需用系数取0.6，同时系数取0.8，年用电时间2400小时；室外用电标准按5W/㎡计算，需用系数取0.8，同时系数取0.6，年用电时间2000小时；其他不可预见用电按总用电量的10%估算。</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依据项目设计文件，本项目规划用地面积</w:t>
      </w:r>
      <w:r>
        <w:rPr>
          <w:rFonts w:hint="eastAsia" w:ascii="仿宋" w:hAnsi="仿宋" w:eastAsia="仿宋_GB2312" w:cs="仿宋"/>
          <w:b w:val="0"/>
          <w:i w:val="0"/>
          <w:color w:val="auto"/>
          <w:spacing w:val="14"/>
          <w:sz w:val="32"/>
          <w:szCs w:val="28"/>
          <w:lang w:val="en-US" w:eastAsia="zh-CN"/>
        </w:rPr>
        <w:t>7218.05</w:t>
      </w:r>
      <w:r>
        <w:rPr>
          <w:rFonts w:hint="eastAsia" w:ascii="仿宋" w:hAnsi="仿宋" w:eastAsia="仿宋_GB2312" w:cs="仿宋"/>
          <w:b w:val="0"/>
          <w:i w:val="0"/>
          <w:color w:val="auto"/>
          <w:spacing w:val="14"/>
          <w:kern w:val="2"/>
          <w:sz w:val="32"/>
          <w:szCs w:val="28"/>
          <w:lang w:val="en-US" w:eastAsia="zh-CN" w:bidi="ar-SA"/>
        </w:rPr>
        <w:t>㎡，基底建筑面积2846㎡，室内面积为</w:t>
      </w:r>
      <w:r>
        <w:rPr>
          <w:rFonts w:hint="eastAsia" w:ascii="仿宋" w:hAnsi="仿宋" w:eastAsia="仿宋_GB2312" w:cs="仿宋"/>
          <w:b w:val="0"/>
          <w:i w:val="0"/>
          <w:color w:val="auto"/>
          <w:spacing w:val="14"/>
          <w:sz w:val="32"/>
          <w:szCs w:val="28"/>
          <w:lang w:val="en-US" w:eastAsia="zh-CN"/>
        </w:rPr>
        <w:t>5574.53</w:t>
      </w:r>
      <w:r>
        <w:rPr>
          <w:rFonts w:hint="eastAsia" w:ascii="仿宋" w:hAnsi="仿宋" w:eastAsia="仿宋_GB2312" w:cs="仿宋"/>
          <w:b w:val="0"/>
          <w:i w:val="0"/>
          <w:color w:val="auto"/>
          <w:spacing w:val="14"/>
          <w:kern w:val="2"/>
          <w:sz w:val="32"/>
          <w:szCs w:val="28"/>
          <w:lang w:val="en-US" w:eastAsia="zh-CN" w:bidi="ar-SA"/>
        </w:rPr>
        <w:t>㎡，室外面积约4827.87㎡（包括道路、绿地、停车位等）。可计算出本项目年最大用电量为55.8kWh，详见下表。</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表4.3.5-3本项目年用电量预估</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7"/>
        <w:gridCol w:w="416"/>
        <w:gridCol w:w="919"/>
        <w:gridCol w:w="1020"/>
        <w:gridCol w:w="819"/>
        <w:gridCol w:w="518"/>
        <w:gridCol w:w="819"/>
        <w:gridCol w:w="719"/>
        <w:gridCol w:w="819"/>
        <w:gridCol w:w="719"/>
        <w:gridCol w:w="518"/>
        <w:gridCol w:w="71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517"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4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功能区 名称</w:t>
            </w:r>
          </w:p>
        </w:tc>
        <w:tc>
          <w:tcPr>
            <w:tcW w:w="9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面积（m2）</w:t>
            </w:r>
          </w:p>
        </w:tc>
        <w:tc>
          <w:tcPr>
            <w:tcW w:w="102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单位指标（W/m2）</w:t>
            </w: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负荷预测(kW)</w:t>
            </w:r>
          </w:p>
        </w:tc>
        <w:tc>
          <w:tcPr>
            <w:tcW w:w="51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需用系数</w:t>
            </w: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有功计算负荷(kW)</w:t>
            </w: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日小时数（h）</w:t>
            </w: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年工作日（天）</w:t>
            </w: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年用电时间（h）</w:t>
            </w:r>
          </w:p>
        </w:tc>
        <w:tc>
          <w:tcPr>
            <w:tcW w:w="51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同时系数</w:t>
            </w: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年用电量（万kWh）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51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室内</w:t>
            </w:r>
          </w:p>
        </w:tc>
        <w:tc>
          <w:tcPr>
            <w:tcW w:w="9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7574.95</w:t>
            </w:r>
          </w:p>
        </w:tc>
        <w:tc>
          <w:tcPr>
            <w:tcW w:w="1020"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518"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518"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65.88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51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1.1</w:t>
            </w:r>
          </w:p>
        </w:tc>
        <w:tc>
          <w:tcPr>
            <w:tcW w:w="4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空调季节</w:t>
            </w:r>
          </w:p>
        </w:tc>
        <w:tc>
          <w:tcPr>
            <w:tcW w:w="9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7574.95</w:t>
            </w:r>
          </w:p>
        </w:tc>
        <w:tc>
          <w:tcPr>
            <w:tcW w:w="102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60</w:t>
            </w: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454.50 </w:t>
            </w:r>
          </w:p>
        </w:tc>
        <w:tc>
          <w:tcPr>
            <w:tcW w:w="51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0.6</w:t>
            </w: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272.70 </w:t>
            </w: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12</w:t>
            </w: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165</w:t>
            </w: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1980</w:t>
            </w:r>
          </w:p>
        </w:tc>
        <w:tc>
          <w:tcPr>
            <w:tcW w:w="51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0.8</w:t>
            </w: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43.20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51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1.2</w:t>
            </w:r>
          </w:p>
        </w:tc>
        <w:tc>
          <w:tcPr>
            <w:tcW w:w="4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非空调季节</w:t>
            </w:r>
          </w:p>
        </w:tc>
        <w:tc>
          <w:tcPr>
            <w:tcW w:w="9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7574.95</w:t>
            </w:r>
          </w:p>
        </w:tc>
        <w:tc>
          <w:tcPr>
            <w:tcW w:w="102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26</w:t>
            </w: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196.95 </w:t>
            </w:r>
          </w:p>
        </w:tc>
        <w:tc>
          <w:tcPr>
            <w:tcW w:w="51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0.6</w:t>
            </w: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118.17 </w:t>
            </w: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12</w:t>
            </w: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200</w:t>
            </w: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2400</w:t>
            </w:r>
          </w:p>
        </w:tc>
        <w:tc>
          <w:tcPr>
            <w:tcW w:w="51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0.8</w:t>
            </w: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22.69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51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2</w:t>
            </w:r>
          </w:p>
        </w:tc>
        <w:tc>
          <w:tcPr>
            <w:tcW w:w="4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室外</w:t>
            </w:r>
          </w:p>
        </w:tc>
        <w:tc>
          <w:tcPr>
            <w:tcW w:w="9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4827.87</w:t>
            </w:r>
          </w:p>
        </w:tc>
        <w:tc>
          <w:tcPr>
            <w:tcW w:w="1020"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5</w:t>
            </w: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24.14 </w:t>
            </w:r>
          </w:p>
        </w:tc>
        <w:tc>
          <w:tcPr>
            <w:tcW w:w="51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0.8</w:t>
            </w: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19.31 </w:t>
            </w: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8</w:t>
            </w: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250</w:t>
            </w: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2000</w:t>
            </w:r>
          </w:p>
        </w:tc>
        <w:tc>
          <w:tcPr>
            <w:tcW w:w="518"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0.6</w:t>
            </w: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2.32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51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3</w:t>
            </w:r>
          </w:p>
        </w:tc>
        <w:tc>
          <w:tcPr>
            <w:tcW w:w="41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不可预计量</w:t>
            </w:r>
          </w:p>
        </w:tc>
        <w:tc>
          <w:tcPr>
            <w:tcW w:w="9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（室内用电量+室外用电量）*10%</w:t>
            </w:r>
          </w:p>
        </w:tc>
        <w:tc>
          <w:tcPr>
            <w:tcW w:w="1020"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518"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518"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6.82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70" w:hRule="atLeast"/>
        </w:trPr>
        <w:tc>
          <w:tcPr>
            <w:tcW w:w="51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合计</w:t>
            </w:r>
          </w:p>
        </w:tc>
        <w:tc>
          <w:tcPr>
            <w:tcW w:w="416"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91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1020"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518"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81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518"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71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75.02 </w:t>
            </w:r>
          </w:p>
        </w:tc>
      </w:tr>
    </w:tbl>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电费的支出金额与入住率、电费单价、物价上涨等因素有关。</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依据广东电网仁化供电局2019年7月公布的《韶关市电价价目表》，本项目电费单价取0.61元/千瓦时计算。参考韶关市近10年CPI指数的平均值递增，电费单价按年均递增1.58%预估。</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经测算，租赁期15年内，社会资本方的电费支出预计为645.82万元，详见下表。</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表4.3.5-4本项目运营期各年电费支出预估</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381"/>
        <w:gridCol w:w="996"/>
        <w:gridCol w:w="936"/>
        <w:gridCol w:w="1649"/>
        <w:gridCol w:w="1957"/>
        <w:gridCol w:w="16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vMerge w:val="restart"/>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运营期（年）</w:t>
            </w:r>
          </w:p>
        </w:tc>
        <w:tc>
          <w:tcPr>
            <w:tcW w:w="996" w:type="dxa"/>
            <w:vMerge w:val="restart"/>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运营年份</w:t>
            </w:r>
          </w:p>
        </w:tc>
        <w:tc>
          <w:tcPr>
            <w:tcW w:w="936" w:type="dxa"/>
            <w:vMerge w:val="restart"/>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入住率</w:t>
            </w:r>
          </w:p>
        </w:tc>
        <w:tc>
          <w:tcPr>
            <w:tcW w:w="1649" w:type="dxa"/>
            <w:vMerge w:val="restart"/>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年用电量（kWh）</w:t>
            </w:r>
          </w:p>
        </w:tc>
        <w:tc>
          <w:tcPr>
            <w:tcW w:w="1957" w:type="dxa"/>
            <w:vMerge w:val="restart"/>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电费单价（元/千瓦时）</w:t>
            </w:r>
          </w:p>
        </w:tc>
        <w:tc>
          <w:tcPr>
            <w:tcW w:w="1603" w:type="dxa"/>
            <w:vMerge w:val="restart"/>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电费（万元/年）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0" w:type="auto"/>
            <w:vMerge w:val="continue"/>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0" w:type="auto"/>
            <w:vMerge w:val="continue"/>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1</w:t>
            </w:r>
          </w:p>
        </w:tc>
        <w:tc>
          <w:tcPr>
            <w:tcW w:w="99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0"/>
                <w:szCs w:val="20"/>
                <w:u w:val="none"/>
                <w:lang w:val="en-US" w:eastAsia="zh-CN" w:bidi="ar"/>
              </w:rPr>
              <w:t>2024 年</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20.00%</w:t>
            </w:r>
          </w:p>
        </w:tc>
        <w:tc>
          <w:tcPr>
            <w:tcW w:w="164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15.00 </w:t>
            </w:r>
          </w:p>
        </w:tc>
        <w:tc>
          <w:tcPr>
            <w:tcW w:w="195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0.61 </w:t>
            </w:r>
          </w:p>
        </w:tc>
        <w:tc>
          <w:tcPr>
            <w:tcW w:w="160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9.15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2</w:t>
            </w:r>
          </w:p>
        </w:tc>
        <w:tc>
          <w:tcPr>
            <w:tcW w:w="99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0"/>
                <w:szCs w:val="20"/>
                <w:u w:val="none"/>
                <w:lang w:val="en-US" w:eastAsia="zh-CN" w:bidi="ar"/>
              </w:rPr>
              <w:t>2025 年</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40.00%</w:t>
            </w:r>
          </w:p>
        </w:tc>
        <w:tc>
          <w:tcPr>
            <w:tcW w:w="164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30.01 </w:t>
            </w:r>
          </w:p>
        </w:tc>
        <w:tc>
          <w:tcPr>
            <w:tcW w:w="195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0.62 </w:t>
            </w:r>
          </w:p>
        </w:tc>
        <w:tc>
          <w:tcPr>
            <w:tcW w:w="160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18.59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3</w:t>
            </w:r>
          </w:p>
        </w:tc>
        <w:tc>
          <w:tcPr>
            <w:tcW w:w="99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0"/>
                <w:szCs w:val="20"/>
                <w:u w:val="none"/>
                <w:lang w:val="en-US" w:eastAsia="zh-CN" w:bidi="ar"/>
              </w:rPr>
              <w:t>2026 年</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60.00%</w:t>
            </w:r>
          </w:p>
        </w:tc>
        <w:tc>
          <w:tcPr>
            <w:tcW w:w="164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45.01 </w:t>
            </w:r>
          </w:p>
        </w:tc>
        <w:tc>
          <w:tcPr>
            <w:tcW w:w="195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0.63 </w:t>
            </w:r>
          </w:p>
        </w:tc>
        <w:tc>
          <w:tcPr>
            <w:tcW w:w="160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28.33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4</w:t>
            </w:r>
          </w:p>
        </w:tc>
        <w:tc>
          <w:tcPr>
            <w:tcW w:w="99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0"/>
                <w:szCs w:val="20"/>
                <w:u w:val="none"/>
                <w:lang w:val="en-US" w:eastAsia="zh-CN" w:bidi="ar"/>
              </w:rPr>
              <w:t>2027 年</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80.00%</w:t>
            </w:r>
          </w:p>
        </w:tc>
        <w:tc>
          <w:tcPr>
            <w:tcW w:w="164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60.02 </w:t>
            </w:r>
          </w:p>
        </w:tc>
        <w:tc>
          <w:tcPr>
            <w:tcW w:w="195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0.64 </w:t>
            </w:r>
          </w:p>
        </w:tc>
        <w:tc>
          <w:tcPr>
            <w:tcW w:w="160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38.37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5</w:t>
            </w:r>
          </w:p>
        </w:tc>
        <w:tc>
          <w:tcPr>
            <w:tcW w:w="99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0"/>
                <w:szCs w:val="20"/>
                <w:u w:val="none"/>
                <w:lang w:val="en-US" w:eastAsia="zh-CN" w:bidi="ar"/>
              </w:rPr>
              <w:t>2028 年</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95.00%</w:t>
            </w:r>
          </w:p>
        </w:tc>
        <w:tc>
          <w:tcPr>
            <w:tcW w:w="164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71.27 </w:t>
            </w:r>
          </w:p>
        </w:tc>
        <w:tc>
          <w:tcPr>
            <w:tcW w:w="195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0.65 </w:t>
            </w:r>
          </w:p>
        </w:tc>
        <w:tc>
          <w:tcPr>
            <w:tcW w:w="160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46.29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6</w:t>
            </w:r>
          </w:p>
        </w:tc>
        <w:tc>
          <w:tcPr>
            <w:tcW w:w="99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0"/>
                <w:szCs w:val="20"/>
                <w:u w:val="none"/>
                <w:lang w:val="en-US" w:eastAsia="zh-CN" w:bidi="ar"/>
              </w:rPr>
              <w:t>2029 年</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95.00%</w:t>
            </w:r>
          </w:p>
        </w:tc>
        <w:tc>
          <w:tcPr>
            <w:tcW w:w="164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71.27 </w:t>
            </w:r>
          </w:p>
        </w:tc>
        <w:tc>
          <w:tcPr>
            <w:tcW w:w="195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0.66 </w:t>
            </w:r>
          </w:p>
        </w:tc>
        <w:tc>
          <w:tcPr>
            <w:tcW w:w="160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47.02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7</w:t>
            </w:r>
          </w:p>
        </w:tc>
        <w:tc>
          <w:tcPr>
            <w:tcW w:w="99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0"/>
                <w:szCs w:val="20"/>
                <w:u w:val="none"/>
                <w:lang w:val="en-US" w:eastAsia="zh-CN" w:bidi="ar"/>
              </w:rPr>
              <w:t>2030 年</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95.00%</w:t>
            </w:r>
          </w:p>
        </w:tc>
        <w:tc>
          <w:tcPr>
            <w:tcW w:w="164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71.27 </w:t>
            </w:r>
          </w:p>
        </w:tc>
        <w:tc>
          <w:tcPr>
            <w:tcW w:w="195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0.67 </w:t>
            </w:r>
          </w:p>
        </w:tc>
        <w:tc>
          <w:tcPr>
            <w:tcW w:w="160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47.76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8</w:t>
            </w:r>
          </w:p>
        </w:tc>
        <w:tc>
          <w:tcPr>
            <w:tcW w:w="99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0"/>
                <w:szCs w:val="20"/>
                <w:u w:val="none"/>
                <w:lang w:val="en-US" w:eastAsia="zh-CN" w:bidi="ar"/>
              </w:rPr>
              <w:t>2031 年</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95.00%</w:t>
            </w:r>
          </w:p>
        </w:tc>
        <w:tc>
          <w:tcPr>
            <w:tcW w:w="164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71.27 </w:t>
            </w:r>
          </w:p>
        </w:tc>
        <w:tc>
          <w:tcPr>
            <w:tcW w:w="195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0.68 </w:t>
            </w:r>
          </w:p>
        </w:tc>
        <w:tc>
          <w:tcPr>
            <w:tcW w:w="160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48.52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9</w:t>
            </w:r>
          </w:p>
        </w:tc>
        <w:tc>
          <w:tcPr>
            <w:tcW w:w="99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0"/>
                <w:szCs w:val="20"/>
                <w:u w:val="none"/>
                <w:lang w:val="en-US" w:eastAsia="zh-CN" w:bidi="ar"/>
              </w:rPr>
              <w:t>2032 年</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95.00%</w:t>
            </w:r>
          </w:p>
        </w:tc>
        <w:tc>
          <w:tcPr>
            <w:tcW w:w="164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71.27 </w:t>
            </w:r>
          </w:p>
        </w:tc>
        <w:tc>
          <w:tcPr>
            <w:tcW w:w="195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0.69 </w:t>
            </w:r>
          </w:p>
        </w:tc>
        <w:tc>
          <w:tcPr>
            <w:tcW w:w="160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49.28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10</w:t>
            </w:r>
          </w:p>
        </w:tc>
        <w:tc>
          <w:tcPr>
            <w:tcW w:w="99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0"/>
                <w:szCs w:val="20"/>
                <w:u w:val="none"/>
                <w:lang w:val="en-US" w:eastAsia="zh-CN" w:bidi="ar"/>
              </w:rPr>
              <w:t>2033 年</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95.00%</w:t>
            </w:r>
          </w:p>
        </w:tc>
        <w:tc>
          <w:tcPr>
            <w:tcW w:w="164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71.27 </w:t>
            </w:r>
          </w:p>
        </w:tc>
        <w:tc>
          <w:tcPr>
            <w:tcW w:w="195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0.70 </w:t>
            </w:r>
          </w:p>
        </w:tc>
        <w:tc>
          <w:tcPr>
            <w:tcW w:w="160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50.06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11</w:t>
            </w:r>
          </w:p>
        </w:tc>
        <w:tc>
          <w:tcPr>
            <w:tcW w:w="99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0"/>
                <w:szCs w:val="20"/>
                <w:u w:val="none"/>
                <w:lang w:val="en-US" w:eastAsia="zh-CN" w:bidi="ar"/>
              </w:rPr>
              <w:t>2034 年</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95.00%</w:t>
            </w:r>
          </w:p>
        </w:tc>
        <w:tc>
          <w:tcPr>
            <w:tcW w:w="164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71.27 </w:t>
            </w:r>
          </w:p>
        </w:tc>
        <w:tc>
          <w:tcPr>
            <w:tcW w:w="195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0.71 </w:t>
            </w:r>
          </w:p>
        </w:tc>
        <w:tc>
          <w:tcPr>
            <w:tcW w:w="160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50.85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12</w:t>
            </w:r>
          </w:p>
        </w:tc>
        <w:tc>
          <w:tcPr>
            <w:tcW w:w="99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0"/>
                <w:szCs w:val="20"/>
                <w:u w:val="none"/>
                <w:lang w:val="en-US" w:eastAsia="zh-CN" w:bidi="ar"/>
              </w:rPr>
              <w:t>2035 年</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95.00%</w:t>
            </w:r>
          </w:p>
        </w:tc>
        <w:tc>
          <w:tcPr>
            <w:tcW w:w="164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71.27 </w:t>
            </w:r>
          </w:p>
        </w:tc>
        <w:tc>
          <w:tcPr>
            <w:tcW w:w="195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0.72 </w:t>
            </w:r>
          </w:p>
        </w:tc>
        <w:tc>
          <w:tcPr>
            <w:tcW w:w="160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51.66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13</w:t>
            </w:r>
          </w:p>
        </w:tc>
        <w:tc>
          <w:tcPr>
            <w:tcW w:w="99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0"/>
                <w:szCs w:val="20"/>
                <w:u w:val="none"/>
                <w:lang w:val="en-US" w:eastAsia="zh-CN" w:bidi="ar"/>
              </w:rPr>
              <w:t>2036 年</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95.00%</w:t>
            </w:r>
          </w:p>
        </w:tc>
        <w:tc>
          <w:tcPr>
            <w:tcW w:w="164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71.27 </w:t>
            </w:r>
          </w:p>
        </w:tc>
        <w:tc>
          <w:tcPr>
            <w:tcW w:w="195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0.74 </w:t>
            </w:r>
          </w:p>
        </w:tc>
        <w:tc>
          <w:tcPr>
            <w:tcW w:w="160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52.47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14</w:t>
            </w:r>
          </w:p>
        </w:tc>
        <w:tc>
          <w:tcPr>
            <w:tcW w:w="99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0"/>
                <w:szCs w:val="20"/>
                <w:u w:val="none"/>
                <w:lang w:val="en-US" w:eastAsia="zh-CN" w:bidi="ar"/>
              </w:rPr>
              <w:t>2037 年</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95.00%</w:t>
            </w:r>
          </w:p>
        </w:tc>
        <w:tc>
          <w:tcPr>
            <w:tcW w:w="164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71.27 </w:t>
            </w:r>
          </w:p>
        </w:tc>
        <w:tc>
          <w:tcPr>
            <w:tcW w:w="195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0.75 </w:t>
            </w:r>
          </w:p>
        </w:tc>
        <w:tc>
          <w:tcPr>
            <w:tcW w:w="160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53.30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15</w:t>
            </w:r>
          </w:p>
        </w:tc>
        <w:tc>
          <w:tcPr>
            <w:tcW w:w="99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default"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0"/>
                <w:szCs w:val="20"/>
                <w:u w:val="none"/>
                <w:lang w:val="en-US" w:eastAsia="zh-CN" w:bidi="ar"/>
              </w:rPr>
              <w:t>2038 年</w:t>
            </w: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95.00%</w:t>
            </w:r>
          </w:p>
        </w:tc>
        <w:tc>
          <w:tcPr>
            <w:tcW w:w="1649"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71.27 </w:t>
            </w:r>
          </w:p>
        </w:tc>
        <w:tc>
          <w:tcPr>
            <w:tcW w:w="1957"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0.76 </w:t>
            </w:r>
          </w:p>
        </w:tc>
        <w:tc>
          <w:tcPr>
            <w:tcW w:w="160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54.14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381"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合计</w:t>
            </w:r>
          </w:p>
        </w:tc>
        <w:tc>
          <w:tcPr>
            <w:tcW w:w="996"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936"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1649"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1957" w:type="dxa"/>
            <w:tcBorders>
              <w:top w:val="single" w:color="000000" w:sz="4" w:space="0"/>
              <w:left w:val="single" w:color="000000" w:sz="4" w:space="0"/>
              <w:bottom w:val="single" w:color="000000" w:sz="4" w:space="0"/>
              <w:right w:val="single" w:color="000000" w:sz="4" w:space="0"/>
            </w:tcBorders>
            <w:noWrap w:val="0"/>
            <w:vAlign w:val="top"/>
          </w:tcPr>
          <w:p>
            <w:pPr>
              <w:jc w:val="both"/>
              <w:rPr>
                <w:rFonts w:hint="eastAsia" w:ascii="仿宋" w:hAnsi="仿宋" w:eastAsia="仿宋" w:cs="仿宋"/>
                <w:i w:val="0"/>
                <w:iCs w:val="0"/>
                <w:color w:val="auto"/>
                <w:sz w:val="24"/>
                <w:szCs w:val="24"/>
                <w:u w:val="none"/>
              </w:rPr>
            </w:pPr>
          </w:p>
        </w:tc>
        <w:tc>
          <w:tcPr>
            <w:tcW w:w="1603" w:type="dxa"/>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both"/>
              <w:textAlignment w:val="top"/>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20"/>
                <w:szCs w:val="20"/>
                <w:u w:val="none"/>
                <w:lang w:val="en-US" w:eastAsia="zh-CN" w:bidi="ar"/>
              </w:rPr>
              <w:t xml:space="preserve">645.82 </w:t>
            </w:r>
          </w:p>
        </w:tc>
      </w:tr>
    </w:tbl>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94" w:name="_Toc21300"/>
      <w:r>
        <w:rPr>
          <w:rFonts w:hint="eastAsia" w:ascii="仿宋" w:hAnsi="仿宋" w:eastAsia="仿宋" w:cs="Times New Roman"/>
          <w:b/>
          <w:color w:val="auto"/>
          <w:szCs w:val="28"/>
          <w:lang w:val="en-US" w:eastAsia="zh-CN"/>
        </w:rPr>
        <w:t>4.3.6维修费</w:t>
      </w:r>
      <w:bookmarkEnd w:id="94"/>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维修费为建筑物及设备的日常维修费用（小修），不包括大、中修费用（房屋安全结构性维修，消防泵房设备维修等），具体维修可在签订合同时另行约定。日常维修费用（小修）是指在建筑物及设备使用过程中，其构部件出现小的损坏，需更换、修复、保养，以保证房屋或设备原有完损等级的日常养护费用。</w:t>
      </w:r>
    </w:p>
    <w:p>
      <w:pPr>
        <w:pStyle w:val="18"/>
        <w:spacing w:line="360" w:lineRule="auto"/>
        <w:ind w:left="0" w:leftChars="0" w:firstLine="618" w:firstLineChars="200"/>
        <w:jc w:val="both"/>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 w:cs="仿宋"/>
          <w:b/>
          <w:bCs/>
          <w:color w:val="auto"/>
          <w:spacing w:val="14"/>
          <w:kern w:val="2"/>
          <w:sz w:val="28"/>
          <w:szCs w:val="28"/>
          <w:lang w:val="en-US" w:eastAsia="zh-CN" w:bidi="ar-SA"/>
        </w:rPr>
        <w:t>A、</w:t>
      </w:r>
      <w:r>
        <w:rPr>
          <w:rFonts w:hint="default" w:ascii="仿宋" w:hAnsi="仿宋" w:eastAsia="仿宋" w:cs="仿宋"/>
          <w:b/>
          <w:bCs/>
          <w:color w:val="auto"/>
          <w:spacing w:val="14"/>
          <w:kern w:val="2"/>
          <w:sz w:val="28"/>
          <w:szCs w:val="28"/>
          <w:lang w:val="en-US" w:eastAsia="zh-CN" w:bidi="ar-SA"/>
        </w:rPr>
        <w:t>楼房大修包括以下内容</w:t>
      </w:r>
      <w:r>
        <w:rPr>
          <w:rFonts w:hint="default" w:ascii="仿宋" w:hAnsi="仿宋" w:eastAsia="仿宋_GB2312" w:cs="仿宋"/>
          <w:b w:val="0"/>
          <w:i w:val="0"/>
          <w:color w:val="auto"/>
          <w:spacing w:val="14"/>
          <w:kern w:val="2"/>
          <w:sz w:val="32"/>
          <w:szCs w:val="28"/>
          <w:lang w:val="en-US" w:eastAsia="zh-CN" w:bidi="ar-SA"/>
        </w:rPr>
        <w:t>：</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1．翻建。</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2．屋面大修：坡顶挑修或全部换瓦；平顶换板；重做防水。</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3．整栋楼重做外墙板缝防水。</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4．抗震加固。</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5．综合维修。</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6．地下室重做防水。</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7．上、下水及设备更新。</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8．电气线路更新。</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一</w:t>
      </w:r>
      <w:r>
        <w:rPr>
          <w:rFonts w:hint="default" w:ascii="仿宋" w:hAnsi="仿宋" w:eastAsia="仿宋" w:cs="仿宋"/>
          <w:b/>
          <w:bCs/>
          <w:color w:val="auto"/>
          <w:spacing w:val="14"/>
          <w:kern w:val="2"/>
          <w:sz w:val="28"/>
          <w:szCs w:val="28"/>
          <w:lang w:val="en-US" w:eastAsia="zh-CN" w:bidi="ar-SA"/>
        </w:rPr>
        <w:t>条　楼房中修，包括以下内容：</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1．全楼门窗油饰。</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2．全楼内外墙粉刷。</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3．全部或部分门窗更换。</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4．修补外墙装饰层。</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5．修补外墙板缝。</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6．阳台、梁、板、柱加固。</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7．屋面维修。</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8．修补或重做厨、厕间防水层。</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9．地下室局部补漏。</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10．局部更换上、下水管及设备</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B、</w:t>
      </w:r>
      <w:r>
        <w:rPr>
          <w:rFonts w:hint="default" w:ascii="仿宋" w:hAnsi="仿宋" w:eastAsia="仿宋" w:cs="仿宋"/>
          <w:b/>
          <w:bCs/>
          <w:color w:val="auto"/>
          <w:spacing w:val="14"/>
          <w:kern w:val="2"/>
          <w:sz w:val="28"/>
          <w:szCs w:val="28"/>
          <w:lang w:val="en-US" w:eastAsia="zh-CN" w:bidi="ar-SA"/>
        </w:rPr>
        <w:t>大修工程定案标准</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一</w:t>
      </w:r>
      <w:r>
        <w:rPr>
          <w:rFonts w:hint="default" w:ascii="仿宋" w:hAnsi="仿宋" w:eastAsia="仿宋" w:cs="仿宋"/>
          <w:b/>
          <w:bCs/>
          <w:color w:val="auto"/>
          <w:spacing w:val="14"/>
          <w:kern w:val="2"/>
          <w:sz w:val="28"/>
          <w:szCs w:val="28"/>
          <w:lang w:val="en-US" w:eastAsia="zh-CN" w:bidi="ar-SA"/>
        </w:rPr>
        <w:t>条　楼房翻修：</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达到危险房屋标准或超过房屋设计使用年限且严重损坏的房屋应翻修。危险房屋是指承重构件已属危险构件，结构丧失稳定和承载能力，整栋房屋随时有倒塌可能，通过一般修缮仍不能确保住用安全的房屋。</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严重损坏房是指结构有明显变形或损坏，屋面严重漏雨，装修严重变形、破损，油漆普遍老化见底，设备陈旧，配件不齐全，管道锈蚀严重，水卫、电照的管线器具和零件残缺及严重损坏的房屋。</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二</w:t>
      </w:r>
      <w:r>
        <w:rPr>
          <w:rFonts w:hint="default" w:ascii="仿宋" w:hAnsi="仿宋" w:eastAsia="仿宋" w:cs="仿宋"/>
          <w:b/>
          <w:bCs/>
          <w:color w:val="auto"/>
          <w:spacing w:val="14"/>
          <w:kern w:val="2"/>
          <w:sz w:val="28"/>
          <w:szCs w:val="28"/>
          <w:lang w:val="en-US" w:eastAsia="zh-CN" w:bidi="ar-SA"/>
        </w:rPr>
        <w:t>条　屋面大修（挑顶）</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屋面或屋顶承重结构达到严重损坏标准，渗漏房间占顶层房间总数的30%以上或滴漏房间超过顶层房间总数的20%，应做屋面大修。</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1、平顶屋面：混凝土屋面板、梁明显变形，裂缝值超过设计规范，混凝土严重碳化，钢筋保护层剥落较多；加气混凝土板大部分明显变形，裂缝严重，部分板钢筋保护层剥落，钢筋严重锈蚀应挑顶或换板。</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防水层普遍老化，断裂翘边和封口脱开，有严重空鼓现象，局部补漏仍难解决时，应重做屋面防水。</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2、坡顶屋面：</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钢屋架锈蚀严重，明显倾斜变形，部分支撑杆件弯曲松脱。</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木屋架端节点糟朽、蛀蚀，有明显下垂或倾斜，节点联接松动，夹板裂缝，管件严重锈蚀，支撑松动；木构件（如檩条、屋面板、椽条等）严重倾斜或下垂，腐朽蛀蚀，木质发脆，结点松动，榫头拔出或折断，榫眼压裂的应挑顶；</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瓦件严重破碎、风化，脊瓦松动、破损、瓦条糟朽，油毡老化；铁皮屋面严重锈烂，变形下垂，应重做或更换屋面。</w:t>
      </w:r>
    </w:p>
    <w:p>
      <w:pPr>
        <w:pStyle w:val="18"/>
        <w:spacing w:line="360" w:lineRule="auto"/>
        <w:ind w:left="0" w:leftChars="0" w:firstLine="618"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三</w:t>
      </w:r>
      <w:r>
        <w:rPr>
          <w:rFonts w:hint="default" w:ascii="仿宋" w:hAnsi="仿宋" w:eastAsia="仿宋" w:cs="仿宋"/>
          <w:b/>
          <w:bCs/>
          <w:color w:val="auto"/>
          <w:spacing w:val="14"/>
          <w:kern w:val="2"/>
          <w:sz w:val="28"/>
          <w:szCs w:val="28"/>
          <w:lang w:val="en-US" w:eastAsia="zh-CN" w:bidi="ar-SA"/>
        </w:rPr>
        <w:t>条　外墙板缝严重渗漏，经2次以上中修不能彻底根治的，需整栋楼重做板缝防水</w:t>
      </w:r>
      <w:r>
        <w:rPr>
          <w:rFonts w:hint="default" w:ascii="仿宋" w:hAnsi="仿宋" w:eastAsia="仿宋_GB2312" w:cs="仿宋"/>
          <w:b w:val="0"/>
          <w:i w:val="0"/>
          <w:color w:val="auto"/>
          <w:spacing w:val="14"/>
          <w:kern w:val="2"/>
          <w:sz w:val="32"/>
          <w:szCs w:val="28"/>
          <w:lang w:val="en-US" w:eastAsia="zh-CN" w:bidi="ar-SA"/>
        </w:rPr>
        <w:t>。</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四</w:t>
      </w:r>
      <w:r>
        <w:rPr>
          <w:rFonts w:hint="default" w:ascii="仿宋" w:hAnsi="仿宋" w:eastAsia="仿宋" w:cs="仿宋"/>
          <w:b/>
          <w:bCs/>
          <w:color w:val="auto"/>
          <w:spacing w:val="14"/>
          <w:kern w:val="2"/>
          <w:sz w:val="28"/>
          <w:szCs w:val="28"/>
          <w:lang w:val="en-US" w:eastAsia="zh-CN" w:bidi="ar-SA"/>
        </w:rPr>
        <w:t>条　抗震加固，凡无抗震设防的楼房，应按本市抗震设防标准进行加固。</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五</w:t>
      </w:r>
      <w:r>
        <w:rPr>
          <w:rFonts w:hint="default" w:ascii="仿宋" w:hAnsi="仿宋" w:eastAsia="仿宋" w:cs="仿宋"/>
          <w:b/>
          <w:bCs/>
          <w:color w:val="auto"/>
          <w:spacing w:val="14"/>
          <w:kern w:val="2"/>
          <w:sz w:val="28"/>
          <w:szCs w:val="28"/>
          <w:lang w:val="en-US" w:eastAsia="zh-CN" w:bidi="ar-SA"/>
        </w:rPr>
        <w:t>条　综合维修</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严重失修、失养破损程度已达严重损坏或需改善房屋使用条件，做到大、中、小修一次性应修尽修的修缮工程为综合维修。</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六</w:t>
      </w:r>
      <w:r>
        <w:rPr>
          <w:rFonts w:hint="default" w:ascii="仿宋" w:hAnsi="仿宋" w:eastAsia="仿宋" w:cs="仿宋"/>
          <w:b/>
          <w:bCs/>
          <w:color w:val="auto"/>
          <w:spacing w:val="14"/>
          <w:kern w:val="2"/>
          <w:sz w:val="28"/>
          <w:szCs w:val="28"/>
          <w:lang w:val="en-US" w:eastAsia="zh-CN" w:bidi="ar-SA"/>
        </w:rPr>
        <w:t>条　地下室防水层老化失效，采取局部堵漏的方法无法解决渗漏问题，需重新做防水。</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七</w:t>
      </w:r>
      <w:r>
        <w:rPr>
          <w:rFonts w:hint="default" w:ascii="仿宋" w:hAnsi="仿宋" w:eastAsia="仿宋" w:cs="仿宋"/>
          <w:b/>
          <w:bCs/>
          <w:color w:val="auto"/>
          <w:spacing w:val="14"/>
          <w:kern w:val="2"/>
          <w:sz w:val="28"/>
          <w:szCs w:val="28"/>
          <w:lang w:val="en-US" w:eastAsia="zh-CN" w:bidi="ar-SA"/>
        </w:rPr>
        <w:t>条　上、下水及设备更新</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上、下水管线及设备达到或超过使用年限，且严重损坏，应进行更新改造。设备严重损坏是指：管道严重锈蚀、堵塞，零部件严重损坏、残缺、冒水现象严重，无法正常使用。</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八</w:t>
      </w:r>
      <w:r>
        <w:rPr>
          <w:rFonts w:hint="default" w:ascii="仿宋" w:hAnsi="仿宋" w:eastAsia="仿宋" w:cs="仿宋"/>
          <w:b/>
          <w:bCs/>
          <w:color w:val="auto"/>
          <w:spacing w:val="14"/>
          <w:kern w:val="2"/>
          <w:sz w:val="28"/>
          <w:szCs w:val="28"/>
          <w:lang w:val="en-US" w:eastAsia="zh-CN" w:bidi="ar-SA"/>
        </w:rPr>
        <w:t>条　电气线路更新</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当电气线路达到严重损坏标准时应做更新工程。电气线路更新可结合配电设施改造一并进行。</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九</w:t>
      </w:r>
      <w:r>
        <w:rPr>
          <w:rFonts w:hint="default" w:ascii="仿宋" w:hAnsi="仿宋" w:eastAsia="仿宋" w:cs="仿宋"/>
          <w:b/>
          <w:bCs/>
          <w:color w:val="auto"/>
          <w:spacing w:val="14"/>
          <w:kern w:val="2"/>
          <w:sz w:val="28"/>
          <w:szCs w:val="28"/>
          <w:lang w:val="en-US" w:eastAsia="zh-CN" w:bidi="ar-SA"/>
        </w:rPr>
        <w:t>章　中修工程定案标准</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B、</w:t>
      </w:r>
      <w:r>
        <w:rPr>
          <w:rFonts w:hint="default" w:ascii="仿宋" w:hAnsi="仿宋" w:eastAsia="仿宋" w:cs="仿宋"/>
          <w:b/>
          <w:bCs/>
          <w:color w:val="auto"/>
          <w:spacing w:val="14"/>
          <w:kern w:val="2"/>
          <w:sz w:val="28"/>
          <w:szCs w:val="28"/>
          <w:lang w:val="en-US" w:eastAsia="zh-CN" w:bidi="ar-SA"/>
        </w:rPr>
        <w:t>楼房中修</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凡房屋结构、装修、设备三个组成部分中的一个分项达到严重损坏标准的，应进行中修。</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一</w:t>
      </w:r>
      <w:r>
        <w:rPr>
          <w:rFonts w:hint="default" w:ascii="仿宋" w:hAnsi="仿宋" w:eastAsia="仿宋" w:cs="仿宋"/>
          <w:b/>
          <w:bCs/>
          <w:color w:val="auto"/>
          <w:spacing w:val="14"/>
          <w:kern w:val="2"/>
          <w:sz w:val="28"/>
          <w:szCs w:val="28"/>
          <w:lang w:val="en-US" w:eastAsia="zh-CN" w:bidi="ar-SA"/>
        </w:rPr>
        <w:t>条　油饰</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当油漆失光、老化、翘皮、剥落见底时，应重做油饰。钢门窗及其各类钢铁部件应3－5年油饰一次；木门窗及其各类木部件应5－10年油饰一次。</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二</w:t>
      </w:r>
      <w:r>
        <w:rPr>
          <w:rFonts w:hint="default" w:ascii="仿宋" w:hAnsi="仿宋" w:eastAsia="仿宋" w:cs="仿宋"/>
          <w:b/>
          <w:bCs/>
          <w:color w:val="auto"/>
          <w:spacing w:val="14"/>
          <w:kern w:val="2"/>
          <w:sz w:val="28"/>
          <w:szCs w:val="28"/>
          <w:lang w:val="en-US" w:eastAsia="zh-CN" w:bidi="ar-SA"/>
        </w:rPr>
        <w:t>条　粉刷</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当装饰层粉刷掉粉、剥落及划痕污迹较多时应重做粉刷（只负责公共部位，包括基层抹灰）。外墙涂料装饰衣楼梯间、公共走廊的室内涂料，应每10－15年涂刷一次。</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三</w:t>
      </w:r>
      <w:r>
        <w:rPr>
          <w:rFonts w:hint="default" w:ascii="仿宋" w:hAnsi="仿宋" w:eastAsia="仿宋" w:cs="仿宋"/>
          <w:b/>
          <w:bCs/>
          <w:color w:val="auto"/>
          <w:spacing w:val="14"/>
          <w:kern w:val="2"/>
          <w:sz w:val="28"/>
          <w:szCs w:val="28"/>
          <w:lang w:val="en-US" w:eastAsia="zh-CN" w:bidi="ar-SA"/>
        </w:rPr>
        <w:t>条　更换门窗</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当木门窗形状不灵活、松动、脱榫、糟朽；钢门窗形状不灵活、开焊、严重锈蚀时应更换门窗。</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四</w:t>
      </w:r>
      <w:r>
        <w:rPr>
          <w:rFonts w:hint="default" w:ascii="仿宋" w:hAnsi="仿宋" w:eastAsia="仿宋" w:cs="仿宋"/>
          <w:b/>
          <w:bCs/>
          <w:color w:val="auto"/>
          <w:spacing w:val="14"/>
          <w:kern w:val="2"/>
          <w:sz w:val="28"/>
          <w:szCs w:val="28"/>
          <w:lang w:val="en-US" w:eastAsia="zh-CN" w:bidi="ar-SA"/>
        </w:rPr>
        <w:t>条　修补外墙装饰层</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当外装饰层空鼓、裂缝、风化、有脱落危险时应修补或重作。</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五</w:t>
      </w:r>
      <w:r>
        <w:rPr>
          <w:rFonts w:hint="default" w:ascii="仿宋" w:hAnsi="仿宋" w:eastAsia="仿宋" w:cs="仿宋"/>
          <w:b/>
          <w:bCs/>
          <w:color w:val="auto"/>
          <w:spacing w:val="14"/>
          <w:kern w:val="2"/>
          <w:sz w:val="28"/>
          <w:szCs w:val="28"/>
          <w:lang w:val="en-US" w:eastAsia="zh-CN" w:bidi="ar-SA"/>
        </w:rPr>
        <w:t>条　修补外墙大板缝</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当外墙板勾缝砂浆脱落；外墙板缝局部严重渗漏时应修补。</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六</w:t>
      </w:r>
      <w:r>
        <w:rPr>
          <w:rFonts w:hint="default" w:ascii="仿宋" w:hAnsi="仿宋" w:eastAsia="仿宋" w:cs="仿宋"/>
          <w:b/>
          <w:bCs/>
          <w:color w:val="auto"/>
          <w:spacing w:val="14"/>
          <w:kern w:val="2"/>
          <w:sz w:val="28"/>
          <w:szCs w:val="28"/>
          <w:lang w:val="en-US" w:eastAsia="zh-CN" w:bidi="ar-SA"/>
        </w:rPr>
        <w:t>条　阳台、梁、板、柱加固</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当以上构件出现明显变形、裂缝值超过设计规范规定；钢筋保护层剥落，钢筋锈蚀时应做加固处理。</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七</w:t>
      </w:r>
      <w:r>
        <w:rPr>
          <w:rFonts w:hint="default" w:ascii="仿宋" w:hAnsi="仿宋" w:eastAsia="仿宋" w:cs="仿宋"/>
          <w:b/>
          <w:bCs/>
          <w:color w:val="auto"/>
          <w:spacing w:val="14"/>
          <w:kern w:val="2"/>
          <w:sz w:val="28"/>
          <w:szCs w:val="28"/>
          <w:lang w:val="en-US" w:eastAsia="zh-CN" w:bidi="ar-SA"/>
        </w:rPr>
        <w:t>条　屋面维修</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当屋面达到一般损坏标准（见第八条）；顶层漏雨房间占顶层房间总数的10%－30%时，应维修；</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1、平顶：当屋面防水层出现空鼓、翘边、封口不严时应维修。</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2、坡顶：当屋面瓦件有碎裂，屋脊抹灰开裂时更换损坏的瓦件或屋面维修。</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八</w:t>
      </w:r>
      <w:r>
        <w:rPr>
          <w:rFonts w:hint="default" w:ascii="仿宋" w:hAnsi="仿宋" w:eastAsia="仿宋" w:cs="仿宋"/>
          <w:b/>
          <w:bCs/>
          <w:color w:val="auto"/>
          <w:spacing w:val="14"/>
          <w:kern w:val="2"/>
          <w:sz w:val="28"/>
          <w:szCs w:val="28"/>
          <w:lang w:val="en-US" w:eastAsia="zh-CN" w:bidi="ar-SA"/>
        </w:rPr>
        <w:t>条　厨厕渗漏的维修</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当厨厕渗漏影响到正常使用时，应维修。</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九</w:t>
      </w:r>
      <w:r>
        <w:rPr>
          <w:rFonts w:hint="default" w:ascii="仿宋" w:hAnsi="仿宋" w:eastAsia="仿宋" w:cs="仿宋"/>
          <w:b/>
          <w:bCs/>
          <w:color w:val="auto"/>
          <w:spacing w:val="14"/>
          <w:kern w:val="2"/>
          <w:sz w:val="28"/>
          <w:szCs w:val="28"/>
          <w:lang w:val="en-US" w:eastAsia="zh-CN" w:bidi="ar-SA"/>
        </w:rPr>
        <w:t>条　地下室防水</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当地下室有积水时应查明原因、清除积水，维修或重做地下室防水层。</w:t>
      </w:r>
    </w:p>
    <w:p>
      <w:pPr>
        <w:pStyle w:val="18"/>
        <w:spacing w:line="360" w:lineRule="auto"/>
        <w:ind w:left="0" w:leftChars="0" w:firstLine="618" w:firstLineChars="200"/>
        <w:jc w:val="both"/>
        <w:rPr>
          <w:rFonts w:hint="default" w:ascii="仿宋" w:hAnsi="仿宋" w:eastAsia="仿宋" w:cs="仿宋"/>
          <w:b/>
          <w:bCs/>
          <w:color w:val="auto"/>
          <w:spacing w:val="14"/>
          <w:kern w:val="2"/>
          <w:sz w:val="28"/>
          <w:szCs w:val="28"/>
          <w:lang w:val="en-US" w:eastAsia="zh-CN" w:bidi="ar-SA"/>
        </w:rPr>
      </w:pPr>
      <w:r>
        <w:rPr>
          <w:rFonts w:hint="default" w:ascii="仿宋" w:hAnsi="仿宋" w:eastAsia="仿宋" w:cs="仿宋"/>
          <w:b/>
          <w:bCs/>
          <w:color w:val="auto"/>
          <w:spacing w:val="14"/>
          <w:kern w:val="2"/>
          <w:sz w:val="28"/>
          <w:szCs w:val="28"/>
          <w:lang w:val="en-US" w:eastAsia="zh-CN" w:bidi="ar-SA"/>
        </w:rPr>
        <w:t>第</w:t>
      </w:r>
      <w:r>
        <w:rPr>
          <w:rFonts w:hint="eastAsia" w:ascii="仿宋" w:hAnsi="仿宋" w:eastAsia="仿宋" w:cs="仿宋"/>
          <w:b/>
          <w:bCs/>
          <w:color w:val="auto"/>
          <w:spacing w:val="14"/>
          <w:kern w:val="2"/>
          <w:sz w:val="28"/>
          <w:szCs w:val="28"/>
          <w:lang w:val="en-US" w:eastAsia="zh-CN" w:bidi="ar-SA"/>
        </w:rPr>
        <w:t>十</w:t>
      </w:r>
      <w:r>
        <w:rPr>
          <w:rFonts w:hint="default" w:ascii="仿宋" w:hAnsi="仿宋" w:eastAsia="仿宋" w:cs="仿宋"/>
          <w:b/>
          <w:bCs/>
          <w:color w:val="auto"/>
          <w:spacing w:val="14"/>
          <w:kern w:val="2"/>
          <w:sz w:val="28"/>
          <w:szCs w:val="28"/>
          <w:lang w:val="en-US" w:eastAsia="zh-CN" w:bidi="ar-SA"/>
        </w:rPr>
        <w:t>条　局部上、下水管线及设备更换</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default" w:ascii="仿宋" w:hAnsi="仿宋" w:eastAsia="仿宋_GB2312" w:cs="仿宋"/>
          <w:b w:val="0"/>
          <w:i w:val="0"/>
          <w:color w:val="auto"/>
          <w:spacing w:val="14"/>
          <w:kern w:val="2"/>
          <w:sz w:val="32"/>
          <w:szCs w:val="28"/>
          <w:lang w:val="en-US" w:eastAsia="zh-CN" w:bidi="ar-SA"/>
        </w:rPr>
        <w:t>当上、下水管线局部损坏、严重锈蚀和少量设备损坏时，应局部更换管线和设备。</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C、建筑物小维修包括：</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1、修补屋面、地面、顶棚，室内外抹灰；</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2、修理门窗、换纱、换玻璃；</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3、水、暖卫、电设备的日常养护；</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4、疏通下水、烟囱、垃圾道，清扫屋面、雨水口。</w:t>
      </w:r>
    </w:p>
    <w:p>
      <w:pPr>
        <w:pStyle w:val="18"/>
        <w:spacing w:line="360" w:lineRule="auto"/>
        <w:ind w:left="0" w:leftChars="0" w:firstLine="618"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 w:cs="仿宋"/>
          <w:b/>
          <w:bCs/>
          <w:color w:val="auto"/>
          <w:spacing w:val="14"/>
          <w:kern w:val="2"/>
          <w:sz w:val="28"/>
          <w:szCs w:val="28"/>
          <w:lang w:val="en-US" w:eastAsia="zh-CN" w:bidi="ar-SA"/>
        </w:rPr>
        <w:t>D、设备小修包括：</w:t>
      </w:r>
      <w:r>
        <w:rPr>
          <w:rFonts w:hint="eastAsia" w:ascii="仿宋" w:hAnsi="仿宋" w:eastAsia="仿宋_GB2312" w:cs="仿宋"/>
          <w:b w:val="0"/>
          <w:i w:val="0"/>
          <w:color w:val="auto"/>
          <w:spacing w:val="14"/>
          <w:kern w:val="2"/>
          <w:sz w:val="32"/>
          <w:szCs w:val="28"/>
          <w:lang w:val="en-US" w:eastAsia="zh-CN" w:bidi="ar-SA"/>
        </w:rPr>
        <w:t>设备解体少数部件或更换少数易损件，并进行全面的设备检查、擦拭、润滑、保养，从而消除设备缺陷，恢复设备功能的检修。</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参考同类型项目经验及本项目特点，维修费按工程费用及设备采购费的0.5%计取，此项目暂按每年固定资产修理费支出约42万元/年。</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参考韶关市近10年CPI指数的平均值递增，维修费按年均递增1.58%预估。</w:t>
      </w: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经测算，租赁期15年内，社会资本方的维修费支出预计为705万元，详见下表。</w:t>
      </w: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表4.3.6-1本项目运营期各年维修费用预估</w:t>
      </w:r>
    </w:p>
    <w:tbl>
      <w:tblPr>
        <w:tblStyle w:val="19"/>
        <w:tblW w:w="852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33"/>
        <w:gridCol w:w="2161"/>
        <w:gridCol w:w="2161"/>
        <w:gridCol w:w="216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运营期（年）</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运营年份</w:t>
            </w:r>
          </w:p>
        </w:tc>
        <w:tc>
          <w:tcPr>
            <w:tcW w:w="2161" w:type="dxa"/>
            <w:noWrap w:val="0"/>
            <w:vAlign w:val="top"/>
          </w:tcPr>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维修预备费</w:t>
            </w:r>
          </w:p>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（万元/年）</w:t>
            </w: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维修费（万元/年）（随CPI增长）</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w:t>
            </w:r>
          </w:p>
        </w:tc>
        <w:tc>
          <w:tcPr>
            <w:tcW w:w="2161"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2024 年</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w:t>
            </w:r>
          </w:p>
        </w:tc>
        <w:tc>
          <w:tcPr>
            <w:tcW w:w="2161"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2025 年</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w:t>
            </w:r>
          </w:p>
        </w:tc>
        <w:tc>
          <w:tcPr>
            <w:tcW w:w="2161"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2026 年</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w:t>
            </w:r>
          </w:p>
        </w:tc>
        <w:tc>
          <w:tcPr>
            <w:tcW w:w="2161"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2027 年</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w:t>
            </w:r>
          </w:p>
        </w:tc>
        <w:tc>
          <w:tcPr>
            <w:tcW w:w="2161"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2028 年</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w:t>
            </w:r>
          </w:p>
        </w:tc>
        <w:tc>
          <w:tcPr>
            <w:tcW w:w="2161"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2029 年</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7</w:t>
            </w:r>
          </w:p>
        </w:tc>
        <w:tc>
          <w:tcPr>
            <w:tcW w:w="2161"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2030 年</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w:t>
            </w:r>
          </w:p>
        </w:tc>
        <w:tc>
          <w:tcPr>
            <w:tcW w:w="2161"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2031 年</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w:t>
            </w:r>
          </w:p>
        </w:tc>
        <w:tc>
          <w:tcPr>
            <w:tcW w:w="2161"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2032 年</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w:t>
            </w:r>
          </w:p>
        </w:tc>
        <w:tc>
          <w:tcPr>
            <w:tcW w:w="2161"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2033 年</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11</w:t>
            </w:r>
          </w:p>
        </w:tc>
        <w:tc>
          <w:tcPr>
            <w:tcW w:w="2161"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2034 年</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12</w:t>
            </w:r>
          </w:p>
        </w:tc>
        <w:tc>
          <w:tcPr>
            <w:tcW w:w="2161"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2035 年</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13</w:t>
            </w:r>
          </w:p>
        </w:tc>
        <w:tc>
          <w:tcPr>
            <w:tcW w:w="2161"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2036 年</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14</w:t>
            </w:r>
          </w:p>
        </w:tc>
        <w:tc>
          <w:tcPr>
            <w:tcW w:w="2161"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2037 年</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15</w:t>
            </w:r>
          </w:p>
        </w:tc>
        <w:tc>
          <w:tcPr>
            <w:tcW w:w="2161"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2038 年</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203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合计</w:t>
            </w: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p>
        </w:tc>
        <w:tc>
          <w:tcPr>
            <w:tcW w:w="2161"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p>
        </w:tc>
        <w:tc>
          <w:tcPr>
            <w:tcW w:w="2168"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705</w:t>
            </w:r>
          </w:p>
        </w:tc>
      </w:tr>
    </w:tbl>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95" w:name="_Toc14250"/>
      <w:r>
        <w:rPr>
          <w:rFonts w:hint="eastAsia" w:ascii="仿宋" w:hAnsi="仿宋" w:eastAsia="仿宋" w:cs="Times New Roman"/>
          <w:b/>
          <w:color w:val="auto"/>
          <w:szCs w:val="28"/>
          <w:lang w:val="en-US" w:eastAsia="zh-CN"/>
        </w:rPr>
        <w:t>4.3.7管理费及其他费用</w:t>
      </w:r>
      <w:bookmarkEnd w:id="95"/>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管理费用包括业务接待费、办公费、保险费等在企业经营管理中发生的或者应当由企业统一负担的公司经费。</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根据本项目特点，管理费及其他费用暂按照其经营成本费用的5%计算。租赁期15年内，社会资本方的管理费及其他费用支出预计为636万元，详见下表：</w:t>
      </w:r>
    </w:p>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表4.3.7-1本项目运营期各年管理费及其他费用支出预估</w:t>
      </w:r>
    </w:p>
    <w:tbl>
      <w:tblPr>
        <w:tblStyle w:val="19"/>
        <w:tblW w:w="852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765"/>
        <w:gridCol w:w="2875"/>
        <w:gridCol w:w="288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运营期（年）</w:t>
            </w:r>
          </w:p>
        </w:tc>
        <w:tc>
          <w:tcPr>
            <w:tcW w:w="287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运营年份</w:t>
            </w: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管理费（万元/年）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w:t>
            </w:r>
          </w:p>
        </w:tc>
        <w:tc>
          <w:tcPr>
            <w:tcW w:w="2875"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2024 年</w:t>
            </w: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w:t>
            </w:r>
          </w:p>
        </w:tc>
        <w:tc>
          <w:tcPr>
            <w:tcW w:w="2875"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2025 年</w:t>
            </w: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w:t>
            </w:r>
          </w:p>
        </w:tc>
        <w:tc>
          <w:tcPr>
            <w:tcW w:w="2875"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2026 年</w:t>
            </w: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w:t>
            </w:r>
          </w:p>
        </w:tc>
        <w:tc>
          <w:tcPr>
            <w:tcW w:w="2875"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2027 年</w:t>
            </w: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w:t>
            </w:r>
          </w:p>
        </w:tc>
        <w:tc>
          <w:tcPr>
            <w:tcW w:w="2875"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2028 年</w:t>
            </w: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w:t>
            </w:r>
          </w:p>
        </w:tc>
        <w:tc>
          <w:tcPr>
            <w:tcW w:w="2875"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2029 年</w:t>
            </w: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5"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7</w:t>
            </w:r>
          </w:p>
        </w:tc>
        <w:tc>
          <w:tcPr>
            <w:tcW w:w="2875"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2030 年</w:t>
            </w: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w:t>
            </w:r>
          </w:p>
        </w:tc>
        <w:tc>
          <w:tcPr>
            <w:tcW w:w="2875"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2031 年</w:t>
            </w: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9</w:t>
            </w:r>
          </w:p>
        </w:tc>
        <w:tc>
          <w:tcPr>
            <w:tcW w:w="2875"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2032 年</w:t>
            </w: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10</w:t>
            </w:r>
          </w:p>
        </w:tc>
        <w:tc>
          <w:tcPr>
            <w:tcW w:w="2875"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2033 年</w:t>
            </w: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11</w:t>
            </w:r>
          </w:p>
        </w:tc>
        <w:tc>
          <w:tcPr>
            <w:tcW w:w="2875"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2034 年</w:t>
            </w: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12</w:t>
            </w:r>
          </w:p>
        </w:tc>
        <w:tc>
          <w:tcPr>
            <w:tcW w:w="2875"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2035 年</w:t>
            </w: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13</w:t>
            </w:r>
          </w:p>
        </w:tc>
        <w:tc>
          <w:tcPr>
            <w:tcW w:w="2875"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2036 年</w:t>
            </w: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14</w:t>
            </w:r>
          </w:p>
        </w:tc>
        <w:tc>
          <w:tcPr>
            <w:tcW w:w="2875"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2037 年</w:t>
            </w: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15</w:t>
            </w:r>
          </w:p>
        </w:tc>
        <w:tc>
          <w:tcPr>
            <w:tcW w:w="2875" w:type="dxa"/>
            <w:noWrap w:val="0"/>
            <w:vAlign w:val="center"/>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2038 年</w:t>
            </w: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276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合计</w:t>
            </w:r>
          </w:p>
        </w:tc>
        <w:tc>
          <w:tcPr>
            <w:tcW w:w="2875"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p>
        </w:tc>
        <w:tc>
          <w:tcPr>
            <w:tcW w:w="2883" w:type="dxa"/>
            <w:noWrap w:val="0"/>
            <w:vAlign w:val="top"/>
          </w:tcPr>
          <w:p>
            <w:pPr>
              <w:pStyle w:val="18"/>
              <w:spacing w:line="360" w:lineRule="auto"/>
              <w:ind w:left="0" w:leftChars="0" w:firstLine="0" w:firstLineChars="0"/>
              <w:jc w:val="both"/>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636</w:t>
            </w:r>
          </w:p>
        </w:tc>
      </w:tr>
    </w:tbl>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96" w:name="_Toc27673"/>
      <w:r>
        <w:rPr>
          <w:rFonts w:hint="eastAsia" w:ascii="仿宋" w:hAnsi="仿宋" w:eastAsia="仿宋" w:cs="Times New Roman"/>
          <w:b/>
          <w:color w:val="auto"/>
          <w:szCs w:val="28"/>
          <w:lang w:val="en-US" w:eastAsia="zh-CN"/>
        </w:rPr>
        <w:t>4.3.8税费</w:t>
      </w:r>
      <w:bookmarkEnd w:id="96"/>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一、增值税</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根据《营业税改征增值税试点过渡政策的规定》（财税〔2016〕36号印发）第一条第（二）项中的养老机构，包括依照《中华人民共和国老年人权益保障法》依法办理登记，并向民政部门备案的为老年人提供集中居住和照料服务的各类养老机构。</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自2019年2月1日至2020年12月31日，医疗机构接受其他医疗机构委托，按照不高于地（市）级以上价格主管部门会同同级卫生主管部门及其他相关部门制定的医疗服务指导价格（包括政府指导价和按照规定由供需双方协商确定的价格等），提供《全国医疗服务价格项目规范》所列的各项服务，可适用《营业税改征增值税试点过渡政策的规定》（财税〔2016〕36号印发）第一条第（七）项规定的免征增值税政策。</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3、根据《韶关市民办养老服务机构扶持资助办法》（韶府规审〔2022〕17号），符合条件的养老机构提供养老服务取得的收入免征增值税。该管理办法自2022年11月1日起施行，有效期五年。</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因此，本项目免征增值税。</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二、所得税</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根据《中华人民共和国企业所得税法》第四条“企业所得税的税率为25％。”第二十六条“企业的下列收入为免税收入：</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1、国债利息收入；</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2、符合条件的居民企业之间的股息、红利等权益性投资收益；</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3、在中国境内设立机构、场所的非居民企业从居民企业取得与该机构、场所有实际联系的股息、红利等权益性投资收益；</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4、符合条件的非营利组织的收入。</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仁化县丹霞街道综合养老服务中心建设项目属于营利性养老机构，不属于上述第（4）条“符合条件的非营利组织的收入”免征税范围，因此企业所得税税率按25%计。</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三、税金及附加</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由于该项目免征增值税，因此无需缴纳城市维护建设税及教育费附加。</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spacing w:val="14"/>
          <w:kern w:val="2"/>
          <w:sz w:val="28"/>
          <w:szCs w:val="28"/>
          <w:lang w:val="en-US" w:eastAsia="zh-CN" w:bidi="ar-SA"/>
        </w:rPr>
      </w:pPr>
      <w:bookmarkStart w:id="97" w:name="_Toc29699"/>
      <w:r>
        <w:rPr>
          <w:rFonts w:hint="eastAsia" w:ascii="仿宋" w:hAnsi="仿宋" w:eastAsia="仿宋" w:cs="Times New Roman"/>
          <w:b/>
          <w:color w:val="auto"/>
          <w:szCs w:val="28"/>
          <w:lang w:val="en-US" w:eastAsia="zh-CN"/>
        </w:rPr>
        <w:t>4.4盈利能力分析</w:t>
      </w:r>
      <w:bookmarkEnd w:id="97"/>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如果社会资本方在运营期前五年未能达到广东省养老机构星级评定标准中四星级或以上养老机构标准，则租金没有任何返还，租金按每三年递增5%计算。租赁期15年内社会资本方总收入为</w:t>
      </w:r>
      <w:r>
        <w:rPr>
          <w:rFonts w:hint="eastAsia" w:ascii="仿宋" w:hAnsi="仿宋" w:eastAsia="仿宋_GB2312" w:cs="仿宋"/>
          <w:b w:val="0"/>
          <w:i w:val="0"/>
          <w:color w:val="FF0000"/>
          <w:spacing w:val="14"/>
          <w:kern w:val="2"/>
          <w:sz w:val="32"/>
          <w:szCs w:val="28"/>
          <w:lang w:val="en-US" w:eastAsia="zh-CN" w:bidi="ar-SA"/>
        </w:rPr>
        <w:t>15099.29</w:t>
      </w:r>
      <w:r>
        <w:rPr>
          <w:rFonts w:hint="eastAsia" w:ascii="仿宋" w:hAnsi="仿宋" w:eastAsia="仿宋_GB2312" w:cs="仿宋"/>
          <w:b w:val="0"/>
          <w:i w:val="0"/>
          <w:color w:val="auto"/>
          <w:spacing w:val="14"/>
          <w:kern w:val="2"/>
          <w:sz w:val="32"/>
          <w:szCs w:val="28"/>
          <w:lang w:val="en-US" w:eastAsia="zh-CN" w:bidi="ar-SA"/>
        </w:rPr>
        <w:t>万元，总成本为</w:t>
      </w:r>
      <w:r>
        <w:rPr>
          <w:rFonts w:hint="eastAsia" w:ascii="仿宋" w:hAnsi="仿宋" w:eastAsia="仿宋_GB2312" w:cs="仿宋"/>
          <w:b w:val="0"/>
          <w:i w:val="0"/>
          <w:color w:val="FF0000"/>
          <w:spacing w:val="14"/>
          <w:kern w:val="2"/>
          <w:sz w:val="32"/>
          <w:szCs w:val="28"/>
          <w:lang w:val="en-US" w:eastAsia="zh-CN" w:bidi="ar-SA"/>
        </w:rPr>
        <w:t>12504.93</w:t>
      </w:r>
      <w:r>
        <w:rPr>
          <w:rFonts w:hint="eastAsia" w:ascii="仿宋" w:hAnsi="仿宋" w:eastAsia="仿宋_GB2312" w:cs="仿宋"/>
          <w:b w:val="0"/>
          <w:i w:val="0"/>
          <w:color w:val="auto"/>
          <w:spacing w:val="14"/>
          <w:kern w:val="2"/>
          <w:sz w:val="32"/>
          <w:szCs w:val="28"/>
          <w:lang w:val="en-US" w:eastAsia="zh-CN" w:bidi="ar-SA"/>
        </w:rPr>
        <w:t>万元，税后净利润为</w:t>
      </w:r>
      <w:r>
        <w:rPr>
          <w:rFonts w:hint="eastAsia" w:ascii="仿宋" w:hAnsi="仿宋" w:eastAsia="仿宋_GB2312" w:cs="仿宋"/>
          <w:b w:val="0"/>
          <w:i w:val="0"/>
          <w:color w:val="FF0000"/>
          <w:spacing w:val="14"/>
          <w:kern w:val="2"/>
          <w:sz w:val="32"/>
          <w:szCs w:val="28"/>
          <w:lang w:val="en-US" w:eastAsia="zh-CN" w:bidi="ar-SA"/>
        </w:rPr>
        <w:t>1709.13</w:t>
      </w:r>
      <w:r>
        <w:rPr>
          <w:rFonts w:hint="eastAsia" w:ascii="仿宋" w:hAnsi="仿宋" w:eastAsia="仿宋_GB2312" w:cs="仿宋"/>
          <w:b w:val="0"/>
          <w:i w:val="0"/>
          <w:color w:val="auto"/>
          <w:spacing w:val="14"/>
          <w:kern w:val="2"/>
          <w:sz w:val="32"/>
          <w:szCs w:val="28"/>
          <w:lang w:val="en-US" w:eastAsia="zh-CN" w:bidi="ar-SA"/>
        </w:rPr>
        <w:t>万元，税后经营成本利润率</w:t>
      </w:r>
      <w:r>
        <w:rPr>
          <w:rFonts w:hint="eastAsia" w:ascii="仿宋" w:hAnsi="仿宋" w:eastAsia="仿宋_GB2312" w:cs="仿宋"/>
          <w:b w:val="0"/>
          <w:i w:val="0"/>
          <w:color w:val="FF0000"/>
          <w:spacing w:val="14"/>
          <w:kern w:val="2"/>
          <w:sz w:val="32"/>
          <w:szCs w:val="28"/>
          <w:lang w:val="en-US" w:eastAsia="zh-CN" w:bidi="ar-SA"/>
        </w:rPr>
        <w:t>为13.33%</w:t>
      </w:r>
      <w:r>
        <w:rPr>
          <w:rFonts w:hint="eastAsia" w:ascii="仿宋" w:hAnsi="仿宋" w:eastAsia="仿宋_GB2312" w:cs="仿宋"/>
          <w:b w:val="0"/>
          <w:i w:val="0"/>
          <w:color w:val="auto"/>
          <w:spacing w:val="14"/>
          <w:kern w:val="2"/>
          <w:sz w:val="32"/>
          <w:szCs w:val="28"/>
          <w:lang w:val="en-US" w:eastAsia="zh-CN" w:bidi="ar-SA"/>
        </w:rPr>
        <w:t>，详见表4.4-1。</w:t>
      </w: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sectPr>
          <w:headerReference r:id="rId16" w:type="default"/>
          <w:footerReference r:id="rId17" w:type="default"/>
          <w:pgSz w:w="11906" w:h="16839"/>
          <w:pgMar w:top="1440" w:right="1800" w:bottom="1440" w:left="1800" w:header="829" w:footer="775" w:gutter="0"/>
          <w:pgBorders>
            <w:top w:val="none" w:sz="0" w:space="0"/>
            <w:left w:val="none" w:sz="0" w:space="0"/>
            <w:bottom w:val="none" w:sz="0" w:space="0"/>
            <w:right w:val="none" w:sz="0" w:space="0"/>
          </w:pgBorders>
          <w:pgNumType w:fmt="numberInDash"/>
          <w:cols w:space="720" w:num="1"/>
        </w:sectPr>
      </w:pPr>
    </w:p>
    <w:p>
      <w:pPr>
        <w:pStyle w:val="18"/>
        <w:spacing w:line="360" w:lineRule="auto"/>
        <w:ind w:left="0" w:leftChars="0" w:firstLine="0" w:firstLineChars="0"/>
        <w:jc w:val="center"/>
        <w:rPr>
          <w:rFonts w:hint="eastAsia" w:ascii="仿宋" w:hAnsi="仿宋" w:eastAsia="仿宋" w:cs="仿宋"/>
          <w:color w:val="auto"/>
          <w:spacing w:val="14"/>
          <w:kern w:val="2"/>
          <w:sz w:val="28"/>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表4.4-1预测利润表</w:t>
      </w:r>
    </w:p>
    <w:tbl>
      <w:tblPr>
        <w:tblStyle w:val="1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83"/>
        <w:gridCol w:w="1152"/>
        <w:gridCol w:w="965"/>
        <w:gridCol w:w="871"/>
        <w:gridCol w:w="871"/>
        <w:gridCol w:w="777"/>
        <w:gridCol w:w="777"/>
        <w:gridCol w:w="871"/>
        <w:gridCol w:w="871"/>
        <w:gridCol w:w="871"/>
        <w:gridCol w:w="871"/>
        <w:gridCol w:w="871"/>
        <w:gridCol w:w="871"/>
        <w:gridCol w:w="871"/>
        <w:gridCol w:w="871"/>
        <w:gridCol w:w="871"/>
        <w:gridCol w:w="871"/>
        <w:gridCol w:w="87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FCE4D3"/>
            <w:vAlign w:val="top"/>
          </w:tcPr>
          <w:p>
            <w:pPr>
              <w:jc w:val="both"/>
              <w:rPr>
                <w:rFonts w:hint="eastAsia" w:ascii="仿宋" w:hAnsi="仿宋" w:eastAsia="仿宋" w:cs="仿宋"/>
                <w:color w:val="auto"/>
                <w:spacing w:val="14"/>
                <w:kern w:val="2"/>
                <w:sz w:val="15"/>
                <w:szCs w:val="15"/>
                <w:lang w:val="en-US" w:eastAsia="zh-CN" w:bidi="ar-SA"/>
              </w:rPr>
            </w:pPr>
          </w:p>
        </w:tc>
        <w:tc>
          <w:tcPr>
            <w:tcW w:w="1675"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运营期（年）</w:t>
            </w:r>
          </w:p>
        </w:tc>
        <w:tc>
          <w:tcPr>
            <w:tcW w:w="928"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合计</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w:t>
            </w:r>
          </w:p>
        </w:tc>
        <w:tc>
          <w:tcPr>
            <w:tcW w:w="753"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3</w:t>
            </w:r>
          </w:p>
        </w:tc>
        <w:tc>
          <w:tcPr>
            <w:tcW w:w="753"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5</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6</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7</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8</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9</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10</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11</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12</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13</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14</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both"/>
              <w:rPr>
                <w:rFonts w:hint="eastAsia" w:ascii="仿宋" w:hAnsi="仿宋" w:eastAsia="仿宋" w:cs="仿宋"/>
                <w:color w:val="auto"/>
                <w:spacing w:val="14"/>
                <w:kern w:val="2"/>
                <w:sz w:val="15"/>
                <w:szCs w:val="15"/>
                <w:lang w:val="en-US" w:eastAsia="zh-CN" w:bidi="ar-SA"/>
              </w:rPr>
            </w:pP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运营年份</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both"/>
              <w:rPr>
                <w:rFonts w:hint="eastAsia" w:ascii="仿宋" w:hAnsi="仿宋" w:eastAsia="仿宋" w:cs="仿宋"/>
                <w:color w:val="auto"/>
                <w:spacing w:val="14"/>
                <w:kern w:val="2"/>
                <w:sz w:val="15"/>
                <w:szCs w:val="15"/>
                <w:lang w:val="en-US" w:eastAsia="zh-CN" w:bidi="ar-SA"/>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2024年</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2025年</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2026年</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2027年</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2028年</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2029年</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2030年</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2031年</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2032年</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2033年</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2034年</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2035年</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2036年</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2037年</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2038年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both"/>
              <w:rPr>
                <w:rFonts w:hint="eastAsia" w:ascii="仿宋" w:hAnsi="仿宋" w:eastAsia="仿宋" w:cs="仿宋"/>
                <w:color w:val="auto"/>
                <w:spacing w:val="14"/>
                <w:kern w:val="2"/>
                <w:sz w:val="15"/>
                <w:szCs w:val="15"/>
                <w:lang w:val="en-US" w:eastAsia="zh-CN" w:bidi="ar-SA"/>
              </w:rPr>
            </w:pP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总床位</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both"/>
              <w:rPr>
                <w:rFonts w:hint="eastAsia" w:ascii="仿宋" w:hAnsi="仿宋" w:eastAsia="仿宋" w:cs="仿宋"/>
                <w:color w:val="auto"/>
                <w:spacing w:val="14"/>
                <w:kern w:val="2"/>
                <w:sz w:val="15"/>
                <w:szCs w:val="15"/>
                <w:lang w:val="en-US" w:eastAsia="zh-CN" w:bidi="ar-SA"/>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260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260</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260</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260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260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260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260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260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260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260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260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260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260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260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both"/>
              <w:rPr>
                <w:rFonts w:hint="eastAsia" w:ascii="仿宋" w:hAnsi="仿宋" w:eastAsia="仿宋" w:cs="仿宋"/>
                <w:color w:val="auto"/>
                <w:spacing w:val="14"/>
                <w:kern w:val="2"/>
                <w:sz w:val="15"/>
                <w:szCs w:val="15"/>
                <w:lang w:val="en-US" w:eastAsia="zh-CN" w:bidi="ar-SA"/>
              </w:rPr>
            </w:pP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当年入住率</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both"/>
              <w:rPr>
                <w:rFonts w:hint="eastAsia" w:ascii="仿宋" w:hAnsi="仿宋" w:eastAsia="仿宋" w:cs="仿宋"/>
                <w:color w:val="auto"/>
                <w:spacing w:val="14"/>
                <w:kern w:val="2"/>
                <w:sz w:val="15"/>
                <w:szCs w:val="15"/>
                <w:lang w:val="en-US" w:eastAsia="zh-CN" w:bidi="ar-SA"/>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40%</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60%</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80%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95%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both"/>
              <w:rPr>
                <w:rFonts w:hint="eastAsia" w:ascii="仿宋" w:hAnsi="仿宋" w:eastAsia="仿宋" w:cs="仿宋"/>
                <w:color w:val="auto"/>
                <w:spacing w:val="14"/>
                <w:kern w:val="2"/>
                <w:sz w:val="15"/>
                <w:szCs w:val="15"/>
                <w:lang w:val="en-US" w:eastAsia="zh-CN" w:bidi="ar-SA"/>
              </w:rPr>
            </w:pP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当年入住床位（个）</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both"/>
              <w:rPr>
                <w:rFonts w:hint="eastAsia" w:ascii="仿宋" w:hAnsi="仿宋" w:eastAsia="仿宋" w:cs="仿宋"/>
                <w:color w:val="auto"/>
                <w:spacing w:val="14"/>
                <w:kern w:val="2"/>
                <w:sz w:val="15"/>
                <w:szCs w:val="15"/>
                <w:lang w:val="en-US" w:eastAsia="zh-CN" w:bidi="ar-SA"/>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52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104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156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208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247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both"/>
              <w:rPr>
                <w:rFonts w:hint="eastAsia" w:ascii="仿宋" w:hAnsi="仿宋" w:eastAsia="仿宋" w:cs="仿宋"/>
                <w:color w:val="auto"/>
                <w:spacing w:val="14"/>
                <w:kern w:val="2"/>
                <w:sz w:val="15"/>
                <w:szCs w:val="15"/>
                <w:lang w:val="en-US" w:eastAsia="zh-CN" w:bidi="ar-SA"/>
              </w:rPr>
            </w:pP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其中政策性床位（个）</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both"/>
              <w:rPr>
                <w:rFonts w:hint="eastAsia" w:ascii="仿宋" w:hAnsi="仿宋" w:eastAsia="仿宋" w:cs="仿宋"/>
                <w:color w:val="auto"/>
                <w:spacing w:val="14"/>
                <w:kern w:val="2"/>
                <w:sz w:val="15"/>
                <w:szCs w:val="15"/>
                <w:lang w:val="en-US" w:eastAsia="zh-CN" w:bidi="ar-SA"/>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32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48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64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both"/>
              <w:rPr>
                <w:rFonts w:hint="eastAsia" w:ascii="仿宋" w:hAnsi="仿宋" w:eastAsia="仿宋" w:cs="仿宋"/>
                <w:color w:val="auto"/>
                <w:spacing w:val="14"/>
                <w:kern w:val="2"/>
                <w:sz w:val="15"/>
                <w:szCs w:val="15"/>
                <w:lang w:val="en-US" w:eastAsia="zh-CN" w:bidi="ar-SA"/>
              </w:rPr>
            </w:pP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其中普惠性床位（个）</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jc w:val="both"/>
              <w:rPr>
                <w:rFonts w:hint="eastAsia" w:ascii="仿宋" w:hAnsi="仿宋" w:eastAsia="仿宋" w:cs="仿宋"/>
                <w:color w:val="auto"/>
                <w:spacing w:val="14"/>
                <w:kern w:val="2"/>
                <w:sz w:val="15"/>
                <w:szCs w:val="15"/>
                <w:lang w:val="en-US" w:eastAsia="zh-CN" w:bidi="ar-SA"/>
              </w:rPr>
            </w:pP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72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108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144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w:t>
            </w:r>
          </w:p>
        </w:tc>
        <w:tc>
          <w:tcPr>
            <w:tcW w:w="1675"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项目总收入</w:t>
            </w:r>
          </w:p>
        </w:tc>
        <w:tc>
          <w:tcPr>
            <w:tcW w:w="928"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15099.29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217.31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434.07 </w:t>
            </w:r>
          </w:p>
        </w:tc>
        <w:tc>
          <w:tcPr>
            <w:tcW w:w="753"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651.38 </w:t>
            </w:r>
          </w:p>
        </w:tc>
        <w:tc>
          <w:tcPr>
            <w:tcW w:w="753"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912.12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1083.53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1083.53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1133.21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1133.21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1133.21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1189.87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1189.87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1189.87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1249.36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1249.36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1249.36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661"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1.1</w:t>
            </w:r>
          </w:p>
        </w:tc>
        <w:tc>
          <w:tcPr>
            <w:tcW w:w="1675"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政策性床位收入 （万元/年）</w:t>
            </w:r>
          </w:p>
        </w:tc>
        <w:tc>
          <w:tcPr>
            <w:tcW w:w="928"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2594.36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37.29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74.05 </w:t>
            </w:r>
          </w:p>
        </w:tc>
        <w:tc>
          <w:tcPr>
            <w:tcW w:w="753"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111.34 </w:t>
            </w:r>
          </w:p>
        </w:tc>
        <w:tc>
          <w:tcPr>
            <w:tcW w:w="753"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156.06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185.71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185.71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195.00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195.00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195.00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204.75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204.75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204.75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214.99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214.99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214.99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1.1.1</w:t>
            </w: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城市特困+全失能人员（占37%）（万元/年）</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1090.79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16.01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29.34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45.35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64.42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78.43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78.43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82.35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82.35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82.35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86.47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86.47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86.47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90.79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90.79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90.79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1.1.2</w:t>
            </w: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农村特困+全失能人员 （占63%）（万元/年）</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1503.57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21.29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44.70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65.99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91.64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107.29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107.29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112.65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112.65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112.65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118.28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118.28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118.28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124.20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124.20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124.20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661"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1.2</w:t>
            </w:r>
          </w:p>
        </w:tc>
        <w:tc>
          <w:tcPr>
            <w:tcW w:w="1675"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普惠性床位收入 （万元/年）</w:t>
            </w:r>
          </w:p>
        </w:tc>
        <w:tc>
          <w:tcPr>
            <w:tcW w:w="928"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12504.93 </w:t>
            </w:r>
          </w:p>
        </w:tc>
        <w:tc>
          <w:tcPr>
            <w:tcW w:w="839"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180.01 </w:t>
            </w:r>
          </w:p>
        </w:tc>
        <w:tc>
          <w:tcPr>
            <w:tcW w:w="839"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360.03 </w:t>
            </w:r>
          </w:p>
        </w:tc>
        <w:tc>
          <w:tcPr>
            <w:tcW w:w="753"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540.04 </w:t>
            </w:r>
          </w:p>
        </w:tc>
        <w:tc>
          <w:tcPr>
            <w:tcW w:w="753"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756.06 </w:t>
            </w:r>
          </w:p>
        </w:tc>
        <w:tc>
          <w:tcPr>
            <w:tcW w:w="839"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897.82 </w:t>
            </w:r>
          </w:p>
        </w:tc>
        <w:tc>
          <w:tcPr>
            <w:tcW w:w="839"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897.82 </w:t>
            </w:r>
          </w:p>
        </w:tc>
        <w:tc>
          <w:tcPr>
            <w:tcW w:w="839"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938.21 </w:t>
            </w:r>
          </w:p>
        </w:tc>
        <w:tc>
          <w:tcPr>
            <w:tcW w:w="839"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938.21 </w:t>
            </w:r>
          </w:p>
        </w:tc>
        <w:tc>
          <w:tcPr>
            <w:tcW w:w="839"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938.21 </w:t>
            </w:r>
          </w:p>
        </w:tc>
        <w:tc>
          <w:tcPr>
            <w:tcW w:w="839"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985.12 </w:t>
            </w:r>
          </w:p>
        </w:tc>
        <w:tc>
          <w:tcPr>
            <w:tcW w:w="839"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985.12 </w:t>
            </w:r>
          </w:p>
        </w:tc>
        <w:tc>
          <w:tcPr>
            <w:tcW w:w="839"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985.12 </w:t>
            </w:r>
          </w:p>
        </w:tc>
        <w:tc>
          <w:tcPr>
            <w:tcW w:w="839"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1034.38 </w:t>
            </w:r>
          </w:p>
        </w:tc>
        <w:tc>
          <w:tcPr>
            <w:tcW w:w="839"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1034.38 </w:t>
            </w:r>
          </w:p>
        </w:tc>
        <w:tc>
          <w:tcPr>
            <w:tcW w:w="839" w:type="dxa"/>
            <w:tcBorders>
              <w:top w:val="single" w:color="000000" w:sz="4" w:space="0"/>
              <w:left w:val="single" w:color="000000" w:sz="4" w:space="0"/>
              <w:bottom w:val="nil"/>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1034.38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0" w:hRule="atLeast"/>
        </w:trPr>
        <w:tc>
          <w:tcPr>
            <w:tcW w:w="661"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1.2.1</w:t>
            </w:r>
          </w:p>
        </w:tc>
        <w:tc>
          <w:tcPr>
            <w:tcW w:w="1675"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其中三级护理床位收入（万元/年）（包括：床位费1600+膳食费900+护理费1000=3500元/月）其中二级护理床位收入（万元/年）</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963.57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13.82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27.65 </w:t>
            </w:r>
          </w:p>
        </w:tc>
        <w:tc>
          <w:tcPr>
            <w:tcW w:w="753"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41.47 </w:t>
            </w:r>
          </w:p>
        </w:tc>
        <w:tc>
          <w:tcPr>
            <w:tcW w:w="753"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58.06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68.95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68.95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72.39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72.39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72.39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76.01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76.01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76.01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79.82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79.82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79.82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661"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1.2.2</w:t>
            </w:r>
          </w:p>
        </w:tc>
        <w:tc>
          <w:tcPr>
            <w:tcW w:w="1675"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（包括：床位费1600+膳食费900+护理费1500=4000元/月）其中一级护理床位收入（万/年）</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3342.39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47.95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95.90 </w:t>
            </w:r>
          </w:p>
        </w:tc>
        <w:tc>
          <w:tcPr>
            <w:tcW w:w="753"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143.86 </w:t>
            </w:r>
          </w:p>
        </w:tc>
        <w:tc>
          <w:tcPr>
            <w:tcW w:w="753"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201.40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239.16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239.16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251.12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251.12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251.12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263.67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263.67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263.67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276.86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276.86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276.86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661"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1.2.3</w:t>
            </w:r>
          </w:p>
        </w:tc>
        <w:tc>
          <w:tcPr>
            <w:tcW w:w="1675"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（包括：床位费1600+膳食费900+护理费2100=4600元/月）其中特级护理B床位收入（万元/年）</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6473.99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92.88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185.76 </w:t>
            </w:r>
          </w:p>
        </w:tc>
        <w:tc>
          <w:tcPr>
            <w:tcW w:w="753"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278.64 </w:t>
            </w:r>
          </w:p>
        </w:tc>
        <w:tc>
          <w:tcPr>
            <w:tcW w:w="753"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390.10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463.24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463.24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486.40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486.40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486.40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510.72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510.72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510.72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536.26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536.26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536.26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661"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1.2.4</w:t>
            </w:r>
          </w:p>
        </w:tc>
        <w:tc>
          <w:tcPr>
            <w:tcW w:w="1675"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（包括：床位费1600+膳食费900+护理费3100=5600 元/月）其中特级护理A床位收入（万元/年）</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1117.14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16.03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32.05 </w:t>
            </w:r>
          </w:p>
        </w:tc>
        <w:tc>
          <w:tcPr>
            <w:tcW w:w="753"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48.08 </w:t>
            </w:r>
          </w:p>
        </w:tc>
        <w:tc>
          <w:tcPr>
            <w:tcW w:w="753"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67.31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79.94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79.94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83.93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83.93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83.93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88.13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88.13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88.13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92.54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92.54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92.54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1.2.5</w:t>
            </w: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（包括：床位费1600+膳食费900+护理费 4100=6600 元/月）</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336.84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5.44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10.89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16.33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22.86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27.15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27.15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24.00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24.00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24.00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25.20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25.20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25.20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26.46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26.46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26.46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661"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1.2.6</w:t>
            </w:r>
          </w:p>
        </w:tc>
        <w:tc>
          <w:tcPr>
            <w:tcW w:w="1675"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其中专护床位收入（万元/年）（包括：床位费 3200+膳食费900+护理费6700=10800 元/月）</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271.00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3.89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7.78 </w:t>
            </w:r>
          </w:p>
        </w:tc>
        <w:tc>
          <w:tcPr>
            <w:tcW w:w="753"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11.66 </w:t>
            </w:r>
          </w:p>
        </w:tc>
        <w:tc>
          <w:tcPr>
            <w:tcW w:w="753"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16.33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19.39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19.39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20.36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20.36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20.36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21.38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21.38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21.38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22.45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22.45 </w:t>
            </w:r>
          </w:p>
        </w:tc>
        <w:tc>
          <w:tcPr>
            <w:tcW w:w="839" w:type="dxa"/>
            <w:tcBorders>
              <w:top w:val="single" w:color="000000" w:sz="4" w:space="0"/>
              <w:left w:val="single" w:color="000000" w:sz="4" w:space="0"/>
              <w:bottom w:val="nil"/>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22.45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w:t>
            </w:r>
          </w:p>
        </w:tc>
        <w:tc>
          <w:tcPr>
            <w:tcW w:w="1675"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项目总成本</w:t>
            </w:r>
          </w:p>
        </w:tc>
        <w:tc>
          <w:tcPr>
            <w:tcW w:w="928"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12820.45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514.61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604.08 </w:t>
            </w:r>
          </w:p>
        </w:tc>
        <w:tc>
          <w:tcPr>
            <w:tcW w:w="753"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695.25 </w:t>
            </w:r>
          </w:p>
        </w:tc>
        <w:tc>
          <w:tcPr>
            <w:tcW w:w="753"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792.26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867.11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876.13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891.58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902.88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914.33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928.44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940.19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952.09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968.89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979.11 </w:t>
            </w:r>
          </w:p>
        </w:tc>
        <w:tc>
          <w:tcPr>
            <w:tcW w:w="839" w:type="dxa"/>
            <w:tcBorders>
              <w:top w:val="single" w:color="000000" w:sz="4" w:space="0"/>
              <w:left w:val="single" w:color="000000" w:sz="4" w:space="0"/>
              <w:bottom w:val="single" w:color="000000" w:sz="4" w:space="0"/>
              <w:right w:val="single" w:color="000000" w:sz="4" w:space="0"/>
            </w:tcBorders>
            <w:shd w:val="clear" w:color="auto" w:fill="FCE4D3"/>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991.49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2.1</w:t>
            </w: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人工费用</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6508.25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318.49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348.73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379.04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409.43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433.48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438.41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443.41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448.50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453.66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458.91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464.24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469.65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475.15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480.73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486.41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2.2</w:t>
            </w: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餐费</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2812.42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39.86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80.98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123.38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167.11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201.58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204.76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208.00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211.28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214.62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218.01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221.46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224.96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228.51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232.12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235.79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2.3</w:t>
            </w:r>
          </w:p>
        </w:tc>
        <w:tc>
          <w:tcPr>
            <w:tcW w:w="1675"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燃料动力费</w:t>
            </w:r>
          </w:p>
        </w:tc>
        <w:tc>
          <w:tcPr>
            <w:tcW w:w="928"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802.64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13.45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24.56 </w:t>
            </w:r>
          </w:p>
        </w:tc>
        <w:tc>
          <w:tcPr>
            <w:tcW w:w="753"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36.02 </w:t>
            </w:r>
          </w:p>
        </w:tc>
        <w:tc>
          <w:tcPr>
            <w:tcW w:w="753"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47.83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57.15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58.06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58.97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59.91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60.85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61.81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62.79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63.78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64.79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65.81 </w:t>
            </w:r>
          </w:p>
        </w:tc>
        <w:tc>
          <w:tcPr>
            <w:tcW w:w="839" w:type="dxa"/>
            <w:tcBorders>
              <w:top w:val="single" w:color="000000" w:sz="4" w:space="0"/>
              <w:left w:val="single" w:color="000000" w:sz="4" w:space="0"/>
              <w:bottom w:val="single" w:color="000000" w:sz="4" w:space="0"/>
              <w:right w:val="single" w:color="000000" w:sz="4" w:space="0"/>
            </w:tcBorders>
            <w:shd w:val="clear" w:color="auto" w:fill="D0CECE"/>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66.85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2.3.1</w:t>
            </w: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水费</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156.82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4.30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5.96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7.68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9.46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10.86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11.04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11.21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11.39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11.57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11.75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11.94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12.12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12.32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12.51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12.71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2.3.2</w:t>
            </w: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电费</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645.82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9.15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18.59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28.33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38.37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46.29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47.02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47.76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48.52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49.28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50.06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50.85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51.66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52.47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53.30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54.14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2.4</w:t>
            </w: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维修费</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705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42</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43</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43</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44</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46</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47</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48</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48</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49</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50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51</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51</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2.5</w:t>
            </w: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管理费及其他费用</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636</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19</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25</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32</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38</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44</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44</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46</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47</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47</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48</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49</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50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50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2.6</w:t>
            </w: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租金</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1356.15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81.81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81.81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81.81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85.90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85.90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85.90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90.19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90.19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90.19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94.70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94.70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94.70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99.44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99.44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99.44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3</w:t>
            </w: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利润总额</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2278.85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-297.30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-170.00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-43.87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119.86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216.42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207.41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241.63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230.33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218.88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261.43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249.68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237.78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280.48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270.26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257.87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4</w:t>
            </w: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税后利润（税率按25%）</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1709.13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0.00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0.00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0.00 </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89.89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162.32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155.56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181.22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172.75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164.16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196.07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187.26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178.33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210.36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202.69 </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 xml:space="preserve">193.41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66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5</w:t>
            </w:r>
          </w:p>
        </w:tc>
        <w:tc>
          <w:tcPr>
            <w:tcW w:w="1675"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税后利润率</w:t>
            </w:r>
          </w:p>
        </w:tc>
        <w:tc>
          <w:tcPr>
            <w:tcW w:w="928"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13.33%</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-57.77%</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-28.14%</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-6.31%</w:t>
            </w:r>
          </w:p>
        </w:tc>
        <w:tc>
          <w:tcPr>
            <w:tcW w:w="753"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11.35%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18.72%</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17.75%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20.33%</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19.13%</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17.95%</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21.12%</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19.92%</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18.73%</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21.71%</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20.70%</w:t>
            </w:r>
          </w:p>
        </w:tc>
        <w:tc>
          <w:tcPr>
            <w:tcW w:w="83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both"/>
              <w:textAlignment w:val="top"/>
              <w:rPr>
                <w:rFonts w:hint="eastAsia" w:ascii="仿宋" w:hAnsi="仿宋" w:eastAsia="仿宋" w:cs="仿宋"/>
                <w:color w:val="auto"/>
                <w:spacing w:val="14"/>
                <w:kern w:val="2"/>
                <w:sz w:val="15"/>
                <w:szCs w:val="15"/>
                <w:lang w:val="en-US" w:eastAsia="zh-CN" w:bidi="ar-SA"/>
              </w:rPr>
            </w:pPr>
            <w:r>
              <w:rPr>
                <w:rFonts w:hint="eastAsia" w:ascii="仿宋" w:hAnsi="仿宋" w:eastAsia="仿宋" w:cs="仿宋"/>
                <w:i w:val="0"/>
                <w:iCs w:val="0"/>
                <w:color w:val="000000"/>
                <w:kern w:val="0"/>
                <w:sz w:val="20"/>
                <w:szCs w:val="20"/>
                <w:u w:val="none"/>
                <w:lang w:val="en-US" w:eastAsia="zh-CN" w:bidi="ar"/>
              </w:rPr>
              <w:t>19.51%</w:t>
            </w:r>
          </w:p>
        </w:tc>
      </w:tr>
    </w:tbl>
    <w:p>
      <w:pPr>
        <w:pStyle w:val="18"/>
        <w:spacing w:line="360" w:lineRule="auto"/>
        <w:ind w:left="0" w:leftChars="0" w:firstLine="0" w:firstLineChars="0"/>
        <w:jc w:val="center"/>
        <w:rPr>
          <w:rFonts w:hint="eastAsia" w:ascii="仿宋" w:hAnsi="仿宋" w:eastAsia="仿宋_GB2312" w:cs="仿宋"/>
          <w:b w:val="0"/>
          <w:i w:val="0"/>
          <w:color w:val="auto"/>
          <w:spacing w:val="14"/>
          <w:kern w:val="2"/>
          <w:sz w:val="32"/>
          <w:szCs w:val="28"/>
          <w:lang w:val="en-US" w:eastAsia="zh-CN" w:bidi="ar-SA"/>
        </w:rPr>
      </w:pP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sectPr>
          <w:headerReference r:id="rId18" w:type="default"/>
          <w:footerReference r:id="rId19" w:type="default"/>
          <w:pgSz w:w="16839" w:h="11906"/>
          <w:pgMar w:top="1166" w:right="720" w:bottom="938" w:left="658" w:header="829" w:footer="775" w:gutter="0"/>
          <w:pgBorders>
            <w:top w:val="none" w:sz="0" w:space="0"/>
            <w:left w:val="none" w:sz="0" w:space="0"/>
            <w:bottom w:val="none" w:sz="0" w:space="0"/>
            <w:right w:val="none" w:sz="0" w:space="0"/>
          </w:pgBorders>
          <w:pgNumType w:fmt="numberInDash"/>
          <w:cols w:space="720" w:num="1"/>
        </w:sectPr>
      </w:pPr>
    </w:p>
    <w:p>
      <w:pPr>
        <w:pStyle w:val="2"/>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微软雅黑" w:hAnsi="微软雅黑" w:eastAsia="微软雅黑" w:cs="Times New Roman"/>
          <w:b/>
          <w:color w:val="auto"/>
          <w:szCs w:val="32"/>
          <w:lang w:val="en-US" w:eastAsia="zh-CN"/>
        </w:rPr>
      </w:pPr>
      <w:bookmarkStart w:id="98" w:name="_Toc19599"/>
      <w:r>
        <w:rPr>
          <w:rFonts w:hint="eastAsia" w:ascii="微软雅黑" w:hAnsi="微软雅黑" w:eastAsia="微软雅黑" w:cs="Times New Roman"/>
          <w:b/>
          <w:color w:val="auto"/>
          <w:szCs w:val="32"/>
          <w:lang w:val="en-US" w:eastAsia="zh-CN"/>
        </w:rPr>
        <w:t>第五章 绩效考核机制</w:t>
      </w:r>
      <w:bookmarkEnd w:id="98"/>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99" w:name="_Toc4668"/>
      <w:r>
        <w:rPr>
          <w:rFonts w:hint="eastAsia" w:ascii="仿宋" w:hAnsi="仿宋" w:eastAsia="仿宋" w:cs="Times New Roman"/>
          <w:b/>
          <w:color w:val="auto"/>
          <w:szCs w:val="28"/>
          <w:lang w:val="en-US" w:eastAsia="zh-CN"/>
        </w:rPr>
        <w:t>5.1绩效考核机制</w:t>
      </w:r>
      <w:bookmarkEnd w:id="99"/>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为促使项目最大化地发挥社会效益，不断提升仁化县养老公共服务供给质量和效率，本项目应加强对社会资本方运营管理与维护工作的考核，制订合理的绩效考核标准。</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绩效考核标准以附件形式列入《项目运营合同》，作为项目运营维护绩效考核效果的依据。</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项目绩效考核主要建立对行政运营管理、环境清洁绿化管理、安全生产管理、养老护理管理、养老服务质量、房屋维修管理等各方面的绩效考核，最终以《绩效考核方案》为准。</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项目绩效考核由仁化县民政和退役军人事务局负责组织安排，每年为一个考核周期，项目绩效考核不及格，社会资本方须在限期内根据考核意见进行整改；连续两个考核周期内综合评分不及格，政府方有权要求项目方强制退出。另外，绩效考核结果直接与奖惩机制挂钩。</w:t>
      </w:r>
    </w:p>
    <w:p>
      <w:pPr>
        <w:pStyle w:val="18"/>
        <w:spacing w:line="360" w:lineRule="auto"/>
        <w:ind w:left="0" w:leftChars="0" w:firstLine="696" w:firstLineChars="200"/>
        <w:jc w:val="both"/>
        <w:rPr>
          <w:rFonts w:hint="default"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绩效考核应符合省、市、县等政策要求，符合养老机构服务质量基本规范《养老机构服务质量基本规范》。</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auto"/>
          <w:spacing w:val="14"/>
          <w:kern w:val="2"/>
          <w:sz w:val="28"/>
          <w:szCs w:val="28"/>
          <w:lang w:val="en-US" w:eastAsia="zh-CN" w:bidi="ar-SA"/>
        </w:rPr>
      </w:pPr>
      <w:bookmarkStart w:id="100" w:name="_Toc12978"/>
      <w:r>
        <w:rPr>
          <w:rFonts w:hint="eastAsia" w:ascii="仿宋" w:hAnsi="仿宋" w:eastAsia="仿宋" w:cs="Times New Roman"/>
          <w:b/>
          <w:color w:val="auto"/>
          <w:szCs w:val="28"/>
          <w:lang w:val="en-US" w:eastAsia="zh-CN"/>
        </w:rPr>
        <w:t>5.2绩效考核方案</w:t>
      </w:r>
      <w:bookmarkEnd w:id="100"/>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本项目具体绩效考核方案由县民政和退役军人事务局根据实际情况制定。</w:t>
      </w:r>
    </w:p>
    <w:p>
      <w:pPr>
        <w:pStyle w:val="18"/>
        <w:spacing w:line="360" w:lineRule="auto"/>
        <w:ind w:left="0" w:leftChars="0" w:firstLine="0" w:firstLineChars="0"/>
        <w:jc w:val="both"/>
        <w:rPr>
          <w:rFonts w:hint="eastAsia" w:ascii="仿宋" w:hAnsi="仿宋" w:eastAsia="仿宋_GB2312" w:cs="仿宋"/>
          <w:b w:val="0"/>
          <w:i w:val="0"/>
          <w:color w:val="auto"/>
          <w:spacing w:val="14"/>
          <w:kern w:val="2"/>
          <w:sz w:val="32"/>
          <w:szCs w:val="28"/>
          <w:lang w:val="en-US" w:eastAsia="zh-CN" w:bidi="ar-SA"/>
        </w:rPr>
      </w:pPr>
    </w:p>
    <w:p>
      <w:pPr>
        <w:pStyle w:val="2"/>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微软雅黑" w:hAnsi="微软雅黑" w:eastAsia="微软雅黑" w:cs="Times New Roman"/>
          <w:b/>
          <w:color w:val="auto"/>
          <w:szCs w:val="32"/>
          <w:lang w:val="en-US" w:eastAsia="zh-CN"/>
        </w:rPr>
      </w:pPr>
      <w:bookmarkStart w:id="101" w:name="_Toc7819"/>
      <w:r>
        <w:rPr>
          <w:rFonts w:hint="eastAsia" w:ascii="微软雅黑" w:hAnsi="微软雅黑" w:eastAsia="微软雅黑" w:cs="Times New Roman"/>
          <w:b/>
          <w:color w:val="auto"/>
          <w:szCs w:val="32"/>
          <w:lang w:val="en-US" w:eastAsia="zh-CN"/>
        </w:rPr>
        <w:t xml:space="preserve">第六章 </w:t>
      </w:r>
      <w:r>
        <w:rPr>
          <w:rFonts w:hint="eastAsia" w:ascii="微软雅黑" w:hAnsi="微软雅黑" w:eastAsia="微软雅黑" w:cs="Times New Roman"/>
          <w:b/>
          <w:color w:val="auto"/>
          <w:szCs w:val="32"/>
          <w:lang w:val="en-US" w:eastAsia="zh-CN"/>
        </w:rPr>
        <w:fldChar w:fldCharType="begin"/>
      </w:r>
      <w:r>
        <w:rPr>
          <w:rFonts w:hint="eastAsia" w:ascii="微软雅黑" w:hAnsi="微软雅黑" w:eastAsia="微软雅黑" w:cs="Times New Roman"/>
          <w:b/>
          <w:color w:val="auto"/>
          <w:szCs w:val="32"/>
          <w:lang w:val="en-US" w:eastAsia="zh-CN"/>
        </w:rPr>
        <w:instrText xml:space="preserve"> HYPERLINK \l "bookmark79" </w:instrText>
      </w:r>
      <w:r>
        <w:rPr>
          <w:rFonts w:hint="eastAsia" w:ascii="微软雅黑" w:hAnsi="微软雅黑" w:eastAsia="微软雅黑" w:cs="Times New Roman"/>
          <w:b/>
          <w:color w:val="auto"/>
          <w:szCs w:val="32"/>
          <w:lang w:val="en-US" w:eastAsia="zh-CN"/>
        </w:rPr>
        <w:fldChar w:fldCharType="separate"/>
      </w:r>
      <w:r>
        <w:rPr>
          <w:rFonts w:hint="eastAsia" w:ascii="微软雅黑" w:hAnsi="微软雅黑" w:eastAsia="微软雅黑" w:cs="Times New Roman"/>
          <w:b/>
          <w:color w:val="auto"/>
          <w:szCs w:val="32"/>
          <w:lang w:val="en-US" w:eastAsia="zh-CN"/>
        </w:rPr>
        <w:t>风险分担机制</w:t>
      </w:r>
      <w:r>
        <w:rPr>
          <w:rFonts w:hint="eastAsia" w:ascii="微软雅黑" w:hAnsi="微软雅黑" w:eastAsia="微软雅黑" w:cs="Times New Roman"/>
          <w:b/>
          <w:color w:val="auto"/>
          <w:szCs w:val="32"/>
          <w:lang w:val="en-US" w:eastAsia="zh-CN"/>
        </w:rPr>
        <w:fldChar w:fldCharType="end"/>
      </w:r>
      <w:bookmarkEnd w:id="101"/>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color w:val="auto"/>
          <w:kern w:val="0"/>
          <w:sz w:val="28"/>
          <w:szCs w:val="28"/>
          <w:lang w:val="en-US" w:eastAsia="zh-CN" w:bidi="ar-SA"/>
        </w:rPr>
      </w:pPr>
      <w:bookmarkStart w:id="102" w:name="_Toc20034"/>
      <w:r>
        <w:rPr>
          <w:rFonts w:hint="eastAsia" w:ascii="仿宋" w:hAnsi="仿宋" w:eastAsia="仿宋" w:cs="Times New Roman"/>
          <w:b/>
          <w:color w:val="auto"/>
          <w:szCs w:val="28"/>
          <w:lang w:val="en-US" w:eastAsia="zh-CN"/>
        </w:rPr>
        <w:t>6.1风险识别</w:t>
      </w:r>
      <w:bookmarkEnd w:id="102"/>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项目风险是指可能导致项目损失的不确定性，项目风险是指可能导致项目损失的不确定性，由于项目周期长，涉及的参与方多，在项目的运营等阶段必然存在各种风险，根据类似项目经验，本项目主要有政策和社会稳定风险、法律风险、金融风险、运营风险及不可抗力风险等。项目可能出现的主要风险如下表所示：</w:t>
      </w:r>
    </w:p>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表6.1-1项目主要风险因素表</w:t>
      </w:r>
    </w:p>
    <w:tbl>
      <w:tblPr>
        <w:tblStyle w:val="19"/>
        <w:tblW w:w="8551"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661"/>
        <w:gridCol w:w="589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6" w:hRule="atLeast"/>
        </w:trPr>
        <w:tc>
          <w:tcPr>
            <w:tcW w:w="2661"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风险类别</w:t>
            </w: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风险因素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661" w:type="dxa"/>
            <w:vMerge w:val="restart"/>
            <w:tcBorders>
              <w:bottom w:val="nil"/>
            </w:tcBorders>
            <w:noWrap w:val="0"/>
            <w:vAlign w:val="top"/>
          </w:tcPr>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p>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政策和社会稳定风险</w:t>
            </w: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公众反对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661" w:type="dxa"/>
            <w:vMerge w:val="continue"/>
            <w:tcBorders>
              <w:top w:val="nil"/>
              <w:bottom w:val="nil"/>
            </w:tcBorders>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政府决策与审批延误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661" w:type="dxa"/>
            <w:vMerge w:val="continue"/>
            <w:tcBorders>
              <w:top w:val="nil"/>
            </w:tcBorders>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税费变更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2661" w:type="dxa"/>
            <w:vMerge w:val="restart"/>
            <w:tcBorders>
              <w:bottom w:val="nil"/>
            </w:tcBorders>
            <w:noWrap w:val="0"/>
            <w:vAlign w:val="top"/>
          </w:tcPr>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p>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p>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p>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p>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p>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法律及合约风险</w:t>
            </w: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本级政府可控法律变更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661" w:type="dxa"/>
            <w:vMerge w:val="continue"/>
            <w:tcBorders>
              <w:top w:val="nil"/>
              <w:bottom w:val="nil"/>
            </w:tcBorders>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本级政府不可控法律变更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2661" w:type="dxa"/>
            <w:vMerge w:val="continue"/>
            <w:tcBorders>
              <w:top w:val="nil"/>
              <w:bottom w:val="nil"/>
            </w:tcBorders>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行业标准变更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661" w:type="dxa"/>
            <w:vMerge w:val="continue"/>
            <w:tcBorders>
              <w:top w:val="nil"/>
              <w:bottom w:val="nil"/>
            </w:tcBorders>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政府违约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661" w:type="dxa"/>
            <w:vMerge w:val="continue"/>
            <w:tcBorders>
              <w:top w:val="nil"/>
              <w:bottom w:val="nil"/>
            </w:tcBorders>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社会资本方违约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661" w:type="dxa"/>
            <w:vMerge w:val="continue"/>
            <w:tcBorders>
              <w:top w:val="nil"/>
              <w:bottom w:val="nil"/>
            </w:tcBorders>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第三方违约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661" w:type="dxa"/>
            <w:vMerge w:val="continue"/>
            <w:tcBorders>
              <w:top w:val="nil"/>
            </w:tcBorders>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合同文本不完善</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2661"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金融风险</w:t>
            </w: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通货膨胀</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661" w:type="dxa"/>
            <w:vMerge w:val="restart"/>
            <w:tcBorders>
              <w:bottom w:val="nil"/>
            </w:tcBorders>
            <w:noWrap w:val="0"/>
            <w:vAlign w:val="top"/>
          </w:tcPr>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p>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p>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p>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p>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p>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运营</w:t>
            </w:r>
          </w:p>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风险</w:t>
            </w: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项目监管不力</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661" w:type="dxa"/>
            <w:vMerge w:val="continue"/>
            <w:tcBorders>
              <w:top w:val="nil"/>
              <w:bottom w:val="nil"/>
            </w:tcBorders>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运维成本超支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661" w:type="dxa"/>
            <w:vMerge w:val="continue"/>
            <w:tcBorders>
              <w:top w:val="nil"/>
              <w:bottom w:val="nil"/>
            </w:tcBorders>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运维效率低</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661" w:type="dxa"/>
            <w:vMerge w:val="continue"/>
            <w:tcBorders>
              <w:top w:val="nil"/>
              <w:bottom w:val="nil"/>
            </w:tcBorders>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维修过于频繁</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661" w:type="dxa"/>
            <w:vMerge w:val="continue"/>
            <w:tcBorders>
              <w:top w:val="nil"/>
              <w:bottom w:val="nil"/>
            </w:tcBorders>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项目唯一性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661" w:type="dxa"/>
            <w:vMerge w:val="continue"/>
            <w:tcBorders>
              <w:top w:val="nil"/>
              <w:bottom w:val="nil"/>
            </w:tcBorders>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环保风险</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661" w:type="dxa"/>
            <w:vMerge w:val="continue"/>
            <w:tcBorders>
              <w:top w:val="nil"/>
              <w:bottom w:val="nil"/>
            </w:tcBorders>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运营机构变动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2661" w:type="dxa"/>
            <w:vMerge w:val="continue"/>
            <w:tcBorders>
              <w:top w:val="nil"/>
            </w:tcBorders>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服务人数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trPr>
        <w:tc>
          <w:tcPr>
            <w:tcW w:w="2661"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不可抗力风险</w:t>
            </w:r>
          </w:p>
        </w:tc>
        <w:tc>
          <w:tcPr>
            <w:tcW w:w="5890" w:type="dxa"/>
            <w:noWrap w:val="0"/>
            <w:vAlign w:val="top"/>
          </w:tcPr>
          <w:p>
            <w:pPr>
              <w:pStyle w:val="18"/>
              <w:spacing w:line="360" w:lineRule="auto"/>
              <w:ind w:left="0" w:leftChars="0" w:firstLine="0" w:firstLineChars="0"/>
              <w:jc w:val="both"/>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包括不限于地震、台风、洪水、火灾、战争等</w:t>
            </w:r>
          </w:p>
        </w:tc>
      </w:tr>
    </w:tbl>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03" w:name="_Toc5254"/>
      <w:r>
        <w:rPr>
          <w:rFonts w:hint="eastAsia" w:ascii="仿宋" w:hAnsi="仿宋" w:eastAsia="仿宋" w:cs="Times New Roman"/>
          <w:b/>
          <w:color w:val="auto"/>
          <w:szCs w:val="28"/>
          <w:lang w:val="en-US" w:eastAsia="zh-CN"/>
        </w:rPr>
        <w:t>6.1.1政策和社会稳定风险</w:t>
      </w:r>
      <w:bookmarkEnd w:id="103"/>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政策和社会稳定风险是指出于政策或社会稳定状况发生变化而给项目带来的风险，以及政府对项目的一些干预而产生的风险。就本项目来讲，政策和社会稳定风险主要包括如下方面：</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1）公众反对：由于各种原因导致公众利益得不到保护或受损，从而引起公众反对项目所造成的风险。</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2）政府审批和延误：本项目可能由于政府审批程序过于复杂导致花费时间过长或成本过高。</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3）税费变更：由于国家或省、市增值税和所得税等相关税收政策或税率发生变化，以及仁化县或本项目获得新的税收优惠政策的。</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04" w:name="_Toc29676"/>
      <w:r>
        <w:rPr>
          <w:rFonts w:hint="eastAsia" w:ascii="仿宋" w:hAnsi="仿宋" w:eastAsia="仿宋" w:cs="Times New Roman"/>
          <w:b/>
          <w:color w:val="auto"/>
          <w:szCs w:val="28"/>
          <w:lang w:val="en-US" w:eastAsia="zh-CN"/>
        </w:rPr>
        <w:t>6.1.2法律及合约风险</w:t>
      </w:r>
      <w:bookmarkEnd w:id="104"/>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法律风险是指由于法律变更而给项目带来的风险，法律风险一般分为本级政府可控法律变更和本级政府不可控法律变更。合约风险是指项目合同体系当事人不履行合同约定的责任和义务对项目造成的风险。</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1）本级政府可控法律变更：合同签约主体的政府方直接实施或者在本级政府方职权范围内发生的某些法律变更事件。如本级政府变更相关设施或地方法律 而导致项目无法进行或对社会合作方造成损失。</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2）本级政府不可控法律变更：超出项目合同签约主体的政府方可控范围的法律变更，如由国家或上级政府统一颁行的法律等。</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3）行业标准变更：由于国家或省、市行业标准发生变化，导致本项目的运维产出发生变化。</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4）政府违约：政府不履行或拒绝履行合同约定的责任和义务而给项目带来直接或间接的危害，如特许权收回，延期支付或拒不支付项目费用等。</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5）运营机构违约：运营机构不履行或拒绝履行合同约定的责任和义务而给项目带来直接或间接的危害。</w:t>
      </w:r>
    </w:p>
    <w:p>
      <w:pPr>
        <w:pStyle w:val="18"/>
        <w:spacing w:line="360" w:lineRule="auto"/>
        <w:ind w:left="0" w:leftChars="0" w:firstLine="696"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6）第三方违约：项目合同体系中除签约政府方及社会资本方外的第三方不履行或拒绝履行合同约定的责任和义务而给项目带来直接或间接的危害。</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05" w:name="_Toc26580"/>
      <w:r>
        <w:rPr>
          <w:rFonts w:hint="eastAsia" w:ascii="仿宋" w:hAnsi="仿宋" w:eastAsia="仿宋" w:cs="Times New Roman"/>
          <w:b/>
          <w:color w:val="auto"/>
          <w:szCs w:val="28"/>
          <w:lang w:val="en-US" w:eastAsia="zh-CN"/>
        </w:rPr>
        <w:t>6.1.3金融风险</w:t>
      </w:r>
      <w:bookmarkEnd w:id="105"/>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金融风险指项目控制能力以外的金融因素的不确定性对项目的潜在影响，这些会直接影响到项目的财务成本、偿债能力股东利益。本项目的主要金融风险包括：</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通货膨胀：指整体物价水平上升，货币的购买力下降，导致项目运营成本增加、实际收入减少等其他后果。</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06" w:name="_Toc7108"/>
      <w:r>
        <w:rPr>
          <w:rFonts w:hint="eastAsia" w:ascii="仿宋" w:hAnsi="仿宋" w:eastAsia="仿宋" w:cs="Times New Roman"/>
          <w:b/>
          <w:color w:val="auto"/>
          <w:szCs w:val="28"/>
          <w:lang w:val="en-US" w:eastAsia="zh-CN"/>
        </w:rPr>
        <w:t>6.1.4运营风险</w:t>
      </w:r>
      <w:bookmarkEnd w:id="106"/>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运营风险指项目在运营维护过程中可能产生的风险因素。</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1）项目监管不力：项目运营过程中社会资本方对项目运营监管不力。</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2）运维成本超支：运维成本大大高于社会资本方预期运维成本。</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3）运维效率低：项目运营过程中社会资本方运维效率低下。</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4）维修过于频繁。</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5）项目唯一性：项目运营过程中经营权的唯一性。</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6）环保风险：项目运营过程中出现环保问题的风险。</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7）运营机构变动：运营机构变动风险，是指因运营机构变动的变动导致项目运营风险。</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8）服务质量不达标：运营机构在本项目投标前需进行详细调研，充分了解服务区域的老人数目和老人需求情况，预测本项目的服务人群，以判断其能否收回成本并维持养老服务，且在运营过程中，需按要求达到5星级服务，否则，提供的服务将无法满足现实需要产生摩擦的风险。</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07" w:name="_Toc16178"/>
      <w:r>
        <w:rPr>
          <w:rFonts w:hint="eastAsia" w:ascii="仿宋" w:hAnsi="仿宋" w:eastAsia="仿宋" w:cs="Times New Roman"/>
          <w:b/>
          <w:color w:val="auto"/>
          <w:szCs w:val="28"/>
          <w:lang w:val="en-US" w:eastAsia="zh-CN"/>
        </w:rPr>
        <w:t>6.1.5不可抗力风险</w:t>
      </w:r>
      <w:bookmarkEnd w:id="107"/>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不可抗力风险指合同一方无法控制，在签订合同前无法合理防范，情况发生时，又无法回避或克服的事件或情况，包括但不限于地震、台风、洪水、火灾、战争以及其他按国际商业惯例可被接受为不可抗力的事件。</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color w:val="auto"/>
          <w:kern w:val="0"/>
          <w:sz w:val="28"/>
          <w:szCs w:val="28"/>
          <w:lang w:val="en-US" w:eastAsia="zh-CN" w:bidi="ar-SA"/>
        </w:rPr>
      </w:pPr>
      <w:bookmarkStart w:id="108" w:name="_Toc3228"/>
      <w:r>
        <w:rPr>
          <w:rFonts w:hint="eastAsia" w:ascii="仿宋" w:hAnsi="仿宋" w:eastAsia="仿宋" w:cs="Times New Roman"/>
          <w:b/>
          <w:color w:val="auto"/>
          <w:szCs w:val="28"/>
          <w:lang w:val="en-US" w:eastAsia="zh-CN"/>
        </w:rPr>
        <w:t>6.2风险分配</w:t>
      </w:r>
      <w:bookmarkEnd w:id="108"/>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09" w:name="_Toc23794"/>
      <w:r>
        <w:rPr>
          <w:rFonts w:hint="eastAsia" w:ascii="仿宋" w:hAnsi="仿宋" w:eastAsia="仿宋" w:cs="Times New Roman"/>
          <w:b/>
          <w:color w:val="auto"/>
          <w:szCs w:val="28"/>
          <w:lang w:val="en-US" w:eastAsia="zh-CN"/>
        </w:rPr>
        <w:t>6.2.1风险分配原则</w:t>
      </w:r>
      <w:bookmarkEnd w:id="109"/>
    </w:p>
    <w:p>
      <w:pPr>
        <w:pStyle w:val="18"/>
        <w:spacing w:line="360" w:lineRule="auto"/>
        <w:ind w:left="0" w:leftChars="0" w:firstLine="640"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本</w:t>
      </w:r>
      <w:r>
        <w:rPr>
          <w:rFonts w:hint="eastAsia" w:ascii="仿宋" w:hAnsi="仿宋" w:eastAsia="仿宋_GB2312" w:cs="仿宋"/>
          <w:b w:val="0"/>
          <w:i w:val="0"/>
          <w:color w:val="auto"/>
          <w:spacing w:val="14"/>
          <w:kern w:val="2"/>
          <w:sz w:val="32"/>
          <w:szCs w:val="28"/>
          <w:lang w:val="en-US" w:eastAsia="zh-CN" w:bidi="ar-SA"/>
        </w:rPr>
        <w:t>项目风险分担机制按照风险分配优化、风险收益对等和风险可控等原则。</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综合考虑政府风险管理能力、项目回报机制和市场风险管理能力等要素进行设计，在政府和运营机构之间合理分配项目风险。</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(1)最优风险分配原则。在受制于法律约束和公共利益考虑的前提下，风险应分配给能够以最小成本（对政府而言）、最有效管理它的一方承担，并且给予风险承担方选择如何处理和最小化该等风险的权利。</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(2)风险收益对等原则。既关注运营机构对于风险管理成本和风险损失的承担，又尊重其获得与承担风险相匹配的收益水平的权利。</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(3)风险可控原则。应按项目参与方的财务实力、技术能力、管理能力等因素设定风险损失承担上限，不宜由任何一方承担超过其承受能力的风险，以保证双方合作关系的长期持续稳定。</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10" w:name="_Toc25380"/>
      <w:r>
        <w:rPr>
          <w:rFonts w:hint="eastAsia" w:ascii="仿宋" w:hAnsi="仿宋" w:eastAsia="仿宋" w:cs="Times New Roman"/>
          <w:b/>
          <w:color w:val="auto"/>
          <w:szCs w:val="28"/>
          <w:lang w:val="en-US" w:eastAsia="zh-CN"/>
        </w:rPr>
        <w:t>6.2.2风险分配</w:t>
      </w:r>
      <w:bookmarkEnd w:id="110"/>
    </w:p>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表6.2.2-1本项目风险分配结果表</w:t>
      </w:r>
    </w:p>
    <w:tbl>
      <w:tblPr>
        <w:tblStyle w:val="19"/>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38"/>
        <w:gridCol w:w="8"/>
        <w:gridCol w:w="2076"/>
        <w:gridCol w:w="682"/>
        <w:gridCol w:w="821"/>
        <w:gridCol w:w="682"/>
        <w:gridCol w:w="310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97" w:hRule="atLeast"/>
        </w:trPr>
        <w:tc>
          <w:tcPr>
            <w:tcW w:w="569" w:type="pct"/>
            <w:gridSpan w:val="2"/>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风险</w:t>
            </w:r>
          </w:p>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类别</w:t>
            </w:r>
          </w:p>
        </w:tc>
        <w:tc>
          <w:tcPr>
            <w:tcW w:w="1249"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风险因素</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政府承担</w:t>
            </w: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运营机构（或</w:t>
            </w:r>
          </w:p>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社会资本方）</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共同承担</w:t>
            </w: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69" w:type="pct"/>
            <w:gridSpan w:val="2"/>
            <w:vMerge w:val="restart"/>
            <w:tcBorders>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政策和社会稳定风险</w:t>
            </w:r>
          </w:p>
        </w:tc>
        <w:tc>
          <w:tcPr>
            <w:tcW w:w="1249"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公众反对</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trPr>
        <w:tc>
          <w:tcPr>
            <w:tcW w:w="569" w:type="pct"/>
            <w:gridSpan w:val="2"/>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249"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政府决策与审批 延误</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trPr>
        <w:tc>
          <w:tcPr>
            <w:tcW w:w="569" w:type="pct"/>
            <w:gridSpan w:val="2"/>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249"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税费变更</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因税费波动引发的成本变 动，通过调价共担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6" w:hRule="atLeast"/>
        </w:trPr>
        <w:tc>
          <w:tcPr>
            <w:tcW w:w="569" w:type="pct"/>
            <w:gridSpan w:val="2"/>
            <w:vMerge w:val="continue"/>
            <w:tcBorders>
              <w:top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249"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政府补贴政策变 更</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569" w:type="pct"/>
            <w:gridSpan w:val="2"/>
            <w:vMerge w:val="restart"/>
            <w:tcBorders>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法律及合约风险</w:t>
            </w:r>
          </w:p>
        </w:tc>
        <w:tc>
          <w:tcPr>
            <w:tcW w:w="1249"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本级政府可控法 律变更</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6" w:hRule="atLeast"/>
        </w:trPr>
        <w:tc>
          <w:tcPr>
            <w:tcW w:w="569" w:type="pct"/>
            <w:gridSpan w:val="2"/>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249"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本级政府不可控</w:t>
            </w:r>
          </w:p>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法律变更</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569" w:type="pct"/>
            <w:gridSpan w:val="2"/>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249"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行业标准变更</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6" w:hRule="atLeast"/>
        </w:trPr>
        <w:tc>
          <w:tcPr>
            <w:tcW w:w="569" w:type="pct"/>
            <w:gridSpan w:val="2"/>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249"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政府违约</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69" w:type="pct"/>
            <w:gridSpan w:val="2"/>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249"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运营机构违约</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trPr>
        <w:tc>
          <w:tcPr>
            <w:tcW w:w="569" w:type="pct"/>
            <w:gridSpan w:val="2"/>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249"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第三方违约</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除政府监管部门之外的第三方，包括分包商违约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69" w:type="pct"/>
            <w:gridSpan w:val="2"/>
            <w:vMerge w:val="continue"/>
            <w:tcBorders>
              <w:top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249"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合同文本不完善</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8" w:hRule="atLeast"/>
        </w:trPr>
        <w:tc>
          <w:tcPr>
            <w:tcW w:w="569" w:type="pct"/>
            <w:gridSpan w:val="2"/>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金融风险</w:t>
            </w:r>
          </w:p>
        </w:tc>
        <w:tc>
          <w:tcPr>
            <w:tcW w:w="1249"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通货膨胀</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通过调价共担。处于调价范围内的由运营机构承担、触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56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253" w:type="pct"/>
            <w:gridSpan w:val="2"/>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发调价的由政府承担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64" w:type="pct"/>
            <w:vMerge w:val="restart"/>
            <w:tcBorders>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运营风险</w:t>
            </w:r>
          </w:p>
        </w:tc>
        <w:tc>
          <w:tcPr>
            <w:tcW w:w="1253" w:type="pct"/>
            <w:gridSpan w:val="2"/>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项目监管不力</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5" w:hRule="atLeast"/>
        </w:trPr>
        <w:tc>
          <w:tcPr>
            <w:tcW w:w="564" w:type="pct"/>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253" w:type="pct"/>
            <w:gridSpan w:val="2"/>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运维成本超支</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64" w:type="pct"/>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253" w:type="pct"/>
            <w:gridSpan w:val="2"/>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运维效率低</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64" w:type="pct"/>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253" w:type="pct"/>
            <w:gridSpan w:val="2"/>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维修过于频繁</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64" w:type="pct"/>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253" w:type="pct"/>
            <w:gridSpan w:val="2"/>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项目唯一性</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64" w:type="pct"/>
            <w:vMerge w:val="continue"/>
            <w:tcBorders>
              <w:top w:val="nil"/>
              <w:bottom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253" w:type="pct"/>
            <w:gridSpan w:val="2"/>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运营机构变动</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564" w:type="pct"/>
            <w:vMerge w:val="continue"/>
            <w:tcBorders>
              <w:top w:val="nil"/>
            </w:tcBorders>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253" w:type="pct"/>
            <w:gridSpan w:val="2"/>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服务质量不达标</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83" w:hRule="atLeast"/>
        </w:trPr>
        <w:tc>
          <w:tcPr>
            <w:tcW w:w="56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不可抗力风险</w:t>
            </w:r>
          </w:p>
        </w:tc>
        <w:tc>
          <w:tcPr>
            <w:tcW w:w="1253" w:type="pct"/>
            <w:gridSpan w:val="2"/>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包括不限于地震、</w:t>
            </w:r>
          </w:p>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台风、洪水、火灾、</w:t>
            </w:r>
          </w:p>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战争等</w:t>
            </w: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94"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c>
          <w:tcPr>
            <w:tcW w:w="410"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w:t>
            </w:r>
          </w:p>
        </w:tc>
        <w:tc>
          <w:tcPr>
            <w:tcW w:w="1866" w:type="pct"/>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社会合作方应该为项目购买足额的不可抗力保险；由于运营机构未对其购买保险</w:t>
            </w:r>
          </w:p>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的，由社会资本承担应投保保险对应的赔偿损失</w:t>
            </w:r>
          </w:p>
        </w:tc>
      </w:tr>
    </w:tbl>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11" w:name="_Toc18460"/>
      <w:r>
        <w:rPr>
          <w:rFonts w:hint="eastAsia" w:ascii="仿宋" w:hAnsi="仿宋" w:eastAsia="仿宋" w:cs="Times New Roman"/>
          <w:b/>
          <w:color w:val="auto"/>
          <w:szCs w:val="28"/>
          <w:lang w:val="en-US" w:eastAsia="zh-CN"/>
        </w:rPr>
        <w:t>6.3</w:t>
      </w:r>
      <w:r>
        <w:rPr>
          <w:rFonts w:hint="eastAsia" w:ascii="仿宋" w:hAnsi="仿宋" w:eastAsia="仿宋" w:cs="Times New Roman"/>
          <w:b/>
          <w:color w:val="auto"/>
          <w:szCs w:val="28"/>
          <w:lang w:val="en-US" w:eastAsia="zh-CN"/>
        </w:rPr>
        <w:fldChar w:fldCharType="begin"/>
      </w:r>
      <w:r>
        <w:rPr>
          <w:rFonts w:hint="eastAsia" w:ascii="仿宋" w:hAnsi="仿宋" w:eastAsia="仿宋" w:cs="Times New Roman"/>
          <w:b/>
          <w:color w:val="auto"/>
          <w:szCs w:val="28"/>
          <w:lang w:val="en-US" w:eastAsia="zh-CN"/>
        </w:rPr>
        <w:instrText xml:space="preserve"> HYPERLINK \l "bookmark41" </w:instrText>
      </w:r>
      <w:r>
        <w:rPr>
          <w:rFonts w:hint="eastAsia" w:ascii="仿宋" w:hAnsi="仿宋" w:eastAsia="仿宋" w:cs="Times New Roman"/>
          <w:b/>
          <w:color w:val="auto"/>
          <w:szCs w:val="28"/>
          <w:lang w:val="en-US" w:eastAsia="zh-CN"/>
        </w:rPr>
        <w:fldChar w:fldCharType="separate"/>
      </w:r>
      <w:r>
        <w:rPr>
          <w:rFonts w:hint="eastAsia" w:ascii="仿宋" w:hAnsi="仿宋" w:eastAsia="仿宋" w:cs="Times New Roman"/>
          <w:b/>
          <w:color w:val="auto"/>
          <w:szCs w:val="28"/>
          <w:lang w:val="en-US" w:eastAsia="zh-CN"/>
        </w:rPr>
        <w:t>风险控制</w:t>
      </w:r>
      <w:r>
        <w:rPr>
          <w:rFonts w:hint="eastAsia" w:ascii="仿宋" w:hAnsi="仿宋" w:eastAsia="仿宋" w:cs="Times New Roman"/>
          <w:b/>
          <w:color w:val="auto"/>
          <w:szCs w:val="28"/>
          <w:lang w:val="en-US" w:eastAsia="zh-CN"/>
        </w:rPr>
        <w:fldChar w:fldCharType="end"/>
      </w:r>
      <w:bookmarkEnd w:id="111"/>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风险控制是主动积极的风险对策，针对项目中可能出现的政策、法律、运营等风险，在实施项目时，合作方控制风险时应遵守以下原则：</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12" w:name="_Toc23287"/>
      <w:r>
        <w:rPr>
          <w:rFonts w:hint="eastAsia" w:ascii="仿宋" w:hAnsi="仿宋" w:eastAsia="仿宋" w:cs="Times New Roman"/>
          <w:b/>
          <w:color w:val="auto"/>
          <w:szCs w:val="28"/>
          <w:lang w:val="en-US" w:eastAsia="zh-CN"/>
        </w:rPr>
        <w:t>6.3.1程序合法合规原则</w:t>
      </w:r>
      <w:bookmarkEnd w:id="112"/>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为避免出现程序上的违规风险，项目在全过程推进构成中均应符合国家及市政府的相关程序规定，从项目立项、识别、准备、招标、执行、移交阶段，均应按照政策文件规定得到相关政府部门的批准，不得因为工期原因未批先建。</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13" w:name="_Toc9169"/>
      <w:r>
        <w:rPr>
          <w:rFonts w:hint="eastAsia" w:ascii="仿宋" w:hAnsi="仿宋" w:eastAsia="仿宋" w:cs="Times New Roman"/>
          <w:b/>
          <w:color w:val="auto"/>
          <w:szCs w:val="28"/>
          <w:lang w:val="en-US" w:eastAsia="zh-CN"/>
        </w:rPr>
        <w:t>6.3.2遵循法治原则</w:t>
      </w:r>
      <w:bookmarkEnd w:id="113"/>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项目的成功实施离不开法治和契约精神，项目合同及项目经营等文件和程序，要与相关的法律法规和政策、技术规范和标准相匹配，确保合规合法、内容全面、结构合理和具有可操作性。合同体系应明确职责范围的界定；明确政府部门和民营部门各自的权利和义务、项目的采购程序；明确合同的修改、退出机制以及纠纷处理机制。</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14" w:name="_Toc12530"/>
      <w:r>
        <w:rPr>
          <w:rFonts w:hint="eastAsia" w:ascii="仿宋" w:hAnsi="仿宋" w:eastAsia="仿宋" w:cs="Times New Roman"/>
          <w:b/>
          <w:color w:val="auto"/>
          <w:szCs w:val="28"/>
          <w:lang w:val="en-US" w:eastAsia="zh-CN"/>
        </w:rPr>
        <w:t>6.3.3公开透明原则</w:t>
      </w:r>
      <w:bookmarkEnd w:id="114"/>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合作双方应遵循公开透明的原则，针对项目采购和运营的关键环节，明确政府的监管职责，发挥专业机构作用，提高信息公开程度，确保项目的阳光运行。运营机构应提供真实的运营绩效、项目账目、公司财务报表等数据资料。</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15" w:name="_Toc20140"/>
      <w:r>
        <w:rPr>
          <w:rFonts w:hint="eastAsia" w:ascii="仿宋" w:hAnsi="仿宋" w:eastAsia="仿宋" w:cs="Times New Roman"/>
          <w:b/>
          <w:color w:val="auto"/>
          <w:szCs w:val="28"/>
          <w:lang w:val="en-US" w:eastAsia="zh-CN"/>
        </w:rPr>
        <w:t>6.3.4公平对等原则</w:t>
      </w:r>
      <w:bookmarkEnd w:id="115"/>
    </w:p>
    <w:p>
      <w:pPr>
        <w:pStyle w:val="18"/>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在公建民营项目下，合同各方应是平等主体，以市场机制为基础建立互惠合 作关系，通过合同条款约定并保障各方的权利义务。鼓励运营机构在确保公共利益的前提下，降低项目运营成本，提高资源配置效率，获取合理的投资回报。</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16" w:name="_Toc29084"/>
      <w:r>
        <w:rPr>
          <w:rFonts w:hint="eastAsia" w:ascii="仿宋" w:hAnsi="仿宋" w:eastAsia="仿宋" w:cs="Times New Roman"/>
          <w:b/>
          <w:color w:val="auto"/>
          <w:szCs w:val="28"/>
          <w:lang w:val="en-US" w:eastAsia="zh-CN"/>
        </w:rPr>
        <w:t>6.3.5切实履约原则</w:t>
      </w:r>
      <w:bookmarkEnd w:id="116"/>
    </w:p>
    <w:p>
      <w:pPr>
        <w:pStyle w:val="18"/>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项目目标的实现，建立在各利益相关方对相关合同的切实履行的基础上，包括实际履行、全面履行和善意履行。政府应依法兑现承诺，对配套投入、税收优惠、限制竞争的条款应切实履行；社会合作方应实事求是，诚信履行运维的义务。</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17" w:name="_Toc29224"/>
      <w:r>
        <w:rPr>
          <w:rFonts w:hint="eastAsia" w:ascii="仿宋" w:hAnsi="仿宋" w:eastAsia="仿宋" w:cs="Times New Roman"/>
          <w:b/>
          <w:color w:val="auto"/>
          <w:szCs w:val="28"/>
          <w:lang w:val="en-US" w:eastAsia="zh-CN"/>
        </w:rPr>
        <w:t>6.4.风险处理原则</w:t>
      </w:r>
      <w:bookmarkEnd w:id="117"/>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项目风险发生后处理原则如下：</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18" w:name="_Toc23389"/>
      <w:r>
        <w:rPr>
          <w:rFonts w:hint="eastAsia" w:ascii="仿宋" w:hAnsi="仿宋" w:eastAsia="仿宋" w:cs="Times New Roman"/>
          <w:b/>
          <w:color w:val="auto"/>
          <w:szCs w:val="28"/>
          <w:lang w:val="en-US" w:eastAsia="zh-CN"/>
        </w:rPr>
        <w:t>6.4.1风险程度最小化</w:t>
      </w:r>
      <w:bookmarkEnd w:id="118"/>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一旦风险发生，双方均应在风险承担范围内采取措施将风险影响降低到最小。</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19" w:name="_Toc10850"/>
      <w:r>
        <w:rPr>
          <w:rFonts w:hint="eastAsia" w:ascii="仿宋" w:hAnsi="仿宋" w:eastAsia="仿宋" w:cs="Times New Roman"/>
          <w:b/>
          <w:color w:val="auto"/>
          <w:szCs w:val="28"/>
          <w:lang w:val="en-US" w:eastAsia="zh-CN"/>
        </w:rPr>
        <w:t>6.4.2主体明确，风险共担</w:t>
      </w:r>
      <w:bookmarkEnd w:id="119"/>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按照最优、对等、可控分配原则，双方应明确不同类型风险承担主体及各主体应承担的风险内容。在处理风险时，双方按照各自责任范围承担风险，共同处理风险。</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20" w:name="_Toc31701"/>
      <w:r>
        <w:rPr>
          <w:rFonts w:hint="eastAsia" w:ascii="仿宋" w:hAnsi="仿宋" w:eastAsia="仿宋" w:cs="Times New Roman"/>
          <w:b/>
          <w:color w:val="auto"/>
          <w:szCs w:val="28"/>
          <w:lang w:val="en-US" w:eastAsia="zh-CN"/>
        </w:rPr>
        <w:t>6.4.3善意继续履约</w:t>
      </w:r>
      <w:bookmarkEnd w:id="120"/>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当产生局部风险，但不影响项目及合同的其他部分进行时，双方应尽量继续推进项目和履行合约。一方为避免损失扩大而暂停项目推进时，应与另一方协商后执行。</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21" w:name="_Toc28841"/>
      <w:r>
        <w:rPr>
          <w:rFonts w:hint="eastAsia" w:ascii="仿宋" w:hAnsi="仿宋" w:eastAsia="仿宋" w:cs="Times New Roman"/>
          <w:b/>
          <w:color w:val="auto"/>
          <w:szCs w:val="28"/>
          <w:lang w:val="en-US" w:eastAsia="zh-CN"/>
        </w:rPr>
        <w:t>6.4.4善意协商解决</w:t>
      </w:r>
      <w:bookmarkEnd w:id="121"/>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在产生风险或争议时，双方应善意首先通过协商解决；协商不成的，再进行争议解决途径。</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color w:val="auto"/>
          <w:kern w:val="0"/>
          <w:sz w:val="28"/>
          <w:szCs w:val="28"/>
          <w:lang w:val="en-US" w:eastAsia="zh-CN" w:bidi="ar-SA"/>
        </w:rPr>
      </w:pPr>
      <w:bookmarkStart w:id="122" w:name="_Toc10393"/>
      <w:r>
        <w:rPr>
          <w:rFonts w:hint="eastAsia" w:ascii="仿宋" w:hAnsi="仿宋" w:eastAsia="仿宋" w:cs="Times New Roman"/>
          <w:b/>
          <w:color w:val="auto"/>
          <w:szCs w:val="28"/>
          <w:lang w:val="en-US" w:eastAsia="zh-CN"/>
        </w:rPr>
        <w:t>6.5.</w:t>
      </w:r>
      <w:r>
        <w:rPr>
          <w:rFonts w:hint="eastAsia" w:ascii="仿宋" w:hAnsi="仿宋" w:eastAsia="仿宋" w:cs="Times New Roman"/>
          <w:b/>
          <w:color w:val="auto"/>
          <w:szCs w:val="28"/>
          <w:lang w:val="en-US" w:eastAsia="zh-CN"/>
        </w:rPr>
        <w:fldChar w:fldCharType="begin"/>
      </w:r>
      <w:r>
        <w:rPr>
          <w:rFonts w:hint="eastAsia" w:ascii="仿宋" w:hAnsi="仿宋" w:eastAsia="仿宋" w:cs="Times New Roman"/>
          <w:b/>
          <w:color w:val="auto"/>
          <w:szCs w:val="28"/>
          <w:lang w:val="en-US" w:eastAsia="zh-CN"/>
        </w:rPr>
        <w:instrText xml:space="preserve"> HYPERLINK \l "bookmark16" </w:instrText>
      </w:r>
      <w:r>
        <w:rPr>
          <w:rFonts w:hint="eastAsia" w:ascii="仿宋" w:hAnsi="仿宋" w:eastAsia="仿宋" w:cs="Times New Roman"/>
          <w:b/>
          <w:color w:val="auto"/>
          <w:szCs w:val="28"/>
          <w:lang w:val="en-US" w:eastAsia="zh-CN"/>
        </w:rPr>
        <w:fldChar w:fldCharType="separate"/>
      </w:r>
      <w:r>
        <w:rPr>
          <w:rFonts w:hint="eastAsia" w:ascii="仿宋" w:hAnsi="仿宋" w:eastAsia="仿宋" w:cs="Times New Roman"/>
          <w:b/>
          <w:color w:val="auto"/>
          <w:szCs w:val="28"/>
          <w:lang w:val="en-US" w:eastAsia="zh-CN"/>
        </w:rPr>
        <w:t>项目风险对策</w:t>
      </w:r>
      <w:r>
        <w:rPr>
          <w:rFonts w:hint="eastAsia" w:ascii="仿宋" w:hAnsi="仿宋" w:eastAsia="仿宋" w:cs="Times New Roman"/>
          <w:b/>
          <w:color w:val="auto"/>
          <w:szCs w:val="28"/>
          <w:lang w:val="en-US" w:eastAsia="zh-CN"/>
        </w:rPr>
        <w:fldChar w:fldCharType="end"/>
      </w:r>
      <w:bookmarkEnd w:id="122"/>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23" w:name="_Toc1970"/>
      <w:r>
        <w:rPr>
          <w:rFonts w:hint="eastAsia" w:ascii="仿宋" w:hAnsi="仿宋" w:eastAsia="仿宋" w:cs="Times New Roman"/>
          <w:b/>
          <w:color w:val="auto"/>
          <w:szCs w:val="28"/>
          <w:lang w:val="en-US" w:eastAsia="zh-CN"/>
        </w:rPr>
        <w:t>6.5.1政策和社会稳定风险对策</w:t>
      </w:r>
      <w:bookmarkEnd w:id="123"/>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指由于政府对国家、各部委、地方的政策信息不对称，地方政府对项目的决 策程序尚未规范建立、缺乏项目的运作经验和能力、前期准备不足等造成项目决 策失误和过程冗长等风险，其控制对策应为：</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1）关注国家、各部委、地方项目行业政策，及时学习研究相关政策，适时调整自身发展战略。</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2）整合区域内部资源，不断增强实力，增强应对政策和社会稳定风险的缓冲能力。</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24" w:name="_Toc14105"/>
      <w:r>
        <w:rPr>
          <w:rFonts w:hint="eastAsia" w:ascii="仿宋" w:hAnsi="仿宋" w:eastAsia="仿宋" w:cs="Times New Roman"/>
          <w:b/>
          <w:color w:val="auto"/>
          <w:szCs w:val="28"/>
          <w:lang w:val="en-US" w:eastAsia="zh-CN"/>
        </w:rPr>
        <w:t>6.5.2法律及合约风险</w:t>
      </w:r>
      <w:bookmarkEnd w:id="124"/>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法律风险主要是指由于采纳、颁布、修订、重新诠释法律或规定而导致项目的合法性、市场需求、产品/服务收费、合同协议的有效性等因素发生变化，从而对项目的正常运维带来损害，甚至直接导致项目的中止和失败的风险。</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此类风险应通过完善的项目合同对政府和社会合作方权利义务进行合理界 定，即通过合同条款，对可能出现的风险应对方式、纠纷处理和责任归责，事先作出明确约定。同时，通过加强对项目合同的起草、谈判、履行、变更、解除、 转让、终止，直至失效等进行全过程的监督管理，通过合同正确表达意愿、合理分配风险、妥善履行义务、有效主张权利来实现对合同履行过程的法律风险。</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合约风险指政府或社会资本方不履行或拒绝履行合同约定的责任和义务而给项目带来直接或间接的危害。因此要建立社会管理的公开、公平、公正制度。 加强监督制度。切实推进依法行政，要建立和完善行政程序法律制度，把政府和社会资本方的行为纳入法治的轨道。</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25" w:name="_Toc24187"/>
      <w:r>
        <w:rPr>
          <w:rFonts w:hint="eastAsia" w:ascii="仿宋" w:hAnsi="仿宋" w:eastAsia="仿宋" w:cs="Times New Roman"/>
          <w:b/>
          <w:color w:val="auto"/>
          <w:szCs w:val="28"/>
          <w:lang w:val="en-US" w:eastAsia="zh-CN"/>
        </w:rPr>
        <w:t>6.5.3金融风险对策</w:t>
      </w:r>
      <w:bookmarkEnd w:id="125"/>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社会资本方应编制资金使用计划，确定资金投入的时序性及稳定性，确保投入资金的有效性，减少投资风险。</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26" w:name="_Toc13444"/>
      <w:r>
        <w:rPr>
          <w:rFonts w:hint="eastAsia" w:ascii="仿宋" w:hAnsi="仿宋" w:eastAsia="仿宋" w:cs="Times New Roman"/>
          <w:b/>
          <w:color w:val="auto"/>
          <w:szCs w:val="28"/>
          <w:lang w:val="en-US" w:eastAsia="zh-CN"/>
        </w:rPr>
        <w:t>6.5.4运营风险对策</w:t>
      </w:r>
      <w:bookmarkEnd w:id="126"/>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1）健全管理制度。在项目成立之初应制定和健全各项管理制度、审批制度，使各项业务程序化、制度化，以提高管理的科学性，使其不断完善，不断优化流程以降低管理风险。</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2）建立责任制度。制定和落实管理责任制度，责任到人，人人尽责，提高管理的主动性和针对性。</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在项目运营后，由于服务费收入不足等原因，有可能发生社会资本方收入未能达到收益预期。因此，本项目合作双方要认真做好项目前期论证工作，力求有稳定的收益做保障，并与当地财力和经济发展承担能力相匹配。项目运营前 要按实际需求测算、科学预测、制定合理的补贴机制、建立弹性的价格调整制度。本项目特别是服务费的确定和调整机制，必须科学测定。政府方亦须充分考虑未来长期变化因素作出相关审慎承诺。</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本项目提供的养老服务范围较广，对运营机构的运营管理能力要求较高，建议运营机构除增强自身服务范围的运营能力之外，可依法依规选择有资质、有技术、有实力的合作单位，降低项目服务范围所带来的风险。</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27" w:name="_Toc18195"/>
      <w:r>
        <w:rPr>
          <w:rFonts w:hint="eastAsia" w:ascii="仿宋" w:hAnsi="仿宋" w:eastAsia="仿宋" w:cs="Times New Roman"/>
          <w:b/>
          <w:color w:val="auto"/>
          <w:szCs w:val="28"/>
          <w:lang w:val="en-US" w:eastAsia="zh-CN"/>
        </w:rPr>
        <w:t>6.5.5不可抗力风险对策</w:t>
      </w:r>
      <w:bookmarkEnd w:id="127"/>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此类风险包括但不限于：台风、地震、火灾、洪水等自然灾害；战争、罢工、骚乱等社会异常现象；以及不能合理预见和控制的任何其他情形，由双方共同分担。合作双方事先准备好应急方案及应急款项，并与保险商签订不可抗力保险合同，将不可抗力风险转移至保险商。</w:t>
      </w:r>
    </w:p>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p>
    <w:p>
      <w:pPr>
        <w:pStyle w:val="2"/>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仿宋" w:hAnsi="仿宋" w:eastAsia="仿宋" w:cs="Times New Roman"/>
          <w:color w:val="auto"/>
          <w:kern w:val="0"/>
          <w:sz w:val="28"/>
          <w:szCs w:val="28"/>
          <w:lang w:val="en-US" w:eastAsia="zh-CN" w:bidi="ar-SA"/>
        </w:rPr>
      </w:pPr>
      <w:bookmarkStart w:id="128" w:name="_Toc9686"/>
      <w:r>
        <w:rPr>
          <w:rFonts w:hint="eastAsia" w:ascii="微软雅黑" w:hAnsi="微软雅黑" w:eastAsia="微软雅黑" w:cs="Times New Roman"/>
          <w:b/>
          <w:color w:val="auto"/>
          <w:szCs w:val="32"/>
          <w:lang w:val="en-US" w:eastAsia="zh-CN"/>
        </w:rPr>
        <w:t>第七章 合同体系</w:t>
      </w:r>
      <w:bookmarkEnd w:id="128"/>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29" w:name="_Toc2281"/>
      <w:r>
        <w:rPr>
          <w:rFonts w:hint="eastAsia" w:ascii="仿宋" w:hAnsi="仿宋" w:eastAsia="仿宋" w:cs="Times New Roman"/>
          <w:b/>
          <w:color w:val="auto"/>
          <w:szCs w:val="28"/>
          <w:lang w:val="en-US" w:eastAsia="zh-CN"/>
        </w:rPr>
        <w:t>7.1合同体系</w:t>
      </w:r>
      <w:bookmarkEnd w:id="129"/>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公建民营运营合同是明确政府方与社会化运营单位双方的权利义务关系，保障双方能够依据合同约定合理主张权利，妥善履行义务，在项目实施机构与社会 资本方之间合理分配项目风险，确保项目全生命周期内的顺利实施的重要保障。</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经遴选确定社会资本方后，政府方（委托方）和社会资本方应签订公建民营运营合同，明确双方的权利和义务，明确设施服务定位及作为公有设施保障基本、兜底线的职责，明晰国有资产、社会资本的归属和管理，明确社会资本方应承担的职责和合同期内应达到的目标，明确服务监管主体、方式及要求，明确退出机制等。</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color w:val="auto"/>
          <w:kern w:val="0"/>
          <w:sz w:val="28"/>
          <w:szCs w:val="28"/>
          <w:lang w:val="en-US" w:eastAsia="zh-CN" w:bidi="ar-SA"/>
        </w:rPr>
      </w:pPr>
      <w:bookmarkStart w:id="130" w:name="_Toc22920"/>
      <w:r>
        <w:rPr>
          <w:rFonts w:hint="eastAsia" w:ascii="仿宋" w:hAnsi="仿宋" w:eastAsia="仿宋" w:cs="Times New Roman"/>
          <w:b/>
          <w:color w:val="auto"/>
          <w:szCs w:val="28"/>
          <w:lang w:val="en-US" w:eastAsia="zh-CN"/>
        </w:rPr>
        <w:t>7.2各方参与主要权利与义务</w:t>
      </w:r>
      <w:bookmarkEnd w:id="130"/>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31" w:name="_Toc21075"/>
      <w:r>
        <w:rPr>
          <w:rFonts w:hint="eastAsia" w:ascii="仿宋" w:hAnsi="仿宋" w:eastAsia="仿宋" w:cs="Times New Roman"/>
          <w:b/>
          <w:color w:val="auto"/>
          <w:szCs w:val="28"/>
          <w:lang w:val="en-US" w:eastAsia="zh-CN"/>
        </w:rPr>
        <w:t>7.2.1实施机构的权利和义务</w:t>
      </w:r>
      <w:bookmarkEnd w:id="131"/>
    </w:p>
    <w:p>
      <w:pPr>
        <w:pStyle w:val="18"/>
        <w:numPr>
          <w:ilvl w:val="0"/>
          <w:numId w:val="2"/>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对社会资本方的投资，提升改造（如有）实施监管，包括但不限于项目融资（如有）及资金到位和使用情况，提升改造进度、工程质量、安全等；</w:t>
      </w:r>
    </w:p>
    <w:p>
      <w:pPr>
        <w:pStyle w:val="18"/>
        <w:numPr>
          <w:ilvl w:val="0"/>
          <w:numId w:val="2"/>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根据双方确认的绩效考核办法对社会资本方的运营状况进行现场检查。绩效考核办法如需变更，由实施机构和社会资本方另行协商确定；</w:t>
      </w:r>
    </w:p>
    <w:p>
      <w:pPr>
        <w:pStyle w:val="18"/>
        <w:numPr>
          <w:ilvl w:val="0"/>
          <w:numId w:val="2"/>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监督社会资本方按照合同和法律法规规定进行项目提升改造投资，实施提升改造及运营维护；火灾、</w:t>
      </w:r>
    </w:p>
    <w:p>
      <w:pPr>
        <w:pStyle w:val="18"/>
        <w:numPr>
          <w:ilvl w:val="0"/>
          <w:numId w:val="2"/>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在发生合同约定的乙方/社会资本方严重违约或发生紧急事件时，实施机构有权利（但不得被要求）强制介入，暂代社会资本方运营管理和维护项目设施；</w:t>
      </w:r>
    </w:p>
    <w:p>
      <w:pPr>
        <w:pStyle w:val="18"/>
        <w:numPr>
          <w:ilvl w:val="0"/>
          <w:numId w:val="2"/>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租赁运营期满，有权无偿收回乙方所拥有的本项目经营权、使用权、收益权；</w:t>
      </w:r>
    </w:p>
    <w:p>
      <w:pPr>
        <w:pStyle w:val="18"/>
        <w:numPr>
          <w:ilvl w:val="0"/>
          <w:numId w:val="2"/>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如果发生乙方违约情况，有权要求乙方纠正违约、向乙方收取违约金（或兑取运营保证金相应金额）、提前终止或采取本项目合同约定的其他措施；</w:t>
      </w:r>
    </w:p>
    <w:p>
      <w:pPr>
        <w:pStyle w:val="18"/>
        <w:numPr>
          <w:ilvl w:val="0"/>
          <w:numId w:val="2"/>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依法接受相关机关的监督；</w:t>
      </w:r>
    </w:p>
    <w:p>
      <w:pPr>
        <w:pStyle w:val="18"/>
        <w:numPr>
          <w:ilvl w:val="0"/>
          <w:numId w:val="2"/>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法律法规的规定及本项目合同约定的其他权利。</w:t>
      </w:r>
    </w:p>
    <w:p>
      <w:pPr>
        <w:pStyle w:val="18"/>
        <w:numPr>
          <w:ilvl w:val="0"/>
          <w:numId w:val="2"/>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依法授予乙方经营权和使用权；</w:t>
      </w:r>
    </w:p>
    <w:p>
      <w:pPr>
        <w:pStyle w:val="18"/>
        <w:numPr>
          <w:ilvl w:val="0"/>
          <w:numId w:val="2"/>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负责确定项目功能定位、养老服务标准等；</w:t>
      </w:r>
    </w:p>
    <w:p>
      <w:pPr>
        <w:pStyle w:val="18"/>
        <w:numPr>
          <w:ilvl w:val="0"/>
          <w:numId w:val="2"/>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协调乙方与政府相关部门的关系，协助社会资本方进行项目未完成的审批和取得必需的支持性文件等工作（或有）；项目未完成的审批依法规应由建设方办理的由甲方负责完成并取得相关审批文件；</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（12）协助乙方取得法律法规规定的可适用于本项目的各项减、免税和优惠政策；</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（13）按时支付缴纳政策性床位托养服务费；</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（14）协调城市供水、排水、燃气、供电、通信、水利、消防、园林等相关职能部门，为本项目的市政配套工作进行协调和手续办理，以保证项目的提升改造 进度和后续运营时的市政配套需求；</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（15）支持乙方开展政府许可的其他经营活动；</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（16）协议提前终止时，接收项目设备、设施、并按本项目合同约定向乙方支付补偿费用；</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（17）因政府方原因导致项目关键时间进度延误、有关进度相应延长、租赁运营期延长；</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（18）行使法律法规及本项目合同赋予的其他权利并履行规定的其他义务。</w:t>
      </w:r>
    </w:p>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32" w:name="_Toc24430"/>
      <w:r>
        <w:rPr>
          <w:rFonts w:hint="eastAsia" w:ascii="仿宋" w:hAnsi="仿宋" w:eastAsia="仿宋" w:cs="Times New Roman"/>
          <w:b/>
          <w:color w:val="auto"/>
          <w:szCs w:val="28"/>
          <w:lang w:val="en-US" w:eastAsia="zh-CN"/>
        </w:rPr>
        <w:t>7.2.2社会资本方的权利和义务</w:t>
      </w:r>
      <w:bookmarkEnd w:id="132"/>
    </w:p>
    <w:p>
      <w:pPr>
        <w:pStyle w:val="18"/>
        <w:numPr>
          <w:ilvl w:val="0"/>
          <w:numId w:val="3"/>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租赁运营期内享有养老服务中心经营权和使用权，向入住养老服务中心的老年人群收取养老服务费；</w:t>
      </w:r>
    </w:p>
    <w:p>
      <w:pPr>
        <w:pStyle w:val="18"/>
        <w:numPr>
          <w:ilvl w:val="0"/>
          <w:numId w:val="3"/>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按照《中华人民共和国公司法》及相关法律法规的规定和本项目合同的约定，自主开展本项目的投资、提升改造、运营和维护等方面的各项经营活动；</w:t>
      </w:r>
    </w:p>
    <w:p>
      <w:pPr>
        <w:pStyle w:val="18"/>
        <w:numPr>
          <w:ilvl w:val="0"/>
          <w:numId w:val="3"/>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在本养老服务中心租赁运营期内，独家享有本中心的经营权，自主安排经营方案，并取得经营收益；</w:t>
      </w:r>
    </w:p>
    <w:p>
      <w:pPr>
        <w:pStyle w:val="18"/>
        <w:numPr>
          <w:ilvl w:val="0"/>
          <w:numId w:val="3"/>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若本项目提前终止，根据本项目合同约定获得提前终止补偿；</w:t>
      </w:r>
    </w:p>
    <w:p>
      <w:pPr>
        <w:pStyle w:val="18"/>
        <w:numPr>
          <w:ilvl w:val="0"/>
          <w:numId w:val="3"/>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在甲方违反本项目合同有关规定的情况下，乙方有权根据本项目合同约定追究违约责任并要求赔偿；</w:t>
      </w:r>
    </w:p>
    <w:p>
      <w:pPr>
        <w:pStyle w:val="18"/>
        <w:numPr>
          <w:ilvl w:val="0"/>
          <w:numId w:val="3"/>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乙方有权享受法律法规规定的可适用于乙方的各项减税、免税等优惠政策；</w:t>
      </w:r>
    </w:p>
    <w:p>
      <w:pPr>
        <w:pStyle w:val="18"/>
        <w:numPr>
          <w:ilvl w:val="0"/>
          <w:numId w:val="3"/>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乙方有权享有本项目合同和适用法律法规规定的其他权利。</w:t>
      </w:r>
    </w:p>
    <w:p>
      <w:pPr>
        <w:pStyle w:val="18"/>
        <w:numPr>
          <w:ilvl w:val="0"/>
          <w:numId w:val="3"/>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乙方应按照本项目合同的约定及法律法规规定，负责本项目投资、提升改造、运营维护、移交等，并确保达到约定的运营标准；</w:t>
      </w:r>
    </w:p>
    <w:p>
      <w:pPr>
        <w:pStyle w:val="18"/>
        <w:numPr>
          <w:ilvl w:val="0"/>
          <w:numId w:val="3"/>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乙方应负责解决项目所需的全部资金；</w:t>
      </w:r>
    </w:p>
    <w:p>
      <w:pPr>
        <w:pStyle w:val="18"/>
        <w:numPr>
          <w:ilvl w:val="0"/>
          <w:numId w:val="3"/>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完善社会资本方的机构设置，配备具备相应的管理、医护、护理、财务等专业人员；</w:t>
      </w:r>
    </w:p>
    <w:p>
      <w:pPr>
        <w:pStyle w:val="18"/>
        <w:numPr>
          <w:ilvl w:val="0"/>
          <w:numId w:val="3"/>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负责优化社会资本方运营管理机制，建立完整的财务管理制度和安全生产、服务管理制度，做到服务管理安全规范、财务管理账目清楚、收支有据；</w:t>
      </w:r>
    </w:p>
    <w:p>
      <w:pPr>
        <w:pStyle w:val="18"/>
        <w:numPr>
          <w:ilvl w:val="0"/>
          <w:numId w:val="3"/>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接受政府方按有关法律法规的规定对本项目进行的检查；</w:t>
      </w:r>
    </w:p>
    <w:p>
      <w:pPr>
        <w:pStyle w:val="18"/>
        <w:numPr>
          <w:ilvl w:val="0"/>
          <w:numId w:val="3"/>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制定应急措施和应急预案，保证项目安全平稳运营；</w:t>
      </w:r>
    </w:p>
    <w:p>
      <w:pPr>
        <w:pStyle w:val="18"/>
        <w:numPr>
          <w:ilvl w:val="0"/>
          <w:numId w:val="3"/>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在发生紧急情况时，为甲方统一调度，临时接管或征用项目设施提供协助；</w:t>
      </w:r>
    </w:p>
    <w:p>
      <w:pPr>
        <w:pStyle w:val="18"/>
        <w:numPr>
          <w:ilvl w:val="0"/>
          <w:numId w:val="3"/>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依据国家法律法规，缴纳房产税、增值税、所得税、印花税等各项税费；</w:t>
      </w:r>
    </w:p>
    <w:p>
      <w:pPr>
        <w:pStyle w:val="18"/>
        <w:numPr>
          <w:ilvl w:val="0"/>
          <w:numId w:val="3"/>
        </w:numPr>
        <w:spacing w:line="360" w:lineRule="auto"/>
        <w:ind w:left="0" w:leftChars="0" w:firstLine="696"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依法、依规完成甲方委托事项，并接受政府及相关部门监督管理；</w:t>
      </w:r>
    </w:p>
    <w:p>
      <w:pPr>
        <w:pStyle w:val="18"/>
        <w:numPr>
          <w:ilvl w:val="0"/>
          <w:numId w:val="3"/>
        </w:numPr>
        <w:spacing w:line="360" w:lineRule="auto"/>
        <w:ind w:left="0" w:leftChars="0" w:firstLine="696"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行使法律法规、当地政府的政策和文件及本项目合同赋予的其他权利，并履行规定的义务。</w:t>
      </w:r>
    </w:p>
    <w:p>
      <w:pPr>
        <w:pStyle w:val="18"/>
        <w:numPr>
          <w:ilvl w:val="0"/>
          <w:numId w:val="3"/>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现有敬老院工作人员如发生安全事故应有社会资本方负责。</w:t>
      </w:r>
    </w:p>
    <w:p>
      <w:pPr>
        <w:pStyle w:val="18"/>
        <w:numPr>
          <w:ilvl w:val="0"/>
          <w:numId w:val="3"/>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资方不得无故解雇现有敬老院工作人员。</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color w:val="auto"/>
          <w:kern w:val="0"/>
          <w:sz w:val="28"/>
          <w:szCs w:val="28"/>
          <w:lang w:val="en-US" w:eastAsia="zh-CN" w:bidi="ar-SA"/>
        </w:rPr>
      </w:pPr>
      <w:bookmarkStart w:id="133" w:name="_Toc27484"/>
      <w:r>
        <w:rPr>
          <w:rFonts w:hint="eastAsia" w:ascii="仿宋" w:hAnsi="仿宋" w:eastAsia="仿宋" w:cs="Times New Roman"/>
          <w:b/>
          <w:color w:val="auto"/>
          <w:szCs w:val="28"/>
          <w:lang w:val="en-US" w:eastAsia="zh-CN"/>
        </w:rPr>
        <w:t>7.3社会资本方的核心框架</w:t>
      </w:r>
      <w:bookmarkEnd w:id="133"/>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34" w:name="_Toc8387"/>
      <w:r>
        <w:rPr>
          <w:rFonts w:hint="eastAsia" w:ascii="仿宋" w:hAnsi="仿宋" w:eastAsia="仿宋" w:cs="Times New Roman"/>
          <w:b/>
          <w:color w:val="auto"/>
          <w:szCs w:val="28"/>
          <w:lang w:val="en-US" w:eastAsia="zh-CN"/>
        </w:rPr>
        <w:t>7.3.1社会资本方的运营范围</w:t>
      </w:r>
      <w:bookmarkEnd w:id="134"/>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租赁期内，甲方将项目资产有偿租赁给社会资本方，社会资本方拥有项目经营权，并自行承担相关费用、责任和风险。社会资本方根据运营需要及《养老机构管理办法》《养老机构服务质量基本规范》《老年人照料设施建筑设计标准》、广东省政府办公厅《关于全面放开养老服务市场提升养老服务质量的实施意见》《养老机构等级划分与评定》（GB/T37276-2018）、《养老机构等级划分与评定》国家标准实施指南（试行）、《广东省民政厅关于养老机构星级评定的管理办法（试行）》五星级等级等各项规范，自行承担提升改造投资，并对项目范围内全部建筑物、构筑物、临时设备、设施进行日常维护管理政府投资部分资产的日常维修，由社会资本方负责；政府投资部分资产的大中修，由社会资本方根据主体设施磨损情况，依法提出申请，经政府审批同意后由政府组织实施。</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政府投资部分资产的大中小修，参考物业大修、中修、小修范围、界定标准和评定方法），确保项目各项设备、设施始终处于良好的营运状态，并以安全、连续、稳定的方式提供符合政策规定、相关业务主管部门管理要求以及本合同约定的服务，向入住的老年人提供各项养老服务并收取费用；养老服务中心内可开发理发店、小型超市等休闲娱乐购物等基于养老服务的商业配套服务，政府鼓励其进行开发，但要符合政府相关政策规定并取得相应经营资质，开发项目需要经政府批准后确定其行为；政府提倡、鼓励养老服务中心开发居家养老上门服务，政府的政策补贴以届时政策为准。</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35" w:name="_Toc23597"/>
      <w:r>
        <w:rPr>
          <w:rFonts w:hint="eastAsia" w:ascii="仿宋" w:hAnsi="仿宋" w:eastAsia="仿宋" w:cs="Times New Roman"/>
          <w:b/>
          <w:color w:val="auto"/>
          <w:szCs w:val="28"/>
          <w:lang w:val="en-US" w:eastAsia="zh-CN"/>
        </w:rPr>
        <w:t>7.3.2运营维护权</w:t>
      </w:r>
      <w:bookmarkEnd w:id="135"/>
    </w:p>
    <w:p>
      <w:pPr>
        <w:pStyle w:val="18"/>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实施机构与社会资本方签署项目合同，并授予社会资本方经营权。社会资本方负责本项目相关设施的运营维护；在租赁期结束时将本项目设施完好无偿移交实施机构或仁化县政府指定的其他机构。</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36" w:name="_Toc8575"/>
      <w:r>
        <w:rPr>
          <w:rFonts w:hint="eastAsia" w:ascii="仿宋" w:hAnsi="仿宋" w:eastAsia="仿宋" w:cs="Times New Roman"/>
          <w:b/>
          <w:color w:val="auto"/>
          <w:szCs w:val="28"/>
          <w:lang w:val="en-US" w:eastAsia="zh-CN"/>
        </w:rPr>
        <w:t>7.3.3租赁期限</w:t>
      </w:r>
      <w:bookmarkEnd w:id="136"/>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正式运营维护期/运营维护期：自经实施机构书面确认且竣工验收合格次日至租赁期结束之日止。</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color w:val="auto"/>
          <w:kern w:val="0"/>
          <w:sz w:val="28"/>
          <w:szCs w:val="28"/>
          <w:lang w:val="en-US" w:eastAsia="zh-CN" w:bidi="ar-SA"/>
        </w:rPr>
      </w:pPr>
      <w:bookmarkStart w:id="137" w:name="_Toc2950"/>
      <w:r>
        <w:rPr>
          <w:rFonts w:hint="eastAsia" w:ascii="仿宋" w:hAnsi="仿宋" w:eastAsia="仿宋" w:cs="Times New Roman"/>
          <w:b/>
          <w:color w:val="auto"/>
          <w:szCs w:val="28"/>
          <w:lang w:val="en-US" w:eastAsia="zh-CN"/>
        </w:rPr>
        <w:t>7.4运营维护核心框架</w:t>
      </w:r>
      <w:bookmarkEnd w:id="137"/>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38" w:name="_Toc32101"/>
      <w:r>
        <w:rPr>
          <w:rFonts w:hint="eastAsia" w:ascii="仿宋" w:hAnsi="仿宋" w:eastAsia="仿宋" w:cs="Times New Roman"/>
          <w:b/>
          <w:color w:val="auto"/>
          <w:szCs w:val="28"/>
          <w:lang w:val="en-US" w:eastAsia="zh-CN"/>
        </w:rPr>
        <w:t>7.4.1项目运营维护</w:t>
      </w:r>
      <w:bookmarkEnd w:id="138"/>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社会资本方应在每一运营年度（首个运营年度为自开始运营日起满一周年之日止，后续依次类推每满一周年为一个运营年度）前3个月内根据适用法律和合同的规定制定本运营年度的运营和维护计划，并报实施机构备案。实施机构有权就年度运营和维护计划提出意见和建议，社会资本方应当予以充分考虑。</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实施机构会对本项目低价高质服务引起寻租行为进行监管，杜绝相关情况的出现。根据项目实际运营情况，社会资本方优先保障经评估为重度失能老年人入住，其余老年人入住采用预约轮候的方式进行。</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39" w:name="_Toc15901"/>
      <w:r>
        <w:rPr>
          <w:rFonts w:hint="eastAsia" w:ascii="仿宋" w:hAnsi="仿宋" w:eastAsia="仿宋" w:cs="Times New Roman"/>
          <w:b/>
          <w:color w:val="auto"/>
          <w:szCs w:val="28"/>
          <w:lang w:val="en-US" w:eastAsia="zh-CN"/>
        </w:rPr>
        <w:t>7.4.2项目设施的使用</w:t>
      </w:r>
      <w:bookmarkEnd w:id="139"/>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本项目工程竣工，经验收合格后，方可交付使用；各子项目由于建设进度可能有所不同，可视子项目建设进度，采用子项目验收；未经验收或者验收不合格的，不得交付使用。</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40" w:name="_Toc1640"/>
      <w:r>
        <w:rPr>
          <w:rFonts w:hint="eastAsia" w:ascii="仿宋" w:hAnsi="仿宋" w:eastAsia="仿宋" w:cs="Times New Roman"/>
          <w:b/>
          <w:color w:val="auto"/>
          <w:szCs w:val="28"/>
          <w:lang w:val="en-US" w:eastAsia="zh-CN"/>
        </w:rPr>
        <w:t>7.5期满后项目设施移交</w:t>
      </w:r>
      <w:bookmarkEnd w:id="140"/>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本项目租赁期期满后，社会资本方应向实施机构完好无偿、移交工程项目设施的所有权和所有权益。</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41" w:name="_Toc26081"/>
      <w:r>
        <w:rPr>
          <w:rFonts w:hint="eastAsia" w:ascii="仿宋" w:hAnsi="仿宋" w:eastAsia="仿宋" w:cs="Times New Roman"/>
          <w:b/>
          <w:color w:val="auto"/>
          <w:szCs w:val="28"/>
          <w:lang w:val="en-US" w:eastAsia="zh-CN"/>
        </w:rPr>
        <w:t>7.6移交工作组</w:t>
      </w:r>
      <w:bookmarkEnd w:id="141"/>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租赁期届满前的12个月作为过渡期，实施机构和社会资本方各派人成立移交工作组，移交工作组负责人由实施机构委派。若合同提前终止的，移交工作组应在合同提前终止发起后5个工作日内成立。</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移交工作组根据项目合同约定与社会资本方确认移交情形方式，制定资产评估和性能测试方案，确保移交过渡期内公共服务的持续稳定供给。</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本项目无偿移交方式：项目移交工作组应严格按照性能测试方案和移交标准对移交资产进行性能测试。性能测试结果不达标的，移交工作组应要求社会资本方进行恢复性修理、更新重置或提取移交维修保证金。</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42" w:name="_Toc22362"/>
      <w:r>
        <w:rPr>
          <w:rFonts w:hint="eastAsia" w:ascii="仿宋" w:hAnsi="仿宋" w:eastAsia="仿宋" w:cs="Times New Roman"/>
          <w:b/>
          <w:color w:val="auto"/>
          <w:szCs w:val="28"/>
          <w:lang w:val="en-US" w:eastAsia="zh-CN"/>
        </w:rPr>
        <w:t>7.6.1移交范围</w:t>
      </w:r>
      <w:bookmarkEnd w:id="142"/>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在移交日，社会资本方应向实施机构无偿完好移交：</w:t>
      </w:r>
    </w:p>
    <w:p>
      <w:pPr>
        <w:pStyle w:val="18"/>
        <w:numPr>
          <w:ilvl w:val="0"/>
          <w:numId w:val="4"/>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使用项目设施所占有场地的权利；</w:t>
      </w:r>
    </w:p>
    <w:p>
      <w:pPr>
        <w:pStyle w:val="18"/>
        <w:numPr>
          <w:ilvl w:val="0"/>
          <w:numId w:val="4"/>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社会资本方对项目设施的所有权益；</w:t>
      </w:r>
    </w:p>
    <w:p>
      <w:pPr>
        <w:pStyle w:val="18"/>
        <w:numPr>
          <w:ilvl w:val="0"/>
          <w:numId w:val="4"/>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管理和运营维护项目设施所必需的技术文件和技术诀窍，以及所有的运营维护手册、运营维护记录、设计图纸、工程档案、质量保修书等有关资料，以使其能够直接继续管理和运营维护项目设施；</w:t>
      </w:r>
    </w:p>
    <w:p>
      <w:pPr>
        <w:pStyle w:val="18"/>
        <w:numPr>
          <w:ilvl w:val="0"/>
          <w:numId w:val="4"/>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为移交项目设施的所有权所需的文件；</w:t>
      </w:r>
    </w:p>
    <w:p>
      <w:pPr>
        <w:pStyle w:val="18"/>
        <w:numPr>
          <w:ilvl w:val="0"/>
          <w:numId w:val="4"/>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所有项目设施资产清册；</w:t>
      </w:r>
    </w:p>
    <w:p>
      <w:pPr>
        <w:pStyle w:val="18"/>
        <w:numPr>
          <w:ilvl w:val="0"/>
          <w:numId w:val="4"/>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实施机构合理要求的其他物品与资料；</w:t>
      </w:r>
    </w:p>
    <w:p>
      <w:pPr>
        <w:pStyle w:val="18"/>
        <w:numPr>
          <w:ilvl w:val="0"/>
          <w:numId w:val="4"/>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能够确保该项目至少能够正常运营6个月以上的库存物料。</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43" w:name="_Toc26739"/>
      <w:r>
        <w:rPr>
          <w:rFonts w:hint="eastAsia" w:ascii="仿宋" w:hAnsi="仿宋" w:eastAsia="仿宋" w:cs="Times New Roman"/>
          <w:b/>
          <w:color w:val="auto"/>
          <w:szCs w:val="28"/>
          <w:lang w:val="en-US" w:eastAsia="zh-CN"/>
        </w:rPr>
        <w:t>7.6.2移交的要求</w:t>
      </w:r>
      <w:bookmarkEnd w:id="143"/>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范围内的移交不应附带任何负债或违约、侵权责任，不应设有任何抵押、质押等担保权益或产权约束，亦不得存在任何种类和性质的索赔权且未涉及任何争议、仲裁、诉讼或法律、法规规定的其他程序。所有与移交的设施、权益、文件 等有关的负债、违约、侵权责任、抵押、质押等担保权益、产权约束或索赔权，应由社会资本方全部清偿、赔偿或解除完毕。</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44" w:name="_Toc1289"/>
      <w:r>
        <w:rPr>
          <w:rFonts w:hint="eastAsia" w:ascii="仿宋" w:hAnsi="仿宋" w:eastAsia="仿宋" w:cs="Times New Roman"/>
          <w:b/>
          <w:color w:val="auto"/>
          <w:szCs w:val="28"/>
          <w:lang w:val="en-US" w:eastAsia="zh-CN"/>
        </w:rPr>
        <w:t>7.6.3移交标准和缺陷修复</w:t>
      </w:r>
      <w:bookmarkEnd w:id="144"/>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(1)移交标准</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1）在移交日，社会资本方应保证项目设施处于良好的管理和运营维护状况（正常损耗除外）、处于正常使用状态、符合适用法律和合同所规定的安全、质量和环境等有关标准。</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2）社会资本方应确保租赁期最后一年的运营维护绩效考核指标达到移交标准。</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(2)缺陷修复</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1）如发现存在缺陷、未能达到移交标准的，则社会资本方应及时修复。如社会资本方拒绝修复，则实施机构有权全额兑取运营维护保证金。</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45" w:name="_Toc32344"/>
      <w:r>
        <w:rPr>
          <w:rFonts w:hint="eastAsia" w:ascii="仿宋" w:hAnsi="仿宋" w:eastAsia="仿宋" w:cs="Times New Roman"/>
          <w:b/>
          <w:color w:val="auto"/>
          <w:szCs w:val="28"/>
          <w:lang w:val="en-US" w:eastAsia="zh-CN"/>
        </w:rPr>
        <w:t>7.6.4最后恢复性大修</w:t>
      </w:r>
      <w:bookmarkEnd w:id="145"/>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最后恢复性大修应包括：核查设备制造厂商的手册提出的标准项目；消除项目设施实际存在的缺陷，包括但不限于设施设备、建筑物等的检修、检测，以及易损易耗件更换等，实施机构合理提出的其他检修项目。</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在移交日之前一年，社会资本方应对项目设施进行一次最后恢复性大修，但此大修应不迟于移交日前6个月完成。大修的具体时间和内容应于移交日前由移交工作组核准。</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46" w:name="_Toc10538"/>
      <w:r>
        <w:rPr>
          <w:rFonts w:hint="eastAsia" w:ascii="仿宋" w:hAnsi="仿宋" w:eastAsia="仿宋" w:cs="Times New Roman"/>
          <w:b/>
          <w:color w:val="auto"/>
          <w:szCs w:val="28"/>
          <w:lang w:val="en-US" w:eastAsia="zh-CN"/>
        </w:rPr>
        <w:t>7.6.5其他</w:t>
      </w:r>
      <w:bookmarkEnd w:id="146"/>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(1)备品备件的移交</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社会资本方应向实施机构无偿移交项目十二个月正常维护需要的消耗性备件和事故修理备品备件，如需提供多于十二个月备品备件，具体费用由双方根据市场价格合理协商确定。以上最终以本项目合同为准。</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(2)雇员的接收与培训</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实施机构有权自主选择在移交日之后其愿意聘用的雇员，而无义务聘用全部或任何的社会资本方雇员。雇员的经济补偿金原则上由社会资本方负责，可视具体情况依法协商确定。</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(3)技术转让</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社会资本方应在移交日将届时使用的管理和维护项目设施所需要的所有技术和技术诀窍（包括以任何许可方式取得的），全部无偿移交给实施机构，并确保实施机构不会因使用这些技术或技术诀窍而遭受侵权索赔。</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47" w:name="_Toc6311"/>
      <w:r>
        <w:rPr>
          <w:rFonts w:hint="eastAsia" w:ascii="仿宋" w:hAnsi="仿宋" w:eastAsia="仿宋" w:cs="Times New Roman"/>
          <w:b/>
          <w:color w:val="auto"/>
          <w:szCs w:val="28"/>
          <w:lang w:val="en-US" w:eastAsia="zh-CN"/>
        </w:rPr>
        <w:t>7.7收入和回报</w:t>
      </w:r>
      <w:bookmarkEnd w:id="147"/>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48" w:name="_Toc7626"/>
      <w:r>
        <w:rPr>
          <w:rFonts w:hint="eastAsia" w:ascii="仿宋" w:hAnsi="仿宋" w:eastAsia="仿宋" w:cs="Times New Roman"/>
          <w:b/>
          <w:color w:val="auto"/>
          <w:szCs w:val="28"/>
          <w:lang w:val="en-US" w:eastAsia="zh-CN"/>
        </w:rPr>
        <w:t>7.7.1服务费构成</w:t>
      </w:r>
      <w:bookmarkEnd w:id="148"/>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本项目服务费包含床位费、膳食费、护理费。</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详见“第四章项目财务分析”第4.2章节。</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49" w:name="_Toc26947"/>
      <w:r>
        <w:rPr>
          <w:rFonts w:hint="eastAsia" w:ascii="仿宋" w:hAnsi="仿宋" w:eastAsia="仿宋" w:cs="Times New Roman"/>
          <w:b/>
          <w:color w:val="auto"/>
          <w:szCs w:val="28"/>
          <w:lang w:val="en-US" w:eastAsia="zh-CN"/>
        </w:rPr>
        <w:t>7.7.2绩效考核机制</w:t>
      </w:r>
      <w:bookmarkEnd w:id="149"/>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详见“第五章绩效考核机制”。</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50" w:name="_Toc18924"/>
      <w:r>
        <w:rPr>
          <w:rFonts w:hint="eastAsia" w:ascii="仿宋" w:hAnsi="仿宋" w:eastAsia="仿宋" w:cs="Times New Roman"/>
          <w:b/>
          <w:color w:val="auto"/>
          <w:szCs w:val="28"/>
          <w:lang w:val="en-US" w:eastAsia="zh-CN"/>
        </w:rPr>
        <w:t>7.7.3税收变化导致的调整</w:t>
      </w:r>
      <w:bookmarkEnd w:id="150"/>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51" w:name="_Toc22750"/>
      <w:r>
        <w:rPr>
          <w:rFonts w:hint="eastAsia" w:ascii="仿宋" w:hAnsi="仿宋" w:eastAsia="仿宋" w:cs="Times New Roman"/>
          <w:b/>
          <w:color w:val="auto"/>
          <w:szCs w:val="28"/>
          <w:lang w:val="en-US" w:eastAsia="zh-CN"/>
        </w:rPr>
        <w:t>7.7.4调价机制</w:t>
      </w:r>
      <w:bookmarkEnd w:id="151"/>
    </w:p>
    <w:p>
      <w:pPr>
        <w:pStyle w:val="18"/>
        <w:spacing w:line="360" w:lineRule="auto"/>
        <w:ind w:left="0" w:leftChars="0" w:firstLine="562" w:firstLineChars="200"/>
        <w:jc w:val="both"/>
        <w:rPr>
          <w:rFonts w:hint="eastAsia" w:ascii="仿宋" w:hAnsi="仿宋" w:eastAsia="仿宋" w:cs="Times New Roman"/>
          <w:b/>
          <w:bCs/>
          <w:color w:val="auto"/>
          <w:kern w:val="0"/>
          <w:sz w:val="28"/>
          <w:szCs w:val="28"/>
          <w:lang w:val="en-US" w:eastAsia="zh-CN" w:bidi="ar-SA"/>
        </w:rPr>
      </w:pPr>
      <w:r>
        <w:rPr>
          <w:rFonts w:hint="eastAsia" w:ascii="仿宋" w:hAnsi="仿宋" w:eastAsia="仿宋" w:cs="Times New Roman"/>
          <w:b/>
          <w:bCs/>
          <w:color w:val="auto"/>
          <w:kern w:val="0"/>
          <w:sz w:val="28"/>
          <w:szCs w:val="28"/>
          <w:lang w:val="en-US" w:eastAsia="zh-CN" w:bidi="ar-SA"/>
        </w:rPr>
        <w:t>一、服务费调价机制</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基础设施和公用事业特许经营管理办法》第二十条“特许经营项目价格或收费应当依据相关法律、行政法规规定和特许经营协议约定予以确定和调整”的要求，本项目基于租赁运营期实际情况，综合考虑物价指数、人工工资、养老服务政策等因素，建立中期评估等后续调价机制，以充分实现项目全生命周期内的风险共担与利益共享。</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社会化运营单位自负盈亏，政府方不予以任何形式的补偿。社会化运营单位应利用项目收益提供高质量服务。</w:t>
      </w:r>
    </w:p>
    <w:p>
      <w:pPr>
        <w:pStyle w:val="18"/>
        <w:spacing w:line="360" w:lineRule="auto"/>
        <w:ind w:left="0" w:leftChars="0" w:firstLine="562" w:firstLineChars="200"/>
        <w:jc w:val="both"/>
        <w:rPr>
          <w:rFonts w:hint="eastAsia" w:ascii="仿宋" w:hAnsi="仿宋" w:eastAsia="仿宋" w:cs="Times New Roman"/>
          <w:b/>
          <w:bCs/>
          <w:color w:val="auto"/>
          <w:kern w:val="0"/>
          <w:sz w:val="28"/>
          <w:szCs w:val="28"/>
          <w:lang w:val="en-US" w:eastAsia="zh-CN" w:bidi="ar-SA"/>
        </w:rPr>
      </w:pPr>
      <w:r>
        <w:rPr>
          <w:rFonts w:hint="eastAsia" w:ascii="仿宋" w:hAnsi="仿宋" w:eastAsia="仿宋" w:cs="Times New Roman"/>
          <w:b/>
          <w:bCs/>
          <w:color w:val="auto"/>
          <w:kern w:val="0"/>
          <w:sz w:val="28"/>
          <w:szCs w:val="28"/>
          <w:lang w:val="en-US" w:eastAsia="zh-CN" w:bidi="ar-SA"/>
        </w:rPr>
        <w:t>二、税收变化导致的调价</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考虑到本项目租赁期限较长，在租赁期内，若增值税和所得税等相关税费税收政策及税率发生变化（社会资本方实际税收增加或减少），社会资本方可进行调价，调价原则约定为：</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若合同生效后国家或省、市增值税和所得税等相关税费税收政策或税率发生变化，以及韶关市或本项目获得新的税收优惠政策的，社会资本方可进行调价，调价幅度以税率变化导致净利润发生变化的幅度为限。</w:t>
      </w:r>
    </w:p>
    <w:p>
      <w:pPr>
        <w:pStyle w:val="18"/>
        <w:spacing w:line="360" w:lineRule="auto"/>
        <w:ind w:left="0" w:leftChars="0" w:firstLine="562" w:firstLineChars="200"/>
        <w:jc w:val="both"/>
        <w:rPr>
          <w:rFonts w:hint="eastAsia" w:ascii="仿宋" w:hAnsi="仿宋" w:eastAsia="仿宋" w:cs="Times New Roman"/>
          <w:b/>
          <w:bCs/>
          <w:color w:val="auto"/>
          <w:kern w:val="0"/>
          <w:sz w:val="28"/>
          <w:szCs w:val="28"/>
          <w:lang w:val="en-US" w:eastAsia="zh-CN" w:bidi="ar-SA"/>
        </w:rPr>
      </w:pPr>
      <w:r>
        <w:rPr>
          <w:rFonts w:hint="eastAsia" w:ascii="仿宋" w:hAnsi="仿宋" w:eastAsia="仿宋" w:cs="Times New Roman"/>
          <w:b/>
          <w:bCs/>
          <w:color w:val="auto"/>
          <w:kern w:val="0"/>
          <w:sz w:val="28"/>
          <w:szCs w:val="28"/>
          <w:lang w:val="en-US" w:eastAsia="zh-CN" w:bidi="ar-SA"/>
        </w:rPr>
        <w:t>三、调价程序</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(1)当满足上述调价机制时，社会资本方可提请调价程序；</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(2)主管政府部门委托相关审计部门开展专项审计工作；</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(3)主管政府部门及社会资本方协商确定价格调整方案；</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从提出调整申请到发出调整决定，时间不超过6个月。</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52" w:name="_Toc24729"/>
      <w:r>
        <w:rPr>
          <w:rFonts w:hint="eastAsia" w:ascii="仿宋" w:hAnsi="仿宋" w:eastAsia="仿宋" w:cs="Times New Roman"/>
          <w:b/>
          <w:color w:val="auto"/>
          <w:szCs w:val="28"/>
          <w:lang w:val="en-US" w:eastAsia="zh-CN"/>
        </w:rPr>
        <w:t>7.7.5运营维护范围</w:t>
      </w:r>
      <w:bookmarkEnd w:id="152"/>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项目运营维护范围详见“1.6.项目运维产出”。</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color w:val="auto"/>
          <w:kern w:val="0"/>
          <w:sz w:val="28"/>
          <w:szCs w:val="28"/>
          <w:lang w:val="en-US" w:eastAsia="zh-CN" w:bidi="ar-SA"/>
        </w:rPr>
      </w:pPr>
      <w:bookmarkStart w:id="153" w:name="_Toc5538"/>
      <w:r>
        <w:rPr>
          <w:rFonts w:hint="eastAsia" w:ascii="仿宋" w:hAnsi="仿宋" w:eastAsia="仿宋" w:cs="Times New Roman"/>
          <w:b/>
          <w:color w:val="auto"/>
          <w:szCs w:val="28"/>
          <w:lang w:val="en-US" w:eastAsia="zh-CN"/>
        </w:rPr>
        <w:t>7.8履约保障及其他体系框架</w:t>
      </w:r>
      <w:bookmarkEnd w:id="153"/>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54" w:name="_Toc5127"/>
      <w:r>
        <w:rPr>
          <w:rFonts w:hint="eastAsia" w:ascii="仿宋" w:hAnsi="仿宋" w:eastAsia="仿宋" w:cs="Times New Roman"/>
          <w:b/>
          <w:color w:val="auto"/>
          <w:szCs w:val="28"/>
          <w:lang w:val="en-US" w:eastAsia="zh-CN"/>
        </w:rPr>
        <w:t>7.8.1履约担保</w:t>
      </w:r>
      <w:bookmarkEnd w:id="154"/>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本项目履约担保包括运营维护履约及移交维护履约担保，用以担保社会资本方履行《项目租赁运营合同》约定的各项义务。</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履约担保体系由运营维护履约保证金和移交维护履约保证金构成。</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1、履约保证金金额</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参考财政部相关文件要求：“社会资本应以支票、汇票、本票或金融机构、担保机构出具的保函等非现金形式缴纳保证金。参加采购活动的保证金的数额不 得超过项目预算金额的 2% 。履约保证金的数额不得超过政府和社会资本合作项 目初始投资总额或资产评估值的10%。”</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本项目保证金金额参照以上规定，具体如下：</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1）运营维护履约保证金：项目进入正式运营的第一年，社会资本方向实施 机构提交金额为300万元的运营维护履约保证金，用于担保项目运营绩效、服务质量标准达标情况、安全保障、移交维护履约保证金提交等。运营维护履约保证金可以现金或者支票、汇票、本票、保函等非现金形式缴纳。</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2）移交维护履约保证金：在期满终止日12个月之前，社会资本方向实施机构提交金额为1000万元的移交维护履约保证金，用于担保项目设施恢复性大修、</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项目设施存在隐蔽性缺陷等。移交维护履约保证金可以以现金形式或保函的形式缴纳。</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3）保函要求</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本项目运营维护保证金、移交维护保证金均由社会资本方提交。如以保函形式提交保证金的，社会资本方应在《项目租赁运营合同》签订30日内向仁化县民政和退役军人事务局提交中国境内金融机构出具的，以仁化县民政和退役军人事务局作为受益人、见索即付、持续有效、上述相应金额的“运营维护保函”及“移交维护履约保函”。详细要求如下表所示：</w:t>
      </w:r>
    </w:p>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表7.8.1-1项目履约保函体系</w:t>
      </w:r>
    </w:p>
    <w:tbl>
      <w:tblPr>
        <w:tblStyle w:val="19"/>
        <w:tblW w:w="0" w:type="auto"/>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34"/>
        <w:gridCol w:w="3322"/>
        <w:gridCol w:w="405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6" w:hRule="atLeast"/>
        </w:trPr>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条款</w:t>
            </w:r>
          </w:p>
        </w:tc>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运营维护保函</w:t>
            </w:r>
          </w:p>
        </w:tc>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移交维护保函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提交主体</w:t>
            </w:r>
          </w:p>
        </w:tc>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社会资本方</w:t>
            </w:r>
          </w:p>
        </w:tc>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社会资本方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提交时间</w:t>
            </w:r>
          </w:p>
        </w:tc>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项目进入正式运营的第一年</w:t>
            </w:r>
          </w:p>
        </w:tc>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期满终止日12个月之前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10" w:hRule="atLeast"/>
        </w:trPr>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退还时间</w:t>
            </w:r>
          </w:p>
        </w:tc>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社会资本方递交移交维护保函后</w:t>
            </w:r>
          </w:p>
        </w:tc>
        <w:tc>
          <w:tcPr>
            <w:tcW w:w="0" w:type="auto"/>
            <w:noWrap w:val="0"/>
            <w:vAlign w:val="center"/>
          </w:tcPr>
          <w:p>
            <w:pPr>
              <w:pStyle w:val="18"/>
              <w:spacing w:line="360" w:lineRule="auto"/>
              <w:ind w:left="0" w:leftChars="0" w:firstLine="0" w:firstLineChars="0"/>
              <w:jc w:val="center"/>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期满移交后12个月届满、且社会</w:t>
            </w:r>
          </w:p>
          <w:p>
            <w:pPr>
              <w:pStyle w:val="18"/>
              <w:spacing w:line="360" w:lineRule="auto"/>
              <w:ind w:left="0" w:leftChars="0" w:firstLine="0" w:firstLineChars="0"/>
              <w:jc w:val="center"/>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资本方经清算解散后（若经政府同意，社会资本方不进行清算解散，</w:t>
            </w:r>
          </w:p>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则为期满移交后12个月届满）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履约保函金额</w:t>
            </w:r>
          </w:p>
        </w:tc>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300万</w:t>
            </w:r>
          </w:p>
        </w:tc>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1000万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受益人</w:t>
            </w:r>
          </w:p>
        </w:tc>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政府</w:t>
            </w:r>
          </w:p>
        </w:tc>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政府</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2" w:hRule="atLeast"/>
        </w:trPr>
        <w:tc>
          <w:tcPr>
            <w:tcW w:w="0" w:type="auto"/>
            <w:noWrap w:val="0"/>
            <w:vAlign w:val="center"/>
          </w:tcPr>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担保事项</w:t>
            </w:r>
          </w:p>
        </w:tc>
        <w:tc>
          <w:tcPr>
            <w:tcW w:w="0" w:type="auto"/>
            <w:noWrap w:val="0"/>
            <w:vAlign w:val="center"/>
          </w:tcPr>
          <w:p>
            <w:pPr>
              <w:pStyle w:val="18"/>
              <w:spacing w:line="360" w:lineRule="auto"/>
              <w:ind w:left="0" w:leftChars="0" w:firstLine="0" w:firstLineChars="0"/>
              <w:jc w:val="center"/>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项目运营绩效、服务质量标准达标情况、安全保障、移</w:t>
            </w:r>
          </w:p>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交维护保函提交等</w:t>
            </w:r>
          </w:p>
        </w:tc>
        <w:tc>
          <w:tcPr>
            <w:tcW w:w="0" w:type="auto"/>
            <w:noWrap w:val="0"/>
            <w:vAlign w:val="center"/>
          </w:tcPr>
          <w:p>
            <w:pPr>
              <w:pStyle w:val="18"/>
              <w:spacing w:line="360" w:lineRule="auto"/>
              <w:ind w:left="0" w:leftChars="0" w:firstLine="0" w:firstLineChars="0"/>
              <w:jc w:val="center"/>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项目设施恢复性大修、项目设施存</w:t>
            </w:r>
          </w:p>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在隐蔽性缺陷等</w:t>
            </w:r>
          </w:p>
        </w:tc>
      </w:tr>
    </w:tbl>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2、履约保证金触发及退还机制</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1）运营维护保证金的触发及退还</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社会资本方在运营维护期未能履行项目合同约定的情形时，如运营绩效考核严重不良，影响建筑设施工程质量，造成一定社会影响等，实施机构可选择提取 部分或全部合同项下履约保证金。</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进入移交过渡期（租赁期满终止日之前12个月），且社会资本方提交移交维护保证金之后，实施机构应退还社会资本方的运营维护保证金。</w:t>
      </w:r>
    </w:p>
    <w:p>
      <w:pPr>
        <w:pStyle w:val="18"/>
        <w:numPr>
          <w:ilvl w:val="0"/>
          <w:numId w:val="0"/>
        </w:numPr>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2）移交维护保证金的触发及退还</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社会资本方在移交过渡期（租赁期满终止日之前第12个月至租赁期满终止日之后第12个月）未能履行项目合同约定的情形时，如重大工程质量缺陷无法修复或拒绝修复的，存在重大隐蔽性缺陷的情形等，实施机构可选择提取部分或全部合同项下移交维护保证金。项目租赁期满终止日之后第12个月，实施机构应退还社会资本方移交维护保证金。</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3、保证金金额维持</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社会资本方有义务保证履约保证金项的金额一直保持在表7.8.1-1中所规定的金额，如果政府根据项目法律文件的有关规定提取履约保证金内的款项，社会资本方应当及时将该保证金恢复至该规定金额。</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55" w:name="_Toc31177"/>
      <w:r>
        <w:rPr>
          <w:rFonts w:hint="eastAsia" w:ascii="仿宋" w:hAnsi="仿宋" w:eastAsia="仿宋" w:cs="Times New Roman"/>
          <w:b/>
          <w:color w:val="auto"/>
          <w:szCs w:val="28"/>
          <w:lang w:val="en-US" w:eastAsia="zh-CN"/>
        </w:rPr>
        <w:t>7.8.2保险</w:t>
      </w:r>
      <w:bookmarkEnd w:id="155"/>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一、保险内容</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乙方应在充分评估项目投资和运营风险后，根据《中华人民共和国保险法》等相关法律法规的规定，结合项目实际情况，向项目所在地保险公司投保预算所包含的各种必需的保险，并承担费用。购买项目相关保险并维持租赁期内保险始终足额有效。未办理预算范围内保险所造成的损失由乙方自行承担。</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二、必买的保险</w:t>
      </w:r>
    </w:p>
    <w:p>
      <w:pPr>
        <w:pStyle w:val="18"/>
        <w:numPr>
          <w:ilvl w:val="0"/>
          <w:numId w:val="0"/>
        </w:numPr>
        <w:spacing w:line="360" w:lineRule="auto"/>
        <w:ind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(1)养老机构责任保险、场地意外险以及项目所在地行政主管部门规定的其他险种，其中为老年人购买的养老机构责任保险保额不低于25万元/人年。</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(2)社会资本方为政策性床位入住老人购买意外保险，费用由社会资本方支付。</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(3）其他保险：社会资本方按政策规定可代其他床位入住老人购买意外保险，鼓励入住老人购买意外伤害险等对老人意外有保障的保险。</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租赁运营期内保险政策发生变化，按届时政策调整。</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三、有关保险的总体要求</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（1）乙方必须促使其保险公司或代理人向甲方提供保险证明以证实其已获得保险单据及批单。</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（2）乙方必须使所有保险单均注明保险公司，在取消保险或对之进行重大改变之前至少三十（30）日书面通知甲方。</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（3）未经甲方书面同意，乙方不得变更保险单据。</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（4）保险的受益人为入住养老服务中心的老人。</w:t>
      </w:r>
    </w:p>
    <w:p>
      <w:pPr>
        <w:pStyle w:val="18"/>
        <w:spacing w:line="360" w:lineRule="auto"/>
        <w:ind w:left="0" w:leftChars="0" w:firstLine="618" w:firstLineChars="200"/>
        <w:jc w:val="both"/>
        <w:rPr>
          <w:rFonts w:hint="eastAsia" w:ascii="仿宋" w:hAnsi="仿宋" w:eastAsia="仿宋" w:cs="仿宋"/>
          <w:b/>
          <w:bCs/>
          <w:color w:val="auto"/>
          <w:spacing w:val="14"/>
          <w:kern w:val="2"/>
          <w:sz w:val="28"/>
          <w:szCs w:val="28"/>
          <w:lang w:val="en-US" w:eastAsia="zh-CN" w:bidi="ar-SA"/>
        </w:rPr>
      </w:pPr>
      <w:r>
        <w:rPr>
          <w:rFonts w:hint="eastAsia" w:ascii="仿宋" w:hAnsi="仿宋" w:eastAsia="仿宋" w:cs="仿宋"/>
          <w:b/>
          <w:bCs/>
          <w:color w:val="auto"/>
          <w:spacing w:val="14"/>
          <w:kern w:val="2"/>
          <w:sz w:val="28"/>
          <w:szCs w:val="28"/>
          <w:lang w:val="en-US" w:eastAsia="zh-CN" w:bidi="ar-SA"/>
        </w:rPr>
        <w:t>四、未维持保险</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(1)乙方未能按要求投保，不得减轻或以其他方式影响乙方在本合同项下的义务和责任。</w:t>
      </w:r>
    </w:p>
    <w:p>
      <w:pPr>
        <w:pStyle w:val="18"/>
        <w:spacing w:line="360" w:lineRule="auto"/>
        <w:ind w:left="0" w:leftChars="0" w:firstLine="696" w:firstLineChars="200"/>
        <w:jc w:val="both"/>
        <w:rPr>
          <w:rFonts w:hint="eastAsia" w:ascii="仿宋" w:hAnsi="仿宋" w:eastAsia="仿宋_GB2312" w:cs="仿宋"/>
          <w:b w:val="0"/>
          <w:i w:val="0"/>
          <w:color w:val="auto"/>
          <w:spacing w:val="14"/>
          <w:kern w:val="2"/>
          <w:sz w:val="32"/>
          <w:szCs w:val="28"/>
          <w:lang w:val="en-US" w:eastAsia="zh-CN" w:bidi="ar-SA"/>
        </w:rPr>
      </w:pPr>
      <w:r>
        <w:rPr>
          <w:rFonts w:hint="eastAsia" w:ascii="仿宋" w:hAnsi="仿宋" w:eastAsia="仿宋_GB2312" w:cs="仿宋"/>
          <w:b w:val="0"/>
          <w:i w:val="0"/>
          <w:color w:val="auto"/>
          <w:spacing w:val="14"/>
          <w:kern w:val="2"/>
          <w:sz w:val="32"/>
          <w:szCs w:val="28"/>
          <w:lang w:val="en-US" w:eastAsia="zh-CN" w:bidi="ar-SA"/>
        </w:rPr>
        <w:t>(2)如果乙方不购买或维持本条所要求的保险，甲方首先应书面要求乙方购买上述保险，在乙方接到上述书面通知五个工作日内仍未购买该保险，则甲方有权根据本合同自行购买上述保险，并有权从运营保证金中兑取款项以支付保险费用。</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56" w:name="_Toc14689"/>
      <w:r>
        <w:rPr>
          <w:rFonts w:hint="eastAsia" w:ascii="仿宋" w:hAnsi="仿宋" w:eastAsia="仿宋" w:cs="Times New Roman"/>
          <w:b/>
          <w:color w:val="auto"/>
          <w:szCs w:val="28"/>
          <w:lang w:val="en-US" w:eastAsia="zh-CN"/>
        </w:rPr>
        <w:t>7.8.3应急处理</w:t>
      </w:r>
      <w:bookmarkEnd w:id="156"/>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租赁期内，社会资本方应按照适用法律制定应急管理预案。运营中发生突发紧急事件时，社会资本方应当依据应急管理预案和有关政府部门要求进行处理，并按照适用法律规定及时向有关政府部门报告。</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57" w:name="_Toc11505"/>
      <w:r>
        <w:rPr>
          <w:rFonts w:hint="eastAsia" w:ascii="仿宋" w:hAnsi="仿宋" w:eastAsia="仿宋" w:cs="Times New Roman"/>
          <w:b/>
          <w:color w:val="auto"/>
          <w:szCs w:val="28"/>
          <w:lang w:val="en-US" w:eastAsia="zh-CN"/>
        </w:rPr>
        <w:t>7.8.4项目设施改建、大修</w:t>
      </w:r>
      <w:bookmarkEnd w:id="157"/>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不属于预计发生的大修责任视发生的前提条件协商而定。不属于预计发生的情况有自然灾害、社会异常事件、化学或放射性污染、核辐射、法律变更等情况。前提条件具体是指不属于预计发生的大修是由实施机构、社会资本方或者第三方造成的。</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58" w:name="_Toc27746"/>
      <w:r>
        <w:rPr>
          <w:rFonts w:hint="eastAsia" w:ascii="仿宋" w:hAnsi="仿宋" w:eastAsia="仿宋" w:cs="Times New Roman"/>
          <w:b/>
          <w:color w:val="auto"/>
          <w:szCs w:val="28"/>
          <w:lang w:val="en-US" w:eastAsia="zh-CN"/>
        </w:rPr>
        <w:t>7.8.5临时接管</w:t>
      </w:r>
      <w:bookmarkEnd w:id="158"/>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租赁期内，如社会资本方出现以下违约行为，实施机构有权实施临时接管：</w:t>
      </w:r>
    </w:p>
    <w:p>
      <w:pPr>
        <w:pStyle w:val="18"/>
        <w:numPr>
          <w:ilvl w:val="0"/>
          <w:numId w:val="5"/>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在允许条件外转让、出租运维权的；</w:t>
      </w:r>
    </w:p>
    <w:p>
      <w:pPr>
        <w:pStyle w:val="18"/>
        <w:numPr>
          <w:ilvl w:val="0"/>
          <w:numId w:val="5"/>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将项目设施进行处置或者抵押的或未经实施机构允许将运营维护权予以质押的；</w:t>
      </w:r>
    </w:p>
    <w:p>
      <w:pPr>
        <w:pStyle w:val="18"/>
        <w:numPr>
          <w:ilvl w:val="0"/>
          <w:numId w:val="5"/>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因管理不善，发生重大质量、生产安全事故的；</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（4）擅自停业、歇业，严重影响到社会公共利益和安全的；</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（5）法律、法规禁止的其他行为。</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实施机构有权在决定临时接管之日起临时接管工程项目设施，并指定第三人临时提供合同项下的服务。临时接管期间发生的成本、费用等均由社会资本方承担，社会资本方并应向实施机构支付接管费。</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临时接管持续超过60日，若社会资本方仍未纠正引致临时接管的违约行为，实施机构有权按合同规定提前终止合同，收回社会资本方的运营维护权。</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59" w:name="_Toc3103"/>
      <w:r>
        <w:rPr>
          <w:rFonts w:hint="eastAsia" w:ascii="仿宋" w:hAnsi="仿宋" w:eastAsia="仿宋" w:cs="Times New Roman"/>
          <w:b/>
          <w:color w:val="auto"/>
          <w:szCs w:val="28"/>
          <w:lang w:val="en-US" w:eastAsia="zh-CN"/>
        </w:rPr>
        <w:t>7.8.6提前终止</w:t>
      </w:r>
      <w:bookmarkEnd w:id="159"/>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详见“第4.4.6.4.社会资本方退出机制”。</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60" w:name="_Toc19818"/>
      <w:r>
        <w:rPr>
          <w:rFonts w:hint="eastAsia" w:ascii="仿宋" w:hAnsi="仿宋" w:eastAsia="仿宋" w:cs="Times New Roman"/>
          <w:b/>
          <w:color w:val="auto"/>
          <w:szCs w:val="28"/>
          <w:lang w:val="en-US" w:eastAsia="zh-CN"/>
        </w:rPr>
        <w:t>7.8.7争议的解决</w:t>
      </w:r>
      <w:bookmarkEnd w:id="160"/>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若双方对于由于合同条款或与合同有关的条款的解释，包括关于其存在、有效或终止的任何问题产生任何争议、分歧或索赔，则应尽力通过协商友好解决该争议、分歧或索赔。</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如果争议在首次要求协商之日起60日内未能通过友好协商或调解予以解决，则合同各方均可以向项目所在地具有管辖权的人民法院起诉。</w:t>
      </w:r>
    </w:p>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p>
    <w:p>
      <w:pPr>
        <w:pStyle w:val="2"/>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仿宋" w:hAnsi="仿宋" w:eastAsia="仿宋" w:cs="Times New Roman"/>
          <w:color w:val="auto"/>
          <w:kern w:val="0"/>
          <w:sz w:val="28"/>
          <w:szCs w:val="28"/>
          <w:lang w:val="en-US" w:eastAsia="zh-CN" w:bidi="ar-SA"/>
        </w:rPr>
      </w:pPr>
      <w:bookmarkStart w:id="161" w:name="_Toc14320"/>
      <w:r>
        <w:rPr>
          <w:rFonts w:hint="eastAsia" w:ascii="微软雅黑" w:hAnsi="微软雅黑" w:eastAsia="微软雅黑" w:cs="Times New Roman"/>
          <w:b/>
          <w:color w:val="auto"/>
          <w:szCs w:val="32"/>
          <w:lang w:val="en-US" w:eastAsia="zh-CN"/>
        </w:rPr>
        <w:t xml:space="preserve">第八章 </w:t>
      </w:r>
      <w:r>
        <w:rPr>
          <w:rFonts w:hint="eastAsia" w:ascii="微软雅黑" w:hAnsi="微软雅黑" w:eastAsia="微软雅黑" w:cs="Times New Roman"/>
          <w:b/>
          <w:color w:val="auto"/>
          <w:szCs w:val="32"/>
          <w:lang w:val="en-US" w:eastAsia="zh-CN"/>
        </w:rPr>
        <w:fldChar w:fldCharType="begin"/>
      </w:r>
      <w:r>
        <w:rPr>
          <w:rFonts w:hint="eastAsia" w:ascii="微软雅黑" w:hAnsi="微软雅黑" w:eastAsia="微软雅黑" w:cs="Times New Roman"/>
          <w:b/>
          <w:color w:val="auto"/>
          <w:szCs w:val="32"/>
          <w:lang w:val="en-US" w:eastAsia="zh-CN"/>
        </w:rPr>
        <w:instrText xml:space="preserve"> HYPERLINK \l "bookmark31" </w:instrText>
      </w:r>
      <w:r>
        <w:rPr>
          <w:rFonts w:hint="eastAsia" w:ascii="微软雅黑" w:hAnsi="微软雅黑" w:eastAsia="微软雅黑" w:cs="Times New Roman"/>
          <w:b/>
          <w:color w:val="auto"/>
          <w:szCs w:val="32"/>
          <w:lang w:val="en-US" w:eastAsia="zh-CN"/>
        </w:rPr>
        <w:fldChar w:fldCharType="separate"/>
      </w:r>
      <w:r>
        <w:rPr>
          <w:rFonts w:hint="eastAsia" w:ascii="微软雅黑" w:hAnsi="微软雅黑" w:eastAsia="微软雅黑" w:cs="Times New Roman"/>
          <w:b/>
          <w:color w:val="auto"/>
          <w:szCs w:val="32"/>
          <w:lang w:val="en-US" w:eastAsia="zh-CN"/>
        </w:rPr>
        <w:t>项目租赁期监管架构</w:t>
      </w:r>
      <w:r>
        <w:rPr>
          <w:rFonts w:hint="eastAsia" w:ascii="微软雅黑" w:hAnsi="微软雅黑" w:eastAsia="微软雅黑" w:cs="Times New Roman"/>
          <w:b/>
          <w:color w:val="auto"/>
          <w:szCs w:val="32"/>
          <w:lang w:val="en-US" w:eastAsia="zh-CN"/>
        </w:rPr>
        <w:fldChar w:fldCharType="end"/>
      </w:r>
      <w:bookmarkEnd w:id="161"/>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62" w:name="_Toc32092"/>
      <w:r>
        <w:rPr>
          <w:rFonts w:hint="eastAsia" w:ascii="仿宋" w:hAnsi="仿宋" w:eastAsia="仿宋" w:cs="Times New Roman"/>
          <w:b/>
          <w:color w:val="auto"/>
          <w:szCs w:val="28"/>
          <w:lang w:val="en-US" w:eastAsia="zh-CN"/>
        </w:rPr>
        <w:t>8.1监管结构</w:t>
      </w:r>
      <w:bookmarkEnd w:id="162"/>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由于本项目涉及公共利益，从履行公共管理职能的角度出发，政府需要对项目执行情况和质量进行必要的监控。本项目租赁期内的监管从监管主体来看，主要有运营机构的监管、政府职能部门的监管以及社会公众的监管；从监管阶段来看，主要是项目运营维护期监管以及移交监管；从监管方式来看，主要是履约监管、行政监管和公众监督。</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63" w:name="_Toc11663"/>
      <w:r>
        <w:rPr>
          <w:rFonts w:hint="eastAsia" w:ascii="仿宋" w:hAnsi="仿宋" w:eastAsia="仿宋" w:cs="Times New Roman"/>
          <w:b/>
          <w:color w:val="auto"/>
          <w:szCs w:val="28"/>
          <w:lang w:val="en-US" w:eastAsia="zh-CN"/>
        </w:rPr>
        <w:t>8.2政府监管内容</w:t>
      </w:r>
      <w:bookmarkEnd w:id="163"/>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64" w:name="_Toc11580"/>
      <w:r>
        <w:rPr>
          <w:rFonts w:hint="eastAsia" w:ascii="仿宋" w:hAnsi="仿宋" w:eastAsia="仿宋" w:cs="Times New Roman"/>
          <w:b/>
          <w:color w:val="auto"/>
          <w:szCs w:val="28"/>
          <w:lang w:val="en-US" w:eastAsia="zh-CN"/>
        </w:rPr>
        <w:t>8.2.1前期阶段监管内容</w:t>
      </w:r>
      <w:bookmarkEnd w:id="164"/>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项目前期监管主要包括立项审批等前期手续的监管和社会合作方准入监管等。</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65" w:name="_Toc2131"/>
      <w:r>
        <w:rPr>
          <w:rFonts w:hint="eastAsia" w:ascii="仿宋" w:hAnsi="仿宋" w:eastAsia="仿宋" w:cs="Times New Roman"/>
          <w:b/>
          <w:color w:val="auto"/>
          <w:szCs w:val="28"/>
          <w:lang w:val="en-US" w:eastAsia="zh-CN"/>
        </w:rPr>
        <w:t>8.2.2运营阶段监管内容</w:t>
      </w:r>
      <w:bookmarkEnd w:id="165"/>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运营监管主要包括服务质量监管、服务价格调整、运营绩效评价和项目中期评估等。</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66" w:name="_Toc2020"/>
      <w:r>
        <w:rPr>
          <w:rFonts w:hint="eastAsia" w:ascii="仿宋" w:hAnsi="仿宋" w:eastAsia="仿宋" w:cs="Times New Roman"/>
          <w:b/>
          <w:color w:val="auto"/>
          <w:szCs w:val="28"/>
          <w:lang w:val="en-US" w:eastAsia="zh-CN"/>
        </w:rPr>
        <w:t>8.2.3移交阶段监管内容</w:t>
      </w:r>
      <w:bookmarkEnd w:id="166"/>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移交监管主要包括移交验收、缺陷责任保证、项目后评价等。</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67" w:name="_Toc14625"/>
      <w:r>
        <w:rPr>
          <w:rFonts w:hint="eastAsia" w:ascii="仿宋" w:hAnsi="仿宋" w:eastAsia="仿宋" w:cs="Times New Roman"/>
          <w:b/>
          <w:color w:val="auto"/>
          <w:szCs w:val="28"/>
          <w:lang w:val="en-US" w:eastAsia="zh-CN"/>
        </w:rPr>
        <w:t>8.2.4监管方式</w:t>
      </w:r>
      <w:bookmarkEnd w:id="167"/>
    </w:p>
    <w:p>
      <w:pPr>
        <w:pStyle w:val="18"/>
        <w:numPr>
          <w:ilvl w:val="0"/>
          <w:numId w:val="0"/>
        </w:numPr>
        <w:spacing w:line="360" w:lineRule="auto"/>
        <w:ind w:left="0" w:leftChars="0" w:firstLine="562" w:firstLineChars="200"/>
        <w:jc w:val="both"/>
        <w:rPr>
          <w:rFonts w:hint="eastAsia" w:ascii="仿宋" w:hAnsi="仿宋" w:eastAsia="仿宋" w:cs="Times New Roman"/>
          <w:b/>
          <w:bCs/>
          <w:color w:val="auto"/>
          <w:kern w:val="0"/>
          <w:sz w:val="28"/>
          <w:szCs w:val="28"/>
          <w:lang w:val="en-US" w:eastAsia="zh-CN" w:bidi="ar-SA"/>
        </w:rPr>
      </w:pPr>
      <w:r>
        <w:rPr>
          <w:rFonts w:hint="eastAsia" w:ascii="仿宋" w:hAnsi="仿宋" w:eastAsia="仿宋" w:cs="Times New Roman"/>
          <w:b/>
          <w:bCs/>
          <w:color w:val="auto"/>
          <w:kern w:val="0"/>
          <w:sz w:val="28"/>
          <w:szCs w:val="28"/>
          <w:lang w:val="en-US" w:eastAsia="zh-CN" w:bidi="ar-SA"/>
        </w:rPr>
        <w:t>1.履约监管</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履约监管的核心在于合约制定和合约履行两个部分，合约制定应当遵循一定的原则，同时应制定履约担保机制保障合约履行，本项目履约担保机制主要指履 约保证金体系。</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(1)合同制定原则</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合约制定须遵循国家财政部、国家发改委制定合同的相关原则和章节详细执行，对合同的相关条款进行详细推敲，精细管理，确保合同的制定合法合规及能够满足双方的权益。根据《关于规范政府和社会资本合同管理工作的通知》（财金〔2014〕156号），项目合同应遵循以下原则：</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1）依法治理。在依法治国、依法行政的框架下，充分发挥市场在资源配置中的决定性作用，允许政府和社会资本依法自由选择合作伙伴，充分尊重双方在合同订立和履行过程中的契约自由，依法保护项目各参与方的合法权益，共同维护法律权威和公平正义。</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2）平等合作。政府与社会合作方是基于项目合同的平等法律主体，双方法律地位平等、权利义务对等，应在充分协商、互利互惠的基础上订立合同，并依法平等地主张合同权利、履行合同义务。</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3）维护公益。建立履约管理、行政监管和公众社会监督“四位一体”的监管架构，优先保障公共安全和公共利益。项目合同中除应规定社会合作方的绩效监测和质量控制等义务外，还应保证政府方合理的监督权和介入权，以加强对社会资本的履约管理。与此同时，政府还应依法严格履行行政管理职能，建立健全及时有效的项目信息公开和公众监督机制。</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4）诚实守信。政府和社会资本应在项目合同中明确界定双方在项目内的权利义务，并在合同管理的全过程中真实表达意思表示，认真恪守合同约定，妥善履行合同义务，依法承担违约责任。</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5）公平效率。在项目合同中要始终贯彻物有所值原则，在风险分担和利益分配方面兼顾公平与效率：既要通过在政府和社会合作方之间合理分配项目风险，实现公共服务供给效率和资金使用效益的提升，又要在设置租赁期限、方式和投资回报机制时，统筹考虑社会合作方的合理收益预期、政府方的财政承受能力以及使用者的支付能力，防止任何一方因此过分受损或超额获益。</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6）兼顾灵活。在合同订立时既要充分考虑项目全生命周期内的实际需求，保证合同内容的完整性和相对稳定性，也要合理设置一些关于期限变更（展期和提前终止）、内容变更（产出标准调整、价格调整等）、主体变更（合同转让）的灵活调整机制，为未来的合同执行期预留调整和变更空间。</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(2)履约保证金体系</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为了确保运营机构能够按照合同约定履约，政府通常会希望运营机构或其承包商、分包商就其履约义务提供一定的担保。履约担保方式通常包括履约保证金、</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履约保函以及其他形式的保证等。在实践中，最为常见、有效的履约担保方式是保函。</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68" w:name="_Toc11854"/>
      <w:r>
        <w:rPr>
          <w:rFonts w:hint="eastAsia" w:ascii="仿宋" w:hAnsi="仿宋" w:eastAsia="仿宋" w:cs="Times New Roman"/>
          <w:b/>
          <w:color w:val="auto"/>
          <w:szCs w:val="28"/>
          <w:lang w:val="en-US" w:eastAsia="zh-CN"/>
        </w:rPr>
        <w:t>8.3行政监管</w:t>
      </w:r>
      <w:bookmarkEnd w:id="168"/>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行政监管是指仁化县各政府职能部门对项目的监管。政府职能部门的监管是项目实际操作中不可缺少的部分，主要表现在：一是政府职能部门在各自职权范围内发挥监管作用，保障项目的公益性和为社会公众提供的服务的质量；二是政府职能部门在项目实施过程中配合、协助项目实施机构更好地完成监管事项。</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69" w:name="_Toc10760"/>
      <w:r>
        <w:rPr>
          <w:rFonts w:hint="eastAsia" w:ascii="仿宋" w:hAnsi="仿宋" w:eastAsia="仿宋" w:cs="Times New Roman"/>
          <w:b/>
          <w:color w:val="auto"/>
          <w:szCs w:val="28"/>
          <w:lang w:val="en-US" w:eastAsia="zh-CN"/>
        </w:rPr>
        <w:t>8.4公众监督</w:t>
      </w:r>
      <w:bookmarkEnd w:id="169"/>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项目运营维护期，公众应对项目运营管理进行监督，并适度参与到项目的绩效评价工作中，运营维护绩效评价结果应对外公开，保证绩效评价工作的透明度。</w:t>
      </w:r>
    </w:p>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p>
    <w:p>
      <w:pPr>
        <w:pStyle w:val="2"/>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微软雅黑" w:hAnsi="微软雅黑" w:eastAsia="微软雅黑" w:cs="Times New Roman"/>
          <w:b/>
          <w:color w:val="auto"/>
          <w:szCs w:val="32"/>
          <w:lang w:val="en-US" w:eastAsia="zh-CN"/>
        </w:rPr>
      </w:pPr>
      <w:bookmarkStart w:id="170" w:name="_Toc838"/>
      <w:r>
        <w:rPr>
          <w:rFonts w:hint="eastAsia" w:ascii="微软雅黑" w:hAnsi="微软雅黑" w:eastAsia="微软雅黑" w:cs="Times New Roman"/>
          <w:b/>
          <w:color w:val="auto"/>
          <w:szCs w:val="32"/>
          <w:lang w:val="en-US" w:eastAsia="zh-CN"/>
        </w:rPr>
        <w:t>第九章 采购方式及流程</w:t>
      </w:r>
      <w:bookmarkEnd w:id="170"/>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71" w:name="_Toc14268"/>
      <w:r>
        <w:rPr>
          <w:rFonts w:hint="eastAsia" w:ascii="仿宋" w:hAnsi="仿宋" w:eastAsia="仿宋" w:cs="Times New Roman"/>
          <w:b/>
          <w:color w:val="auto"/>
          <w:szCs w:val="28"/>
          <w:lang w:val="en-US" w:eastAsia="zh-CN"/>
        </w:rPr>
        <w:t>9.1采购方式的选择</w:t>
      </w:r>
      <w:bookmarkEnd w:id="171"/>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根据《中华人民共和国招标投标法实施条例》（国务院令第658号）、《中华人民共和国政府采购法实施条例》（国务院令第658号）、《政府和社会资本合作项目政府采购管理办法》（财库〔2014〕215号），项目社会合作方的采购方式有公开招标、竞争性谈判、邀请招标、竞争性磋商和单一来源采购等五种方式。</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72" w:name="_Toc10618"/>
      <w:r>
        <w:rPr>
          <w:rFonts w:hint="eastAsia" w:ascii="仿宋" w:hAnsi="仿宋" w:eastAsia="仿宋" w:cs="Times New Roman"/>
          <w:b/>
          <w:color w:val="auto"/>
          <w:szCs w:val="28"/>
          <w:lang w:val="en-US" w:eastAsia="zh-CN"/>
        </w:rPr>
        <w:t>9.1.1采购方式比选</w:t>
      </w:r>
      <w:bookmarkEnd w:id="172"/>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仁化县综合养老服务中心建设项目实施政府与社会化运营单位合作模式，通过引入专业化的运营单位，提高项目自身的公共服务水平。因此，在进行运营机构招标工作的过程中，既要坚持“公开、公平、公正”的原则，也要考虑在采购过程中可能遇到的各种不可预见因素。</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1）公开招标方式。其竞争性强、流程透明度高，最能既体现了“公平、公正、公开”的原则；同时，公开招标过程各投标人信息对称，流程成熟规范，不可预见因素少。主要适用于采购需求中核心条件和技术经济参数明确、完整、符合国家法律法规及政府采购政策，且采购过程中不作更改的项目。局限性主要为招标过程时间严格按照规范要求、程序不灵活、签订合同时不得通过谈判改变 招标文件和投标文件的实质性条件等。</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（2）邀请招标方式。主要适用于所采购的内容具有特殊性，只能从有限范围的供应商处采购得来；采用公开招标方式的费用占政府采购项目总价值的比例 过大的项目也适用于邀请招标。</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3）竞争性谈判方式。主要适用于招标后没有供应商投标或者没有合格标的或者重新招标未能成立的；技术复杂或者性质特殊，不能确定详细规格或者具体要求的；采用招标所需时间不能满足用户紧急需要的；不能事前计算出价格总额的；符合采购需求、质量和服务相等且报价最低的原则确定成交供应商。</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4）竞争性磋商方式。主要适用于技术复杂或者性质特殊，不能确定详细规格或者具体要求的；因专利、专业技术或者服务的时间、数量事先不能确定等原因不能事先计算出价格总额的；以综合评分最高的原则确定成交供应商。</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5）单一来源方式。主要适用于只能从唯一供应商处采购的；发生了不可预见的紧急情况不能从其他供应商处采购的；必须保证原有采购项目一致性或者服务配套的要求，需要继续从原供应商处添购，且添购金额总额不超过原合同采购金额的10%。</w:t>
      </w:r>
    </w:p>
    <w:p>
      <w:pPr>
        <w:pStyle w:val="18"/>
        <w:spacing w:line="360" w:lineRule="auto"/>
        <w:ind w:left="0" w:leftChars="0" w:firstLine="0" w:firstLineChars="0"/>
        <w:jc w:val="center"/>
        <w:rPr>
          <w:rFonts w:hint="eastAsia" w:ascii="仿宋" w:hAnsi="仿宋" w:eastAsia="仿宋" w:cs="Times New Roman"/>
          <w:color w:val="auto"/>
          <w:kern w:val="0"/>
          <w:sz w:val="28"/>
          <w:szCs w:val="28"/>
          <w:lang w:val="en-US" w:eastAsia="zh-CN" w:bidi="ar-SA"/>
        </w:rPr>
      </w:pPr>
      <w:r>
        <w:rPr>
          <w:rFonts w:hint="eastAsia" w:ascii="仿宋" w:hAnsi="仿宋" w:eastAsia="仿宋_GB2312" w:cs="Times New Roman"/>
          <w:b w:val="0"/>
          <w:i w:val="0"/>
          <w:color w:val="auto"/>
          <w:kern w:val="0"/>
          <w:sz w:val="32"/>
          <w:szCs w:val="28"/>
          <w:lang w:val="en-US" w:eastAsia="zh-CN" w:bidi="ar-SA"/>
        </w:rPr>
        <w:t>表9.1.1-1采购方式比选一览表</w:t>
      </w:r>
    </w:p>
    <w:tbl>
      <w:tblPr>
        <w:tblStyle w:val="19"/>
        <w:tblpPr w:leftFromText="180" w:rightFromText="180" w:vertAnchor="text" w:horzAnchor="page" w:tblpX="1537" w:tblpY="524"/>
        <w:tblOverlap w:val="never"/>
        <w:tblW w:w="8850"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00"/>
        <w:gridCol w:w="1379"/>
        <w:gridCol w:w="1701"/>
        <w:gridCol w:w="1915"/>
        <w:gridCol w:w="2523"/>
        <w:gridCol w:w="53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4" w:hRule="atLeast"/>
        </w:trPr>
        <w:tc>
          <w:tcPr>
            <w:tcW w:w="800" w:type="dxa"/>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采购方式</w:t>
            </w:r>
          </w:p>
        </w:tc>
        <w:tc>
          <w:tcPr>
            <w:tcW w:w="1379" w:type="dxa"/>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公开招标</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邀请招标</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竞争性谈判</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竞争性磋商</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单一来源</w:t>
            </w:r>
          </w:p>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采购</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5" w:hRule="atLeast"/>
        </w:trPr>
        <w:tc>
          <w:tcPr>
            <w:tcW w:w="800" w:type="dxa"/>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竞标对象</w:t>
            </w:r>
          </w:p>
        </w:tc>
        <w:tc>
          <w:tcPr>
            <w:tcW w:w="1379" w:type="dxa"/>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面向全社会</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特定对象</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面向全社会</w:t>
            </w:r>
          </w:p>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或特定对象</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面向全社会或特定 对象</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单一对象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6" w:hRule="atLeast"/>
        </w:trPr>
        <w:tc>
          <w:tcPr>
            <w:tcW w:w="800" w:type="dxa"/>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定标方式</w:t>
            </w:r>
          </w:p>
        </w:tc>
        <w:tc>
          <w:tcPr>
            <w:tcW w:w="1379" w:type="dxa"/>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一般采用综合评分法</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一般采用综合评分法</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最低价中标法</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一般采用综合评分 法</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6" w:hRule="atLeast"/>
        </w:trPr>
        <w:tc>
          <w:tcPr>
            <w:tcW w:w="800" w:type="dxa"/>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条件要求</w:t>
            </w:r>
          </w:p>
        </w:tc>
        <w:tc>
          <w:tcPr>
            <w:tcW w:w="1379" w:type="dxa"/>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需求明确，市场成熟</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需求明确，市场不成熟</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需求不完全明确，市场成熟</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需求不完全明确， 市场不成熟</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58" w:hRule="atLeast"/>
        </w:trPr>
        <w:tc>
          <w:tcPr>
            <w:tcW w:w="800" w:type="dxa"/>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主要优势</w:t>
            </w:r>
          </w:p>
        </w:tc>
        <w:tc>
          <w:tcPr>
            <w:tcW w:w="1379" w:type="dxa"/>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竞争充分，操 作流程规范</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对于市场接受度较低的项目，降低流标风险</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可要求投保人进行二次报价，价格竞争充分</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(1)采购人需求在磋商过程中可根据市场的响应情况进行修改和变更。</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96" w:hRule="atLeast"/>
        </w:trPr>
        <w:tc>
          <w:tcPr>
            <w:tcW w:w="800" w:type="dxa"/>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主要不足</w:t>
            </w:r>
          </w:p>
        </w:tc>
        <w:tc>
          <w:tcPr>
            <w:tcW w:w="1379" w:type="dxa"/>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程序不灵活，不利于市场接受度较低的项目</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竞争相对不充分</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只能进行价格竞争，无法全面评价投标人综合实力</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各地尚未对此采购方式制定规范化的操作流程</w:t>
            </w:r>
          </w:p>
        </w:tc>
        <w:tc>
          <w:tcPr>
            <w:tcW w:w="0" w:type="auto"/>
            <w:noWrap w:val="0"/>
            <w:vAlign w:val="center"/>
          </w:tcPr>
          <w:p>
            <w:pPr>
              <w:pStyle w:val="18"/>
              <w:spacing w:line="360" w:lineRule="auto"/>
              <w:ind w:left="0" w:leftChars="0" w:firstLine="0" w:firstLineChars="0"/>
              <w:jc w:val="center"/>
              <w:rPr>
                <w:rFonts w:hint="eastAsia" w:ascii="仿宋" w:hAnsi="仿宋" w:eastAsia="仿宋" w:cs="仿宋"/>
                <w:color w:val="auto"/>
                <w:kern w:val="0"/>
                <w:sz w:val="24"/>
                <w:szCs w:val="24"/>
                <w:lang w:val="en-US" w:eastAsia="zh-CN" w:bidi="ar-SA"/>
              </w:rPr>
            </w:pPr>
            <w:r>
              <w:rPr>
                <w:rFonts w:hint="eastAsia" w:ascii="仿宋" w:hAnsi="仿宋" w:eastAsia="仿宋" w:cs="仿宋"/>
                <w:color w:val="auto"/>
                <w:kern w:val="0"/>
                <w:sz w:val="24"/>
                <w:szCs w:val="24"/>
                <w:lang w:val="en-US" w:eastAsia="zh-CN" w:bidi="ar-SA"/>
              </w:rPr>
              <w:t>竞争不充分</w:t>
            </w:r>
          </w:p>
        </w:tc>
      </w:tr>
    </w:tbl>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73" w:name="_Toc30674"/>
      <w:r>
        <w:rPr>
          <w:rFonts w:hint="eastAsia" w:ascii="仿宋" w:hAnsi="仿宋" w:eastAsia="仿宋" w:cs="Times New Roman"/>
          <w:b/>
          <w:color w:val="auto"/>
          <w:szCs w:val="28"/>
          <w:lang w:val="en-US" w:eastAsia="zh-CN"/>
        </w:rPr>
        <w:t>9.1.2采购方式的确定</w:t>
      </w:r>
      <w:bookmarkEnd w:id="173"/>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根据上述比选，建议采用公开招标方式进行本项目的社会合作方采购。</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(1)采用公开招标能发现有实力的社会合作方，通过招标管理部门指定的媒体公开发布项目招标信息，其权威性高、聚焦性强，广泛引起社会合作方关注，吸引国内外社会合作方参与竞争。因此，公开招标能发现更多更强的社会合作方。</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2）公开招标能发现价值，公开招标能实现资源优化配置、实现项目的“物有所值”。通过公平竞争，防止垄断；避免信息不对称给政府造成的损失；促使社会合作方保证质量、改善服务、降低费用、提高效率，创造合理的利益回报。因此，公开招标能找到合理价格，从而发现价值。</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（3）公开招标能在阳光下操作，让公众广泛参与并监督，最大限度降低过程中的人为因素和不可预见因素，以利于防范项目实施过程中舞弊现象和滋生腐败。</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color w:val="auto"/>
          <w:kern w:val="0"/>
          <w:sz w:val="28"/>
          <w:szCs w:val="28"/>
          <w:lang w:val="en-US" w:eastAsia="zh-CN" w:bidi="ar-SA"/>
        </w:rPr>
      </w:pPr>
      <w:bookmarkStart w:id="174" w:name="_Toc28484"/>
      <w:r>
        <w:rPr>
          <w:rFonts w:hint="eastAsia" w:ascii="仿宋" w:hAnsi="仿宋" w:eastAsia="仿宋" w:cs="Times New Roman"/>
          <w:b/>
          <w:color w:val="auto"/>
          <w:szCs w:val="28"/>
          <w:lang w:val="en-US" w:eastAsia="zh-CN"/>
        </w:rPr>
        <w:t>9.2社会资本方的甄选</w:t>
      </w:r>
      <w:bookmarkEnd w:id="174"/>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75" w:name="_Toc14827"/>
      <w:r>
        <w:rPr>
          <w:rFonts w:hint="eastAsia" w:ascii="仿宋" w:hAnsi="仿宋" w:eastAsia="仿宋" w:cs="Times New Roman"/>
          <w:b/>
          <w:color w:val="auto"/>
          <w:szCs w:val="28"/>
          <w:lang w:val="en-US" w:eastAsia="zh-CN"/>
        </w:rPr>
        <w:t>9.2.1甄选原则</w:t>
      </w:r>
      <w:bookmarkEnd w:id="175"/>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公共服务设施项目既涉及政府和运营机构的经济效益，又涉及政府和公众的社会效益。在本项目社会合作方采购中，既要调动社会资本的积极性，实现公共产品和市场资源优化配置，还要避免社会合作方利润超出合理区间，影响地方财政；更要保障社会资本长期合理回报，确保项目运营可持续发展。因此，在进行运营机构甄选时，要合理制定竞标标的和竞标细则，在切实维护好公众利益的基础上，充分调动运营机构的积极性，实现公共产品和市场资源优化配置。</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其次，要关注运营机构的综合能力。包括财务状况、经验业绩、技术和管理能力等。</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76" w:name="_Toc32173"/>
      <w:r>
        <w:rPr>
          <w:rFonts w:hint="eastAsia" w:ascii="仿宋" w:hAnsi="仿宋" w:eastAsia="仿宋" w:cs="Times New Roman"/>
          <w:b/>
          <w:color w:val="auto"/>
          <w:szCs w:val="28"/>
          <w:lang w:val="en-US" w:eastAsia="zh-CN"/>
        </w:rPr>
        <w:t>9.2.2社会资本方要求</w:t>
      </w:r>
      <w:bookmarkEnd w:id="176"/>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社会资本的选择须根据国家的有关政策，以及其资金实力、技术能力和业绩经验来选择。</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根据财政部《关于规范政府和社会资本合作合同管理工作的通知》（财金〔2014〕156号）及其《PPP项目合同指南（试行）》，社会资本是指依法设立且有效存续的具有法人资格的企业，包括民营企业、国有企业、外国企业和外商投资企业。但该指南提出“本级人民政府下属的政府融资平台公司及其控股的其他国有企业（上市公司除外）不得作为社会化运营单位参与本级政府辖区内的PPP项目。”这条在国务院办公厅转发财政部发展改革委人民银行《关于在公共服务领域推广政府和社会资本合作模式指导意见的通知》（国办发〔2015〕42号）进行了修订，该指导意见大力推动融资平台公司与政府脱钩，进行市场化改制，健全完善公司治理结构，对已经建立现代企业制度、实现社会化租赁的，在其承担的地方政府债务已纳入政府财政预算、得到妥善处置并明确公告今后不再承担地方  政府举债融资职能的前提下，可作为社会资本参与当地政府和社会资本合作项目，通过与政府签订合同方式，明确责权利关系。</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鉴于本项目为公共服务民生项目，需要专门的养老服务运营经验，拟选择的社会投资方如果具有相应的资金实力，又有相关的技术能力和项目运维管理经验，将有助于整个项目的高效能、高标准运营。因此，根据本项目特点，应设置一定的社会化运营单位准入门槛。社会化运营单位应具备相应的资金实力、以及相应的管理、运营维护综合能力和业绩经验。</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综合以上要求，本项目的社会资本方从社会资本中择优选取，社会资本方应满足下列要求：</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1、已在中国境内注册，在法律上、财务上独立，合法运作的独立法人，且经营范围必须与养老相关服务内容相关。</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2、具有良好的商业信誉和健全的财务会计制度。</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3、具有履行合同所必需的设备和专业技术能力。</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4、有依法缴纳税收和社会保障资金的良好记录。</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5、参加本项目运营的前三年内，在经营活动中没有重大违法记录。</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6、社会资本方未被列入“信用中国”网站“记录失信被执行人或重大税收违法案件当事人名单或政府采购严重违法失信行为”记录名单；不处于中国政府采购网“政府采购严重违法失信行为信息记录”中的禁止参加政府采购活动期间。</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7、社会资本方近五年内有同类养老服务项目经验，具有相适应的专业服务团队，包含有养老护理员、社会工作师（或助理社会工作师）、老年人能力评估师等，项目管理人员（如院长、副院长）具有5年以上养老服务经验、具有相关的技术职称（如卫生技术职称、社会工作职业资格等）。</w:t>
      </w:r>
    </w:p>
    <w:p>
      <w:pPr>
        <w:pStyle w:val="3"/>
        <w:pageBreakBefore w:val="0"/>
        <w:numPr>
          <w:ilvl w:val="1"/>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77" w:name="_Toc25396"/>
      <w:r>
        <w:rPr>
          <w:rFonts w:hint="eastAsia" w:ascii="仿宋" w:hAnsi="仿宋" w:eastAsia="仿宋" w:cs="Times New Roman"/>
          <w:b/>
          <w:color w:val="auto"/>
          <w:szCs w:val="28"/>
          <w:lang w:val="en-US" w:eastAsia="zh-CN"/>
        </w:rPr>
        <w:t>9.3社会资本方招标方案框架</w:t>
      </w:r>
      <w:bookmarkEnd w:id="177"/>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78" w:name="_Toc3177"/>
      <w:r>
        <w:rPr>
          <w:rFonts w:hint="eastAsia" w:ascii="仿宋" w:hAnsi="仿宋" w:eastAsia="仿宋" w:cs="Times New Roman"/>
          <w:b/>
          <w:color w:val="auto"/>
          <w:szCs w:val="28"/>
          <w:lang w:val="en-US" w:eastAsia="zh-CN"/>
        </w:rPr>
        <w:t>9.3.1合格的供应商对象</w:t>
      </w:r>
      <w:bookmarkEnd w:id="178"/>
    </w:p>
    <w:p>
      <w:pPr>
        <w:pStyle w:val="18"/>
        <w:numPr>
          <w:ilvl w:val="0"/>
          <w:numId w:val="0"/>
        </w:numPr>
        <w:spacing w:line="360" w:lineRule="auto"/>
        <w:ind w:left="0" w:leftChars="0" w:firstLine="562" w:firstLineChars="200"/>
        <w:jc w:val="both"/>
        <w:rPr>
          <w:rFonts w:hint="eastAsia" w:ascii="仿宋" w:hAnsi="仿宋" w:eastAsia="仿宋" w:cs="Times New Roman"/>
          <w:b/>
          <w:bCs/>
          <w:color w:val="auto"/>
          <w:kern w:val="0"/>
          <w:sz w:val="28"/>
          <w:szCs w:val="28"/>
          <w:lang w:val="en-US" w:eastAsia="zh-CN" w:bidi="ar-SA"/>
        </w:rPr>
      </w:pPr>
      <w:r>
        <w:rPr>
          <w:rFonts w:hint="eastAsia" w:ascii="仿宋" w:hAnsi="仿宋" w:eastAsia="仿宋" w:cs="Times New Roman"/>
          <w:b/>
          <w:bCs/>
          <w:color w:val="auto"/>
          <w:kern w:val="0"/>
          <w:sz w:val="28"/>
          <w:szCs w:val="28"/>
          <w:lang w:val="en-US" w:eastAsia="zh-CN" w:bidi="ar-SA"/>
        </w:rPr>
        <w:t>1、独立法人</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必须是在中国境内（含港、澳、台地区）依法注册或登记并有效存续的独立企业法人。</w:t>
      </w:r>
    </w:p>
    <w:p>
      <w:pPr>
        <w:pStyle w:val="18"/>
        <w:numPr>
          <w:ilvl w:val="0"/>
          <w:numId w:val="0"/>
        </w:numPr>
        <w:spacing w:line="360" w:lineRule="auto"/>
        <w:ind w:left="0" w:leftChars="0" w:firstLine="562" w:firstLineChars="200"/>
        <w:jc w:val="both"/>
        <w:rPr>
          <w:rFonts w:hint="eastAsia" w:ascii="仿宋" w:hAnsi="仿宋" w:eastAsia="仿宋" w:cs="Times New Roman"/>
          <w:b/>
          <w:bCs/>
          <w:color w:val="auto"/>
          <w:kern w:val="0"/>
          <w:sz w:val="28"/>
          <w:szCs w:val="28"/>
          <w:lang w:val="en-US" w:eastAsia="zh-CN" w:bidi="ar-SA"/>
        </w:rPr>
      </w:pPr>
      <w:r>
        <w:rPr>
          <w:rFonts w:hint="eastAsia" w:ascii="仿宋" w:hAnsi="仿宋" w:eastAsia="仿宋" w:cs="Times New Roman"/>
          <w:b/>
          <w:bCs/>
          <w:color w:val="auto"/>
          <w:kern w:val="0"/>
          <w:sz w:val="28"/>
          <w:szCs w:val="28"/>
          <w:lang w:val="en-US" w:eastAsia="zh-CN" w:bidi="ar-SA"/>
        </w:rPr>
        <w:t>2、业界声誉良好</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1）具有良好的履约能力、社会信誉，近三年无不良记录，无商业欺诈行为。没有处于被行政主管部门取消投标资格的处罚期内；</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2）具有良好的投融资信誉，近三年在银行无不良记录，无商业欺诈行为，没有处于财产被接管、冻结、破产的状态。</w:t>
      </w:r>
    </w:p>
    <w:p>
      <w:pPr>
        <w:pStyle w:val="18"/>
        <w:numPr>
          <w:ilvl w:val="0"/>
          <w:numId w:val="0"/>
        </w:numPr>
        <w:spacing w:line="360" w:lineRule="auto"/>
        <w:ind w:left="0" w:leftChars="0" w:firstLine="562" w:firstLineChars="200"/>
        <w:jc w:val="both"/>
        <w:rPr>
          <w:rFonts w:hint="eastAsia" w:ascii="仿宋" w:hAnsi="仿宋" w:eastAsia="仿宋" w:cs="Times New Roman"/>
          <w:b/>
          <w:bCs/>
          <w:color w:val="auto"/>
          <w:kern w:val="0"/>
          <w:sz w:val="28"/>
          <w:szCs w:val="28"/>
          <w:lang w:val="en-US" w:eastAsia="zh-CN" w:bidi="ar-SA"/>
        </w:rPr>
      </w:pPr>
      <w:r>
        <w:rPr>
          <w:rFonts w:hint="eastAsia" w:ascii="仿宋" w:hAnsi="仿宋" w:eastAsia="仿宋" w:cs="Times New Roman"/>
          <w:b/>
          <w:bCs/>
          <w:color w:val="auto"/>
          <w:kern w:val="0"/>
          <w:sz w:val="28"/>
          <w:szCs w:val="28"/>
          <w:lang w:val="en-US" w:eastAsia="zh-CN" w:bidi="ar-SA"/>
        </w:rPr>
        <w:t>3、资历条件</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1）具有项目运营管理能力，具有同类型项目的运营管理经验；</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2）熟悉养老服务项目的运营管理要求；</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3）具有完善的项目运营管理方案。</w:t>
      </w:r>
    </w:p>
    <w:p>
      <w:pPr>
        <w:pStyle w:val="18"/>
        <w:numPr>
          <w:ilvl w:val="0"/>
          <w:numId w:val="0"/>
        </w:numPr>
        <w:spacing w:line="360" w:lineRule="auto"/>
        <w:ind w:left="0" w:leftChars="0" w:firstLine="562" w:firstLineChars="200"/>
        <w:jc w:val="both"/>
        <w:rPr>
          <w:rFonts w:hint="eastAsia" w:ascii="仿宋" w:hAnsi="仿宋" w:eastAsia="仿宋" w:cs="Times New Roman"/>
          <w:b/>
          <w:bCs/>
          <w:color w:val="auto"/>
          <w:kern w:val="0"/>
          <w:sz w:val="28"/>
          <w:szCs w:val="28"/>
          <w:lang w:val="en-US" w:eastAsia="zh-CN" w:bidi="ar-SA"/>
        </w:rPr>
      </w:pPr>
      <w:r>
        <w:rPr>
          <w:rFonts w:hint="eastAsia" w:ascii="仿宋" w:hAnsi="仿宋" w:eastAsia="仿宋" w:cs="Times New Roman"/>
          <w:b/>
          <w:bCs/>
          <w:color w:val="auto"/>
          <w:kern w:val="0"/>
          <w:sz w:val="28"/>
          <w:szCs w:val="28"/>
          <w:lang w:val="en-US" w:eastAsia="zh-CN" w:bidi="ar-SA"/>
        </w:rPr>
        <w:t>4、财务能力较强</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具有完整的项目担保实施方案，包括但不限于担保人、担保金额、担保方式等内容，方案应考虑运营过程中的风险防范。</w:t>
      </w:r>
    </w:p>
    <w:p>
      <w:pPr>
        <w:pStyle w:val="18"/>
        <w:numPr>
          <w:ilvl w:val="0"/>
          <w:numId w:val="0"/>
        </w:numPr>
        <w:spacing w:line="360" w:lineRule="auto"/>
        <w:ind w:left="0" w:leftChars="0" w:firstLine="562" w:firstLineChars="200"/>
        <w:jc w:val="both"/>
        <w:rPr>
          <w:rFonts w:hint="eastAsia" w:ascii="仿宋" w:hAnsi="仿宋" w:eastAsia="仿宋" w:cs="Times New Roman"/>
          <w:b/>
          <w:bCs/>
          <w:color w:val="auto"/>
          <w:kern w:val="0"/>
          <w:sz w:val="28"/>
          <w:szCs w:val="28"/>
          <w:lang w:val="en-US" w:eastAsia="zh-CN" w:bidi="ar-SA"/>
        </w:rPr>
      </w:pPr>
      <w:r>
        <w:rPr>
          <w:rFonts w:hint="eastAsia" w:ascii="仿宋" w:hAnsi="仿宋" w:eastAsia="仿宋" w:cs="Times New Roman"/>
          <w:b/>
          <w:bCs/>
          <w:color w:val="auto"/>
          <w:kern w:val="0"/>
          <w:sz w:val="28"/>
          <w:szCs w:val="28"/>
          <w:lang w:val="en-US" w:eastAsia="zh-CN" w:bidi="ar-SA"/>
        </w:rPr>
        <w:t>5、人才保障</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具有健全的项目组织管理机构。</w:t>
      </w:r>
    </w:p>
    <w:p>
      <w:pPr>
        <w:pStyle w:val="18"/>
        <w:numPr>
          <w:ilvl w:val="0"/>
          <w:numId w:val="0"/>
        </w:numPr>
        <w:spacing w:line="360" w:lineRule="auto"/>
        <w:ind w:left="0" w:leftChars="0" w:firstLine="562" w:firstLineChars="200"/>
        <w:jc w:val="both"/>
        <w:rPr>
          <w:rFonts w:hint="eastAsia" w:ascii="仿宋" w:hAnsi="仿宋" w:eastAsia="仿宋" w:cs="Times New Roman"/>
          <w:b/>
          <w:bCs/>
          <w:color w:val="auto"/>
          <w:kern w:val="0"/>
          <w:sz w:val="28"/>
          <w:szCs w:val="28"/>
          <w:lang w:val="en-US" w:eastAsia="zh-CN" w:bidi="ar-SA"/>
        </w:rPr>
      </w:pPr>
      <w:r>
        <w:rPr>
          <w:rFonts w:hint="eastAsia" w:ascii="仿宋" w:hAnsi="仿宋" w:eastAsia="仿宋" w:cs="Times New Roman"/>
          <w:b/>
          <w:bCs/>
          <w:color w:val="auto"/>
          <w:kern w:val="0"/>
          <w:sz w:val="28"/>
          <w:szCs w:val="28"/>
          <w:lang w:val="en-US" w:eastAsia="zh-CN" w:bidi="ar-SA"/>
        </w:rPr>
        <w:t>6、质量案例管理体系完善</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近三年内没发生过重大事故。</w:t>
      </w:r>
    </w:p>
    <w:p>
      <w:pPr>
        <w:pStyle w:val="18"/>
        <w:numPr>
          <w:ilvl w:val="0"/>
          <w:numId w:val="0"/>
        </w:numPr>
        <w:spacing w:line="360" w:lineRule="auto"/>
        <w:ind w:left="0" w:leftChars="0" w:firstLine="562" w:firstLineChars="200"/>
        <w:jc w:val="both"/>
        <w:rPr>
          <w:rFonts w:hint="eastAsia" w:ascii="仿宋" w:hAnsi="仿宋" w:eastAsia="仿宋" w:cs="Times New Roman"/>
          <w:b/>
          <w:bCs/>
          <w:color w:val="auto"/>
          <w:kern w:val="0"/>
          <w:sz w:val="28"/>
          <w:szCs w:val="28"/>
          <w:lang w:val="en-US" w:eastAsia="zh-CN" w:bidi="ar-SA"/>
        </w:rPr>
      </w:pPr>
      <w:r>
        <w:rPr>
          <w:rFonts w:hint="eastAsia" w:ascii="仿宋" w:hAnsi="仿宋" w:eastAsia="仿宋" w:cs="Times New Roman"/>
          <w:b/>
          <w:bCs/>
          <w:color w:val="auto"/>
          <w:kern w:val="0"/>
          <w:sz w:val="28"/>
          <w:szCs w:val="28"/>
          <w:lang w:val="en-US" w:eastAsia="zh-CN" w:bidi="ar-SA"/>
        </w:rPr>
        <w:t>7、其他方面</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运营机构拥有专业的设备及完成服务所必需的其他重要要素。</w:t>
      </w:r>
    </w:p>
    <w:p>
      <w:pPr>
        <w:pStyle w:val="18"/>
        <w:numPr>
          <w:ilvl w:val="0"/>
          <w:numId w:val="0"/>
        </w:numPr>
        <w:spacing w:line="360" w:lineRule="auto"/>
        <w:ind w:left="0" w:leftChars="0" w:firstLine="562" w:firstLineChars="200"/>
        <w:jc w:val="both"/>
        <w:rPr>
          <w:rFonts w:hint="eastAsia" w:ascii="仿宋" w:hAnsi="仿宋" w:eastAsia="仿宋" w:cs="Times New Roman"/>
          <w:b/>
          <w:bCs/>
          <w:color w:val="auto"/>
          <w:kern w:val="0"/>
          <w:sz w:val="28"/>
          <w:szCs w:val="28"/>
          <w:lang w:val="en-US" w:eastAsia="zh-CN" w:bidi="ar-SA"/>
        </w:rPr>
      </w:pPr>
      <w:r>
        <w:rPr>
          <w:rFonts w:hint="eastAsia" w:ascii="仿宋" w:hAnsi="仿宋" w:eastAsia="仿宋" w:cs="Times New Roman"/>
          <w:b/>
          <w:bCs/>
          <w:color w:val="auto"/>
          <w:kern w:val="0"/>
          <w:sz w:val="28"/>
          <w:szCs w:val="28"/>
          <w:lang w:val="en-US" w:eastAsia="zh-CN" w:bidi="ar-SA"/>
        </w:rPr>
        <w:t>8、信誉方面</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运营机构未被列入“信用中国”网站（</w:t>
      </w:r>
      <w:r>
        <w:rPr>
          <w:rFonts w:hint="eastAsia" w:ascii="仿宋" w:hAnsi="仿宋" w:eastAsia="仿宋_GB2312" w:cs="Times New Roman"/>
          <w:b w:val="0"/>
          <w:i w:val="0"/>
          <w:color w:val="auto"/>
          <w:kern w:val="0"/>
          <w:sz w:val="32"/>
          <w:szCs w:val="28"/>
          <w:lang w:val="en-US" w:eastAsia="zh-CN" w:bidi="ar-SA"/>
        </w:rPr>
        <w:fldChar w:fldCharType="begin"/>
      </w:r>
      <w:r>
        <w:rPr>
          <w:rFonts w:hint="eastAsia" w:ascii="仿宋" w:hAnsi="仿宋" w:eastAsia="仿宋_GB2312" w:cs="Times New Roman"/>
          <w:b w:val="0"/>
          <w:i w:val="0"/>
          <w:color w:val="auto"/>
          <w:kern w:val="0"/>
          <w:sz w:val="32"/>
          <w:szCs w:val="28"/>
          <w:lang w:val="en-US" w:eastAsia="zh-CN" w:bidi="ar-SA"/>
        </w:rPr>
        <w:instrText xml:space="preserve"> HYPERLINK "https://www.creditchina.gov.cn" </w:instrText>
      </w:r>
      <w:r>
        <w:rPr>
          <w:rFonts w:hint="eastAsia" w:ascii="仿宋" w:hAnsi="仿宋" w:eastAsia="仿宋_GB2312" w:cs="Times New Roman"/>
          <w:b w:val="0"/>
          <w:i w:val="0"/>
          <w:color w:val="auto"/>
          <w:kern w:val="0"/>
          <w:sz w:val="32"/>
          <w:szCs w:val="28"/>
          <w:lang w:val="en-US" w:eastAsia="zh-CN" w:bidi="ar-SA"/>
        </w:rPr>
        <w:fldChar w:fldCharType="separate"/>
      </w:r>
      <w:r>
        <w:rPr>
          <w:rFonts w:hint="eastAsia" w:ascii="仿宋" w:hAnsi="仿宋" w:eastAsia="仿宋_GB2312" w:cs="Times New Roman"/>
          <w:b w:val="0"/>
          <w:i w:val="0"/>
          <w:color w:val="auto"/>
          <w:kern w:val="0"/>
          <w:sz w:val="32"/>
          <w:szCs w:val="28"/>
          <w:lang w:val="en-US" w:eastAsia="zh-CN" w:bidi="ar-SA"/>
        </w:rPr>
        <w:t>www.creditchina.gov.cn</w:t>
      </w:r>
      <w:r>
        <w:rPr>
          <w:rFonts w:hint="eastAsia" w:ascii="仿宋" w:hAnsi="仿宋" w:eastAsia="仿宋_GB2312" w:cs="Times New Roman"/>
          <w:b w:val="0"/>
          <w:i w:val="0"/>
          <w:color w:val="auto"/>
          <w:kern w:val="0"/>
          <w:sz w:val="32"/>
          <w:szCs w:val="28"/>
          <w:lang w:val="en-US" w:eastAsia="zh-CN" w:bidi="ar-SA"/>
        </w:rPr>
        <w:fldChar w:fldCharType="end"/>
      </w:r>
      <w:r>
        <w:rPr>
          <w:rFonts w:hint="eastAsia" w:ascii="仿宋" w:hAnsi="仿宋" w:eastAsia="仿宋_GB2312" w:cs="Times New Roman"/>
          <w:b w:val="0"/>
          <w:i w:val="0"/>
          <w:color w:val="auto"/>
          <w:kern w:val="0"/>
          <w:sz w:val="32"/>
          <w:szCs w:val="28"/>
          <w:lang w:val="en-US" w:eastAsia="zh-CN" w:bidi="ar-SA"/>
        </w:rPr>
        <w:t>）“失信被执行人或企业营业异常名录或重大税收违法案件当事人名单或政府采购严重违法失信行为”记录名单；不处于中国政府采购网（</w:t>
      </w:r>
      <w:r>
        <w:rPr>
          <w:rFonts w:hint="eastAsia" w:ascii="仿宋" w:hAnsi="仿宋" w:eastAsia="仿宋_GB2312" w:cs="Times New Roman"/>
          <w:b w:val="0"/>
          <w:i w:val="0"/>
          <w:color w:val="auto"/>
          <w:kern w:val="0"/>
          <w:sz w:val="32"/>
          <w:szCs w:val="28"/>
          <w:lang w:val="en-US" w:eastAsia="zh-CN" w:bidi="ar-SA"/>
        </w:rPr>
        <w:fldChar w:fldCharType="begin"/>
      </w:r>
      <w:r>
        <w:rPr>
          <w:rFonts w:hint="eastAsia" w:ascii="仿宋" w:hAnsi="仿宋" w:eastAsia="仿宋_GB2312" w:cs="Times New Roman"/>
          <w:b w:val="0"/>
          <w:i w:val="0"/>
          <w:color w:val="auto"/>
          <w:kern w:val="0"/>
          <w:sz w:val="32"/>
          <w:szCs w:val="28"/>
          <w:lang w:val="en-US" w:eastAsia="zh-CN" w:bidi="ar-SA"/>
        </w:rPr>
        <w:instrText xml:space="preserve"> HYPERLINK "https://www.ccgp.gov.cn" </w:instrText>
      </w:r>
      <w:r>
        <w:rPr>
          <w:rFonts w:hint="eastAsia" w:ascii="仿宋" w:hAnsi="仿宋" w:eastAsia="仿宋_GB2312" w:cs="Times New Roman"/>
          <w:b w:val="0"/>
          <w:i w:val="0"/>
          <w:color w:val="auto"/>
          <w:kern w:val="0"/>
          <w:sz w:val="32"/>
          <w:szCs w:val="28"/>
          <w:lang w:val="en-US" w:eastAsia="zh-CN" w:bidi="ar-SA"/>
        </w:rPr>
        <w:fldChar w:fldCharType="separate"/>
      </w:r>
      <w:r>
        <w:rPr>
          <w:rFonts w:hint="eastAsia" w:ascii="仿宋" w:hAnsi="仿宋" w:eastAsia="仿宋_GB2312" w:cs="Times New Roman"/>
          <w:b w:val="0"/>
          <w:i w:val="0"/>
          <w:color w:val="auto"/>
          <w:kern w:val="0"/>
          <w:sz w:val="32"/>
          <w:szCs w:val="28"/>
          <w:lang w:val="en-US" w:eastAsia="zh-CN" w:bidi="ar-SA"/>
        </w:rPr>
        <w:t>www.ccgp.gov.cn</w:t>
      </w:r>
      <w:r>
        <w:rPr>
          <w:rFonts w:hint="eastAsia" w:ascii="仿宋" w:hAnsi="仿宋" w:eastAsia="仿宋_GB2312" w:cs="Times New Roman"/>
          <w:b w:val="0"/>
          <w:i w:val="0"/>
          <w:color w:val="auto"/>
          <w:kern w:val="0"/>
          <w:sz w:val="32"/>
          <w:szCs w:val="28"/>
          <w:lang w:val="en-US" w:eastAsia="zh-CN" w:bidi="ar-SA"/>
        </w:rPr>
        <w:fldChar w:fldCharType="end"/>
      </w:r>
      <w:r>
        <w:rPr>
          <w:rFonts w:hint="eastAsia" w:ascii="仿宋" w:hAnsi="仿宋" w:eastAsia="仿宋_GB2312" w:cs="Times New Roman"/>
          <w:b w:val="0"/>
          <w:i w:val="0"/>
          <w:color w:val="auto"/>
          <w:kern w:val="0"/>
          <w:sz w:val="32"/>
          <w:szCs w:val="28"/>
          <w:lang w:val="en-US" w:eastAsia="zh-CN" w:bidi="ar-SA"/>
        </w:rPr>
        <w:t>）“政府采购严重违法失信行为信息记录”中的禁止参加政府采购活动期间。</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79" w:name="_Toc32480"/>
      <w:r>
        <w:rPr>
          <w:rFonts w:hint="eastAsia" w:ascii="仿宋" w:hAnsi="仿宋" w:eastAsia="仿宋" w:cs="Times New Roman"/>
          <w:b/>
          <w:color w:val="auto"/>
          <w:szCs w:val="28"/>
          <w:lang w:val="en-US" w:eastAsia="zh-CN"/>
        </w:rPr>
        <w:t>9.3.2评标原则</w:t>
      </w:r>
      <w:bookmarkEnd w:id="179"/>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评标委员会由招标人依法组建，评标委员会依法根据采购文件的规定进行投标文件的评审、提交评标报告。</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评标基本原则：评标本着公平、公正、科学和择优的原则。评标工作应依据《基础设施和公用事业特许经营管理办法》《中华人民共和国政府采购法》、《中华人民共和国招标投标法》及国家和地方政府有关规定和财政部、发改委相关政策文件，评标委员会只对确定为实质上响应招标文件要求的投标进行评价和比较。</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80" w:name="_Toc10979"/>
      <w:r>
        <w:rPr>
          <w:rFonts w:hint="eastAsia" w:ascii="仿宋" w:hAnsi="仿宋" w:eastAsia="仿宋" w:cs="Times New Roman"/>
          <w:b/>
          <w:color w:val="auto"/>
          <w:szCs w:val="28"/>
          <w:lang w:val="en-US" w:eastAsia="zh-CN"/>
        </w:rPr>
        <w:t>9.3.3评标思路</w:t>
      </w:r>
      <w:bookmarkEnd w:id="180"/>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评标标准应该是反映政府对本项目未来预期的一个综合评价体系，包括选择什么样的社会资本方和规划未来项目运营等方面一系列的具体因素及指标。尤其对经营期、社会资本方案、移交方案等都应给出明确的定义和评价标准。</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建议评标思路采用综合评分法，对前来投标的社会化运营单位进行技术、商务及报价的评审。其中：技术评审针对社会资本在投标文件提出的社会资本方案、移交方案进行详细评审，根据采购文件评分标准择优选取出方案最优的社会化运营单位并获得相应分数。商务评审主要针对社会资本在投标文件中展示的企业资质、经营业绩、企业信用等级、获奖荣誉和人力资源等商务条件进行详细评审，根据采购文件评分标准择优选取出方案最优的社会化运营单位并获得相应分数。报价评审为根据社会化运营单位在投标文件提出的报价条件，原则上采用低价优先法计算，则最低报价分数最高。最后结合技术、商务和报价因素的权重，计算各社会化运营单位的综合分数。综合分数最高的社会化运营单位由评标委员会推荐为第一候选中标社会化运营单位，以此类推。具体要求以本项目采购文件为准。</w:t>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81" w:name="_Toc29584"/>
      <w:r>
        <w:rPr>
          <w:rFonts w:hint="eastAsia" w:ascii="仿宋" w:hAnsi="仿宋" w:eastAsia="仿宋" w:cs="Times New Roman"/>
          <w:b/>
          <w:color w:val="auto"/>
          <w:szCs w:val="28"/>
          <w:lang w:val="en-US" w:eastAsia="zh-CN"/>
        </w:rPr>
        <w:t>9.3.4公建民营社会资本方采购流程</w:t>
      </w:r>
      <w:bookmarkEnd w:id="181"/>
    </w:p>
    <w:p>
      <w:pPr>
        <w:pStyle w:val="18"/>
        <w:spacing w:line="360" w:lineRule="auto"/>
        <w:ind w:left="0" w:leftChars="0" w:firstLine="0" w:firstLineChars="0"/>
        <w:jc w:val="both"/>
        <w:rPr>
          <w:color w:val="auto"/>
        </w:rPr>
      </w:pPr>
    </w:p>
    <w:p>
      <w:pPr>
        <w:pStyle w:val="18"/>
        <w:spacing w:line="360" w:lineRule="auto"/>
        <w:ind w:left="0" w:leftChars="0" w:firstLine="0" w:firstLineChars="0"/>
        <w:jc w:val="both"/>
        <w:rPr>
          <w:color w:val="auto"/>
        </w:rPr>
      </w:pPr>
      <w:r>
        <w:rPr>
          <w:color w:val="auto"/>
        </w:rPr>
        <w:drawing>
          <wp:inline distT="0" distB="0" distL="114300" distR="114300">
            <wp:extent cx="5334000" cy="3767455"/>
            <wp:effectExtent l="0" t="0" r="0" b="4445"/>
            <wp:docPr id="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6"/>
                    <pic:cNvPicPr>
                      <a:picLocks noChangeAspect="1"/>
                    </pic:cNvPicPr>
                  </pic:nvPicPr>
                  <pic:blipFill>
                    <a:blip r:embed="rId35"/>
                    <a:stretch>
                      <a:fillRect/>
                    </a:stretch>
                  </pic:blipFill>
                  <pic:spPr>
                    <a:xfrm>
                      <a:off x="0" y="0"/>
                      <a:ext cx="5334000" cy="3767455"/>
                    </a:xfrm>
                    <a:prstGeom prst="rect">
                      <a:avLst/>
                    </a:prstGeom>
                    <a:noFill/>
                    <a:ln>
                      <a:noFill/>
                    </a:ln>
                  </pic:spPr>
                </pic:pic>
              </a:graphicData>
            </a:graphic>
          </wp:inline>
        </w:drawing>
      </w:r>
    </w:p>
    <w:p>
      <w:pPr>
        <w:pStyle w:val="18"/>
        <w:spacing w:line="360" w:lineRule="auto"/>
        <w:ind w:left="0" w:leftChars="0" w:firstLine="0" w:firstLineChars="0"/>
        <w:jc w:val="both"/>
        <w:rPr>
          <w:color w:val="auto"/>
        </w:rPr>
      </w:pPr>
      <w:r>
        <w:rPr>
          <w:color w:val="auto"/>
        </w:rPr>
        <w:drawing>
          <wp:inline distT="0" distB="0" distL="114300" distR="114300">
            <wp:extent cx="5330825" cy="3550920"/>
            <wp:effectExtent l="0" t="0" r="3175" b="11430"/>
            <wp:docPr id="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7"/>
                    <pic:cNvPicPr>
                      <a:picLocks noChangeAspect="1"/>
                    </pic:cNvPicPr>
                  </pic:nvPicPr>
                  <pic:blipFill>
                    <a:blip r:embed="rId36"/>
                    <a:stretch>
                      <a:fillRect/>
                    </a:stretch>
                  </pic:blipFill>
                  <pic:spPr>
                    <a:xfrm>
                      <a:off x="0" y="0"/>
                      <a:ext cx="5330825" cy="3550920"/>
                    </a:xfrm>
                    <a:prstGeom prst="rect">
                      <a:avLst/>
                    </a:prstGeom>
                    <a:noFill/>
                    <a:ln>
                      <a:noFill/>
                    </a:ln>
                  </pic:spPr>
                </pic:pic>
              </a:graphicData>
            </a:graphic>
          </wp:inline>
        </w:drawing>
      </w:r>
    </w:p>
    <w:p>
      <w:pPr>
        <w:pStyle w:val="18"/>
        <w:spacing w:line="360" w:lineRule="auto"/>
        <w:ind w:left="0" w:leftChars="0" w:firstLine="0" w:firstLineChars="0"/>
        <w:jc w:val="both"/>
        <w:rPr>
          <w:rFonts w:hint="eastAsia"/>
          <w:color w:val="auto"/>
          <w:lang w:val="en-US" w:eastAsia="zh-CN"/>
        </w:rPr>
      </w:pPr>
      <w:r>
        <w:rPr>
          <w:color w:val="auto"/>
        </w:rPr>
        <w:drawing>
          <wp:inline distT="0" distB="0" distL="114300" distR="114300">
            <wp:extent cx="5332730" cy="7752715"/>
            <wp:effectExtent l="0" t="0" r="1270" b="635"/>
            <wp:docPr id="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8"/>
                    <pic:cNvPicPr>
                      <a:picLocks noChangeAspect="1"/>
                    </pic:cNvPicPr>
                  </pic:nvPicPr>
                  <pic:blipFill>
                    <a:blip r:embed="rId37"/>
                    <a:stretch>
                      <a:fillRect/>
                    </a:stretch>
                  </pic:blipFill>
                  <pic:spPr>
                    <a:xfrm>
                      <a:off x="0" y="0"/>
                      <a:ext cx="5332730" cy="7752715"/>
                    </a:xfrm>
                    <a:prstGeom prst="rect">
                      <a:avLst/>
                    </a:prstGeom>
                    <a:noFill/>
                    <a:ln>
                      <a:noFill/>
                    </a:ln>
                  </pic:spPr>
                </pic:pic>
              </a:graphicData>
            </a:graphic>
          </wp:inline>
        </w:drawing>
      </w:r>
    </w:p>
    <w:p>
      <w:pPr>
        <w:pStyle w:val="18"/>
        <w:spacing w:line="360" w:lineRule="auto"/>
        <w:ind w:left="0" w:leftChars="0" w:firstLine="0" w:firstLineChars="0"/>
        <w:jc w:val="both"/>
        <w:rPr>
          <w:rFonts w:hint="eastAsia" w:ascii="仿宋" w:hAnsi="仿宋" w:eastAsia="仿宋_GB2312" w:cs="Times New Roman"/>
          <w:b w:val="0"/>
          <w:i w:val="0"/>
          <w:color w:val="auto"/>
          <w:kern w:val="0"/>
          <w:sz w:val="32"/>
          <w:szCs w:val="28"/>
          <w:lang w:val="en-US" w:eastAsia="zh-CN" w:bidi="ar-SA"/>
        </w:rPr>
      </w:pPr>
      <w:r>
        <w:rPr>
          <w:color w:val="auto"/>
        </w:rPr>
        <w:drawing>
          <wp:inline distT="0" distB="0" distL="114300" distR="114300">
            <wp:extent cx="5332730" cy="4145915"/>
            <wp:effectExtent l="0" t="0" r="1270" b="6985"/>
            <wp:docPr id="3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9"/>
                    <pic:cNvPicPr>
                      <a:picLocks noChangeAspect="1"/>
                    </pic:cNvPicPr>
                  </pic:nvPicPr>
                  <pic:blipFill>
                    <a:blip r:embed="rId38"/>
                    <a:stretch>
                      <a:fillRect/>
                    </a:stretch>
                  </pic:blipFill>
                  <pic:spPr>
                    <a:xfrm>
                      <a:off x="0" y="0"/>
                      <a:ext cx="5332730" cy="4145915"/>
                    </a:xfrm>
                    <a:prstGeom prst="rect">
                      <a:avLst/>
                    </a:prstGeom>
                    <a:noFill/>
                    <a:ln>
                      <a:noFill/>
                    </a:ln>
                  </pic:spPr>
                </pic:pic>
              </a:graphicData>
            </a:graphic>
          </wp:inline>
        </w:drawing>
      </w:r>
    </w:p>
    <w:p>
      <w:pPr>
        <w:pStyle w:val="4"/>
        <w:pageBreakBefore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Times New Roman"/>
          <w:b/>
          <w:color w:val="auto"/>
          <w:szCs w:val="28"/>
          <w:lang w:val="en-US" w:eastAsia="zh-CN"/>
        </w:rPr>
      </w:pPr>
      <w:bookmarkStart w:id="182" w:name="_Toc28314"/>
      <w:r>
        <w:rPr>
          <w:rFonts w:hint="eastAsia" w:ascii="仿宋" w:hAnsi="仿宋" w:eastAsia="仿宋" w:cs="Times New Roman"/>
          <w:b/>
          <w:color w:val="auto"/>
          <w:szCs w:val="28"/>
          <w:lang w:val="en-US" w:eastAsia="zh-CN"/>
        </w:rPr>
        <w:t>9.3.5项目公司的成立</w:t>
      </w:r>
      <w:bookmarkEnd w:id="182"/>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中标的社会资本方需在仁化本地注册成立项目公司。</w:t>
      </w:r>
    </w:p>
    <w:p>
      <w:pPr>
        <w:pStyle w:val="18"/>
        <w:numPr>
          <w:ilvl w:val="0"/>
          <w:numId w:val="0"/>
        </w:numPr>
        <w:spacing w:line="360" w:lineRule="auto"/>
        <w:jc w:val="both"/>
        <w:rPr>
          <w:rFonts w:hint="eastAsia" w:ascii="仿宋" w:hAnsi="仿宋" w:eastAsia="仿宋_GB2312" w:cs="Times New Roman"/>
          <w:b w:val="0"/>
          <w:i w:val="0"/>
          <w:color w:val="auto"/>
          <w:kern w:val="0"/>
          <w:sz w:val="32"/>
          <w:szCs w:val="28"/>
          <w:lang w:val="en-US" w:eastAsia="zh-CN" w:bidi="ar-SA"/>
        </w:rPr>
      </w:pPr>
    </w:p>
    <w:p>
      <w:pPr>
        <w:pStyle w:val="2"/>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仿宋" w:hAnsi="仿宋" w:eastAsia="仿宋" w:cs="Times New Roman"/>
          <w:color w:val="auto"/>
          <w:kern w:val="0"/>
          <w:sz w:val="28"/>
          <w:szCs w:val="28"/>
          <w:lang w:val="en-US" w:eastAsia="zh-CN" w:bidi="ar-SA"/>
        </w:rPr>
      </w:pPr>
      <w:bookmarkStart w:id="183" w:name="_Toc3258"/>
      <w:r>
        <w:rPr>
          <w:rFonts w:hint="eastAsia" w:ascii="微软雅黑" w:hAnsi="微软雅黑" w:eastAsia="微软雅黑" w:cs="Times New Roman"/>
          <w:b/>
          <w:color w:val="auto"/>
          <w:szCs w:val="32"/>
          <w:lang w:val="en-US" w:eastAsia="zh-CN"/>
        </w:rPr>
        <w:t>第十章 结论</w:t>
      </w:r>
      <w:bookmarkEnd w:id="183"/>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一、本项目运维产出主要包含对项目的主体建筑、配套设施和设备的日常养护与维修、设备设施管理、供配电系统管理、物业与设施巡查、消防管理、治安管理、防恐管理、安全监控、不可预见事故应急处理等相关工作，以及提供孤老收养、康复、助娱等综合服务。项目提供260个服务床位，其中30.77%为政府兜底床位（80个床位），69.23%为社会化运营单位自营床位（180个床位）。社会化运营单位对养老机构负责全面运营管理与维护。</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二、本项目采用公建民营的模式运营，符合国家近期政策的要求；有助于转变政府职能、提高管理水平；能调动社会资本的积极性，充分利用社会资金和社会力量；“让专业的人做专业的事”，提高养老资源的使用效率和管理效率；有助于减少政府财政压力，为政府带来稳定收益；能满足更多群体的养老需求。本项目采用公建民营模式进行是十分必要的，也是合适的。本项目采用公建民营项目运作模式具有良好的政策环境、经济环境和实施条件，是合理的、可行的。</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三、本项目采用公建民营下的资产租赁模式。租赁期为15年，租赁面积为7574.95㎡。租赁期内，政府机构将养老机构的场地和硬件设施以租赁的形式交付社会化运营单位使用，政府机构根据租赁协议获得租金收益。社会化运营单位对养老机构负责全面运营管理与维护，自主经营、自负盈亏，每年支付租金给政府方。实施机构不参与日常的运营管理，但对项目的实施进行监管、对社会资本方进行绩效考核，绩效考核结果与奖惩机制挂钩。</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四、本项目社会资本方的收入主要来源包括普惠性床位服务费及政策性床位托养服务费。</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普惠性床位服务费指社会资本方向入住普惠性床位的老人收取的养老服务费，包括床位使用费、膳食费、照料护理费、其他养老服务项目收入等。租赁期15年内，社会资本方可得的普惠性床位服务收入预计为13451.42万元。</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政策性床位托养服务费指社会资本方向入住政策性床位的政府兜底人员（农村特困人员、城市特困人员等）收取的托养服务费，该费用由政府依据补贴政策支付。租赁期15年内，社会资本方可得的政策性床位托养服务费收入预计为2594.36万元。</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五、租金与支付：本项目租金单价参考项目资产评估报告，按9元/㎡月计取，出租面积按7574.95㎡向社会资本方计取。前三年租金固定不变，为基础租金，基础年租金为</w:t>
      </w:r>
      <w:r>
        <w:rPr>
          <w:rFonts w:hint="default" w:ascii="仿宋" w:hAnsi="仿宋" w:eastAsia="仿宋_GB2312" w:cs="Times New Roman"/>
          <w:b w:val="0"/>
          <w:i w:val="0"/>
          <w:color w:val="auto"/>
          <w:kern w:val="0"/>
          <w:sz w:val="32"/>
          <w:szCs w:val="28"/>
          <w:lang w:val="en-US" w:eastAsia="zh-CN" w:bidi="ar-SA"/>
        </w:rPr>
        <w:t>81.81</w:t>
      </w:r>
      <w:r>
        <w:rPr>
          <w:rFonts w:hint="eastAsia" w:ascii="仿宋" w:hAnsi="仿宋" w:eastAsia="仿宋_GB2312" w:cs="Times New Roman"/>
          <w:b w:val="0"/>
          <w:i w:val="0"/>
          <w:color w:val="auto"/>
          <w:kern w:val="0"/>
          <w:sz w:val="32"/>
          <w:szCs w:val="28"/>
          <w:lang w:val="en-US" w:eastAsia="zh-CN" w:bidi="ar-SA"/>
        </w:rPr>
        <w:t>万元，后续每三年增长5%。</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六、免租期：为了提高社会资本参与本项目的积极性，以及鼓励社会资本为民众提供价廉质优的养老服务，本项目为社会资本提供半年免租期。</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七、奖励机制：如果社会资本方在运营期前五年达到广东省养老机构星级评定标准中四星级标准，则自评定后的下一年起政府返还当年租金20%。如果社会资本方在运营期前五年达到广东省养老机构星级评定标准五星级标准，则自评定后的下一年起政府返还当年租金30%。如果社会资本方在运营期前五年未能达到广东省养老机构星级评定标准中五星级养老机构标准，则租金没有任何返还。</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八、本项目风险承担分配为：政府承担的风险有公众反对、政府决策与审批延误、本级政府可控政策变更、政府违约、项目唯一性；社会资本方承担的风险有政府补贴政策变更、运营机构违约、第三方违约、项目监管不力、运维成本超支、运维效率低、维修过于频繁、运营机构变动、服务质量不达标；双方共同承担的风险有税费变更、本级政府不可控法律变更、行业标准变更、合同文本不完善、通货膨胀、不可抗力风险。</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九、本项目合同核心内容：各方参与主要权利与义务、社会资本方的核心框架、运营维护核心框架、期满后项目设施移交、移交工作、收入和回报、履约保障及其他体系框架等。</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十、本项目政府监管内容：项目前期监管主要包括立项审批等前期手续的监管和社会合作方准入监管等；运营监管主要包括服务质量监管、服务价格调整、运营绩效评价和项目中期评估等；移交监管主要包括移交验收、缺陷责任保证、项目后评价等。</w:t>
      </w:r>
    </w:p>
    <w:p>
      <w:pPr>
        <w:pStyle w:val="18"/>
        <w:numPr>
          <w:ilvl w:val="0"/>
          <w:numId w:val="0"/>
        </w:numPr>
        <w:spacing w:line="360" w:lineRule="auto"/>
        <w:ind w:left="0" w:leftChars="0" w:firstLine="640" w:firstLineChars="200"/>
        <w:jc w:val="both"/>
        <w:rPr>
          <w:rFonts w:hint="eastAsia" w:ascii="仿宋" w:hAnsi="仿宋" w:eastAsia="仿宋_GB2312" w:cs="Times New Roman"/>
          <w:b w:val="0"/>
          <w:i w:val="0"/>
          <w:color w:val="auto"/>
          <w:kern w:val="0"/>
          <w:sz w:val="32"/>
          <w:szCs w:val="28"/>
          <w:lang w:val="en-US" w:eastAsia="zh-CN" w:bidi="ar-SA"/>
        </w:rPr>
      </w:pPr>
      <w:r>
        <w:rPr>
          <w:rFonts w:hint="eastAsia" w:ascii="仿宋" w:hAnsi="仿宋" w:eastAsia="仿宋_GB2312" w:cs="Times New Roman"/>
          <w:b w:val="0"/>
          <w:i w:val="0"/>
          <w:color w:val="auto"/>
          <w:kern w:val="0"/>
          <w:sz w:val="32"/>
          <w:szCs w:val="28"/>
          <w:lang w:val="en-US" w:eastAsia="zh-CN" w:bidi="ar-SA"/>
        </w:rPr>
        <w:t>十一、本项目采用公开招标方式对社会化运营单位进行采购。</w:t>
      </w:r>
    </w:p>
    <w:p>
      <w:pPr>
        <w:tabs>
          <w:tab w:val="left" w:pos="847"/>
        </w:tabs>
        <w:rPr>
          <w:rFonts w:hint="eastAsia" w:eastAsiaTheme="minorEastAsia"/>
          <w:color w:val="auto"/>
          <w:lang w:eastAsia="zh-CN"/>
        </w:rPr>
      </w:pPr>
    </w:p>
    <w:sectPr>
      <w:pgSz w:w="11906" w:h="16838"/>
      <w:pgMar w:top="1440" w:right="1800" w:bottom="1440" w:left="1800" w:header="851" w:footer="992"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6432" behindDoc="0" locked="0" layoutInCell="1" allowOverlap="1">
              <wp:simplePos x="0" y="0"/>
              <wp:positionH relativeFrom="margin">
                <wp:align>outside</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rPr>
                              <w:rFonts w:hint="eastAsia" w:asciiTheme="majorEastAsia" w:hAnsiTheme="majorEastAsia" w:eastAsiaTheme="majorEastAsia" w:cstheme="majorEastAsia"/>
                              <w:sz w:val="28"/>
                              <w:szCs w:val="28"/>
                            </w:rPr>
                            <w:fldChar w:fldCharType="begin"/>
                          </w:r>
                          <w:r>
                            <w:rPr>
                              <w:rFonts w:hint="eastAsia" w:asciiTheme="majorEastAsia" w:hAnsiTheme="majorEastAsia" w:eastAsiaTheme="majorEastAsia" w:cstheme="majorEastAsia"/>
                              <w:sz w:val="28"/>
                              <w:szCs w:val="28"/>
                            </w:rPr>
                            <w:instrText xml:space="preserve"> PAGE  \* MERGEFORMAT </w:instrText>
                          </w:r>
                          <w:r>
                            <w:rPr>
                              <w:rFonts w:hint="eastAsia" w:asciiTheme="majorEastAsia" w:hAnsiTheme="majorEastAsia" w:eastAsiaTheme="majorEastAsia" w:cstheme="majorEastAsia"/>
                              <w:sz w:val="28"/>
                              <w:szCs w:val="28"/>
                            </w:rPr>
                            <w:fldChar w:fldCharType="separate"/>
                          </w:r>
                          <w:r>
                            <w:rPr>
                              <w:rFonts w:hint="eastAsia" w:asciiTheme="majorEastAsia" w:hAnsiTheme="majorEastAsia" w:eastAsiaTheme="majorEastAsia" w:cstheme="majorEastAsia"/>
                              <w:sz w:val="28"/>
                              <w:szCs w:val="28"/>
                            </w:rPr>
                            <w:t>1</w:t>
                          </w:r>
                          <w:r>
                            <w:rPr>
                              <w:rFonts w:hint="eastAsia" w:asciiTheme="majorEastAsia" w:hAnsiTheme="majorEastAsia" w:eastAsiaTheme="majorEastAsia" w:cstheme="majorEastAsia"/>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pStyle w:val="7"/>
                    </w:pPr>
                    <w:r>
                      <w:rPr>
                        <w:rFonts w:hint="eastAsia" w:asciiTheme="majorEastAsia" w:hAnsiTheme="majorEastAsia" w:eastAsiaTheme="majorEastAsia" w:cstheme="majorEastAsia"/>
                        <w:sz w:val="28"/>
                        <w:szCs w:val="28"/>
                      </w:rPr>
                      <w:fldChar w:fldCharType="begin"/>
                    </w:r>
                    <w:r>
                      <w:rPr>
                        <w:rFonts w:hint="eastAsia" w:asciiTheme="majorEastAsia" w:hAnsiTheme="majorEastAsia" w:eastAsiaTheme="majorEastAsia" w:cstheme="majorEastAsia"/>
                        <w:sz w:val="28"/>
                        <w:szCs w:val="28"/>
                      </w:rPr>
                      <w:instrText xml:space="preserve"> PAGE  \* MERGEFORMAT </w:instrText>
                    </w:r>
                    <w:r>
                      <w:rPr>
                        <w:rFonts w:hint="eastAsia" w:asciiTheme="majorEastAsia" w:hAnsiTheme="majorEastAsia" w:eastAsiaTheme="majorEastAsia" w:cstheme="majorEastAsia"/>
                        <w:sz w:val="28"/>
                        <w:szCs w:val="28"/>
                      </w:rPr>
                      <w:fldChar w:fldCharType="separate"/>
                    </w:r>
                    <w:r>
                      <w:rPr>
                        <w:rFonts w:hint="eastAsia" w:asciiTheme="majorEastAsia" w:hAnsiTheme="majorEastAsia" w:eastAsiaTheme="majorEastAsia" w:cstheme="majorEastAsia"/>
                        <w:sz w:val="28"/>
                        <w:szCs w:val="28"/>
                      </w:rPr>
                      <w:t>1</w:t>
                    </w:r>
                    <w:r>
                      <w:rPr>
                        <w:rFonts w:hint="eastAsia" w:asciiTheme="majorEastAsia" w:hAnsiTheme="majorEastAsia" w:eastAsiaTheme="majorEastAsia" w:cstheme="majorEastAsia"/>
                        <w:sz w:val="28"/>
                        <w:szCs w:val="2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7456" behindDoc="0" locked="0" layoutInCell="1" allowOverlap="1">
              <wp:simplePos x="0" y="0"/>
              <wp:positionH relativeFrom="margin">
                <wp:align>outside</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- 1 -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Fonts w:hint="default"/>
        <w:lang w:val="en-US" w:eastAsia="zh-CN"/>
      </w:rPr>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a:effectLst/>
                    </wps:spPr>
                    <wps:txbx>
                      <w:txbxContent>
                        <w:p>
                          <w:pPr>
                            <w:pStyle w:val="7"/>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EJS1MjXAQAAswMAAA4AAABkcnMvZTJvRG9jLnhtbK1TS27bMBDd&#10;F+gdCO5rKQbSCILlIIWRokCRFkhzAJoiLQL8gUNb8gXaG3TVTfc9l8/RISU5QbLJIhtpfnwz73G4&#10;uh6MJgcRQDnb0ItFSYmw3LXK7hr68OP2Q0UJRGZbpp0VDT0KoNfr9+9Wva/F0nVOtyIQBLFQ976h&#10;XYy+LgrgnTAMFs4Li0npgmER3bAr2sB6RDe6WJblx6J3ofXBcQGA0c2YpBNieA2gk1JxsXF8b4SN&#10;I2oQmkWkBJ3yQNd5WikFj9+kBBGJbigyjfmLTdDepm+xXrF6F5jvFJ9GYK8Z4Rknw5TFpmeoDYuM&#10;7IN6AWUUDw6cjAvuTDESyYogi4vymTb3HfMic0GpwZ9Fh7eD5XeH74GotqFLlMQygzd++v3r9Off&#10;6e9PgjEUqPdQY929x8o4fHIDrs0cBwwm3oMMJv2REcE8Yh3P8oohEp4OVcuqKjHFMTc7iF88HvcB&#10;4mfhDElGQwPeX5aVHb5CHEvnktTNululdb5DbUmPqJfV1WU+cU4hurapWOR1mHASp3H2ZMVhO0xE&#10;t649Is8eV6KhFl8AJfqLRcVx7jgbYTa2s7H3Qe26vF6pF/ibfcTh8sypwwiLXJODd5lZT3uXluWp&#10;n6se39r6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GhpgkvTAAAABQEAAA8AAAAAAAAAAQAgAAAA&#10;IgAAAGRycy9kb3ducmV2LnhtbFBLAQIUABQAAAAIAIdO4kBCUtTI1wEAALMDAAAOAAAAAAAAAAEA&#10;IAAAACIBAABkcnMvZTJvRG9jLnhtbFBLBQYAAAAABgAGAFkBAABrBQAAAAA=&#10;">
              <v:fill on="f" focussize="0,0"/>
              <v:stroke on="f" weight="1.25pt"/>
              <v:imagedata o:title=""/>
              <o:lock v:ext="edit" aspectratio="f"/>
              <v:textbox inset="0mm,0mm,0mm,0mm" style="mso-fit-shape-to-text:t;">
                <w:txbxContent>
                  <w:p>
                    <w:pPr>
                      <w:pStyle w:val="7"/>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a:effectLst/>
                    </wps:spPr>
                    <wps:txbx>
                      <w:txbxContent>
                        <w:p>
                          <w:pPr>
                            <w:pStyle w:val="7"/>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67</w:t>
                          </w:r>
                          <w:r>
                            <w:rPr>
                              <w:rFonts w:hint="eastAsia" w:ascii="宋体" w:hAnsi="宋体" w:eastAsia="宋体" w:cs="宋体"/>
                              <w:sz w:val="28"/>
                              <w:szCs w:val="28"/>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AzExeXXAQAAsQMAAA4AAABkcnMvZTJvRG9jLnhtbK1TS27bMBDd&#10;B+gdCO5rKQZSC4LloIWRokDRBkh6AJoiLQL8gUNb8gXaG3TVTfY9l8/RISU5RbrJohtqhjN8M+/N&#10;aH07GE2OIoBytqHXi5ISYblrld039Nvj3duKEojMtkw7Kxp6EkBvN2+u1r2vxdJ1TrciEASxUPe+&#10;oV2Mvi4K4J0wDBbOC4tB6YJhEd2wL9rAekQ3uliW5buid6H1wXEBgLfbMUgnxPAaQCel4mLr+MEI&#10;G0fUIDSLSAk65YFucrdSCh6/SgkiEt1QZBrziUXQ3qWz2KxZvQ/Md4pPLbDXtPCCk2HKYtEL1JZF&#10;Rg5B/QNlFA8OnIwL7kwxEsmKIIvr8oU2Dx3zInNBqcFfRIf/B8u/HO8DUW1DV5RYZnDg558/zr9+&#10;n5++k1WSp/dQY9aDx7w4fHADLs18D3iZWA8ymPRFPgTjKO7pIq4YIuHpUbWsqhJDHGOzg/jF83Mf&#10;IH4UzpBkNDTg9LKo7PgZ4pg6p6Rq1t0prfMEtSU9ot5Uq5v84hJCdG1TssjLMOEkTmPvyYrDbpiI&#10;7lx7Qp49LkRDLe4/JfqTRb3T7sxGmI3dbBx8UPsuL1eqBf79IWJzuedUYYRFrsnBSWbW09alVfnb&#10;z1nPf9rm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GhpgkvTAAAABQEAAA8AAAAAAAAAAQAgAAAA&#10;IgAAAGRycy9kb3ducmV2LnhtbFBLAQIUABQAAAAIAIdO4kAMxMXl1wEAALEDAAAOAAAAAAAAAAEA&#10;IAAAACIBAABkcnMvZTJvRG9jLnhtbFBLBQYAAAAABgAGAFkBAABrBQAAAAA=&#10;">
              <v:fill on="f" focussize="0,0"/>
              <v:stroke on="f" weight="1.25pt"/>
              <v:imagedata o:title=""/>
              <o:lock v:ext="edit" aspectratio="f"/>
              <v:textbox inset="0mm,0mm,0mm,0mm" style="mso-fit-shape-to-text:t;">
                <w:txbxContent>
                  <w:p>
                    <w:pPr>
                      <w:pStyle w:val="7"/>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67</w:t>
                    </w:r>
                    <w:r>
                      <w:rPr>
                        <w:rFonts w:hint="eastAsia" w:ascii="宋体" w:hAnsi="宋体" w:eastAsia="宋体" w:cs="宋体"/>
                        <w:sz w:val="28"/>
                        <w:szCs w:val="28"/>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a:effectLst/>
                    </wps:spPr>
                    <wps:txbx>
                      <w:txbxContent>
                        <w:p>
                          <w:pPr>
                            <w:pStyle w:val="7"/>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93</w:t>
                          </w:r>
                          <w:r>
                            <w:rPr>
                              <w:rFonts w:hint="eastAsia" w:ascii="宋体" w:hAnsi="宋体" w:eastAsia="宋体" w:cs="宋体"/>
                              <w:sz w:val="28"/>
                              <w:szCs w:val="28"/>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MDfc5/XAQAAsQMAAA4AAABkcnMvZTJvRG9jLnhtbK1TS27bMBDd&#10;F+gdCO5rKQbSCILlIIWRokCRFkhzAJoiLQL8gUNb8gXaG3TVTfc9l8/RISU5QbLJIhtqhjN8M+/N&#10;aHU9GE0OIoBytqEXi5ISYblrld019OHH7YeKEojMtkw7Kxp6FECv1+/frXpfi6XrnG5FIAhioe59&#10;Q7sYfV0UwDthGCycFxaD0gXDIrphV7SB9YhudLEsy49F70Lrg+MCAG83Y5BOiOE1gE5KxcXG8b0R&#10;No6oQWgWkRJ0ygNd526lFDx+kxJEJLqhyDTmE4ugvU1nsV6xeheY7xSfWmCvaeEZJ8OUxaJnqA2L&#10;jOyDegFlFA8OnIwL7kwxEsmKIIuL8pk29x3zInNBqcGfRYe3g+V3h++BqLahOHbLDA789PvX6c+/&#10;09+fpEry9B5qzLr3mBeHT27ApZnvAS8T60EGk77Ih2AcxT2exRVDJDw9qpZVVWKIY2x2EL94fO4D&#10;xM/CGZKMhgacXhaVHb5CHFPnlFTNululdZ6gtqRH1Mvq6jK/OIcQXduULPIyTDiJ09h7suKwHSai&#10;W9cekWePC9FQi/tPif5iUe+0O7MRZmM7G3sf1K7Ly5Vqgb/ZR2wu95wqjLDINTk4ycx62rq0Kk/9&#10;nPX4p63/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GhpgkvTAAAABQEAAA8AAAAAAAAAAQAgAAAA&#10;IgAAAGRycy9kb3ducmV2LnhtbFBLAQIUABQAAAAIAIdO4kDA33Of1wEAALEDAAAOAAAAAAAAAAEA&#10;IAAAACIBAABkcnMvZTJvRG9jLnhtbFBLBQYAAAAABgAGAFkBAABrBQAAAAA=&#10;">
              <v:fill on="f" focussize="0,0"/>
              <v:stroke on="f" weight="1.25pt"/>
              <v:imagedata o:title=""/>
              <o:lock v:ext="edit" aspectratio="f"/>
              <v:textbox inset="0mm,0mm,0mm,0mm" style="mso-fit-shape-to-text:t;">
                <w:txbxContent>
                  <w:p>
                    <w:pPr>
                      <w:pStyle w:val="7"/>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93</w:t>
                    </w:r>
                    <w:r>
                      <w:rPr>
                        <w:rFonts w:hint="eastAsia" w:ascii="宋体" w:hAnsi="宋体" w:eastAsia="宋体" w:cs="宋体"/>
                        <w:sz w:val="28"/>
                        <w:szCs w:val="28"/>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a:effectLst/>
                    </wps:spPr>
                    <wps:txbx>
                      <w:txbxContent>
                        <w:p>
                          <w:pPr>
                            <w:pStyle w:val="7"/>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94</w:t>
                          </w:r>
                          <w:r>
                            <w:rPr>
                              <w:rFonts w:hint="eastAsia" w:ascii="宋体" w:hAnsi="宋体" w:eastAsia="宋体" w:cs="宋体"/>
                              <w:sz w:val="28"/>
                              <w:szCs w:val="28"/>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2336;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IxhjU3YAQAAswMAAA4AAABkcnMvZTJvRG9jLnhtbK1TS27bMBDd&#10;F8gdCO5jKUbTCoLlIIWRIEDRFkh7AJoiLQL8gUNb8gXaG3TVTfc9l8/RISU5RbrJIhtpfnwz73G4&#10;uhmMJgcRQDnb0KtFSYmw3LXK7hr67evdZUUJRGZbpp0VDT0KoDfrizer3tdi6TqnWxEIglioe9/Q&#10;LkZfFwXwThgGC+eFxaR0wbCIbtgVbWA9ohtdLMvyXdG70PrguADA6GZM0gkxvATQSam42Di+N8LG&#10;ETUIzSJSgk55oOs8rZSCx89SgohENxSZxvzFJmhv07dYr1i9C8x3ik8jsJeM8IyTYcpi0zPUhkVG&#10;9kH9B2UUDw6cjAvuTDESyYogi6vymTaPHfMic0GpwZ9Fh9eD5Z8OXwJRbUOXbymxzOCNn37+OP36&#10;c/r9nWAMBeo91Fj36LEyDh/cgGszxwGDifcgg0l/ZEQwj/Iez/KKIRKeDlXLqioxxTE3O4hfPB33&#10;AeK9cIYko6EB7y/Lyg4fIY6lc0nqZt2d0jrfobakR9Tr6v11PnFOIbq2qVjkdZhwEqdx9mTFYTtM&#10;RLeuPSLPHleioRZfACX6waLiaXtmI8zGdjb2Pqhdl9cr9QJ/u484XJ45dRhhkWty8C4z62nv0rL8&#10;6+eqp7e2/g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BoaYJL0wAAAAUBAAAPAAAAAAAAAAEAIAAA&#10;ACIAAABkcnMvZG93bnJldi54bWxQSwECFAAUAAAACACHTuJAjGGNTdgBAACzAwAADgAAAAAAAAAB&#10;ACAAAAAiAQAAZHJzL2Uyb0RvYy54bWxQSwUGAAAAAAYABgBZAQAAbAUAAAAA&#10;">
              <v:fill on="f" focussize="0,0"/>
              <v:stroke on="f" weight="1.25pt"/>
              <v:imagedata o:title=""/>
              <o:lock v:ext="edit" aspectratio="f"/>
              <v:textbox inset="0mm,0mm,0mm,0mm" style="mso-fit-shape-to-text:t;">
                <w:txbxContent>
                  <w:p>
                    <w:pPr>
                      <w:pStyle w:val="7"/>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94</w:t>
                    </w:r>
                    <w:r>
                      <w:rPr>
                        <w:rFonts w:hint="eastAsia" w:ascii="宋体" w:hAnsi="宋体" w:eastAsia="宋体" w:cs="宋体"/>
                        <w:sz w:val="28"/>
                        <w:szCs w:val="28"/>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7618"/>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outside</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a:effectLst/>
                    </wps:spPr>
                    <wps:txbx>
                      <w:txbxContent>
                        <w:p>
                          <w:pPr>
                            <w:pStyle w:val="7"/>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97</w:t>
                          </w:r>
                          <w:r>
                            <w:rPr>
                              <w:rFonts w:hint="eastAsia" w:ascii="宋体" w:hAnsi="宋体" w:eastAsia="宋体" w:cs="宋体"/>
                              <w:sz w:val="28"/>
                              <w:szCs w:val="28"/>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3360;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F+uY4HYAQAAswMAAA4AAABkcnMvZTJvRG9jLnhtbK1TS27bMBDd&#10;F8gdCO5rKQbcCoLloIWRoEDRFkhzAJoiLQL8gUNb8gXaG3TVTfc9l8/RISU5QbLJohtpfnwz73G4&#10;vhmMJkcRQDnb0OtFSYmw3LXK7hv68P32bUUJRGZbpp0VDT0JoDebqzfr3tdi6TqnWxEIglioe9/Q&#10;LkZfFwXwThgGC+eFxaR0wbCIbtgXbWA9ohtdLMvyXdG70PrguADA6HZM0gkxvAbQSam42Dp+MMLG&#10;ETUIzSJSgk55oJs8rZSCx69SgohENxSZxvzFJmjv0rfYrFm9D8x3ik8jsNeM8IyTYcpi0wvUlkVG&#10;DkG9gDKKBwdOxgV3phiJZEWQxXX5TJv7jnmRuaDU4C+iw/+D5V+O3wJRbUOXK0osM3jj518/z7//&#10;nv/8IBhDgXoPNdbde6yMw0c34NrMccBg4j3IYNIfGRHMo7yni7xiiISnQ9WyqkpMcczNDuIXj8d9&#10;gHgnnCHJaGjA+8uysuNniGPpXJK6WXertM53qC3pEXVVvV/lE5cUomubikVehwkncRpnT1YcdsNE&#10;dOfaE/LscSUaavEFUKI/WVQ8bc9shNnYzcbBB7Xv8nqlXuA/HCIOl2dOHUZY5JocvMvMetq7tCxP&#10;/Vz1+NY2/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BoaYJL0wAAAAUBAAAPAAAAAAAAAAEAIAAA&#10;ACIAAABkcnMvZG93bnJldi54bWxQSwECFAAUAAAACACHTuJAX65jgdgBAACzAwAADgAAAAAAAAAB&#10;ACAAAAAiAQAAZHJzL2Uyb0RvYy54bWxQSwUGAAAAAAYABgBZAQAAbAUAAAAA&#10;">
              <v:fill on="f" focussize="0,0"/>
              <v:stroke on="f" weight="1.25pt"/>
              <v:imagedata o:title=""/>
              <o:lock v:ext="edit" aspectratio="f"/>
              <v:textbox inset="0mm,0mm,0mm,0mm" style="mso-fit-shape-to-text:t;">
                <w:txbxContent>
                  <w:p>
                    <w:pPr>
                      <w:pStyle w:val="7"/>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97</w:t>
                    </w:r>
                    <w:r>
                      <w:rPr>
                        <w:rFonts w:hint="eastAsia" w:ascii="宋体" w:hAnsi="宋体" w:eastAsia="宋体" w:cs="宋体"/>
                        <w:sz w:val="28"/>
                        <w:szCs w:val="28"/>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a:effectLst/>
                    </wps:spPr>
                    <wps:txbx>
                      <w:txbxContent>
                        <w:p>
                          <w:pPr>
                            <w:pStyle w:val="7"/>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98</w:t>
                          </w:r>
                          <w:r>
                            <w:rPr>
                              <w:rFonts w:hint="eastAsia" w:ascii="宋体" w:hAnsi="宋体" w:eastAsia="宋体" w:cs="宋体"/>
                              <w:sz w:val="28"/>
                              <w:szCs w:val="28"/>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4384;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MqVNxDYAQAAswMAAA4AAABkcnMvZTJvRG9jLnhtbK1TS27bMBDd&#10;F8gdCO5jKQ6SCoLloIWRoEDRFkh6AJoiLQL8gUNb8gXaG3TVTfc9l8/RISU5RbrJohtpfnwz73G4&#10;uhuMJgcRQDnb0KtFSYmw3LXK7hr69en+sqIEIrMt086Khh4F0Lv1xZtV72uxdJ3TrQgEQSzUvW9o&#10;F6OviwJ4JwyDhfPCYlK6YFhEN+yKNrAe0Y0ulmV5W/QutD44LgAwuhmTdEIMrwF0UiouNo7vjbBx&#10;RA1Cs4iUoFMe6DpPK6Xg8bOUICLRDUWmMX+xCdrb9C3WK1bvAvOd4tMI7DUjvOBkmLLY9Ay1YZGR&#10;fVD/QBnFgwMn44I7U4xEsiLI4qp8oc1jx7zIXFBq8GfR4f/B8k+HL4GotqHXt5RYZvDGTz++n37+&#10;Pv36RjCGAvUeaqx79FgZh/duwLWZ44DBxHuQwaQ/MiKYR3mPZ3nFEAlPh6plVZWY4pibHcQvno/7&#10;APFBOEOS0dCA95dlZYePEMfSuSR1s+5eaZ3vUFvSI+pN9fYmnzinEF3bVCzyOkw4idM4e7LisB0m&#10;olvXHpFnjyvRUIsvgBL9waLiaXtmI8zGdjb2Pqhdl9cr9QL/bh9xuDxz6jDCItfk4F1m1tPepWX5&#10;289Vz29t/Q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BoaYJL0wAAAAUBAAAPAAAAAAAAAAEAIAAA&#10;ACIAAABkcnMvZG93bnJldi54bWxQSwECFAAUAAAACACHTuJAypU3ENgBAACzAwAADgAAAAAAAAAB&#10;ACAAAAAiAQAAZHJzL2Uyb0RvYy54bWxQSwUGAAAAAAYABgBZAQAAbAUAAAAA&#10;">
              <v:fill on="f" focussize="0,0"/>
              <v:stroke on="f" weight="1.25pt"/>
              <v:imagedata o:title=""/>
              <o:lock v:ext="edit" aspectratio="f"/>
              <v:textbox inset="0mm,0mm,0mm,0mm" style="mso-fit-shape-to-text:t;">
                <w:txbxContent>
                  <w:p>
                    <w:pPr>
                      <w:pStyle w:val="7"/>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98</w:t>
                    </w:r>
                    <w:r>
                      <w:rPr>
                        <w:rFonts w:hint="eastAsia" w:ascii="宋体" w:hAnsi="宋体" w:eastAsia="宋体" w:cs="宋体"/>
                        <w:sz w:val="28"/>
                        <w:szCs w:val="28"/>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7676"/>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5408" behindDoc="0" locked="0" layoutInCell="1" allowOverlap="1">
              <wp:simplePos x="0" y="0"/>
              <wp:positionH relativeFrom="margin">
                <wp:align>outside</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a:effectLst/>
                    </wps:spPr>
                    <wps:txbx>
                      <w:txbxContent>
                        <w:p>
                          <w:pPr>
                            <w:pStyle w:val="7"/>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105</w:t>
                          </w:r>
                          <w:r>
                            <w:rPr>
                              <w:rFonts w:hint="eastAsia" w:ascii="宋体" w:hAnsi="宋体" w:eastAsia="宋体" w:cs="宋体"/>
                              <w:sz w:val="28"/>
                              <w:szCs w:val="28"/>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5408;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ASmbpXYAQAAswMAAA4AAABkcnMvZTJvRG9jLnhtbK1TS27bMBDd&#10;F8gdCO5jKS7SCoLlIIWRIEDRFkh7AJoiLQL8gUNb8gXaG3TVTfc9l8/RISU5RbrJIhtpfnwz73G4&#10;uhmMJgcRQDnb0KtFSYmw3LXK7hr67evdZUUJRGZbpp0VDT0KoDfrizer3tdi6TqnWxEIglioe9/Q&#10;LkZfFwXwThgGC+eFxaR0wbCIbtgVbWA9ohtdLMvyXdG70PrguADA6GZM0gkxvATQSam42Di+N8LG&#10;ETUIzSJSgk55oOs8rZSCx89SgohENxSZxvzFJmhv07dYr1i9C8x3ik8jsJeM8IyTYcpi0zPUhkVG&#10;9kH9B2UUDw6cjAvuTDESyYogi6vymTaPHfMic0GpwZ9Fh9eD5Z8OXwJRbUPfLimxzOCNn37+OP36&#10;c/r9nWAMBeo91Fj36LEyDh/cgGszxwGDifcgg0l/ZEQwj/Iez/KKIRKeDlXLqioxxTE3O4hfPB33&#10;AeK9cIYko6EB7y/Lyg4fIY6lc0nqZt2d0jrfobakR9Tr6v11PnFOIbq2qVjkdZhwEqdx9mTFYTtM&#10;RLeuPSLPHleioRZfACX6waLiaXtmI8zGdjb2Pqhdl9cr9QJ/u484XJ45dRhhkWty8C4z62nv0rL8&#10;6+eqp7e2/g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BoaYJL0wAAAAUBAAAPAAAAAAAAAAEAIAAA&#10;ACIAAABkcnMvZG93bnJldi54bWxQSwECFAAUAAAACACHTuJABKZuldgBAACzAwAADgAAAAAAAAAB&#10;ACAAAAAiAQAAZHJzL2Uyb0RvYy54bWxQSwUGAAAAAAYABgBZAQAAbAUAAAAA&#10;">
              <v:fill on="f" focussize="0,0"/>
              <v:stroke on="f" weight="1.25pt"/>
              <v:imagedata o:title=""/>
              <o:lock v:ext="edit" aspectratio="f"/>
              <v:textbox inset="0mm,0mm,0mm,0mm" style="mso-fit-shape-to-text:t;">
                <w:txbxContent>
                  <w:p>
                    <w:pPr>
                      <w:pStyle w:val="7"/>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105</w:t>
                    </w:r>
                    <w:r>
                      <w:rPr>
                        <w:rFonts w:hint="eastAsia" w:ascii="宋体" w:hAnsi="宋体" w:eastAsia="宋体" w:cs="宋体"/>
                        <w:sz w:val="28"/>
                        <w:szCs w:val="2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360" w:lineRule="auto"/>
      <w:jc w:val="center"/>
    </w:pPr>
    <w:r>
      <w:rPr>
        <w:rFonts w:hint="eastAsia" w:ascii="仿宋" w:hAnsi="仿宋" w:eastAsia="仿宋" w:cs="仿宋"/>
        <w:b/>
        <w:color w:val="595959"/>
        <w:sz w:val="21"/>
        <w:szCs w:val="21"/>
      </w:rPr>
      <w:t>丹霞街道综合养老服务中心</w:t>
    </w:r>
    <w:r>
      <w:rPr>
        <w:rFonts w:hint="eastAsia" w:ascii="仿宋" w:hAnsi="仿宋" w:eastAsia="仿宋" w:cs="仿宋"/>
        <w:b/>
        <w:color w:val="595959"/>
        <w:sz w:val="21"/>
        <w:szCs w:val="21"/>
        <w:lang w:val="en-US" w:eastAsia="zh-CN"/>
      </w:rPr>
      <w:t>建设项目公建民营实施方案</w:t>
    </w:r>
  </w:p>
  <w:p>
    <w:pPr>
      <w:pStyle w:val="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360" w:lineRule="auto"/>
      <w:jc w:val="center"/>
    </w:pPr>
    <w:r>
      <w:rPr>
        <w:rFonts w:hint="eastAsia" w:ascii="仿宋" w:hAnsi="仿宋" w:eastAsia="仿宋" w:cs="仿宋"/>
        <w:b/>
        <w:color w:val="595959"/>
        <w:sz w:val="21"/>
        <w:szCs w:val="21"/>
      </w:rPr>
      <w:t>丹霞街道综合养老服务中心</w:t>
    </w:r>
    <w:r>
      <w:rPr>
        <w:rFonts w:hint="eastAsia" w:ascii="仿宋" w:hAnsi="仿宋" w:eastAsia="仿宋" w:cs="仿宋"/>
        <w:b/>
        <w:color w:val="595959"/>
        <w:sz w:val="21"/>
        <w:szCs w:val="21"/>
        <w:lang w:val="en-US" w:eastAsia="zh-CN"/>
      </w:rPr>
      <w:t>建设项目公建民营实施方案</w:t>
    </w:r>
  </w:p>
  <w:p>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360" w:lineRule="auto"/>
      <w:jc w:val="center"/>
    </w:pPr>
    <w:r>
      <w:rPr>
        <w:rFonts w:hint="eastAsia" w:ascii="仿宋" w:hAnsi="仿宋" w:eastAsia="仿宋" w:cs="仿宋"/>
        <w:b/>
        <w:color w:val="595959"/>
        <w:sz w:val="21"/>
        <w:szCs w:val="21"/>
      </w:rPr>
      <w:t>丹霞街道综合养老服务中心</w:t>
    </w:r>
    <w:r>
      <w:rPr>
        <w:rFonts w:hint="eastAsia" w:ascii="仿宋" w:hAnsi="仿宋" w:eastAsia="仿宋" w:cs="仿宋"/>
        <w:b/>
        <w:color w:val="595959"/>
        <w:sz w:val="21"/>
        <w:szCs w:val="21"/>
        <w:lang w:val="en-US" w:eastAsia="zh-CN"/>
      </w:rPr>
      <w:t>建设项目公建民营实施方案</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360" w:lineRule="auto"/>
      <w:jc w:val="center"/>
    </w:pPr>
    <w:r>
      <w:rPr>
        <w:rFonts w:hint="eastAsia" w:ascii="仿宋" w:hAnsi="仿宋" w:eastAsia="仿宋" w:cs="仿宋"/>
        <w:b/>
        <w:color w:val="595959"/>
        <w:sz w:val="21"/>
        <w:szCs w:val="21"/>
      </w:rPr>
      <w:t>丹霞街道综合养老服务中心</w:t>
    </w:r>
    <w:r>
      <w:rPr>
        <w:rFonts w:hint="eastAsia" w:ascii="仿宋" w:hAnsi="仿宋" w:eastAsia="仿宋" w:cs="仿宋"/>
        <w:b/>
        <w:color w:val="595959"/>
        <w:sz w:val="21"/>
        <w:szCs w:val="21"/>
        <w:lang w:val="en-US" w:eastAsia="zh-CN"/>
      </w:rPr>
      <w:t>建设项目公建民营实施方案</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360" w:lineRule="auto"/>
      <w:jc w:val="center"/>
    </w:pPr>
    <w:r>
      <w:rPr>
        <w:rFonts w:hint="eastAsia" w:ascii="仿宋" w:hAnsi="仿宋" w:eastAsia="仿宋" w:cs="仿宋"/>
        <w:b/>
        <w:color w:val="595959"/>
        <w:sz w:val="21"/>
        <w:szCs w:val="21"/>
      </w:rPr>
      <w:t>丹霞街道综合养老服务中心</w:t>
    </w:r>
    <w:r>
      <w:rPr>
        <w:rFonts w:hint="eastAsia" w:ascii="仿宋" w:hAnsi="仿宋" w:eastAsia="仿宋" w:cs="仿宋"/>
        <w:b/>
        <w:color w:val="595959"/>
        <w:sz w:val="21"/>
        <w:szCs w:val="21"/>
        <w:lang w:val="en-US" w:eastAsia="zh-CN"/>
      </w:rPr>
      <w:t>建设项目公建民营实施方案</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360" w:lineRule="auto"/>
      <w:jc w:val="center"/>
    </w:pPr>
    <w:r>
      <w:rPr>
        <w:rFonts w:hint="eastAsia" w:ascii="仿宋" w:hAnsi="仿宋" w:eastAsia="仿宋" w:cs="仿宋"/>
        <w:b/>
        <w:color w:val="595959"/>
        <w:sz w:val="21"/>
        <w:szCs w:val="21"/>
      </w:rPr>
      <w:t>丹霞街道综合养老服务中心</w:t>
    </w:r>
    <w:r>
      <w:rPr>
        <w:rFonts w:hint="eastAsia" w:ascii="仿宋" w:hAnsi="仿宋" w:eastAsia="仿宋" w:cs="仿宋"/>
        <w:b/>
        <w:color w:val="595959"/>
        <w:sz w:val="21"/>
        <w:szCs w:val="21"/>
        <w:lang w:val="en-US" w:eastAsia="zh-CN"/>
      </w:rPr>
      <w:t>建设项目公建民营实施方案</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360" w:lineRule="auto"/>
      <w:jc w:val="center"/>
    </w:pPr>
    <w:r>
      <w:rPr>
        <w:rFonts w:hint="eastAsia" w:ascii="仿宋" w:hAnsi="仿宋" w:eastAsia="仿宋" w:cs="仿宋"/>
        <w:b/>
        <w:color w:val="595959"/>
        <w:sz w:val="21"/>
        <w:szCs w:val="21"/>
      </w:rPr>
      <w:t>丹霞街道综合养老服务中心</w:t>
    </w:r>
    <w:r>
      <w:rPr>
        <w:rFonts w:hint="eastAsia" w:ascii="仿宋" w:hAnsi="仿宋" w:eastAsia="仿宋" w:cs="仿宋"/>
        <w:b/>
        <w:color w:val="595959"/>
        <w:sz w:val="21"/>
        <w:szCs w:val="21"/>
        <w:lang w:val="en-US" w:eastAsia="zh-CN"/>
      </w:rPr>
      <w:t>建设项目公建民营实施方案</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360" w:lineRule="auto"/>
      <w:jc w:val="center"/>
    </w:pPr>
    <w:r>
      <w:rPr>
        <w:rFonts w:hint="eastAsia" w:ascii="仿宋" w:hAnsi="仿宋" w:eastAsia="仿宋" w:cs="仿宋"/>
        <w:b/>
        <w:color w:val="595959"/>
        <w:sz w:val="21"/>
        <w:szCs w:val="21"/>
      </w:rPr>
      <w:t>丹霞街道综合养老服务中心</w:t>
    </w:r>
    <w:r>
      <w:rPr>
        <w:rFonts w:hint="eastAsia" w:ascii="仿宋" w:hAnsi="仿宋" w:eastAsia="仿宋" w:cs="仿宋"/>
        <w:b/>
        <w:color w:val="595959"/>
        <w:sz w:val="21"/>
        <w:szCs w:val="21"/>
        <w:lang w:val="en-US" w:eastAsia="zh-CN"/>
      </w:rPr>
      <w:t>建设项目公建民营实施方案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BB65E77"/>
    <w:multiLevelType w:val="singleLevel"/>
    <w:tmpl w:val="9BB65E77"/>
    <w:lvl w:ilvl="0" w:tentative="0">
      <w:start w:val="1"/>
      <w:numFmt w:val="decimal"/>
      <w:suff w:val="nothing"/>
      <w:lvlText w:val="（%1）"/>
      <w:lvlJc w:val="left"/>
    </w:lvl>
  </w:abstractNum>
  <w:abstractNum w:abstractNumId="1">
    <w:nsid w:val="00000002"/>
    <w:multiLevelType w:val="multilevel"/>
    <w:tmpl w:val="00000002"/>
    <w:lvl w:ilvl="0" w:tentative="0">
      <w:start w:val="0"/>
      <w:numFmt w:val="decimal"/>
      <w:pStyle w:val="2"/>
      <w:suff w:val="nothing"/>
      <w:lvlText w:val="%1  "/>
      <w:lvlJc w:val="left"/>
      <w:pPr>
        <w:ind w:left="922" w:hanging="432"/>
      </w:pPr>
      <w:rPr>
        <w:rFonts w:hint="eastAsia"/>
      </w:rPr>
    </w:lvl>
    <w:lvl w:ilvl="1" w:tentative="0">
      <w:start w:val="1"/>
      <w:numFmt w:val="decimal"/>
      <w:pStyle w:val="3"/>
      <w:suff w:val="nothing"/>
      <w:lvlText w:val="%1.%2  "/>
      <w:lvlJc w:val="left"/>
      <w:pPr>
        <w:ind w:left="576" w:hanging="576"/>
      </w:pPr>
      <w:rPr>
        <w:rFonts w:hint="eastAsia"/>
      </w:rPr>
    </w:lvl>
    <w:lvl w:ilvl="2" w:tentative="0">
      <w:start w:val="1"/>
      <w:numFmt w:val="decimal"/>
      <w:pStyle w:val="4"/>
      <w:suff w:val="nothing"/>
      <w:lvlText w:val="%1.%2.%3  "/>
      <w:lvlJc w:val="left"/>
      <w:pPr>
        <w:ind w:left="720" w:hanging="720"/>
      </w:pPr>
      <w:rPr>
        <w:rFonts w:hint="eastAsia" w:ascii="宋体" w:hAnsi="宋体" w:eastAsia="宋体"/>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2">
    <w:nsid w:val="4B50A7A5"/>
    <w:multiLevelType w:val="singleLevel"/>
    <w:tmpl w:val="4B50A7A5"/>
    <w:lvl w:ilvl="0" w:tentative="0">
      <w:start w:val="1"/>
      <w:numFmt w:val="decimal"/>
      <w:lvlText w:val="(%1)"/>
      <w:lvlJc w:val="left"/>
      <w:pPr>
        <w:tabs>
          <w:tab w:val="left" w:pos="312"/>
        </w:tabs>
      </w:pPr>
    </w:lvl>
  </w:abstractNum>
  <w:abstractNum w:abstractNumId="3">
    <w:nsid w:val="5F39B76B"/>
    <w:multiLevelType w:val="singleLevel"/>
    <w:tmpl w:val="5F39B76B"/>
    <w:lvl w:ilvl="0" w:tentative="0">
      <w:start w:val="1"/>
      <w:numFmt w:val="decimal"/>
      <w:suff w:val="nothing"/>
      <w:lvlText w:val="（%1）"/>
      <w:lvlJc w:val="left"/>
    </w:lvl>
  </w:abstractNum>
  <w:abstractNum w:abstractNumId="4">
    <w:nsid w:val="7DD73919"/>
    <w:multiLevelType w:val="singleLevel"/>
    <w:tmpl w:val="7DD73919"/>
    <w:lvl w:ilvl="0" w:tentative="0">
      <w:start w:val="1"/>
      <w:numFmt w:val="decimal"/>
      <w:lvlText w:val="(%1)"/>
      <w:lvlJc w:val="left"/>
      <w:pPr>
        <w:tabs>
          <w:tab w:val="left" w:pos="312"/>
        </w:tabs>
      </w:pPr>
    </w:lvl>
  </w:abstractNum>
  <w:num w:numId="1">
    <w:abstractNumId w:val="1"/>
  </w:num>
  <w:num w:numId="2">
    <w:abstractNumId w:val="0"/>
  </w:num>
  <w:num w:numId="3">
    <w:abstractNumId w:val="4"/>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endnotePr>
    <w:numFmt w:val="decimal"/>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3010A4F"/>
    <w:rsid w:val="04F35535"/>
    <w:rsid w:val="08904C25"/>
    <w:rsid w:val="091F486E"/>
    <w:rsid w:val="09AB47CB"/>
    <w:rsid w:val="0B250304"/>
    <w:rsid w:val="0C631EDB"/>
    <w:rsid w:val="0CB33F28"/>
    <w:rsid w:val="10EB62D1"/>
    <w:rsid w:val="12D81020"/>
    <w:rsid w:val="14F8760E"/>
    <w:rsid w:val="170B1949"/>
    <w:rsid w:val="189A0754"/>
    <w:rsid w:val="18D1111F"/>
    <w:rsid w:val="1AD72830"/>
    <w:rsid w:val="1E862684"/>
    <w:rsid w:val="204242EB"/>
    <w:rsid w:val="20CD4FA8"/>
    <w:rsid w:val="214E5CC2"/>
    <w:rsid w:val="21E66115"/>
    <w:rsid w:val="234A6046"/>
    <w:rsid w:val="2563259A"/>
    <w:rsid w:val="281B2CE9"/>
    <w:rsid w:val="2B0F5533"/>
    <w:rsid w:val="2B1958C9"/>
    <w:rsid w:val="2CC53079"/>
    <w:rsid w:val="2E2B44BD"/>
    <w:rsid w:val="3030691C"/>
    <w:rsid w:val="32B36FBE"/>
    <w:rsid w:val="332764DF"/>
    <w:rsid w:val="34725E0F"/>
    <w:rsid w:val="362D24BD"/>
    <w:rsid w:val="3B605538"/>
    <w:rsid w:val="3B6D4CA6"/>
    <w:rsid w:val="45F21BD8"/>
    <w:rsid w:val="47EA7FD0"/>
    <w:rsid w:val="4A2156F2"/>
    <w:rsid w:val="4D2E1A11"/>
    <w:rsid w:val="50F11EF6"/>
    <w:rsid w:val="527C71A2"/>
    <w:rsid w:val="53065D23"/>
    <w:rsid w:val="5358029E"/>
    <w:rsid w:val="541D2076"/>
    <w:rsid w:val="54E24620"/>
    <w:rsid w:val="55EE5911"/>
    <w:rsid w:val="57CE5B87"/>
    <w:rsid w:val="59E22D24"/>
    <w:rsid w:val="5B162D9E"/>
    <w:rsid w:val="5BE7422C"/>
    <w:rsid w:val="5CAE5809"/>
    <w:rsid w:val="5D2F6C90"/>
    <w:rsid w:val="5DFB7402"/>
    <w:rsid w:val="5FB3302D"/>
    <w:rsid w:val="5FD54963"/>
    <w:rsid w:val="62C060C3"/>
    <w:rsid w:val="669177F7"/>
    <w:rsid w:val="6750254A"/>
    <w:rsid w:val="681317B4"/>
    <w:rsid w:val="68A6193D"/>
    <w:rsid w:val="6968451C"/>
    <w:rsid w:val="6BB243A2"/>
    <w:rsid w:val="6CC53183"/>
    <w:rsid w:val="6D4A31D0"/>
    <w:rsid w:val="6E1742B2"/>
    <w:rsid w:val="6E9050F4"/>
    <w:rsid w:val="6EEF7719"/>
    <w:rsid w:val="70CD1207"/>
    <w:rsid w:val="71645E0F"/>
    <w:rsid w:val="72C76753"/>
    <w:rsid w:val="765D64BC"/>
    <w:rsid w:val="769C3B0D"/>
    <w:rsid w:val="77352DB4"/>
    <w:rsid w:val="77560F47"/>
    <w:rsid w:val="783A118D"/>
    <w:rsid w:val="78F36363"/>
    <w:rsid w:val="7AE63596"/>
    <w:rsid w:val="7B4E02B6"/>
    <w:rsid w:val="7FFB7D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62" w:beforeLines="20" w:after="62" w:afterLines="20"/>
      <w:outlineLvl w:val="0"/>
    </w:pPr>
    <w:rPr>
      <w:b/>
      <w:kern w:val="44"/>
      <w:sz w:val="32"/>
    </w:rPr>
  </w:style>
  <w:style w:type="paragraph" w:styleId="3">
    <w:name w:val="heading 2"/>
    <w:basedOn w:val="1"/>
    <w:next w:val="1"/>
    <w:qFormat/>
    <w:uiPriority w:val="0"/>
    <w:pPr>
      <w:keepNext/>
      <w:keepLines/>
      <w:numPr>
        <w:ilvl w:val="1"/>
        <w:numId w:val="1"/>
      </w:numPr>
      <w:spacing w:before="62" w:beforeLines="20" w:after="62" w:afterLines="20"/>
      <w:outlineLvl w:val="1"/>
    </w:pPr>
    <w:rPr>
      <w:rFonts w:ascii="宋体" w:hAnsi="宋体" w:eastAsia="宋体"/>
      <w:b/>
      <w:sz w:val="28"/>
    </w:rPr>
  </w:style>
  <w:style w:type="paragraph" w:styleId="4">
    <w:name w:val="heading 3"/>
    <w:basedOn w:val="1"/>
    <w:next w:val="1"/>
    <w:qFormat/>
    <w:uiPriority w:val="0"/>
    <w:pPr>
      <w:keepLines/>
      <w:numPr>
        <w:ilvl w:val="2"/>
        <w:numId w:val="1"/>
      </w:numPr>
      <w:ind w:leftChars="0"/>
      <w:outlineLvl w:val="2"/>
    </w:pPr>
    <w:rPr>
      <w:b/>
      <w:sz w:val="28"/>
    </w:rPr>
  </w:style>
  <w:style w:type="character" w:default="1" w:styleId="14">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5">
    <w:name w:val="table of authorities"/>
    <w:basedOn w:val="1"/>
    <w:next w:val="1"/>
    <w:qFormat/>
    <w:uiPriority w:val="0"/>
    <w:pPr>
      <w:ind w:left="420" w:leftChars="200"/>
    </w:pPr>
  </w:style>
  <w:style w:type="paragraph" w:styleId="6">
    <w:name w:val="toc 3"/>
    <w:basedOn w:val="1"/>
    <w:next w:val="1"/>
    <w:qFormat/>
    <w:uiPriority w:val="39"/>
    <w:pPr>
      <w:ind w:left="840" w:leftChars="400"/>
    </w:p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qFormat/>
    <w:uiPriority w:val="39"/>
  </w:style>
  <w:style w:type="paragraph" w:styleId="10">
    <w:name w:val="toc 2"/>
    <w:basedOn w:val="1"/>
    <w:next w:val="1"/>
    <w:qFormat/>
    <w:uiPriority w:val="39"/>
    <w:pPr>
      <w:ind w:left="420" w:leftChars="200"/>
    </w:pPr>
  </w:style>
  <w:style w:type="paragraph" w:styleId="11">
    <w:name w:val="Normal (Web)"/>
    <w:basedOn w:val="1"/>
    <w:qFormat/>
    <w:uiPriority w:val="0"/>
    <w:pPr>
      <w:spacing w:before="100" w:beforeAutospacing="1" w:after="100" w:afterAutospacing="1"/>
      <w:ind w:left="0" w:right="0"/>
      <w:jc w:val="left"/>
    </w:pPr>
    <w:rPr>
      <w:kern w:val="0"/>
      <w:sz w:val="24"/>
      <w:lang w:val="en-US" w:eastAsia="zh-CN" w:bidi="ar"/>
    </w:rPr>
  </w:style>
  <w:style w:type="table" w:styleId="13">
    <w:name w:val="Table Grid"/>
    <w:basedOn w:val="12"/>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15">
    <w:name w:val="Hyperlink"/>
    <w:basedOn w:val="14"/>
    <w:qFormat/>
    <w:uiPriority w:val="0"/>
    <w:rPr>
      <w:color w:val="0000FF"/>
      <w:u w:val="single"/>
    </w:rPr>
  </w:style>
  <w:style w:type="paragraph" w:customStyle="1" w:styleId="16">
    <w:name w:val="正文-公1"/>
    <w:basedOn w:val="17"/>
    <w:qFormat/>
    <w:uiPriority w:val="0"/>
    <w:pPr>
      <w:widowControl w:val="0"/>
      <w:ind w:firstLine="200" w:firstLineChars="200"/>
      <w:jc w:val="both"/>
    </w:pPr>
    <w:rPr>
      <w:rFonts w:hint="default" w:ascii="Calibri" w:hAnsi="Calibri" w:eastAsia="宋体" w:cs="Times New Roman"/>
      <w:kern w:val="2"/>
      <w:sz w:val="21"/>
      <w:lang w:val="en-US" w:eastAsia="zh-CN"/>
    </w:rPr>
  </w:style>
  <w:style w:type="paragraph" w:customStyle="1" w:styleId="17">
    <w:name w:val="正文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8">
    <w:name w:val="正文缩进1"/>
    <w:basedOn w:val="1"/>
    <w:qFormat/>
    <w:uiPriority w:val="0"/>
    <w:pPr>
      <w:widowControl/>
      <w:ind w:firstLine="420"/>
      <w:jc w:val="left"/>
    </w:pPr>
    <w:rPr>
      <w:kern w:val="0"/>
      <w:szCs w:val="20"/>
    </w:rPr>
  </w:style>
  <w:style w:type="table" w:customStyle="1" w:styleId="19">
    <w:name w:val="Table Normal"/>
    <w:unhideWhenUsed/>
    <w:qFormat/>
    <w:uiPriority w:val="0"/>
    <w:tblPr>
      <w:tblCellMar>
        <w:top w:w="0" w:type="dxa"/>
        <w:left w:w="0" w:type="dxa"/>
        <w:bottom w:w="0" w:type="dxa"/>
        <w:right w:w="0" w:type="dxa"/>
      </w:tblCellMar>
    </w:tblPr>
  </w:style>
  <w:style w:type="paragraph" w:customStyle="1" w:styleId="20">
    <w:name w:val="Table Text"/>
    <w:basedOn w:val="1"/>
    <w:semiHidden/>
    <w:qFormat/>
    <w:uiPriority w:val="0"/>
    <w:rPr>
      <w:rFonts w:ascii="宋体" w:hAnsi="宋体" w:eastAsia="宋体" w:cs="宋体"/>
      <w:sz w:val="28"/>
      <w:szCs w:val="28"/>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header" Target="header2.xml"/><Relationship Id="rId39" Type="http://schemas.openxmlformats.org/officeDocument/2006/relationships/customXml" Target="../customXml/item1.xml"/><Relationship Id="rId38" Type="http://schemas.openxmlformats.org/officeDocument/2006/relationships/image" Target="media/image18.png"/><Relationship Id="rId37" Type="http://schemas.openxmlformats.org/officeDocument/2006/relationships/image" Target="media/image17.png"/><Relationship Id="rId36" Type="http://schemas.openxmlformats.org/officeDocument/2006/relationships/image" Target="media/image16.png"/><Relationship Id="rId35" Type="http://schemas.openxmlformats.org/officeDocument/2006/relationships/image" Target="media/image15.png"/><Relationship Id="rId34" Type="http://schemas.openxmlformats.org/officeDocument/2006/relationships/image" Target="media/image14.png"/><Relationship Id="rId33" Type="http://schemas.openxmlformats.org/officeDocument/2006/relationships/image" Target="media/image13.png"/><Relationship Id="rId32" Type="http://schemas.openxmlformats.org/officeDocument/2006/relationships/image" Target="media/image12.png"/><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header" Target="header1.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jpeg"/><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header" Target="header8.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header" Target="header6.xml"/><Relationship Id="rId13" Type="http://schemas.openxmlformats.org/officeDocument/2006/relationships/footer" Target="foot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191</Pages>
  <Words>8133</Words>
  <Characters>9865</Characters>
  <Lines>0</Lines>
  <Paragraphs>0</Paragraphs>
  <TotalTime>9</TotalTime>
  <ScaleCrop>false</ScaleCrop>
  <LinksUpToDate>false</LinksUpToDate>
  <CharactersWithSpaces>10124</CharactersWithSpaces>
  <Application>WPS Office_11.8.2.11716_F1E327BC-269C-435d-A152-05C5408002CA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2025-07-21T00:42:00Z</dcterms:created>
  <dc:creator>Administrator.DESKTOP-OT9THFM</dc:creator>
  <cp:lastModifiedBy>Administrator</cp:lastModifiedBy>
  <dcterms:modified xsi:type="dcterms:W3CDTF">2025-12-03T00:45:19Z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2052-11.8.2.11716</vt:lpwstr>
  </property>
  <property fmtid="{D5CDD505-2E9C-101B-9397-08002B2CF9AE}" pid="3" name="ICV">
    <vt:lpwstr>D4D4455149CC415AAE53E2B684B2C592</vt:lpwstr>
  </property>
  <property fmtid="{D5CDD505-2E9C-101B-9397-08002B2CF9AE}" pid="4" name="KSOTemplateDocerSaveRecord">
    <vt:lpwstr>eyJoZGlkIjoiMDk0ZmQzNzY5N2RmMTI2OWE4NjQ3ZDRmNGJhMWIxZjQiLCJ1c2VySWQiOiIxMjAwMzgzMjE0In0=</vt:lpwstr>
  </property>
</Properties>
</file>